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which all jurisdictions </w:t>
      </w:r>
      <w:proofErr w:type="gramStart"/>
      <w:r>
        <w:rPr>
          <w:rFonts w:ascii="Arial" w:hAnsi="Arial" w:cs="Arial"/>
          <w:sz w:val="22"/>
          <w:szCs w:val="22"/>
        </w:rPr>
        <w:t>have to</w:t>
      </w:r>
      <w:proofErr w:type="gramEnd"/>
      <w:r>
        <w:rPr>
          <w:rFonts w:ascii="Arial" w:hAnsi="Arial" w:cs="Arial"/>
          <w:sz w:val="22"/>
          <w:szCs w:val="22"/>
        </w:rPr>
        <w:t xml:space="preserve">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884BE9" w:rsidRDefault="002460B1" w:rsidP="00841D99">
      <w:pPr>
        <w:pStyle w:val="ListParagraph"/>
        <w:numPr>
          <w:ilvl w:val="0"/>
          <w:numId w:val="10"/>
        </w:numPr>
        <w:ind w:left="426"/>
        <w:jc w:val="both"/>
        <w:rPr>
          <w:rFonts w:ascii="Arial" w:hAnsi="Arial" w:cs="Arial"/>
          <w:sz w:val="22"/>
          <w:szCs w:val="22"/>
          <w:highlight w:val="yellow"/>
        </w:rPr>
      </w:pPr>
      <w:r w:rsidRPr="00884BE9">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t>
      </w:r>
      <w:proofErr w:type="gramStart"/>
      <w:r>
        <w:rPr>
          <w:rFonts w:ascii="Arial" w:hAnsi="Arial" w:cs="Arial"/>
          <w:sz w:val="22"/>
          <w:szCs w:val="22"/>
        </w:rPr>
        <w:t>with regard to</w:t>
      </w:r>
      <w:proofErr w:type="gramEnd"/>
      <w:r>
        <w:rPr>
          <w:rFonts w:ascii="Arial" w:hAnsi="Arial" w:cs="Arial"/>
          <w:sz w:val="22"/>
          <w:szCs w:val="22"/>
        </w:rPr>
        <w:t xml:space="preserve">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A075CE" w:rsidRDefault="00A37300" w:rsidP="00BA7E39">
      <w:pPr>
        <w:pStyle w:val="ListParagraph"/>
        <w:numPr>
          <w:ilvl w:val="0"/>
          <w:numId w:val="11"/>
        </w:numPr>
        <w:ind w:left="426"/>
        <w:jc w:val="both"/>
        <w:rPr>
          <w:rFonts w:ascii="Arial" w:hAnsi="Arial" w:cs="Arial"/>
          <w:sz w:val="22"/>
          <w:szCs w:val="22"/>
          <w:highlight w:val="yellow"/>
        </w:rPr>
      </w:pPr>
      <w:r w:rsidRPr="00A075CE">
        <w:rPr>
          <w:rFonts w:ascii="Arial" w:hAnsi="Arial" w:cs="Arial"/>
          <w:sz w:val="22"/>
          <w:szCs w:val="22"/>
          <w:highlight w:val="yellow"/>
        </w:rPr>
        <w:t xml:space="preserve">Creditors’ interests are of paramount </w:t>
      </w:r>
      <w:proofErr w:type="gramStart"/>
      <w:r w:rsidRPr="00A075CE">
        <w:rPr>
          <w:rFonts w:ascii="Arial" w:hAnsi="Arial" w:cs="Arial"/>
          <w:sz w:val="22"/>
          <w:szCs w:val="22"/>
          <w:highlight w:val="yellow"/>
        </w:rPr>
        <w:t>importance,</w:t>
      </w:r>
      <w:proofErr w:type="gramEnd"/>
      <w:r w:rsidRPr="00A075CE">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884BE9" w:rsidRDefault="003A29B7" w:rsidP="00403FEE">
      <w:pPr>
        <w:pStyle w:val="ListParagraph"/>
        <w:numPr>
          <w:ilvl w:val="0"/>
          <w:numId w:val="12"/>
        </w:numPr>
        <w:ind w:left="426"/>
        <w:jc w:val="both"/>
        <w:rPr>
          <w:rFonts w:ascii="Arial" w:hAnsi="Arial" w:cs="Arial"/>
          <w:sz w:val="22"/>
          <w:szCs w:val="22"/>
          <w:highlight w:val="yellow"/>
        </w:rPr>
      </w:pPr>
      <w:r w:rsidRPr="00884BE9">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884BE9" w:rsidRDefault="00076A9F" w:rsidP="00403FEE">
      <w:pPr>
        <w:pStyle w:val="ListParagraph"/>
        <w:numPr>
          <w:ilvl w:val="0"/>
          <w:numId w:val="13"/>
        </w:numPr>
        <w:ind w:left="426"/>
        <w:jc w:val="both"/>
        <w:rPr>
          <w:rFonts w:ascii="Arial" w:hAnsi="Arial" w:cs="Arial"/>
          <w:sz w:val="22"/>
          <w:szCs w:val="22"/>
          <w:highlight w:val="yellow"/>
        </w:rPr>
      </w:pPr>
      <w:r w:rsidRPr="00884BE9">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3737EA" w:rsidRDefault="00F01639" w:rsidP="00F01639">
      <w:pPr>
        <w:pStyle w:val="ListParagraph"/>
        <w:numPr>
          <w:ilvl w:val="0"/>
          <w:numId w:val="14"/>
        </w:numPr>
        <w:ind w:left="426"/>
        <w:jc w:val="both"/>
        <w:rPr>
          <w:rFonts w:ascii="Arial" w:hAnsi="Arial" w:cs="Arial"/>
          <w:sz w:val="22"/>
          <w:szCs w:val="22"/>
          <w:highlight w:val="yellow"/>
        </w:rPr>
      </w:pPr>
      <w:r w:rsidRPr="003737EA">
        <w:rPr>
          <w:rFonts w:ascii="Arial" w:hAnsi="Arial" w:cs="Arial"/>
          <w:sz w:val="22"/>
          <w:szCs w:val="22"/>
          <w:highlight w:val="yellow"/>
        </w:rPr>
        <w:t>s</w:t>
      </w:r>
      <w:r w:rsidR="007425B0" w:rsidRPr="003737EA">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BA12BB"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BA12BB">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577C4">
        <w:rPr>
          <w:rFonts w:ascii="Arial" w:eastAsiaTheme="minorHAnsi" w:hAnsi="Arial" w:cs="Arial"/>
          <w:i/>
          <w:iCs/>
          <w:sz w:val="22"/>
          <w:szCs w:val="22"/>
          <w:lang w:val="en-GB"/>
        </w:rPr>
        <w:t>curriculum vitae</w:t>
      </w:r>
      <w:proofErr w:type="gramEnd"/>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4DBF944B" w14:textId="3FB05903" w:rsidR="004F7AAE" w:rsidRPr="00FA01F5" w:rsidRDefault="0022120D" w:rsidP="00FA01F5">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 xml:space="preserve">will have the ability to give </w:t>
      </w:r>
      <w:proofErr w:type="gramStart"/>
      <w:r w:rsidR="00391384">
        <w:rPr>
          <w:rFonts w:ascii="Arial" w:eastAsiaTheme="minorHAnsi" w:hAnsi="Arial" w:cs="Arial"/>
          <w:sz w:val="22"/>
          <w:szCs w:val="22"/>
          <w:lang w:val="en-GB"/>
        </w:rPr>
        <w:t>all of</w:t>
      </w:r>
      <w:proofErr w:type="gramEnd"/>
      <w:r w:rsidR="00391384">
        <w:rPr>
          <w:rFonts w:ascii="Arial" w:eastAsiaTheme="minorHAnsi" w:hAnsi="Arial" w:cs="Arial"/>
          <w:sz w:val="22"/>
          <w:szCs w:val="22"/>
          <w:lang w:val="en-GB"/>
        </w:rPr>
        <w:t xml:space="preserve">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3737EA"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3737EA">
        <w:rPr>
          <w:rFonts w:ascii="Arial" w:eastAsiaTheme="minorHAnsi" w:hAnsi="Arial" w:cs="Arial"/>
          <w:sz w:val="22"/>
          <w:szCs w:val="22"/>
          <w:highlight w:val="yellow"/>
          <w:lang w:val="en-GB"/>
        </w:rPr>
        <w:t xml:space="preserve">Refuse the appointment as she will not be able to give </w:t>
      </w:r>
      <w:proofErr w:type="gramStart"/>
      <w:r w:rsidRPr="003737EA">
        <w:rPr>
          <w:rFonts w:ascii="Arial" w:eastAsiaTheme="minorHAnsi" w:hAnsi="Arial" w:cs="Arial"/>
          <w:sz w:val="22"/>
          <w:szCs w:val="22"/>
          <w:highlight w:val="yellow"/>
          <w:lang w:val="en-GB"/>
        </w:rPr>
        <w:t>all of</w:t>
      </w:r>
      <w:proofErr w:type="gramEnd"/>
      <w:r w:rsidRPr="003737EA">
        <w:rPr>
          <w:rFonts w:ascii="Arial" w:eastAsiaTheme="minorHAnsi" w:hAnsi="Arial" w:cs="Arial"/>
          <w:sz w:val="22"/>
          <w:szCs w:val="22"/>
          <w:highlight w:val="yellow"/>
          <w:lang w:val="en-GB"/>
        </w:rPr>
        <w:t xml:space="preserve">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w:t>
      </w:r>
      <w:proofErr w:type="gramStart"/>
      <w:r w:rsidR="00EB6801">
        <w:rPr>
          <w:rFonts w:ascii="Arial" w:eastAsiaTheme="minorHAnsi" w:hAnsi="Arial" w:cs="Arial"/>
          <w:sz w:val="22"/>
          <w:szCs w:val="22"/>
          <w:lang w:val="en-GB"/>
        </w:rPr>
        <w:t>has to</w:t>
      </w:r>
      <w:proofErr w:type="gramEnd"/>
      <w:r w:rsidR="00EB6801">
        <w:rPr>
          <w:rFonts w:ascii="Arial" w:eastAsiaTheme="minorHAnsi" w:hAnsi="Arial" w:cs="Arial"/>
          <w:sz w:val="22"/>
          <w:szCs w:val="22"/>
          <w:lang w:val="en-GB"/>
        </w:rPr>
        <w:t xml:space="preserve">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BA12BB"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BA12BB">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BA12BB" w:rsidRDefault="00F83703" w:rsidP="00047A13">
      <w:pPr>
        <w:pStyle w:val="ListParagraph"/>
        <w:numPr>
          <w:ilvl w:val="0"/>
          <w:numId w:val="19"/>
        </w:numPr>
        <w:ind w:left="426"/>
        <w:jc w:val="both"/>
        <w:rPr>
          <w:rFonts w:ascii="Arial" w:hAnsi="Arial" w:cs="Arial"/>
          <w:sz w:val="22"/>
          <w:szCs w:val="22"/>
          <w:highlight w:val="yellow"/>
          <w:lang w:val="en-GB"/>
        </w:rPr>
      </w:pPr>
      <w:r w:rsidRPr="00BA12BB">
        <w:rPr>
          <w:rFonts w:ascii="Arial" w:hAnsi="Arial" w:cs="Arial"/>
          <w:sz w:val="22"/>
          <w:szCs w:val="22"/>
          <w:highlight w:val="yellow"/>
          <w:lang w:val="en-GB"/>
        </w:rPr>
        <w:t xml:space="preserve">This statement is false since the practitioner might have carried out </w:t>
      </w:r>
      <w:r w:rsidR="00BC285B" w:rsidRPr="00BA12BB">
        <w:rPr>
          <w:rFonts w:ascii="Arial" w:hAnsi="Arial" w:cs="Arial"/>
          <w:sz w:val="22"/>
          <w:szCs w:val="22"/>
          <w:highlight w:val="yellow"/>
          <w:lang w:val="en-GB"/>
        </w:rPr>
        <w:t>more work and invested more resources than</w:t>
      </w:r>
      <w:r w:rsidR="008E1511" w:rsidRPr="00BA12BB">
        <w:rPr>
          <w:rFonts w:ascii="Arial" w:hAnsi="Arial" w:cs="Arial"/>
          <w:sz w:val="22"/>
          <w:szCs w:val="22"/>
          <w:highlight w:val="yellow"/>
          <w:lang w:val="en-GB"/>
        </w:rPr>
        <w:t xml:space="preserve"> the value of the realisable or distributable assets</w:t>
      </w:r>
      <w:r w:rsidR="00BC285B" w:rsidRPr="00BA12BB">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w:t>
      </w:r>
      <w:proofErr w:type="gramStart"/>
      <w:r w:rsidRPr="004F7AAE">
        <w:rPr>
          <w:rFonts w:ascii="Arial" w:hAnsi="Arial" w:cs="Arial"/>
          <w:sz w:val="22"/>
          <w:szCs w:val="22"/>
          <w:lang w:val="en-GB"/>
        </w:rPr>
        <w:t>all of</w:t>
      </w:r>
      <w:proofErr w:type="gramEnd"/>
      <w:r w:rsidRPr="004F7AAE">
        <w:rPr>
          <w:rFonts w:ascii="Arial" w:hAnsi="Arial" w:cs="Arial"/>
          <w:sz w:val="22"/>
          <w:szCs w:val="22"/>
          <w:lang w:val="en-GB"/>
        </w:rPr>
        <w:t xml:space="preserve"> the documents in relation to insolvency appointments. All the practitioners and administrative personnel employed by the firm will have access to these files </w:t>
      </w:r>
      <w:proofErr w:type="gramStart"/>
      <w:r w:rsidRPr="004F7AAE">
        <w:rPr>
          <w:rFonts w:ascii="Arial" w:hAnsi="Arial" w:cs="Arial"/>
          <w:sz w:val="22"/>
          <w:szCs w:val="22"/>
          <w:lang w:val="en-GB"/>
        </w:rPr>
        <w:t>as long as</w:t>
      </w:r>
      <w:proofErr w:type="gramEnd"/>
      <w:r w:rsidRPr="004F7AAE">
        <w:rPr>
          <w:rFonts w:ascii="Arial" w:hAnsi="Arial" w:cs="Arial"/>
          <w:sz w:val="22"/>
          <w:szCs w:val="22"/>
          <w:lang w:val="en-GB"/>
        </w:rPr>
        <w:t xml:space="preserve">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142ACF" w:rsidRDefault="004F7AAE" w:rsidP="006A1258">
      <w:pPr>
        <w:pStyle w:val="ListParagraph"/>
        <w:numPr>
          <w:ilvl w:val="0"/>
          <w:numId w:val="20"/>
        </w:numPr>
        <w:ind w:left="426"/>
        <w:jc w:val="both"/>
        <w:rPr>
          <w:rFonts w:ascii="Arial" w:hAnsi="Arial" w:cs="Arial"/>
          <w:sz w:val="22"/>
          <w:szCs w:val="22"/>
          <w:highlight w:val="yellow"/>
          <w:lang w:val="en-GB"/>
        </w:rPr>
      </w:pPr>
      <w:r w:rsidRPr="00142ACF">
        <w:rPr>
          <w:rFonts w:ascii="Arial" w:hAnsi="Arial" w:cs="Arial"/>
          <w:sz w:val="22"/>
          <w:szCs w:val="22"/>
          <w:highlight w:val="yellow"/>
          <w:lang w:val="en-GB"/>
        </w:rPr>
        <w:t>R</w:t>
      </w:r>
      <w:r w:rsidR="00701CCC" w:rsidRPr="00142ACF">
        <w:rPr>
          <w:rFonts w:ascii="Arial" w:hAnsi="Arial" w:cs="Arial"/>
          <w:sz w:val="22"/>
          <w:szCs w:val="22"/>
          <w:highlight w:val="yellow"/>
          <w:lang w:val="en-GB"/>
        </w:rPr>
        <w:t xml:space="preserve">isk </w:t>
      </w:r>
      <w:r w:rsidRPr="00142ACF">
        <w:rPr>
          <w:rFonts w:ascii="Arial" w:hAnsi="Arial" w:cs="Arial"/>
          <w:sz w:val="22"/>
          <w:szCs w:val="22"/>
          <w:highlight w:val="yellow"/>
          <w:lang w:val="en-GB"/>
        </w:rPr>
        <w:t>m</w:t>
      </w:r>
      <w:r w:rsidR="00701CCC" w:rsidRPr="00142ACF">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41CAEE32" w14:textId="77777777" w:rsidR="00855B7E"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3071FD3C" w14:textId="11A0BE48" w:rsidR="00855B7E" w:rsidRDefault="00855B7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 Principle 1 on Integrity provides that Members (</w:t>
      </w:r>
      <w:proofErr w:type="spellStart"/>
      <w:proofErr w:type="gramStart"/>
      <w:r>
        <w:rPr>
          <w:rFonts w:ascii="Arial" w:hAnsi="Arial" w:cs="Arial"/>
          <w:color w:val="7B7B7B" w:themeColor="accent3" w:themeShade="BF"/>
          <w:sz w:val="22"/>
          <w:szCs w:val="22"/>
          <w:lang w:val="en-GB"/>
        </w:rPr>
        <w:t>ie</w:t>
      </w:r>
      <w:proofErr w:type="spellEnd"/>
      <w:proofErr w:type="gramEnd"/>
      <w:r>
        <w:rPr>
          <w:rFonts w:ascii="Arial" w:hAnsi="Arial" w:cs="Arial"/>
          <w:color w:val="7B7B7B" w:themeColor="accent3" w:themeShade="BF"/>
          <w:sz w:val="22"/>
          <w:szCs w:val="22"/>
          <w:lang w:val="en-GB"/>
        </w:rPr>
        <w:t xml:space="preserve"> insolvency practitioners) should endeavour to demonstrate the highest levels of integrity by being straightforward, honest, and truthful; and by adhering to the high moral and ethical principles in all aspect of their professional practice. Briefly, integrity requires the insolvency practitioners to be fair in their dealings, honest and truthful as they carry out their duties.</w:t>
      </w:r>
    </w:p>
    <w:p w14:paraId="57BCFC30" w14:textId="776CC9E0" w:rsidR="009B07AD" w:rsidRPr="002A37BB" w:rsidRDefault="00855B7E" w:rsidP="00855B7E">
      <w:pPr>
        <w:ind w:left="709" w:firstLine="11"/>
        <w:jc w:val="both"/>
        <w:rPr>
          <w:rFonts w:ascii="Arial" w:hAnsi="Arial" w:cs="Arial"/>
          <w:sz w:val="22"/>
          <w:szCs w:val="22"/>
          <w:lang w:val="en-GB"/>
        </w:rPr>
      </w:pPr>
      <w:proofErr w:type="gramStart"/>
      <w:r>
        <w:rPr>
          <w:rFonts w:ascii="Arial" w:hAnsi="Arial" w:cs="Arial"/>
          <w:color w:val="7B7B7B" w:themeColor="accent3" w:themeShade="BF"/>
          <w:sz w:val="22"/>
          <w:szCs w:val="22"/>
          <w:lang w:val="en-GB"/>
        </w:rPr>
        <w:t>With regard to</w:t>
      </w:r>
      <w:proofErr w:type="gramEnd"/>
      <w:r>
        <w:rPr>
          <w:rFonts w:ascii="Arial" w:hAnsi="Arial" w:cs="Arial"/>
          <w:color w:val="7B7B7B" w:themeColor="accent3" w:themeShade="BF"/>
          <w:sz w:val="22"/>
          <w:szCs w:val="22"/>
          <w:lang w:val="en-GB"/>
        </w:rPr>
        <w:t xml:space="preserve"> fair dealing, it requires treating people fairly and equitably, which may be quite challenging on insolvency matters because different stakeholders may have varying degree of interest in the proceeding. The insolvency practitioner, however, in compliance with the Principle on Integrity the insolvency practitioner shall treat people similarly situated in like manners, and differences may be done on justifiable and reasonable circumstances. For example, certain stakeholders may receive less and/or may receive later than the others in the distribution of assets but the priority of distribution, if done according to acceptable rules, will not breach fair dealing.</w:t>
      </w:r>
      <w:r w:rsidR="009B07AD" w:rsidRPr="002A37BB">
        <w:rPr>
          <w:rFonts w:ascii="Arial" w:hAnsi="Arial" w:cs="Arial"/>
          <w:color w:val="7B7B7B" w:themeColor="accent3" w:themeShade="BF"/>
          <w:sz w:val="22"/>
          <w:szCs w:val="22"/>
          <w:lang w:val="en-GB"/>
        </w:rPr>
        <w:t>]</w:t>
      </w: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40E0CD38" w14:textId="77777777" w:rsidR="00A15535" w:rsidRDefault="009B07AD" w:rsidP="002A37BB">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3D2A57A5" w14:textId="52220F4C" w:rsidR="00A15535" w:rsidRDefault="00A15535"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INSOL Principle 2 provides that the insolvency practitioner should exhibit the highest levels of objectivity, </w:t>
      </w:r>
      <w:proofErr w:type="gramStart"/>
      <w:r>
        <w:rPr>
          <w:rFonts w:ascii="Arial" w:hAnsi="Arial" w:cs="Arial"/>
          <w:color w:val="7B7B7B" w:themeColor="accent3" w:themeShade="BF"/>
          <w:sz w:val="22"/>
          <w:szCs w:val="22"/>
        </w:rPr>
        <w:t>independence</w:t>
      </w:r>
      <w:proofErr w:type="gramEnd"/>
      <w:r>
        <w:rPr>
          <w:rFonts w:ascii="Arial" w:hAnsi="Arial" w:cs="Arial"/>
          <w:color w:val="7B7B7B" w:themeColor="accent3" w:themeShade="BF"/>
          <w:sz w:val="22"/>
          <w:szCs w:val="22"/>
        </w:rPr>
        <w:t xml:space="preserve"> and impartiality in the exercise of their powers and duties, and this goes with the duty to avoid any circumstances that may result to conflict of interest, both actual or apparent as perceived by any informed third person or observer.  Independence and impartiality of the insolvency practitioners are essential elements to a proper functioning insolvency system as these are core foundation of the public’s trust. There are certain threats to independence and impartiality, namely: </w:t>
      </w:r>
      <w:proofErr w:type="spellStart"/>
      <w:r>
        <w:rPr>
          <w:rFonts w:ascii="Arial" w:hAnsi="Arial" w:cs="Arial"/>
          <w:color w:val="7B7B7B" w:themeColor="accent3" w:themeShade="BF"/>
          <w:sz w:val="22"/>
          <w:szCs w:val="22"/>
        </w:rPr>
        <w:t>self interest</w:t>
      </w:r>
      <w:proofErr w:type="spellEnd"/>
      <w:r>
        <w:rPr>
          <w:rFonts w:ascii="Arial" w:hAnsi="Arial" w:cs="Arial"/>
          <w:color w:val="7B7B7B" w:themeColor="accent3" w:themeShade="BF"/>
          <w:sz w:val="22"/>
          <w:szCs w:val="22"/>
        </w:rPr>
        <w:t xml:space="preserve">, </w:t>
      </w:r>
      <w:proofErr w:type="spellStart"/>
      <w:r>
        <w:rPr>
          <w:rFonts w:ascii="Arial" w:hAnsi="Arial" w:cs="Arial"/>
          <w:color w:val="7B7B7B" w:themeColor="accent3" w:themeShade="BF"/>
          <w:sz w:val="22"/>
          <w:szCs w:val="22"/>
        </w:rPr>
        <w:t>self review</w:t>
      </w:r>
      <w:proofErr w:type="spellEnd"/>
      <w:r>
        <w:rPr>
          <w:rFonts w:ascii="Arial" w:hAnsi="Arial" w:cs="Arial"/>
          <w:color w:val="7B7B7B" w:themeColor="accent3" w:themeShade="BF"/>
          <w:sz w:val="22"/>
          <w:szCs w:val="22"/>
        </w:rPr>
        <w:t xml:space="preserve">, advocacy, </w:t>
      </w:r>
      <w:proofErr w:type="gramStart"/>
      <w:r>
        <w:rPr>
          <w:rFonts w:ascii="Arial" w:hAnsi="Arial" w:cs="Arial"/>
          <w:color w:val="7B7B7B" w:themeColor="accent3" w:themeShade="BF"/>
          <w:sz w:val="22"/>
          <w:szCs w:val="22"/>
        </w:rPr>
        <w:t>familiarity</w:t>
      </w:r>
      <w:proofErr w:type="gramEnd"/>
      <w:r>
        <w:rPr>
          <w:rFonts w:ascii="Arial" w:hAnsi="Arial" w:cs="Arial"/>
          <w:color w:val="7B7B7B" w:themeColor="accent3" w:themeShade="BF"/>
          <w:sz w:val="22"/>
          <w:szCs w:val="22"/>
        </w:rPr>
        <w:t xml:space="preserve"> and intimidation. </w:t>
      </w:r>
    </w:p>
    <w:p w14:paraId="7FB1C92C" w14:textId="627F92C5" w:rsidR="00A15535" w:rsidRDefault="00A15535" w:rsidP="002A37BB">
      <w:pPr>
        <w:ind w:left="720" w:hanging="720"/>
        <w:jc w:val="both"/>
        <w:rPr>
          <w:rFonts w:ascii="Arial" w:hAnsi="Arial" w:cs="Arial"/>
          <w:color w:val="7B7B7B" w:themeColor="accent3" w:themeShade="BF"/>
          <w:sz w:val="22"/>
          <w:szCs w:val="22"/>
        </w:rPr>
      </w:pPr>
    </w:p>
    <w:p w14:paraId="25DA176B" w14:textId="25E114BF" w:rsidR="00A15535" w:rsidRDefault="00A15535" w:rsidP="00A1553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 xml:space="preserve">The insolvency practitioner’s duties involve the following: (a) the duty to act in good faith, which implies honesty and fair dealing; (b) the duty to act in the best interest of the beneficiary of the fiduciary duties; (c) the duty to exercise the powers of the office in an independent and impartial manner – this duty includes the duty to avoid a conflict of interest; and (d) the duty to act with care, skill and diligence, which is of extreme importance in insolvency matters given the circumstances of the debtor and the potential vulnerability of the beneficiaries. </w:t>
      </w:r>
    </w:p>
    <w:p w14:paraId="3E3353C9" w14:textId="77777777" w:rsidR="00A15535" w:rsidRDefault="00A15535" w:rsidP="002A37BB">
      <w:pPr>
        <w:ind w:left="720" w:hanging="720"/>
        <w:jc w:val="both"/>
        <w:rPr>
          <w:rFonts w:ascii="Arial" w:hAnsi="Arial" w:cs="Arial"/>
          <w:color w:val="7B7B7B" w:themeColor="accent3" w:themeShade="BF"/>
          <w:sz w:val="22"/>
          <w:szCs w:val="22"/>
        </w:rPr>
      </w:pPr>
    </w:p>
    <w:p w14:paraId="2F57801B" w14:textId="1C71360D" w:rsidR="009B07AD" w:rsidRPr="002A37BB" w:rsidRDefault="00A15535" w:rsidP="00A15535">
      <w:pPr>
        <w:ind w:left="720"/>
        <w:jc w:val="both"/>
        <w:rPr>
          <w:rFonts w:ascii="Arial" w:hAnsi="Arial" w:cs="Arial"/>
          <w:sz w:val="22"/>
          <w:szCs w:val="22"/>
        </w:rPr>
      </w:pPr>
      <w:r>
        <w:rPr>
          <w:rFonts w:ascii="Arial" w:hAnsi="Arial" w:cs="Arial"/>
          <w:color w:val="7B7B7B" w:themeColor="accent3" w:themeShade="BF"/>
          <w:sz w:val="22"/>
          <w:szCs w:val="22"/>
        </w:rPr>
        <w:lastRenderedPageBreak/>
        <w:t>While disclosure and declaration may address certain threats, the overall impact, however, of lack of independence may breach Principle/s, such as Principle on Integrity and Principle on Professional and Technical Competence</w:t>
      </w:r>
      <w:proofErr w:type="gramStart"/>
      <w:r>
        <w:rPr>
          <w:rFonts w:ascii="Arial" w:hAnsi="Arial" w:cs="Arial"/>
          <w:color w:val="7B7B7B" w:themeColor="accent3" w:themeShade="BF"/>
          <w:sz w:val="22"/>
          <w:szCs w:val="22"/>
        </w:rPr>
        <w:t xml:space="preserve">. </w:t>
      </w:r>
      <w:r w:rsidR="009B07AD" w:rsidRPr="002A37BB">
        <w:rPr>
          <w:rFonts w:ascii="Arial" w:hAnsi="Arial" w:cs="Arial"/>
          <w:color w:val="7B7B7B" w:themeColor="accent3" w:themeShade="BF"/>
          <w:sz w:val="22"/>
          <w:szCs w:val="22"/>
        </w:rPr>
        <w:t>]</w:t>
      </w:r>
      <w:proofErr w:type="gramEnd"/>
    </w:p>
    <w:p w14:paraId="7AF8A6A4" w14:textId="77777777" w:rsidR="00FE2DE2" w:rsidRPr="002A37BB" w:rsidRDefault="00FE2DE2" w:rsidP="00FA01F5">
      <w:pPr>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51E536E3" w14:textId="77777777" w:rsidR="00A308E8" w:rsidRDefault="00C72848"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30006D98" w14:textId="77777777" w:rsidR="00A308E8" w:rsidRDefault="00A308E8" w:rsidP="00A308E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 Principle 5 of Remuneration provides that Members (</w:t>
      </w:r>
      <w:proofErr w:type="spellStart"/>
      <w:proofErr w:type="gramStart"/>
      <w:r>
        <w:rPr>
          <w:rFonts w:ascii="Arial" w:hAnsi="Arial" w:cs="Arial"/>
          <w:color w:val="7B7B7B" w:themeColor="accent3" w:themeShade="BF"/>
          <w:sz w:val="22"/>
          <w:szCs w:val="22"/>
          <w:lang w:val="en-GB"/>
        </w:rPr>
        <w:t>ie</w:t>
      </w:r>
      <w:proofErr w:type="spellEnd"/>
      <w:proofErr w:type="gramEnd"/>
      <w:r>
        <w:rPr>
          <w:rFonts w:ascii="Arial" w:hAnsi="Arial" w:cs="Arial"/>
          <w:color w:val="7B7B7B" w:themeColor="accent3" w:themeShade="BF"/>
          <w:sz w:val="22"/>
          <w:szCs w:val="22"/>
          <w:lang w:val="en-GB"/>
        </w:rPr>
        <w:t xml:space="preserve"> insolvency practitioners) are entitled to remuneration for their work (necessary or beneficial, and properly performed); should maintain and provide sufficient information to the body approving such remuneration (where applicable) in order to allow and informed decision on whether the remuneration is reasonable or not; remuneration should only be drawn in accordance with the prior approval obtained. </w:t>
      </w:r>
    </w:p>
    <w:p w14:paraId="4D0CC06F" w14:textId="77777777" w:rsidR="00A308E8" w:rsidRDefault="00A308E8" w:rsidP="00A308E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Just like other professionals, the insolvency practitioners also deserved to be remunerated for the services done. There are different methods of calculating remuneration for the insolvency practitioners, which may include (a) fixed fee, (b) percentage of the value of the assets realised and/or the value of distributions make, (c) hourly rate based on the time properly spent on the matter, (d) contingent fee arrangement, and (e) combination of the aforesaid. </w:t>
      </w:r>
    </w:p>
    <w:p w14:paraId="572227E7" w14:textId="4D37F3A0" w:rsidR="0045683E" w:rsidRPr="00FA01F5" w:rsidRDefault="00A308E8" w:rsidP="00FA01F5">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contingent fee or success fee or conditional arrangement is often controversial. While the Principle requires that the terms of any contingent fee arrangement (including remuneration based on realised value) should be transparent, objectively. Measurable, and if applicable agreed or approved by the proper authority or stakeholders. Being contingent, the arrangement provides that the insolvency practitioner gets remunerated </w:t>
      </w:r>
      <w:proofErr w:type="gramStart"/>
      <w:r>
        <w:rPr>
          <w:rFonts w:ascii="Arial" w:hAnsi="Arial" w:cs="Arial"/>
          <w:color w:val="7B7B7B" w:themeColor="accent3" w:themeShade="BF"/>
          <w:sz w:val="22"/>
          <w:szCs w:val="22"/>
          <w:lang w:val="en-GB"/>
        </w:rPr>
        <w:t>on the basis of</w:t>
      </w:r>
      <w:proofErr w:type="gramEnd"/>
      <w:r>
        <w:rPr>
          <w:rFonts w:ascii="Arial" w:hAnsi="Arial" w:cs="Arial"/>
          <w:color w:val="7B7B7B" w:themeColor="accent3" w:themeShade="BF"/>
          <w:sz w:val="22"/>
          <w:szCs w:val="22"/>
          <w:lang w:val="en-GB"/>
        </w:rPr>
        <w:t xml:space="preserve"> specific outcome or condition, which should be </w:t>
      </w:r>
      <w:proofErr w:type="spellStart"/>
      <w:r>
        <w:rPr>
          <w:rFonts w:ascii="Arial" w:hAnsi="Arial" w:cs="Arial"/>
          <w:color w:val="7B7B7B" w:themeColor="accent3" w:themeShade="BF"/>
          <w:sz w:val="22"/>
          <w:szCs w:val="22"/>
          <w:lang w:val="en-GB"/>
        </w:rPr>
        <w:t>favorable</w:t>
      </w:r>
      <w:proofErr w:type="spellEnd"/>
      <w:r>
        <w:rPr>
          <w:rFonts w:ascii="Arial" w:hAnsi="Arial" w:cs="Arial"/>
          <w:color w:val="7B7B7B" w:themeColor="accent3" w:themeShade="BF"/>
          <w:sz w:val="22"/>
          <w:szCs w:val="22"/>
          <w:lang w:val="en-GB"/>
        </w:rPr>
        <w:t xml:space="preserve"> outcome to the stakeholders. The risk for contingent fee arrangement, however, is that the insolvency practitioner may be tempted to focus on certain aspect of the proceedings only on areas which provide higher possible return for the insolvency practitioner rather than working on the matter on a holistic approach in compliance with its duty to act in the best interest of the beneficiaries. The contingent fee arrangement, therefore, indirectly creates the threat of self-interest on the part of the insolvency practitioner. On the other hand, the contingent fee arrangement could be beneficial on certain aspects, such as (a) when the surrounding circumstances of the debtor are extremely challenging, (b) the qualification of the insolvency practitioner is highly suitable for the debtor but the cash position of the debtor may not be sufficient to consider other alternative payments of remuneration but the viable option is for a contingent arrangement, or (c) on cases of exemplary outcome of the proceedings that the insolvency practitioner deserves also to be remunerated for such success. To deal with the possible ethical issues, it is imperative to set out at the engagement level the parameters, which should be objectively measured, on how the contingent fee will be given.</w:t>
      </w:r>
      <w:r w:rsidR="00C72848" w:rsidRPr="002A37BB">
        <w:rPr>
          <w:rFonts w:ascii="Arial" w:hAnsi="Arial" w:cs="Arial"/>
          <w:color w:val="7B7B7B" w:themeColor="accent3" w:themeShade="BF"/>
          <w:sz w:val="22"/>
          <w:szCs w:val="22"/>
          <w:lang w:val="en-GB"/>
        </w:rPr>
        <w:t>]</w:t>
      </w: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w:t>
      </w:r>
      <w:proofErr w:type="gramStart"/>
      <w:r w:rsidRPr="00FC74F9">
        <w:rPr>
          <w:rFonts w:ascii="Arial" w:hAnsi="Arial" w:cs="Arial"/>
          <w:sz w:val="22"/>
          <w:szCs w:val="22"/>
        </w:rPr>
        <w:t>skill</w:t>
      </w:r>
      <w:proofErr w:type="gramEnd"/>
      <w:r w:rsidRPr="00FC74F9">
        <w:rPr>
          <w:rFonts w:ascii="Arial" w:hAnsi="Arial" w:cs="Arial"/>
          <w:sz w:val="22"/>
          <w:szCs w:val="22"/>
        </w:rPr>
        <w:t xml:space="preserve"> and diligence. </w:t>
      </w:r>
    </w:p>
    <w:p w14:paraId="245C95AC" w14:textId="77777777" w:rsidR="00BA1E4F" w:rsidRPr="002A37BB" w:rsidRDefault="00BA1E4F" w:rsidP="002A37BB">
      <w:pPr>
        <w:jc w:val="both"/>
        <w:rPr>
          <w:rFonts w:ascii="Arial" w:hAnsi="Arial" w:cs="Arial"/>
          <w:sz w:val="22"/>
          <w:szCs w:val="22"/>
        </w:rPr>
      </w:pPr>
    </w:p>
    <w:p w14:paraId="7733BA14" w14:textId="77777777" w:rsidR="00A43A8B"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lastRenderedPageBreak/>
        <w:t>[Type your answer here</w:t>
      </w:r>
    </w:p>
    <w:p w14:paraId="2E81335E" w14:textId="2FD6FA8A" w:rsidR="00B222AC" w:rsidRDefault="00B222A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 Principle 3 provides that Members and their firms (</w:t>
      </w:r>
      <w:proofErr w:type="spellStart"/>
      <w:proofErr w:type="gramStart"/>
      <w:r>
        <w:rPr>
          <w:rFonts w:ascii="Arial" w:hAnsi="Arial" w:cs="Arial"/>
          <w:color w:val="7B7B7B" w:themeColor="accent3" w:themeShade="BF"/>
          <w:sz w:val="22"/>
          <w:szCs w:val="22"/>
          <w:lang w:val="en-GB"/>
        </w:rPr>
        <w:t>ie</w:t>
      </w:r>
      <w:proofErr w:type="spellEnd"/>
      <w:proofErr w:type="gramEnd"/>
      <w:r>
        <w:rPr>
          <w:rFonts w:ascii="Arial" w:hAnsi="Arial" w:cs="Arial"/>
          <w:color w:val="7B7B7B" w:themeColor="accent3" w:themeShade="BF"/>
          <w:sz w:val="22"/>
          <w:szCs w:val="22"/>
          <w:lang w:val="en-GB"/>
        </w:rPr>
        <w:t xml:space="preserve"> insolvency practitioners) should main</w:t>
      </w:r>
      <w:r>
        <w:rPr>
          <w:rFonts w:ascii="Arial" w:hAnsi="Arial" w:cs="Arial"/>
          <w:color w:val="7B7B7B" w:themeColor="accent3" w:themeShade="BF"/>
          <w:sz w:val="22"/>
          <w:szCs w:val="22"/>
          <w:lang w:val="en-GB"/>
        </w:rPr>
        <w:t xml:space="preserve"> an acceptable level of professional competency, which may be achieved by: (a) keeping current with legislative / regulatory changes, (b) undertaking continuing professional education, and (c) undertaking sufficient case work to remain experienced. </w:t>
      </w:r>
    </w:p>
    <w:p w14:paraId="65E9C0F4" w14:textId="651F9F79" w:rsidR="00B222AC" w:rsidRDefault="00B222AC" w:rsidP="002A37BB">
      <w:pPr>
        <w:jc w:val="both"/>
        <w:rPr>
          <w:rFonts w:ascii="Arial" w:hAnsi="Arial" w:cs="Arial"/>
          <w:color w:val="7B7B7B" w:themeColor="accent3" w:themeShade="BF"/>
          <w:sz w:val="22"/>
          <w:szCs w:val="22"/>
          <w:lang w:val="en-GB"/>
        </w:rPr>
      </w:pPr>
    </w:p>
    <w:p w14:paraId="72FB8F32" w14:textId="77777777" w:rsidR="00914CBE" w:rsidRDefault="00914CBE" w:rsidP="00914CB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practitioners are regarded as experts professionals in dealing with distressed company’s situations and highly regarded on turnaround, restructuring and liquidation processes. For this reason, the public in general and the stakeholders </w:t>
      </w:r>
      <w:proofErr w:type="gramStart"/>
      <w:r>
        <w:rPr>
          <w:rFonts w:ascii="Arial" w:hAnsi="Arial" w:cs="Arial"/>
          <w:color w:val="7B7B7B" w:themeColor="accent3" w:themeShade="BF"/>
          <w:sz w:val="22"/>
          <w:szCs w:val="22"/>
          <w:lang w:val="en-GB"/>
        </w:rPr>
        <w:t>in particular expect</w:t>
      </w:r>
      <w:proofErr w:type="gramEnd"/>
      <w:r>
        <w:rPr>
          <w:rFonts w:ascii="Arial" w:hAnsi="Arial" w:cs="Arial"/>
          <w:color w:val="7B7B7B" w:themeColor="accent3" w:themeShade="BF"/>
          <w:sz w:val="22"/>
          <w:szCs w:val="22"/>
          <w:lang w:val="en-GB"/>
        </w:rPr>
        <w:t xml:space="preserve"> that the insolvency practitioner have the requisite professional, experience and technical competence to perform the duties associated with their engagement.</w:t>
      </w:r>
    </w:p>
    <w:p w14:paraId="0935E0BE" w14:textId="77777777" w:rsidR="00914CBE" w:rsidRDefault="00914CBE" w:rsidP="002A37BB">
      <w:pPr>
        <w:jc w:val="both"/>
        <w:rPr>
          <w:rFonts w:ascii="Arial" w:hAnsi="Arial" w:cs="Arial"/>
          <w:color w:val="7B7B7B" w:themeColor="accent3" w:themeShade="BF"/>
          <w:sz w:val="22"/>
          <w:szCs w:val="22"/>
          <w:lang w:val="en-GB"/>
        </w:rPr>
      </w:pPr>
    </w:p>
    <w:p w14:paraId="4024A332" w14:textId="06955ACB" w:rsidR="00544127" w:rsidRPr="00914CBE" w:rsidRDefault="00A43A8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the duty to act with care, skill and diligence are not regarded as fiduciary in nature, the said duty is of extreme importance in insolvency proceedings because of the circumstances of the debtor and the potential vulnerability of the stakeholders. This duty of c</w:t>
      </w:r>
      <w:r w:rsidR="00B222AC">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re, skill and diligence is closely linked to the duty to act in the best interest of the beneficiaries. </w:t>
      </w:r>
      <w:r w:rsidR="00914CBE">
        <w:rPr>
          <w:rFonts w:ascii="Arial" w:hAnsi="Arial" w:cs="Arial"/>
          <w:color w:val="7B7B7B" w:themeColor="accent3" w:themeShade="BF"/>
          <w:sz w:val="22"/>
          <w:szCs w:val="22"/>
          <w:lang w:val="en-GB"/>
        </w:rPr>
        <w:t xml:space="preserve">The outcome of the insolvency proceedings may be materially affected by the lack of the requisite professional and technical competence of the insolvency practitioner. Therefore, part and parcel of the duty of care, is to ensure that the insolvency practitioner carries our engagements only where the insolvency practitioner can perform his/her duties effectively and efficiently taking into considerations the different principles.  </w:t>
      </w:r>
      <w:r w:rsidR="00B222AC">
        <w:rPr>
          <w:rFonts w:ascii="Arial" w:hAnsi="Arial" w:cs="Arial"/>
          <w:color w:val="7B7B7B" w:themeColor="accent3" w:themeShade="BF"/>
          <w:sz w:val="22"/>
          <w:szCs w:val="22"/>
          <w:lang w:val="en-GB"/>
        </w:rPr>
        <w:t xml:space="preserve">As discussed in the article “The careful business rescue practitioner: </w:t>
      </w:r>
      <w:proofErr w:type="gramStart"/>
      <w:r w:rsidR="00B222AC">
        <w:rPr>
          <w:rFonts w:ascii="Arial" w:hAnsi="Arial" w:cs="Arial"/>
          <w:color w:val="7B7B7B" w:themeColor="accent3" w:themeShade="BF"/>
          <w:sz w:val="22"/>
          <w:szCs w:val="22"/>
          <w:lang w:val="en-GB"/>
        </w:rPr>
        <w:t>a research</w:t>
      </w:r>
      <w:proofErr w:type="gramEnd"/>
      <w:r w:rsidR="00B222AC">
        <w:rPr>
          <w:rFonts w:ascii="Arial" w:hAnsi="Arial" w:cs="Arial"/>
          <w:color w:val="7B7B7B" w:themeColor="accent3" w:themeShade="BF"/>
          <w:sz w:val="22"/>
          <w:szCs w:val="22"/>
          <w:lang w:val="en-GB"/>
        </w:rPr>
        <w:t xml:space="preserve"> for the proper yardstick” by </w:t>
      </w:r>
      <w:proofErr w:type="spellStart"/>
      <w:r w:rsidR="00B222AC">
        <w:rPr>
          <w:rFonts w:ascii="Arial" w:hAnsi="Arial" w:cs="Arial"/>
          <w:color w:val="7B7B7B" w:themeColor="accent3" w:themeShade="BF"/>
          <w:sz w:val="22"/>
          <w:szCs w:val="22"/>
          <w:lang w:val="en-GB"/>
        </w:rPr>
        <w:t>Lezelle</w:t>
      </w:r>
      <w:proofErr w:type="spellEnd"/>
      <w:r w:rsidR="00B222AC">
        <w:rPr>
          <w:rFonts w:ascii="Arial" w:hAnsi="Arial" w:cs="Arial"/>
          <w:color w:val="7B7B7B" w:themeColor="accent3" w:themeShade="BF"/>
          <w:sz w:val="22"/>
          <w:szCs w:val="22"/>
          <w:lang w:val="en-GB"/>
        </w:rPr>
        <w:t xml:space="preserve"> Jacobs and Johann </w:t>
      </w:r>
      <w:proofErr w:type="spellStart"/>
      <w:r w:rsidR="00B222AC">
        <w:rPr>
          <w:rFonts w:ascii="Arial" w:hAnsi="Arial" w:cs="Arial"/>
          <w:color w:val="7B7B7B" w:themeColor="accent3" w:themeShade="BF"/>
          <w:sz w:val="22"/>
          <w:szCs w:val="22"/>
          <w:lang w:val="en-GB"/>
        </w:rPr>
        <w:t>Neething</w:t>
      </w:r>
      <w:proofErr w:type="spellEnd"/>
      <w:r w:rsidR="00B222AC">
        <w:rPr>
          <w:rFonts w:ascii="Arial" w:hAnsi="Arial" w:cs="Arial"/>
          <w:color w:val="7B7B7B" w:themeColor="accent3" w:themeShade="BF"/>
          <w:sz w:val="22"/>
          <w:szCs w:val="22"/>
          <w:lang w:val="en-GB"/>
        </w:rPr>
        <w:t xml:space="preserve">, it was stated that the practitioners conduct should be measured against that of reasonable practitioner. </w:t>
      </w:r>
      <w:r w:rsidR="006628ED">
        <w:rPr>
          <w:rFonts w:ascii="Arial" w:hAnsi="Arial" w:cs="Arial"/>
          <w:color w:val="7B7B7B" w:themeColor="accent3" w:themeShade="BF"/>
          <w:sz w:val="22"/>
          <w:szCs w:val="22"/>
          <w:lang w:val="en-GB"/>
        </w:rPr>
        <w:t>In addition, as enunciated in the case of Re 1 Blackfriars Limited, the insolvency practitioners should not be judged by the standard of the most meticulous and conscientious member of the profession but by those of an ordinary, skilled practitioner</w:t>
      </w:r>
      <w:proofErr w:type="gramStart"/>
      <w:r w:rsidR="006628ED">
        <w:rPr>
          <w:rFonts w:ascii="Arial" w:hAnsi="Arial" w:cs="Arial"/>
          <w:color w:val="7B7B7B" w:themeColor="accent3" w:themeShade="BF"/>
          <w:sz w:val="22"/>
          <w:szCs w:val="22"/>
          <w:lang w:val="en-GB"/>
        </w:rPr>
        <w:t xml:space="preserve">. </w:t>
      </w:r>
      <w:r w:rsidR="00DF75F8" w:rsidRPr="002A37BB">
        <w:rPr>
          <w:rFonts w:ascii="Arial" w:hAnsi="Arial" w:cs="Arial"/>
          <w:color w:val="7B7B7B" w:themeColor="accent3" w:themeShade="BF"/>
          <w:sz w:val="22"/>
          <w:szCs w:val="22"/>
          <w:lang w:val="en-GB"/>
        </w:rPr>
        <w:t>]</w:t>
      </w:r>
      <w:proofErr w:type="gramEnd"/>
    </w:p>
    <w:p w14:paraId="6399DC3B" w14:textId="77777777" w:rsidR="004F7AAE" w:rsidRPr="002A37BB" w:rsidRDefault="004F7AAE" w:rsidP="00914CBE">
      <w:pPr>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46B70BF" w14:textId="77777777" w:rsidR="006628ED"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718AFE27" w14:textId="77777777" w:rsidR="006628ED" w:rsidRDefault="006628ED" w:rsidP="002A37BB">
      <w:pPr>
        <w:jc w:val="both"/>
        <w:rPr>
          <w:rFonts w:ascii="Arial" w:hAnsi="Arial" w:cs="Arial"/>
          <w:color w:val="7B7B7B" w:themeColor="accent3" w:themeShade="BF"/>
          <w:sz w:val="22"/>
          <w:szCs w:val="22"/>
          <w:lang w:val="en-GB"/>
        </w:rPr>
      </w:pPr>
    </w:p>
    <w:p w14:paraId="19F6BBAE" w14:textId="77777777" w:rsidR="0082783A" w:rsidRDefault="006628E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Engagements of </w:t>
      </w:r>
      <w:proofErr w:type="gramStart"/>
      <w:r>
        <w:rPr>
          <w:rFonts w:ascii="Arial" w:hAnsi="Arial" w:cs="Arial"/>
          <w:color w:val="7B7B7B" w:themeColor="accent3" w:themeShade="BF"/>
          <w:sz w:val="22"/>
          <w:szCs w:val="22"/>
          <w:lang w:val="en-GB"/>
        </w:rPr>
        <w:t>third party</w:t>
      </w:r>
      <w:proofErr w:type="gramEnd"/>
      <w:r>
        <w:rPr>
          <w:rFonts w:ascii="Arial" w:hAnsi="Arial" w:cs="Arial"/>
          <w:color w:val="7B7B7B" w:themeColor="accent3" w:themeShade="BF"/>
          <w:sz w:val="22"/>
          <w:szCs w:val="22"/>
          <w:lang w:val="en-GB"/>
        </w:rPr>
        <w:t xml:space="preserve"> professionals or experts may sometimes be necessary in carrying out the duties of the insolvency practitioner as the latter is not expected to know everything, despite the requirement of professional and technical competence. In the engagement of legal professionals,</w:t>
      </w:r>
      <w:r w:rsidR="00CF5684">
        <w:rPr>
          <w:rFonts w:ascii="Arial" w:hAnsi="Arial" w:cs="Arial"/>
          <w:color w:val="7B7B7B" w:themeColor="accent3" w:themeShade="BF"/>
          <w:sz w:val="22"/>
          <w:szCs w:val="22"/>
          <w:lang w:val="en-GB"/>
        </w:rPr>
        <w:t xml:space="preserve"> disbursements and</w:t>
      </w:r>
      <w:r>
        <w:rPr>
          <w:rFonts w:ascii="Arial" w:hAnsi="Arial" w:cs="Arial"/>
          <w:color w:val="7B7B7B" w:themeColor="accent3" w:themeShade="BF"/>
          <w:sz w:val="22"/>
          <w:szCs w:val="22"/>
          <w:lang w:val="en-GB"/>
        </w:rPr>
        <w:t xml:space="preserve"> </w:t>
      </w:r>
      <w:r w:rsidR="00463865">
        <w:rPr>
          <w:rFonts w:ascii="Arial" w:hAnsi="Arial" w:cs="Arial"/>
          <w:color w:val="7B7B7B" w:themeColor="accent3" w:themeShade="BF"/>
          <w:sz w:val="22"/>
          <w:szCs w:val="22"/>
          <w:lang w:val="en-GB"/>
        </w:rPr>
        <w:t>third-party costs will be involved</w:t>
      </w:r>
      <w:r w:rsidR="00CF5684">
        <w:rPr>
          <w:rFonts w:ascii="Arial" w:hAnsi="Arial" w:cs="Arial"/>
          <w:color w:val="7B7B7B" w:themeColor="accent3" w:themeShade="BF"/>
          <w:sz w:val="22"/>
          <w:szCs w:val="22"/>
          <w:lang w:val="en-GB"/>
        </w:rPr>
        <w:t>, and it is imperative that these will be duly disclosed</w:t>
      </w:r>
      <w:r w:rsidR="000E50A8">
        <w:rPr>
          <w:rFonts w:ascii="Arial" w:hAnsi="Arial" w:cs="Arial"/>
          <w:color w:val="7B7B7B" w:themeColor="accent3" w:themeShade="BF"/>
          <w:sz w:val="22"/>
          <w:szCs w:val="22"/>
          <w:lang w:val="en-GB"/>
        </w:rPr>
        <w:t xml:space="preserve"> to the known stakeholders, and the insolvency practitioner </w:t>
      </w:r>
      <w:proofErr w:type="gramStart"/>
      <w:r w:rsidR="000E50A8">
        <w:rPr>
          <w:rFonts w:ascii="Arial" w:hAnsi="Arial" w:cs="Arial"/>
          <w:color w:val="7B7B7B" w:themeColor="accent3" w:themeShade="BF"/>
          <w:sz w:val="22"/>
          <w:szCs w:val="22"/>
          <w:lang w:val="en-GB"/>
        </w:rPr>
        <w:t>has to</w:t>
      </w:r>
      <w:proofErr w:type="gramEnd"/>
      <w:r w:rsidR="000E50A8">
        <w:rPr>
          <w:rFonts w:ascii="Arial" w:hAnsi="Arial" w:cs="Arial"/>
          <w:color w:val="7B7B7B" w:themeColor="accent3" w:themeShade="BF"/>
          <w:sz w:val="22"/>
          <w:szCs w:val="22"/>
          <w:lang w:val="en-GB"/>
        </w:rPr>
        <w:t xml:space="preserve"> carefully balanced the cost and benefit of such engagement of legal professional to make sure that the engagement will be for the best interest of the stakeholders</w:t>
      </w:r>
      <w:r w:rsidR="00CF5684">
        <w:rPr>
          <w:rFonts w:ascii="Arial" w:hAnsi="Arial" w:cs="Arial"/>
          <w:color w:val="7B7B7B" w:themeColor="accent3" w:themeShade="BF"/>
          <w:sz w:val="22"/>
          <w:szCs w:val="22"/>
          <w:lang w:val="en-GB"/>
        </w:rPr>
        <w:t>.</w:t>
      </w:r>
      <w:r w:rsidR="000E50A8">
        <w:rPr>
          <w:rFonts w:ascii="Arial" w:hAnsi="Arial" w:cs="Arial"/>
          <w:color w:val="7B7B7B" w:themeColor="accent3" w:themeShade="BF"/>
          <w:sz w:val="22"/>
          <w:szCs w:val="22"/>
          <w:lang w:val="en-GB"/>
        </w:rPr>
        <w:t xml:space="preserve"> In addition, insolvency practitioners usually have prior relations with legal professionals, and sometimes the insolvency practitioner could belong to the same legal firm</w:t>
      </w:r>
      <w:r w:rsidR="00565778">
        <w:rPr>
          <w:rFonts w:ascii="Arial" w:hAnsi="Arial" w:cs="Arial"/>
          <w:color w:val="7B7B7B" w:themeColor="accent3" w:themeShade="BF"/>
          <w:sz w:val="22"/>
          <w:szCs w:val="22"/>
          <w:lang w:val="en-GB"/>
        </w:rPr>
        <w:t xml:space="preserve">, in the engagement of legal professional, therefore, there is no threat of conflict of interest and no secret monies / referral fees involved that may </w:t>
      </w:r>
      <w:proofErr w:type="gramStart"/>
      <w:r w:rsidR="00565778">
        <w:rPr>
          <w:rFonts w:ascii="Arial" w:hAnsi="Arial" w:cs="Arial"/>
          <w:color w:val="7B7B7B" w:themeColor="accent3" w:themeShade="BF"/>
          <w:sz w:val="22"/>
          <w:szCs w:val="22"/>
          <w:lang w:val="en-GB"/>
        </w:rPr>
        <w:t>potential</w:t>
      </w:r>
      <w:proofErr w:type="gramEnd"/>
      <w:r w:rsidR="00565778">
        <w:rPr>
          <w:rFonts w:ascii="Arial" w:hAnsi="Arial" w:cs="Arial"/>
          <w:color w:val="7B7B7B" w:themeColor="accent3" w:themeShade="BF"/>
          <w:sz w:val="22"/>
          <w:szCs w:val="22"/>
          <w:lang w:val="en-GB"/>
        </w:rPr>
        <w:t xml:space="preserve"> breached the INSOL Principle 2 on objectivity, independence and impartiality.</w:t>
      </w:r>
    </w:p>
    <w:p w14:paraId="4D14E852" w14:textId="77777777" w:rsidR="0082783A" w:rsidRDefault="0082783A" w:rsidP="002A37BB">
      <w:pPr>
        <w:jc w:val="both"/>
        <w:rPr>
          <w:rFonts w:ascii="Arial" w:hAnsi="Arial" w:cs="Arial"/>
          <w:color w:val="7B7B7B" w:themeColor="accent3" w:themeShade="BF"/>
          <w:sz w:val="22"/>
          <w:szCs w:val="22"/>
          <w:lang w:val="en-GB"/>
        </w:rPr>
      </w:pPr>
    </w:p>
    <w:p w14:paraId="7940D274" w14:textId="050A4C12" w:rsidR="00DF75F8" w:rsidRPr="002A37BB" w:rsidRDefault="0082783A" w:rsidP="002A37BB">
      <w:pPr>
        <w:jc w:val="both"/>
        <w:rPr>
          <w:rFonts w:ascii="Arial" w:hAnsi="Arial" w:cs="Arial"/>
          <w:sz w:val="22"/>
          <w:szCs w:val="22"/>
          <w:lang w:val="en-GB"/>
        </w:rPr>
      </w:pPr>
      <w:r>
        <w:rPr>
          <w:rFonts w:ascii="Arial" w:hAnsi="Arial" w:cs="Arial"/>
          <w:color w:val="7B7B7B" w:themeColor="accent3" w:themeShade="BF"/>
          <w:sz w:val="22"/>
          <w:szCs w:val="22"/>
          <w:lang w:val="en-GB"/>
        </w:rPr>
        <w:t>On the cost-benefit consideration on the fees for the legal professionals’ engagement, given that the financial position is clearly in distressed, there is a higher level of consideration to ensure that the insolvency practitioner acts in the best interest of the beneficiary and should act with care, skill and diligence in the selection and appointment of the legal professionals.</w:t>
      </w:r>
      <w:r w:rsidR="00DF75F8" w:rsidRPr="002A37BB">
        <w:rPr>
          <w:rFonts w:ascii="Arial" w:hAnsi="Arial" w:cs="Arial"/>
          <w:color w:val="7B7B7B" w:themeColor="accent3" w:themeShade="BF"/>
          <w:sz w:val="22"/>
          <w:szCs w:val="22"/>
          <w:lang w:val="en-GB"/>
        </w:rPr>
        <w:t>]</w:t>
      </w:r>
    </w:p>
    <w:p w14:paraId="0AC81636" w14:textId="20A2B16E"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 xml:space="preserve">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w:t>
      </w:r>
      <w:proofErr w:type="gramStart"/>
      <w:r w:rsidRPr="00132584">
        <w:rPr>
          <w:rFonts w:ascii="Arial" w:hAnsi="Arial" w:cs="Arial"/>
          <w:sz w:val="22"/>
          <w:szCs w:val="22"/>
          <w:lang w:val="en-GB"/>
        </w:rPr>
        <w:t>enter into</w:t>
      </w:r>
      <w:proofErr w:type="gramEnd"/>
      <w:r w:rsidRPr="00132584">
        <w:rPr>
          <w:rFonts w:ascii="Arial" w:hAnsi="Arial" w:cs="Arial"/>
          <w:sz w:val="22"/>
          <w:szCs w:val="22"/>
          <w:lang w:val="en-GB"/>
        </w:rPr>
        <w:t xml:space="preserve">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lastRenderedPageBreak/>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79D73744" w14:textId="6EDFA816" w:rsidR="00D565C7" w:rsidRDefault="002D3473" w:rsidP="00087F21">
      <w:pPr>
        <w:autoSpaceDE w:val="0"/>
        <w:autoSpaceDN w:val="0"/>
        <w:adjustRightInd w:val="0"/>
        <w:jc w:val="both"/>
        <w:rPr>
          <w:rFonts w:ascii="Arial" w:hAnsi="Arial" w:cs="Arial"/>
          <w:color w:val="808080" w:themeColor="background1" w:themeShade="80"/>
          <w:sz w:val="22"/>
          <w:szCs w:val="22"/>
          <w:lang w:val="en-GB"/>
        </w:rPr>
      </w:pPr>
      <w:r w:rsidRPr="004F7AAE">
        <w:rPr>
          <w:rFonts w:ascii="Arial" w:hAnsi="Arial" w:cs="Arial"/>
          <w:color w:val="808080" w:themeColor="background1" w:themeShade="80"/>
          <w:sz w:val="22"/>
          <w:szCs w:val="22"/>
          <w:lang w:val="en-GB"/>
        </w:rPr>
        <w:t>[Type your answer here</w:t>
      </w:r>
    </w:p>
    <w:p w14:paraId="6CE01674" w14:textId="77777777" w:rsidR="00D565C7" w:rsidRDefault="00D565C7"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following are the ethical issues surrounding the appointment of Mr Relations as lawyer, then administrator then liquidator of </w:t>
      </w:r>
      <w:proofErr w:type="spellStart"/>
      <w:r>
        <w:rPr>
          <w:rFonts w:ascii="Arial" w:hAnsi="Arial" w:cs="Arial"/>
          <w:color w:val="808080" w:themeColor="background1" w:themeShade="80"/>
          <w:sz w:val="22"/>
          <w:szCs w:val="22"/>
          <w:lang w:val="en-GB"/>
        </w:rPr>
        <w:t>WeBuild</w:t>
      </w:r>
      <w:proofErr w:type="spellEnd"/>
      <w:r>
        <w:rPr>
          <w:rFonts w:ascii="Arial" w:hAnsi="Arial" w:cs="Arial"/>
          <w:color w:val="808080" w:themeColor="background1" w:themeShade="80"/>
          <w:sz w:val="22"/>
          <w:szCs w:val="22"/>
          <w:lang w:val="en-GB"/>
        </w:rPr>
        <w:t xml:space="preserve"> </w:t>
      </w:r>
      <w:proofErr w:type="gramStart"/>
      <w:r>
        <w:rPr>
          <w:rFonts w:ascii="Arial" w:hAnsi="Arial" w:cs="Arial"/>
          <w:color w:val="808080" w:themeColor="background1" w:themeShade="80"/>
          <w:sz w:val="22"/>
          <w:szCs w:val="22"/>
          <w:lang w:val="en-GB"/>
        </w:rPr>
        <w:t>Ltd:-</w:t>
      </w:r>
      <w:proofErr w:type="gramEnd"/>
    </w:p>
    <w:p w14:paraId="671013B6" w14:textId="5CCD4BDD" w:rsidR="00722829" w:rsidRDefault="00D565C7"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ab/>
      </w:r>
      <w:r w:rsidR="00722829">
        <w:rPr>
          <w:rFonts w:ascii="Arial" w:hAnsi="Arial" w:cs="Arial"/>
          <w:color w:val="808080" w:themeColor="background1" w:themeShade="80"/>
          <w:sz w:val="22"/>
          <w:szCs w:val="22"/>
          <w:lang w:val="en-GB"/>
        </w:rPr>
        <w:t xml:space="preserve">Mr Relations potentially breached the </w:t>
      </w:r>
      <w:proofErr w:type="gramStart"/>
      <w:r>
        <w:rPr>
          <w:rFonts w:ascii="Arial" w:hAnsi="Arial" w:cs="Arial"/>
          <w:color w:val="808080" w:themeColor="background1" w:themeShade="80"/>
          <w:sz w:val="22"/>
          <w:szCs w:val="22"/>
          <w:lang w:val="en-GB"/>
        </w:rPr>
        <w:t>Principle</w:t>
      </w:r>
      <w:proofErr w:type="gramEnd"/>
      <w:r>
        <w:rPr>
          <w:rFonts w:ascii="Arial" w:hAnsi="Arial" w:cs="Arial"/>
          <w:color w:val="808080" w:themeColor="background1" w:themeShade="80"/>
          <w:sz w:val="22"/>
          <w:szCs w:val="22"/>
          <w:lang w:val="en-GB"/>
        </w:rPr>
        <w:t xml:space="preserve"> 1 on Integrity</w:t>
      </w:r>
      <w:r w:rsidR="00722829">
        <w:rPr>
          <w:rFonts w:ascii="Arial" w:hAnsi="Arial" w:cs="Arial"/>
          <w:color w:val="808080" w:themeColor="background1" w:themeShade="80"/>
          <w:sz w:val="22"/>
          <w:szCs w:val="22"/>
          <w:lang w:val="en-GB"/>
        </w:rPr>
        <w:t xml:space="preserve">. His close relationship with Mr B </w:t>
      </w:r>
      <w:proofErr w:type="spellStart"/>
      <w:r w:rsidR="00722829">
        <w:rPr>
          <w:rFonts w:ascii="Arial" w:hAnsi="Arial" w:cs="Arial"/>
          <w:color w:val="808080" w:themeColor="background1" w:themeShade="80"/>
          <w:sz w:val="22"/>
          <w:szCs w:val="22"/>
          <w:lang w:val="en-GB"/>
        </w:rPr>
        <w:t>Inlaw</w:t>
      </w:r>
      <w:proofErr w:type="spellEnd"/>
      <w:r w:rsidR="00722829">
        <w:rPr>
          <w:rFonts w:ascii="Arial" w:hAnsi="Arial" w:cs="Arial"/>
          <w:color w:val="808080" w:themeColor="background1" w:themeShade="80"/>
          <w:sz w:val="22"/>
          <w:szCs w:val="22"/>
          <w:lang w:val="en-GB"/>
        </w:rPr>
        <w:t xml:space="preserve">, being the latter’s brother-in law and </w:t>
      </w:r>
      <w:proofErr w:type="spellStart"/>
      <w:r w:rsidR="00722829">
        <w:rPr>
          <w:rFonts w:ascii="Arial" w:hAnsi="Arial" w:cs="Arial"/>
          <w:color w:val="808080" w:themeColor="background1" w:themeShade="80"/>
          <w:sz w:val="22"/>
          <w:szCs w:val="22"/>
          <w:lang w:val="en-GB"/>
        </w:rPr>
        <w:t>and</w:t>
      </w:r>
      <w:proofErr w:type="spellEnd"/>
      <w:r w:rsidR="00722829">
        <w:rPr>
          <w:rFonts w:ascii="Arial" w:hAnsi="Arial" w:cs="Arial"/>
          <w:color w:val="808080" w:themeColor="background1" w:themeShade="80"/>
          <w:sz w:val="22"/>
          <w:szCs w:val="22"/>
          <w:lang w:val="en-GB"/>
        </w:rPr>
        <w:t xml:space="preserve"> godfather to Mr B </w:t>
      </w:r>
      <w:proofErr w:type="spellStart"/>
      <w:r w:rsidR="00722829">
        <w:rPr>
          <w:rFonts w:ascii="Arial" w:hAnsi="Arial" w:cs="Arial"/>
          <w:color w:val="808080" w:themeColor="background1" w:themeShade="80"/>
          <w:sz w:val="22"/>
          <w:szCs w:val="22"/>
          <w:lang w:val="en-GB"/>
        </w:rPr>
        <w:t>Inlaw’s</w:t>
      </w:r>
      <w:proofErr w:type="spellEnd"/>
      <w:r w:rsidR="00722829">
        <w:rPr>
          <w:rFonts w:ascii="Arial" w:hAnsi="Arial" w:cs="Arial"/>
          <w:color w:val="808080" w:themeColor="background1" w:themeShade="80"/>
          <w:sz w:val="22"/>
          <w:szCs w:val="22"/>
          <w:lang w:val="en-GB"/>
        </w:rPr>
        <w:t xml:space="preserve"> daughter. This relationship would create doubts in the minds of fair-minded people on whether </w:t>
      </w:r>
      <w:proofErr w:type="spellStart"/>
      <w:r w:rsidR="00722829">
        <w:rPr>
          <w:rFonts w:ascii="Arial" w:hAnsi="Arial" w:cs="Arial"/>
          <w:color w:val="808080" w:themeColor="background1" w:themeShade="80"/>
          <w:sz w:val="22"/>
          <w:szCs w:val="22"/>
          <w:lang w:val="en-GB"/>
        </w:rPr>
        <w:t>on</w:t>
      </w:r>
      <w:proofErr w:type="spellEnd"/>
      <w:r w:rsidR="00722829">
        <w:rPr>
          <w:rFonts w:ascii="Arial" w:hAnsi="Arial" w:cs="Arial"/>
          <w:color w:val="808080" w:themeColor="background1" w:themeShade="80"/>
          <w:sz w:val="22"/>
          <w:szCs w:val="22"/>
          <w:lang w:val="en-GB"/>
        </w:rPr>
        <w:t xml:space="preserve"> not he would be fair in his dealings, and whether he would be honest and truthful to the beneficiaries. The disclosure of interest and declaration of being able to carry out the engagement will not cure all the doubts in the minds of the beneficiaries. In addition, this created a familiarity threat for Mr </w:t>
      </w:r>
      <w:proofErr w:type="gramStart"/>
      <w:r w:rsidR="00722829">
        <w:rPr>
          <w:rFonts w:ascii="Arial" w:hAnsi="Arial" w:cs="Arial"/>
          <w:color w:val="808080" w:themeColor="background1" w:themeShade="80"/>
          <w:sz w:val="22"/>
          <w:szCs w:val="22"/>
          <w:lang w:val="en-GB"/>
        </w:rPr>
        <w:t>Relations;</w:t>
      </w:r>
      <w:proofErr w:type="gramEnd"/>
    </w:p>
    <w:p w14:paraId="3C2DBA09" w14:textId="4169E488" w:rsidR="00722829" w:rsidRDefault="00722829" w:rsidP="00722829">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 </w:t>
      </w:r>
      <w:r>
        <w:rPr>
          <w:rFonts w:ascii="Arial" w:hAnsi="Arial" w:cs="Arial"/>
          <w:color w:val="808080" w:themeColor="background1" w:themeShade="80"/>
          <w:sz w:val="22"/>
          <w:szCs w:val="22"/>
          <w:lang w:val="en-GB"/>
        </w:rPr>
        <w:tab/>
        <w:t xml:space="preserve">Mr Relations potentially breached the </w:t>
      </w:r>
      <w:proofErr w:type="gramStart"/>
      <w:r>
        <w:rPr>
          <w:rFonts w:ascii="Arial" w:hAnsi="Arial" w:cs="Arial"/>
          <w:color w:val="808080" w:themeColor="background1" w:themeShade="80"/>
          <w:sz w:val="22"/>
          <w:szCs w:val="22"/>
          <w:lang w:val="en-GB"/>
        </w:rPr>
        <w:t>Principle</w:t>
      </w:r>
      <w:proofErr w:type="gramEnd"/>
      <w:r>
        <w:rPr>
          <w:rFonts w:ascii="Arial" w:hAnsi="Arial" w:cs="Arial"/>
          <w:color w:val="808080" w:themeColor="background1" w:themeShade="80"/>
          <w:sz w:val="22"/>
          <w:szCs w:val="22"/>
          <w:lang w:val="en-GB"/>
        </w:rPr>
        <w:t xml:space="preserve"> 2 on Objectivity, Independence, &amp; Impartiality. Mr Relations relationship. </w:t>
      </w:r>
      <w:proofErr w:type="gramStart"/>
      <w:r>
        <w:rPr>
          <w:rFonts w:ascii="Arial" w:hAnsi="Arial" w:cs="Arial"/>
          <w:color w:val="808080" w:themeColor="background1" w:themeShade="80"/>
          <w:sz w:val="22"/>
          <w:szCs w:val="22"/>
          <w:lang w:val="en-GB"/>
        </w:rPr>
        <w:t>In the course of</w:t>
      </w:r>
      <w:proofErr w:type="gramEnd"/>
      <w:r>
        <w:rPr>
          <w:rFonts w:ascii="Arial" w:hAnsi="Arial" w:cs="Arial"/>
          <w:color w:val="808080" w:themeColor="background1" w:themeShade="80"/>
          <w:sz w:val="22"/>
          <w:szCs w:val="22"/>
          <w:lang w:val="en-GB"/>
        </w:rPr>
        <w:t xml:space="preserve"> his engagement, he will have to look into the conduct of the directors, which involve Mr B </w:t>
      </w:r>
      <w:proofErr w:type="spellStart"/>
      <w:r>
        <w:rPr>
          <w:rFonts w:ascii="Arial" w:hAnsi="Arial" w:cs="Arial"/>
          <w:color w:val="808080" w:themeColor="background1" w:themeShade="80"/>
          <w:sz w:val="22"/>
          <w:szCs w:val="22"/>
          <w:lang w:val="en-GB"/>
        </w:rPr>
        <w:t>Inlaw</w:t>
      </w:r>
      <w:proofErr w:type="spellEnd"/>
      <w:r>
        <w:rPr>
          <w:rFonts w:ascii="Arial" w:hAnsi="Arial" w:cs="Arial"/>
          <w:color w:val="808080" w:themeColor="background1" w:themeShade="80"/>
          <w:sz w:val="22"/>
          <w:szCs w:val="22"/>
          <w:lang w:val="en-GB"/>
        </w:rPr>
        <w:t xml:space="preserve">, and given their close relationship / familiarity with each other, his </w:t>
      </w:r>
      <w:r>
        <w:rPr>
          <w:rFonts w:ascii="Arial" w:hAnsi="Arial" w:cs="Arial"/>
          <w:color w:val="808080" w:themeColor="background1" w:themeShade="80"/>
          <w:sz w:val="22"/>
          <w:szCs w:val="22"/>
          <w:lang w:val="en-GB"/>
        </w:rPr>
        <w:t xml:space="preserve">objectivity, independence and impartiality may likely be compromised. His pronouncements that he would not look into the affairs of the directors, but rather focus on the rescue already indicates a breach of Principle </w:t>
      </w:r>
      <w:proofErr w:type="gramStart"/>
      <w:r>
        <w:rPr>
          <w:rFonts w:ascii="Arial" w:hAnsi="Arial" w:cs="Arial"/>
          <w:color w:val="808080" w:themeColor="background1" w:themeShade="80"/>
          <w:sz w:val="22"/>
          <w:szCs w:val="22"/>
          <w:lang w:val="en-GB"/>
        </w:rPr>
        <w:t>2;</w:t>
      </w:r>
      <w:proofErr w:type="gramEnd"/>
      <w:r>
        <w:rPr>
          <w:rFonts w:ascii="Arial" w:hAnsi="Arial" w:cs="Arial"/>
          <w:color w:val="808080" w:themeColor="background1" w:themeShade="80"/>
          <w:sz w:val="22"/>
          <w:szCs w:val="22"/>
          <w:lang w:val="en-GB"/>
        </w:rPr>
        <w:t xml:space="preserve"> </w:t>
      </w:r>
    </w:p>
    <w:p w14:paraId="088DD9E7" w14:textId="455C4A4A" w:rsidR="00722829" w:rsidRDefault="00722829" w:rsidP="00722829">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ab/>
        <w:t>Threat of self-review is apparent on Mr Relations accepting the appointment as liquidator following the failure of the administration of which he is the administrator. In this scenario, there is no one else to review the actions done by Mr Relations as administrator of the failed administration proceedings; and</w:t>
      </w:r>
    </w:p>
    <w:p w14:paraId="11F46485" w14:textId="0C22A25B" w:rsidR="00722829" w:rsidRDefault="00722829" w:rsidP="00722829">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ab/>
        <w:t xml:space="preserve">Threat on advocacy of Mr Relations given that he made prior media statements on his opinion that banks should be more accommodating in restructuring proceedings and that the interest of lower ranking creditors should sometimes outweigh the “big money” (referring to financial institution), and in fact the lawyer of the secured creditor, Mrs </w:t>
      </w:r>
      <w:proofErr w:type="spellStart"/>
      <w:r>
        <w:rPr>
          <w:rFonts w:ascii="Arial" w:hAnsi="Arial" w:cs="Arial"/>
          <w:color w:val="808080" w:themeColor="background1" w:themeShade="80"/>
          <w:sz w:val="22"/>
          <w:szCs w:val="22"/>
          <w:lang w:val="en-GB"/>
        </w:rPr>
        <w:t>Keeneye</w:t>
      </w:r>
      <w:proofErr w:type="spellEnd"/>
      <w:r>
        <w:rPr>
          <w:rFonts w:ascii="Arial" w:hAnsi="Arial" w:cs="Arial"/>
          <w:color w:val="808080" w:themeColor="background1" w:themeShade="80"/>
          <w:sz w:val="22"/>
          <w:szCs w:val="22"/>
          <w:lang w:val="en-GB"/>
        </w:rPr>
        <w:t xml:space="preserve"> already felt uncomfortable with his appointment. </w:t>
      </w:r>
    </w:p>
    <w:p w14:paraId="27BB32EF" w14:textId="539DC54D" w:rsidR="00722829" w:rsidRDefault="00722829" w:rsidP="00722829">
      <w:pPr>
        <w:autoSpaceDE w:val="0"/>
        <w:autoSpaceDN w:val="0"/>
        <w:adjustRightInd w:val="0"/>
        <w:jc w:val="both"/>
        <w:rPr>
          <w:rFonts w:ascii="Arial" w:hAnsi="Arial" w:cs="Arial"/>
          <w:color w:val="808080" w:themeColor="background1" w:themeShade="80"/>
          <w:sz w:val="22"/>
          <w:szCs w:val="22"/>
          <w:lang w:val="en-GB"/>
        </w:rPr>
      </w:pPr>
    </w:p>
    <w:p w14:paraId="1AD002A8" w14:textId="77777777" w:rsidR="00722829" w:rsidRDefault="00722829" w:rsidP="00722829">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instant case is highly </w:t>
      </w:r>
      <w:proofErr w:type="gramStart"/>
      <w:r>
        <w:rPr>
          <w:rFonts w:ascii="Arial" w:hAnsi="Arial" w:cs="Arial"/>
          <w:color w:val="808080" w:themeColor="background1" w:themeShade="80"/>
          <w:sz w:val="22"/>
          <w:szCs w:val="22"/>
          <w:lang w:val="en-GB"/>
        </w:rPr>
        <w:t>similar to</w:t>
      </w:r>
      <w:proofErr w:type="gramEnd"/>
      <w:r>
        <w:rPr>
          <w:rFonts w:ascii="Arial" w:hAnsi="Arial" w:cs="Arial"/>
          <w:color w:val="808080" w:themeColor="background1" w:themeShade="80"/>
          <w:sz w:val="22"/>
          <w:szCs w:val="22"/>
          <w:lang w:val="en-GB"/>
        </w:rPr>
        <w:t xml:space="preserve"> Commonwealth Bank of Australia v Irving [1996] 65 FCR 291 [Australia]. </w:t>
      </w:r>
    </w:p>
    <w:p w14:paraId="352D508B" w14:textId="77777777" w:rsidR="00722829" w:rsidRDefault="00722829" w:rsidP="00722829">
      <w:pPr>
        <w:autoSpaceDE w:val="0"/>
        <w:autoSpaceDN w:val="0"/>
        <w:adjustRightInd w:val="0"/>
        <w:jc w:val="both"/>
        <w:rPr>
          <w:rFonts w:ascii="Arial" w:hAnsi="Arial" w:cs="Arial"/>
          <w:color w:val="808080" w:themeColor="background1" w:themeShade="80"/>
          <w:sz w:val="22"/>
          <w:szCs w:val="22"/>
          <w:lang w:val="en-GB"/>
        </w:rPr>
      </w:pPr>
    </w:p>
    <w:p w14:paraId="66A709F0" w14:textId="3160EFE3" w:rsidR="00722829" w:rsidRDefault="00722829" w:rsidP="00722829">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Just like in the above-mentioned case, while Mr Relations pre-insolvency involvement with the company per se and his subsequent appointment as </w:t>
      </w:r>
      <w:proofErr w:type="gramStart"/>
      <w:r>
        <w:rPr>
          <w:rFonts w:ascii="Arial" w:hAnsi="Arial" w:cs="Arial"/>
          <w:color w:val="808080" w:themeColor="background1" w:themeShade="80"/>
          <w:sz w:val="22"/>
          <w:szCs w:val="22"/>
          <w:lang w:val="en-GB"/>
        </w:rPr>
        <w:t>administrator  does</w:t>
      </w:r>
      <w:proofErr w:type="gramEnd"/>
      <w:r>
        <w:rPr>
          <w:rFonts w:ascii="Arial" w:hAnsi="Arial" w:cs="Arial"/>
          <w:color w:val="808080" w:themeColor="background1" w:themeShade="80"/>
          <w:sz w:val="22"/>
          <w:szCs w:val="22"/>
          <w:lang w:val="en-GB"/>
        </w:rPr>
        <w:t xml:space="preserve"> not generally breach his independence, given, however, the close relationships between Mr Relations and Mr B </w:t>
      </w:r>
      <w:proofErr w:type="spellStart"/>
      <w:r>
        <w:rPr>
          <w:rFonts w:ascii="Arial" w:hAnsi="Arial" w:cs="Arial"/>
          <w:color w:val="808080" w:themeColor="background1" w:themeShade="80"/>
          <w:sz w:val="22"/>
          <w:szCs w:val="22"/>
          <w:lang w:val="en-GB"/>
        </w:rPr>
        <w:t>Inlaw</w:t>
      </w:r>
      <w:proofErr w:type="spellEnd"/>
      <w:r>
        <w:rPr>
          <w:rFonts w:ascii="Arial" w:hAnsi="Arial" w:cs="Arial"/>
          <w:color w:val="808080" w:themeColor="background1" w:themeShade="80"/>
          <w:sz w:val="22"/>
          <w:szCs w:val="22"/>
          <w:lang w:val="en-GB"/>
        </w:rPr>
        <w:t xml:space="preserve"> and the substantial involvement on pre-insolvency discussions, independence is likely breached and no amount of disclosure and declaration could cure such breach. The failure of the administration is indicative that the disclosure and declaration did not remedy the situation.   </w:t>
      </w:r>
    </w:p>
    <w:p w14:paraId="38AA9798" w14:textId="03867EE9" w:rsidR="00722829" w:rsidRDefault="00722829" w:rsidP="00722829">
      <w:pPr>
        <w:autoSpaceDE w:val="0"/>
        <w:autoSpaceDN w:val="0"/>
        <w:adjustRightInd w:val="0"/>
        <w:jc w:val="both"/>
        <w:rPr>
          <w:rFonts w:ascii="Arial" w:hAnsi="Arial" w:cs="Arial"/>
          <w:color w:val="808080" w:themeColor="background1" w:themeShade="80"/>
          <w:sz w:val="22"/>
          <w:szCs w:val="22"/>
          <w:lang w:val="en-GB"/>
        </w:rPr>
      </w:pPr>
    </w:p>
    <w:p w14:paraId="59BF5835" w14:textId="4B174AE1" w:rsidR="00722829" w:rsidRDefault="00722829" w:rsidP="00722829">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Relations should have done some </w:t>
      </w:r>
      <w:proofErr w:type="spellStart"/>
      <w:r>
        <w:rPr>
          <w:rFonts w:ascii="Arial" w:hAnsi="Arial" w:cs="Arial"/>
          <w:color w:val="808080" w:themeColor="background1" w:themeShade="80"/>
          <w:sz w:val="22"/>
          <w:szCs w:val="22"/>
          <w:lang w:val="en-GB"/>
        </w:rPr>
        <w:t>self realization</w:t>
      </w:r>
      <w:proofErr w:type="spellEnd"/>
      <w:r>
        <w:rPr>
          <w:rFonts w:ascii="Arial" w:hAnsi="Arial" w:cs="Arial"/>
          <w:color w:val="808080" w:themeColor="background1" w:themeShade="80"/>
          <w:sz w:val="22"/>
          <w:szCs w:val="22"/>
          <w:lang w:val="en-GB"/>
        </w:rPr>
        <w:t xml:space="preserve"> and decide to eventually decline the appointment as administrator and as liquidator due to the ethical issues mentioned above. </w:t>
      </w:r>
    </w:p>
    <w:p w14:paraId="1B5E2F08" w14:textId="5CBA78A3" w:rsidR="002D3473" w:rsidRPr="00722829" w:rsidRDefault="002D3473" w:rsidP="00087F21">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ED90" w14:textId="77777777" w:rsidR="005F70E8" w:rsidRDefault="005F70E8" w:rsidP="00241B44">
      <w:r>
        <w:separator/>
      </w:r>
    </w:p>
  </w:endnote>
  <w:endnote w:type="continuationSeparator" w:id="0">
    <w:p w14:paraId="5F5D3750" w14:textId="77777777" w:rsidR="005F70E8" w:rsidRDefault="005F70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5D283D0B" w:rsidR="00241FA3" w:rsidRPr="009B4976" w:rsidRDefault="00120931" w:rsidP="009B4976">
    <w:pPr>
      <w:pStyle w:val="Footer"/>
      <w:ind w:right="360"/>
      <w:rPr>
        <w:rFonts w:ascii="Arial" w:hAnsi="Arial" w:cs="Arial"/>
        <w:sz w:val="18"/>
        <w:szCs w:val="18"/>
        <w:lang w:val="en-GB"/>
      </w:rPr>
    </w:pPr>
    <w:r>
      <w:rPr>
        <w:rFonts w:ascii="Arial" w:hAnsi="Arial" w:cs="Arial"/>
        <w:sz w:val="18"/>
        <w:szCs w:val="18"/>
        <w:lang w:val="en-GB"/>
      </w:rPr>
      <w:t>202122-556</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DB3A1" w14:textId="77777777" w:rsidR="005F70E8" w:rsidRDefault="005F70E8" w:rsidP="00241B44">
      <w:r>
        <w:separator/>
      </w:r>
    </w:p>
  </w:footnote>
  <w:footnote w:type="continuationSeparator" w:id="0">
    <w:p w14:paraId="36379261" w14:textId="77777777" w:rsidR="005F70E8" w:rsidRDefault="005F70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5836690">
    <w:abstractNumId w:val="7"/>
  </w:num>
  <w:num w:numId="2" w16cid:durableId="780075432">
    <w:abstractNumId w:val="4"/>
  </w:num>
  <w:num w:numId="3" w16cid:durableId="281882820">
    <w:abstractNumId w:val="10"/>
  </w:num>
  <w:num w:numId="4" w16cid:durableId="1700668987">
    <w:abstractNumId w:val="9"/>
  </w:num>
  <w:num w:numId="5" w16cid:durableId="90590593">
    <w:abstractNumId w:val="17"/>
  </w:num>
  <w:num w:numId="6" w16cid:durableId="1562061015">
    <w:abstractNumId w:val="18"/>
  </w:num>
  <w:num w:numId="7" w16cid:durableId="940794203">
    <w:abstractNumId w:val="19"/>
  </w:num>
  <w:num w:numId="8" w16cid:durableId="709693223">
    <w:abstractNumId w:val="15"/>
  </w:num>
  <w:num w:numId="9" w16cid:durableId="1520465501">
    <w:abstractNumId w:val="11"/>
  </w:num>
  <w:num w:numId="10" w16cid:durableId="1616325243">
    <w:abstractNumId w:val="3"/>
  </w:num>
  <w:num w:numId="11" w16cid:durableId="428042132">
    <w:abstractNumId w:val="6"/>
  </w:num>
  <w:num w:numId="12" w16cid:durableId="804783352">
    <w:abstractNumId w:val="5"/>
  </w:num>
  <w:num w:numId="13" w16cid:durableId="665403646">
    <w:abstractNumId w:val="14"/>
  </w:num>
  <w:num w:numId="14" w16cid:durableId="1790970866">
    <w:abstractNumId w:val="2"/>
  </w:num>
  <w:num w:numId="15" w16cid:durableId="821117106">
    <w:abstractNumId w:val="8"/>
  </w:num>
  <w:num w:numId="16" w16cid:durableId="1228152219">
    <w:abstractNumId w:val="13"/>
  </w:num>
  <w:num w:numId="17" w16cid:durableId="1916619928">
    <w:abstractNumId w:val="0"/>
  </w:num>
  <w:num w:numId="18" w16cid:durableId="1999504170">
    <w:abstractNumId w:val="16"/>
  </w:num>
  <w:num w:numId="19" w16cid:durableId="908227918">
    <w:abstractNumId w:val="12"/>
  </w:num>
  <w:num w:numId="20" w16cid:durableId="146515280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E50A8"/>
    <w:rsid w:val="000F1677"/>
    <w:rsid w:val="000F3D6C"/>
    <w:rsid w:val="000F4603"/>
    <w:rsid w:val="00101707"/>
    <w:rsid w:val="00102CC9"/>
    <w:rsid w:val="0010593A"/>
    <w:rsid w:val="0011473D"/>
    <w:rsid w:val="00115C85"/>
    <w:rsid w:val="00120931"/>
    <w:rsid w:val="00123855"/>
    <w:rsid w:val="00126A4D"/>
    <w:rsid w:val="00132584"/>
    <w:rsid w:val="0014171F"/>
    <w:rsid w:val="00142AC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37EA"/>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63865"/>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4F7AAE"/>
    <w:rsid w:val="00501270"/>
    <w:rsid w:val="005177FE"/>
    <w:rsid w:val="0052263B"/>
    <w:rsid w:val="00524728"/>
    <w:rsid w:val="005331CA"/>
    <w:rsid w:val="00537970"/>
    <w:rsid w:val="00540E3A"/>
    <w:rsid w:val="00544127"/>
    <w:rsid w:val="005463A9"/>
    <w:rsid w:val="00553EB2"/>
    <w:rsid w:val="00560534"/>
    <w:rsid w:val="0056391B"/>
    <w:rsid w:val="005650E2"/>
    <w:rsid w:val="00565778"/>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5F70E8"/>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28ED"/>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22829"/>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63DF"/>
    <w:rsid w:val="00807119"/>
    <w:rsid w:val="00815328"/>
    <w:rsid w:val="0082483F"/>
    <w:rsid w:val="0082783A"/>
    <w:rsid w:val="008279C0"/>
    <w:rsid w:val="00841D99"/>
    <w:rsid w:val="00855B7E"/>
    <w:rsid w:val="00867701"/>
    <w:rsid w:val="008723F3"/>
    <w:rsid w:val="00876F56"/>
    <w:rsid w:val="00881DE6"/>
    <w:rsid w:val="008837A6"/>
    <w:rsid w:val="00884BE9"/>
    <w:rsid w:val="0089145D"/>
    <w:rsid w:val="00896196"/>
    <w:rsid w:val="008A4DF2"/>
    <w:rsid w:val="008A6CFE"/>
    <w:rsid w:val="008B5333"/>
    <w:rsid w:val="008B6223"/>
    <w:rsid w:val="008C4CD6"/>
    <w:rsid w:val="008C66E0"/>
    <w:rsid w:val="008E1511"/>
    <w:rsid w:val="008E3339"/>
    <w:rsid w:val="008F20FC"/>
    <w:rsid w:val="008F5FFE"/>
    <w:rsid w:val="00905A43"/>
    <w:rsid w:val="00912C79"/>
    <w:rsid w:val="00914CBE"/>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075CE"/>
    <w:rsid w:val="00A15535"/>
    <w:rsid w:val="00A2274A"/>
    <w:rsid w:val="00A235B7"/>
    <w:rsid w:val="00A27A7A"/>
    <w:rsid w:val="00A308E8"/>
    <w:rsid w:val="00A34ABE"/>
    <w:rsid w:val="00A37300"/>
    <w:rsid w:val="00A407EF"/>
    <w:rsid w:val="00A40CCE"/>
    <w:rsid w:val="00A43A8B"/>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22AC"/>
    <w:rsid w:val="00B27B6F"/>
    <w:rsid w:val="00B44713"/>
    <w:rsid w:val="00B51B95"/>
    <w:rsid w:val="00B56103"/>
    <w:rsid w:val="00B64929"/>
    <w:rsid w:val="00B736DF"/>
    <w:rsid w:val="00B743D6"/>
    <w:rsid w:val="00B74FBD"/>
    <w:rsid w:val="00B77F46"/>
    <w:rsid w:val="00B82586"/>
    <w:rsid w:val="00B829A3"/>
    <w:rsid w:val="00B86DB1"/>
    <w:rsid w:val="00B87869"/>
    <w:rsid w:val="00B9639B"/>
    <w:rsid w:val="00BA12BB"/>
    <w:rsid w:val="00BA1E4F"/>
    <w:rsid w:val="00BA7E39"/>
    <w:rsid w:val="00BB0F2B"/>
    <w:rsid w:val="00BC285B"/>
    <w:rsid w:val="00BE4FF3"/>
    <w:rsid w:val="00BF50F7"/>
    <w:rsid w:val="00C02F29"/>
    <w:rsid w:val="00C10B1A"/>
    <w:rsid w:val="00C17718"/>
    <w:rsid w:val="00C20AFE"/>
    <w:rsid w:val="00C216AA"/>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5684"/>
    <w:rsid w:val="00CF70DC"/>
    <w:rsid w:val="00D148DC"/>
    <w:rsid w:val="00D17FDC"/>
    <w:rsid w:val="00D21D8C"/>
    <w:rsid w:val="00D53719"/>
    <w:rsid w:val="00D565C7"/>
    <w:rsid w:val="00D61C6D"/>
    <w:rsid w:val="00D63EFD"/>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01F5"/>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Marisol Caneja</cp:lastModifiedBy>
  <cp:revision>27</cp:revision>
  <cp:lastPrinted>2019-08-27T05:42:00Z</cp:lastPrinted>
  <dcterms:created xsi:type="dcterms:W3CDTF">2022-07-24T20:41:00Z</dcterms:created>
  <dcterms:modified xsi:type="dcterms:W3CDTF">2022-07-26T17:07:00Z</dcterms:modified>
</cp:coreProperties>
</file>