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431BA8" w:rsidRDefault="007B0809" w:rsidP="004F49B5">
      <w:pPr>
        <w:pStyle w:val="AODocTxt"/>
        <w:numPr>
          <w:ilvl w:val="0"/>
          <w:numId w:val="2"/>
        </w:numPr>
        <w:spacing w:before="0" w:line="240" w:lineRule="auto"/>
        <w:ind w:left="426"/>
        <w:rPr>
          <w:rFonts w:ascii="Arial" w:hAnsi="Arial" w:cs="Arial"/>
          <w:highlight w:val="yellow"/>
        </w:rPr>
      </w:pPr>
      <w:r w:rsidRPr="00431BA8">
        <w:rPr>
          <w:rFonts w:ascii="Arial" w:hAnsi="Arial" w:cs="Arial"/>
          <w:highlight w:val="yellow"/>
        </w:rPr>
        <w:t xml:space="preserve">A local advocacy </w:t>
      </w:r>
      <w:proofErr w:type="gramStart"/>
      <w:r w:rsidRPr="00431BA8">
        <w:rPr>
          <w:rFonts w:ascii="Arial" w:hAnsi="Arial" w:cs="Arial"/>
          <w:highlight w:val="yellow"/>
        </w:rPr>
        <w:t>group</w:t>
      </w:r>
      <w:proofErr w:type="gramEnd"/>
      <w:r w:rsidRPr="00431BA8">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BF3721">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 xml:space="preserve">In which of the following scenarios does </w:t>
      </w:r>
      <w:bookmarkStart w:id="0" w:name="_Hlk109378447"/>
      <w:r w:rsidRPr="007B0809">
        <w:rPr>
          <w:rFonts w:ascii="Arial" w:hAnsi="Arial" w:cs="Arial"/>
        </w:rPr>
        <w:t>a bankruptcy court have constitutional authority to issue a final order</w:t>
      </w:r>
      <w:bookmarkEnd w:id="0"/>
      <w:r w:rsidRPr="007B0809">
        <w:rPr>
          <w:rFonts w:ascii="Arial" w:hAnsi="Arial" w:cs="Arial"/>
        </w:rPr>
        <w:t>?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295A6F" w:rsidRDefault="007B0809" w:rsidP="004F49B5">
      <w:pPr>
        <w:pStyle w:val="AODocTxt"/>
        <w:numPr>
          <w:ilvl w:val="0"/>
          <w:numId w:val="4"/>
        </w:numPr>
        <w:spacing w:before="0" w:line="240" w:lineRule="auto"/>
        <w:ind w:left="426"/>
        <w:rPr>
          <w:rFonts w:ascii="Arial" w:hAnsi="Arial" w:cs="Arial"/>
          <w:highlight w:val="yellow"/>
        </w:rPr>
      </w:pPr>
      <w:r w:rsidRPr="00295A6F">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49367A" w:rsidRDefault="007B0809" w:rsidP="004F49B5">
      <w:pPr>
        <w:pStyle w:val="AODocTxt"/>
        <w:numPr>
          <w:ilvl w:val="0"/>
          <w:numId w:val="5"/>
        </w:numPr>
        <w:spacing w:before="0" w:line="240" w:lineRule="auto"/>
        <w:ind w:left="426"/>
        <w:rPr>
          <w:rFonts w:ascii="Arial" w:hAnsi="Arial" w:cs="Arial"/>
          <w:highlight w:val="yellow"/>
        </w:rPr>
      </w:pPr>
      <w:r w:rsidRPr="0049367A">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0104FE" w:rsidRDefault="007B0809" w:rsidP="004F49B5">
      <w:pPr>
        <w:pStyle w:val="AODocTxt"/>
        <w:numPr>
          <w:ilvl w:val="0"/>
          <w:numId w:val="6"/>
        </w:numPr>
        <w:spacing w:before="0" w:line="240" w:lineRule="auto"/>
        <w:ind w:left="426"/>
        <w:rPr>
          <w:rFonts w:ascii="Arial" w:hAnsi="Arial" w:cs="Arial"/>
          <w:highlight w:val="yellow"/>
        </w:rPr>
      </w:pPr>
      <w:r w:rsidRPr="000104F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FF33EB" w:rsidRDefault="007B0809" w:rsidP="004F49B5">
      <w:pPr>
        <w:pStyle w:val="AODocTxt"/>
        <w:numPr>
          <w:ilvl w:val="0"/>
          <w:numId w:val="7"/>
        </w:numPr>
        <w:spacing w:before="0" w:line="240" w:lineRule="auto"/>
        <w:ind w:left="426"/>
        <w:rPr>
          <w:rFonts w:ascii="Arial" w:hAnsi="Arial" w:cs="Arial"/>
          <w:highlight w:val="yellow"/>
        </w:rPr>
      </w:pPr>
      <w:r w:rsidRPr="00FF33EB">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0104FE" w:rsidRDefault="007B0809" w:rsidP="004F49B5">
      <w:pPr>
        <w:pStyle w:val="AODocTxt"/>
        <w:numPr>
          <w:ilvl w:val="0"/>
          <w:numId w:val="8"/>
        </w:numPr>
        <w:spacing w:before="0" w:line="240" w:lineRule="auto"/>
        <w:ind w:left="426"/>
        <w:rPr>
          <w:rFonts w:ascii="Arial" w:hAnsi="Arial" w:cs="Arial"/>
          <w:highlight w:val="yellow"/>
        </w:rPr>
      </w:pPr>
      <w:r w:rsidRPr="000104FE">
        <w:rPr>
          <w:rFonts w:ascii="Arial" w:hAnsi="Arial" w:cs="Arial"/>
          <w:highlight w:val="yellow"/>
        </w:rPr>
        <w:t>The automatic stay applies upon the filing of a petition for recognition.</w:t>
      </w:r>
      <w:r w:rsidR="00F92140" w:rsidRPr="000104F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7B0187" w:rsidRDefault="007B0809" w:rsidP="004F49B5">
      <w:pPr>
        <w:pStyle w:val="AODocTxt"/>
        <w:numPr>
          <w:ilvl w:val="0"/>
          <w:numId w:val="9"/>
        </w:numPr>
        <w:spacing w:before="0" w:line="240" w:lineRule="auto"/>
        <w:ind w:left="426"/>
        <w:rPr>
          <w:rFonts w:ascii="Arial" w:hAnsi="Arial" w:cs="Arial"/>
          <w:highlight w:val="yellow"/>
        </w:rPr>
      </w:pPr>
      <w:r w:rsidRPr="007B0187">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B02C8A" w:rsidRDefault="007B0809" w:rsidP="004F49B5">
      <w:pPr>
        <w:pStyle w:val="AODocTxt"/>
        <w:numPr>
          <w:ilvl w:val="0"/>
          <w:numId w:val="10"/>
        </w:numPr>
        <w:spacing w:before="0" w:line="240" w:lineRule="auto"/>
        <w:ind w:left="426"/>
        <w:rPr>
          <w:rFonts w:ascii="Arial" w:hAnsi="Arial" w:cs="Arial"/>
          <w:highlight w:val="yellow"/>
        </w:rPr>
      </w:pPr>
      <w:r w:rsidRPr="00B02C8A">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192173" w:rsidRDefault="007B0809" w:rsidP="004F49B5">
      <w:pPr>
        <w:pStyle w:val="AODocTxt"/>
        <w:numPr>
          <w:ilvl w:val="0"/>
          <w:numId w:val="11"/>
        </w:numPr>
        <w:spacing w:before="0" w:line="240" w:lineRule="auto"/>
        <w:ind w:left="426"/>
        <w:rPr>
          <w:rFonts w:ascii="Arial" w:hAnsi="Arial" w:cs="Arial"/>
          <w:highlight w:val="yellow"/>
        </w:rPr>
      </w:pPr>
      <w:r w:rsidRPr="00192173">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48C7AF1E" w:rsidR="00E12EC4" w:rsidRDefault="00800F2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a voluntary petition, a debtor may commence the voluntary proceedings by filing the petition and there does not need to be claim </w:t>
      </w:r>
      <w:r w:rsidR="0008474A">
        <w:rPr>
          <w:rFonts w:ascii="Arial" w:hAnsi="Arial" w:cs="Arial"/>
          <w:color w:val="7B7B7B" w:themeColor="accent3" w:themeShade="BF"/>
          <w:sz w:val="22"/>
          <w:szCs w:val="22"/>
          <w:lang w:val="en-GB"/>
        </w:rPr>
        <w:t xml:space="preserve">as to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the debtor is insolvent. </w:t>
      </w:r>
    </w:p>
    <w:p w14:paraId="1A415C9B" w14:textId="588A72CF" w:rsidR="00800F2D" w:rsidRDefault="00800F2D" w:rsidP="00E12EC4">
      <w:pPr>
        <w:jc w:val="both"/>
        <w:rPr>
          <w:rFonts w:ascii="Arial" w:hAnsi="Arial" w:cs="Arial"/>
          <w:color w:val="7B7B7B" w:themeColor="accent3" w:themeShade="BF"/>
          <w:sz w:val="22"/>
          <w:szCs w:val="22"/>
          <w:lang w:val="en-GB"/>
        </w:rPr>
      </w:pPr>
    </w:p>
    <w:p w14:paraId="2EFB5850" w14:textId="7A3D247F" w:rsidR="00323167" w:rsidRPr="00800F2D" w:rsidRDefault="00800F2D" w:rsidP="00800F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an involuntary petition, creditors commence the involuntary proceedings against the debtor and the creditors will have to claim that the debtor is not paying its debts as they fall due.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276FFFEA" w:rsidR="00323167" w:rsidRPr="000C154E" w:rsidRDefault="00C42B7B" w:rsidP="000C15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violation of the automatic stay is </w:t>
      </w:r>
      <w:r w:rsidR="0008474A">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contempt of </w:t>
      </w:r>
      <w:proofErr w:type="gramStart"/>
      <w:r>
        <w:rPr>
          <w:rFonts w:ascii="Arial" w:hAnsi="Arial" w:cs="Arial"/>
          <w:color w:val="7B7B7B" w:themeColor="accent3" w:themeShade="BF"/>
          <w:sz w:val="22"/>
          <w:szCs w:val="22"/>
          <w:lang w:val="en-GB"/>
        </w:rPr>
        <w:t>court</w:t>
      </w:r>
      <w:proofErr w:type="gramEnd"/>
      <w:r>
        <w:rPr>
          <w:rFonts w:ascii="Arial" w:hAnsi="Arial" w:cs="Arial"/>
          <w:color w:val="7B7B7B" w:themeColor="accent3" w:themeShade="BF"/>
          <w:sz w:val="22"/>
          <w:szCs w:val="22"/>
          <w:lang w:val="en-GB"/>
        </w:rPr>
        <w:t xml:space="preserve"> and the act is void. The violation may result in contempt sanctions </w:t>
      </w:r>
      <w:r w:rsidR="003A1B45">
        <w:rPr>
          <w:rFonts w:ascii="Arial" w:hAnsi="Arial" w:cs="Arial"/>
          <w:color w:val="7B7B7B" w:themeColor="accent3" w:themeShade="BF"/>
          <w:sz w:val="22"/>
          <w:szCs w:val="22"/>
          <w:lang w:val="en-GB"/>
        </w:rPr>
        <w:t xml:space="preserve">which could include the violator having to pay the debtor’s attorney’s fees to rectify the effect of the stay violation. The court could also impose a daily fine payable to the court until the effect of the stay violation has been rectified. </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0C7F3628" w:rsidR="00E12EC4" w:rsidRDefault="00562AE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where under the plan of reorganization the creditor will be paid less than the value of the claim (the creditors legal, equitable and contractual rights have been altered) or where delayed payment in full is after the effective date of the plan. </w:t>
      </w:r>
    </w:p>
    <w:p w14:paraId="074D4E10" w14:textId="3BB871C3" w:rsidR="00562AEE" w:rsidRDefault="00562AEE" w:rsidP="00E12EC4">
      <w:pPr>
        <w:jc w:val="both"/>
        <w:rPr>
          <w:rFonts w:ascii="Arial" w:hAnsi="Arial" w:cs="Arial"/>
          <w:color w:val="7B7B7B" w:themeColor="accent3" w:themeShade="BF"/>
          <w:sz w:val="22"/>
          <w:szCs w:val="22"/>
          <w:lang w:val="en-GB"/>
        </w:rPr>
      </w:pPr>
    </w:p>
    <w:p w14:paraId="2DF1174A" w14:textId="06D6A560" w:rsidR="00562AEE" w:rsidRDefault="00562AE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impaired creditor classes have the right to vote on a reorganization plan.</w:t>
      </w:r>
    </w:p>
    <w:p w14:paraId="7392FB5C" w14:textId="68C1EE0F" w:rsidR="00562AEE" w:rsidRDefault="00562AEE" w:rsidP="00E12EC4">
      <w:pPr>
        <w:jc w:val="both"/>
        <w:rPr>
          <w:rFonts w:ascii="Arial" w:hAnsi="Arial" w:cs="Arial"/>
          <w:color w:val="7B7B7B" w:themeColor="accent3" w:themeShade="BF"/>
          <w:sz w:val="22"/>
          <w:szCs w:val="22"/>
          <w:lang w:val="en-GB"/>
        </w:rPr>
      </w:pPr>
    </w:p>
    <w:p w14:paraId="72D6962E" w14:textId="1003F7AC" w:rsidR="00562AEE" w:rsidRPr="006E01E4" w:rsidRDefault="006E01E4" w:rsidP="00E12EC4">
      <w:pPr>
        <w:jc w:val="both"/>
        <w:rPr>
          <w:rFonts w:ascii="Arial" w:hAnsi="Arial" w:cs="Arial"/>
          <w:color w:val="FF0000"/>
          <w:sz w:val="22"/>
          <w:szCs w:val="22"/>
          <w:lang w:val="en-GB"/>
        </w:rPr>
      </w:pPr>
      <w:r w:rsidRPr="006E01E4">
        <w:rPr>
          <w:rFonts w:ascii="Arial" w:hAnsi="Arial" w:cs="Arial"/>
          <w:color w:val="7B7B7B" w:themeColor="accent3" w:themeShade="BF"/>
          <w:sz w:val="22"/>
          <w:szCs w:val="22"/>
          <w:lang w:val="en-GB"/>
        </w:rPr>
        <w:t>Where the holder of an impaired claim is an ‘insider creditor’ their vote must be disregarded.</w:t>
      </w:r>
      <w:r>
        <w:rPr>
          <w:rFonts w:ascii="Arial" w:hAnsi="Arial" w:cs="Arial"/>
          <w:color w:val="7B7B7B" w:themeColor="accent3" w:themeShade="BF"/>
          <w:sz w:val="22"/>
          <w:szCs w:val="22"/>
          <w:lang w:val="en-GB"/>
        </w:rPr>
        <w:t xml:space="preserv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3C24ACEE" w:rsidR="00E12EC4" w:rsidRPr="002B776B" w:rsidRDefault="002B776B" w:rsidP="00E12EC4">
      <w:pPr>
        <w:ind w:firstLine="426"/>
        <w:jc w:val="both"/>
        <w:rPr>
          <w:rFonts w:ascii="Arial" w:hAnsi="Arial" w:cs="Arial"/>
          <w:color w:val="7B7B7B" w:themeColor="accent3" w:themeShade="BF"/>
          <w:sz w:val="22"/>
          <w:szCs w:val="22"/>
          <w:lang w:val="en-GB"/>
        </w:rPr>
      </w:pPr>
      <w:r w:rsidRPr="002B776B">
        <w:rPr>
          <w:rFonts w:ascii="Arial" w:hAnsi="Arial" w:cs="Arial"/>
          <w:color w:val="7B7B7B" w:themeColor="accent3" w:themeShade="BF"/>
          <w:sz w:val="22"/>
          <w:szCs w:val="22"/>
        </w:rPr>
        <w:t xml:space="preserve">Preference </w:t>
      </w:r>
      <w:r>
        <w:rPr>
          <w:rFonts w:ascii="Arial" w:hAnsi="Arial" w:cs="Arial"/>
          <w:color w:val="7B7B7B" w:themeColor="accent3" w:themeShade="BF"/>
          <w:sz w:val="22"/>
          <w:szCs w:val="22"/>
        </w:rPr>
        <w:t xml:space="preserve">applies to </w:t>
      </w:r>
      <w:r w:rsidRPr="002B776B">
        <w:rPr>
          <w:rFonts w:ascii="Arial" w:hAnsi="Arial" w:cs="Arial"/>
          <w:color w:val="7B7B7B" w:themeColor="accent3" w:themeShade="BF"/>
          <w:sz w:val="22"/>
          <w:szCs w:val="22"/>
          <w:lang w:val="en-GB"/>
        </w:rPr>
        <w:t>transfers made on account of antecedent debt (a</w:t>
      </w:r>
      <w:r w:rsidRPr="002B776B">
        <w:rPr>
          <w:rFonts w:ascii="Arial" w:hAnsi="Arial" w:cs="Arial"/>
          <w:color w:val="7B7B7B" w:themeColor="accent3" w:themeShade="BF"/>
          <w:sz w:val="22"/>
          <w:szCs w:val="22"/>
          <w:lang w:val="en-GB"/>
        </w:rPr>
        <w:t xml:space="preserve"> debt is antecedent </w:t>
      </w:r>
      <w:r w:rsidRPr="002B776B">
        <w:rPr>
          <w:rFonts w:ascii="Arial" w:hAnsi="Arial" w:cs="Arial"/>
          <w:color w:val="7B7B7B" w:themeColor="accent3" w:themeShade="BF"/>
          <w:sz w:val="22"/>
          <w:szCs w:val="22"/>
          <w:lang w:val="en-GB"/>
        </w:rPr>
        <w:t xml:space="preserve">where </w:t>
      </w:r>
      <w:r w:rsidRPr="002B776B">
        <w:rPr>
          <w:rFonts w:ascii="Arial" w:hAnsi="Arial" w:cs="Arial"/>
          <w:color w:val="7B7B7B" w:themeColor="accent3" w:themeShade="BF"/>
          <w:sz w:val="22"/>
          <w:szCs w:val="22"/>
          <w:lang w:val="en-GB"/>
        </w:rPr>
        <w:t>incurred before the transfer or payment</w:t>
      </w:r>
      <w:r w:rsidRPr="002B776B">
        <w:rPr>
          <w:rFonts w:ascii="Arial" w:hAnsi="Arial" w:cs="Arial"/>
          <w:color w:val="7B7B7B" w:themeColor="accent3" w:themeShade="BF"/>
          <w:sz w:val="22"/>
          <w:szCs w:val="22"/>
          <w:lang w:val="en-GB"/>
        </w:rPr>
        <w:t>).</w:t>
      </w:r>
    </w:p>
    <w:p w14:paraId="4E388149" w14:textId="77777777" w:rsidR="005B2A9B" w:rsidRPr="00E12EC4" w:rsidRDefault="005B2A9B" w:rsidP="002B776B">
      <w:pPr>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2B776B" w:rsidRDefault="00DC359F" w:rsidP="00DC359F">
      <w:pPr>
        <w:pStyle w:val="AODocTxt"/>
        <w:spacing w:before="0" w:line="240" w:lineRule="auto"/>
        <w:rPr>
          <w:rFonts w:ascii="Arial" w:hAnsi="Arial" w:cs="Arial"/>
          <w:color w:val="7B7B7B" w:themeColor="accent3" w:themeShade="BF"/>
        </w:rPr>
      </w:pPr>
    </w:p>
    <w:p w14:paraId="76059889" w14:textId="2DBB0D5D" w:rsidR="00DC359F" w:rsidRPr="002B776B" w:rsidRDefault="00861622" w:rsidP="002B776B">
      <w:pPr>
        <w:ind w:firstLine="426"/>
        <w:jc w:val="both"/>
        <w:rPr>
          <w:rFonts w:ascii="Arial" w:hAnsi="Arial" w:cs="Arial"/>
          <w:color w:val="7B7B7B" w:themeColor="accent3" w:themeShade="BF"/>
          <w:highlight w:val="yellow"/>
        </w:rPr>
      </w:pPr>
      <w:r w:rsidRPr="002B776B">
        <w:rPr>
          <w:rFonts w:ascii="Arial" w:hAnsi="Arial" w:cs="Arial"/>
          <w:color w:val="7B7B7B" w:themeColor="accent3" w:themeShade="BF"/>
          <w:sz w:val="22"/>
          <w:szCs w:val="22"/>
          <w:lang w:val="en-GB"/>
        </w:rPr>
        <w:t>Preference</w:t>
      </w:r>
      <w:r w:rsidR="002B776B" w:rsidRPr="002B776B">
        <w:rPr>
          <w:rFonts w:ascii="Arial" w:hAnsi="Arial" w:cs="Arial"/>
          <w:color w:val="7B7B7B" w:themeColor="accent3" w:themeShade="BF"/>
          <w:sz w:val="22"/>
          <w:szCs w:val="22"/>
          <w:lang w:val="en-GB"/>
        </w:rPr>
        <w:t xml:space="preserve"> requires that the debtor be presumed to be insolvent at the time of transfer. C</w:t>
      </w:r>
      <w:r w:rsidR="002B776B" w:rsidRPr="002B776B">
        <w:rPr>
          <w:rFonts w:ascii="Arial" w:hAnsi="Arial" w:cs="Arial"/>
          <w:color w:val="7B7B7B" w:themeColor="accent3" w:themeShade="BF"/>
          <w:sz w:val="22"/>
          <w:szCs w:val="22"/>
          <w:lang w:val="en-GB"/>
        </w:rPr>
        <w:t>onstructive fraudulent conveyances</w:t>
      </w:r>
      <w:r w:rsidR="002B776B" w:rsidRPr="002B776B">
        <w:rPr>
          <w:rFonts w:ascii="Arial" w:hAnsi="Arial" w:cs="Arial"/>
          <w:color w:val="7B7B7B" w:themeColor="accent3" w:themeShade="BF"/>
          <w:sz w:val="22"/>
          <w:szCs w:val="22"/>
          <w:lang w:val="en-GB"/>
        </w:rPr>
        <w:t xml:space="preserve"> also requires that the debtor was insolvent at the time of the transfer.</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ED8CD04" w:rsidR="005B2A9B" w:rsidRPr="00FF5098" w:rsidRDefault="007662D4"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 requires that the debtor is proven to have made a transfer with “</w:t>
      </w:r>
      <w:r w:rsidRPr="007662D4">
        <w:rPr>
          <w:rFonts w:ascii="Arial" w:hAnsi="Arial" w:cs="Arial"/>
          <w:i/>
          <w:iCs/>
          <w:color w:val="7B7B7B" w:themeColor="accent3" w:themeShade="BF"/>
          <w:sz w:val="22"/>
          <w:szCs w:val="22"/>
          <w:lang w:val="en-GB"/>
        </w:rPr>
        <w:t>a</w:t>
      </w:r>
      <w:r w:rsidRPr="007662D4">
        <w:rPr>
          <w:rFonts w:ascii="Arial" w:hAnsi="Arial" w:cs="Arial"/>
          <w:i/>
          <w:iCs/>
          <w:color w:val="7B7B7B" w:themeColor="accent3" w:themeShade="BF"/>
          <w:sz w:val="22"/>
          <w:szCs w:val="22"/>
          <w:lang w:val="en-GB"/>
        </w:rPr>
        <w:t>ctual intent to hinder, delay, or defraud any entity to which the debtor was or became, on or after the date that such transfer was made or such obligation was incurred, indebted</w:t>
      </w:r>
      <w:r w:rsidRPr="007662D4">
        <w:rPr>
          <w:rFonts w:ascii="Arial" w:hAnsi="Arial" w:cs="Arial"/>
          <w:color w:val="7B7B7B" w:themeColor="accent3" w:themeShade="BF"/>
          <w:sz w:val="22"/>
          <w:szCs w:val="22"/>
          <w:lang w:val="en-GB"/>
        </w:rPr>
        <w:t>.”</w:t>
      </w:r>
      <w:r w:rsidRPr="007662D4">
        <w:rPr>
          <w:rStyle w:val="FootnoteReference"/>
          <w:rFonts w:ascii="Arial" w:hAnsi="Arial" w:cs="Arial"/>
          <w:color w:val="7B7B7B" w:themeColor="accent3" w:themeShade="BF"/>
          <w:sz w:val="22"/>
          <w:szCs w:val="22"/>
          <w:lang w:val="en-GB"/>
        </w:rPr>
        <w:footnoteReference w:id="1"/>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6EE41192" w14:textId="77777777" w:rsidR="002F7189" w:rsidRPr="002F7189" w:rsidRDefault="00F2640C" w:rsidP="00F2640C">
      <w:pPr>
        <w:jc w:val="both"/>
        <w:rPr>
          <w:rFonts w:ascii="Arial" w:hAnsi="Arial" w:cs="Arial"/>
          <w:color w:val="7B7B7B" w:themeColor="accent3" w:themeShade="BF"/>
          <w:sz w:val="22"/>
          <w:szCs w:val="22"/>
          <w:lang w:val="en-GB"/>
        </w:rPr>
      </w:pPr>
      <w:r w:rsidRPr="002F7189">
        <w:rPr>
          <w:rFonts w:ascii="Arial" w:hAnsi="Arial" w:cs="Arial"/>
          <w:color w:val="7B7B7B" w:themeColor="accent3" w:themeShade="BF"/>
          <w:sz w:val="22"/>
          <w:szCs w:val="22"/>
          <w:lang w:val="en-GB"/>
        </w:rPr>
        <w:t>A</w:t>
      </w:r>
      <w:r w:rsidRPr="002F7189">
        <w:rPr>
          <w:rFonts w:ascii="Arial" w:hAnsi="Arial" w:cs="Arial"/>
          <w:color w:val="7B7B7B" w:themeColor="accent3" w:themeShade="BF"/>
          <w:sz w:val="22"/>
          <w:szCs w:val="22"/>
          <w:lang w:val="en-GB"/>
        </w:rPr>
        <w:t xml:space="preserve"> bankruptcy court ha</w:t>
      </w:r>
      <w:r w:rsidRPr="002F7189">
        <w:rPr>
          <w:rFonts w:ascii="Arial" w:hAnsi="Arial" w:cs="Arial"/>
          <w:color w:val="7B7B7B" w:themeColor="accent3" w:themeShade="BF"/>
          <w:sz w:val="22"/>
          <w:szCs w:val="22"/>
          <w:lang w:val="en-GB"/>
        </w:rPr>
        <w:t>s</w:t>
      </w:r>
      <w:r w:rsidRPr="002F7189">
        <w:rPr>
          <w:rFonts w:ascii="Arial" w:hAnsi="Arial" w:cs="Arial"/>
          <w:color w:val="7B7B7B" w:themeColor="accent3" w:themeShade="BF"/>
          <w:sz w:val="22"/>
          <w:szCs w:val="22"/>
          <w:lang w:val="en-GB"/>
        </w:rPr>
        <w:t xml:space="preserve"> constitutional authority to issue a final order</w:t>
      </w:r>
      <w:r w:rsidRPr="002F7189">
        <w:rPr>
          <w:rFonts w:ascii="Arial" w:hAnsi="Arial" w:cs="Arial"/>
          <w:color w:val="7B7B7B" w:themeColor="accent3" w:themeShade="BF"/>
          <w:sz w:val="22"/>
          <w:szCs w:val="22"/>
          <w:lang w:val="en-GB"/>
        </w:rPr>
        <w:t xml:space="preserve"> in core proceedings – which includes counterclaims by the estate against persons filing claims against the estate. </w:t>
      </w:r>
    </w:p>
    <w:p w14:paraId="4456173D" w14:textId="77777777" w:rsidR="002F7189" w:rsidRPr="002F7189" w:rsidRDefault="002F7189" w:rsidP="00F2640C">
      <w:pPr>
        <w:jc w:val="both"/>
        <w:rPr>
          <w:rFonts w:ascii="Arial" w:hAnsi="Arial" w:cs="Arial"/>
          <w:color w:val="7B7B7B" w:themeColor="accent3" w:themeShade="BF"/>
          <w:sz w:val="22"/>
          <w:szCs w:val="22"/>
          <w:lang w:val="en-GB"/>
        </w:rPr>
      </w:pPr>
    </w:p>
    <w:p w14:paraId="19659794" w14:textId="77777777" w:rsidR="002F7189" w:rsidRPr="002F7189" w:rsidRDefault="00F2640C" w:rsidP="00F2640C">
      <w:pPr>
        <w:jc w:val="both"/>
        <w:rPr>
          <w:rFonts w:ascii="Arial" w:hAnsi="Arial" w:cs="Arial"/>
          <w:color w:val="7B7B7B" w:themeColor="accent3" w:themeShade="BF"/>
          <w:sz w:val="22"/>
          <w:szCs w:val="22"/>
          <w:lang w:val="en-GB"/>
        </w:rPr>
      </w:pPr>
      <w:r w:rsidRPr="002F7189">
        <w:rPr>
          <w:rFonts w:ascii="Arial" w:hAnsi="Arial" w:cs="Arial"/>
          <w:color w:val="7B7B7B" w:themeColor="accent3" w:themeShade="BF"/>
          <w:sz w:val="22"/>
          <w:szCs w:val="22"/>
          <w:lang w:val="en-GB"/>
        </w:rPr>
        <w:t xml:space="preserve">In </w:t>
      </w:r>
      <w:r w:rsidRPr="002F7189">
        <w:rPr>
          <w:rFonts w:ascii="Arial" w:hAnsi="Arial" w:cs="Arial"/>
          <w:i/>
          <w:iCs/>
          <w:color w:val="7B7B7B" w:themeColor="accent3" w:themeShade="BF"/>
          <w:sz w:val="22"/>
          <w:szCs w:val="22"/>
          <w:lang w:val="en-GB"/>
        </w:rPr>
        <w:t>Stern v Marshall</w:t>
      </w:r>
      <w:r w:rsidR="002F7189" w:rsidRPr="002F7189">
        <w:rPr>
          <w:rFonts w:ascii="Arial" w:hAnsi="Arial" w:cs="Arial"/>
          <w:color w:val="7B7B7B" w:themeColor="accent3" w:themeShade="BF"/>
          <w:sz w:val="22"/>
          <w:szCs w:val="22"/>
          <w:lang w:val="en-GB"/>
        </w:rPr>
        <w:t>, where a claim had been filed against the debtor and the debtor counterclaimed,</w:t>
      </w:r>
      <w:r w:rsidRPr="002F7189">
        <w:rPr>
          <w:rFonts w:ascii="Arial" w:hAnsi="Arial" w:cs="Arial"/>
          <w:color w:val="7B7B7B" w:themeColor="accent3" w:themeShade="BF"/>
          <w:sz w:val="22"/>
          <w:szCs w:val="22"/>
          <w:lang w:val="en-GB"/>
        </w:rPr>
        <w:t xml:space="preserve"> the US Supreme Court determined that where a final order invades Article III jurisdiction</w:t>
      </w:r>
      <w:r w:rsidR="002F7189" w:rsidRPr="002F7189">
        <w:rPr>
          <w:rFonts w:ascii="Arial" w:hAnsi="Arial" w:cs="Arial"/>
          <w:color w:val="7B7B7B" w:themeColor="accent3" w:themeShade="BF"/>
          <w:sz w:val="22"/>
          <w:szCs w:val="22"/>
          <w:lang w:val="en-GB"/>
        </w:rPr>
        <w:t xml:space="preserve"> (the judicial branch of the federal government)</w:t>
      </w:r>
      <w:r w:rsidRPr="002F7189">
        <w:rPr>
          <w:rFonts w:ascii="Arial" w:hAnsi="Arial" w:cs="Arial"/>
          <w:color w:val="7B7B7B" w:themeColor="accent3" w:themeShade="BF"/>
          <w:sz w:val="22"/>
          <w:szCs w:val="22"/>
          <w:lang w:val="en-GB"/>
        </w:rPr>
        <w:t xml:space="preserve">, a bankruptcy court cannot issue final orders. </w:t>
      </w:r>
    </w:p>
    <w:p w14:paraId="3F3E1580" w14:textId="77777777" w:rsidR="002F7189" w:rsidRPr="002F7189" w:rsidRDefault="002F7189" w:rsidP="00F2640C">
      <w:pPr>
        <w:jc w:val="both"/>
        <w:rPr>
          <w:rFonts w:ascii="Arial" w:hAnsi="Arial" w:cs="Arial"/>
          <w:color w:val="7B7B7B" w:themeColor="accent3" w:themeShade="BF"/>
          <w:sz w:val="22"/>
          <w:szCs w:val="22"/>
          <w:lang w:val="en-GB"/>
        </w:rPr>
      </w:pPr>
    </w:p>
    <w:p w14:paraId="160A9EFB" w14:textId="52E434F7" w:rsidR="00DC359F" w:rsidRPr="002F7189" w:rsidRDefault="00F2640C" w:rsidP="00F2640C">
      <w:pPr>
        <w:jc w:val="both"/>
        <w:rPr>
          <w:rFonts w:ascii="Arial" w:hAnsi="Arial" w:cs="Arial"/>
          <w:color w:val="7B7B7B" w:themeColor="accent3" w:themeShade="BF"/>
          <w:sz w:val="22"/>
          <w:szCs w:val="22"/>
          <w:lang w:val="en-GB"/>
        </w:rPr>
      </w:pPr>
      <w:r w:rsidRPr="002F7189">
        <w:rPr>
          <w:rFonts w:ascii="Arial" w:hAnsi="Arial" w:cs="Arial"/>
          <w:color w:val="7B7B7B" w:themeColor="accent3" w:themeShade="BF"/>
          <w:sz w:val="22"/>
          <w:szCs w:val="22"/>
          <w:lang w:val="en-GB"/>
        </w:rPr>
        <w:t xml:space="preserve">In </w:t>
      </w:r>
      <w:r w:rsidRPr="002F7189">
        <w:rPr>
          <w:rFonts w:ascii="Arial" w:hAnsi="Arial" w:cs="Arial"/>
          <w:i/>
          <w:iCs/>
          <w:color w:val="7B7B7B" w:themeColor="accent3" w:themeShade="BF"/>
          <w:sz w:val="22"/>
          <w:szCs w:val="22"/>
          <w:lang w:val="en-GB"/>
        </w:rPr>
        <w:t xml:space="preserve">Stern v Marshall </w:t>
      </w:r>
      <w:r w:rsidRPr="002F7189">
        <w:rPr>
          <w:rFonts w:ascii="Arial" w:hAnsi="Arial" w:cs="Arial"/>
          <w:color w:val="7B7B7B" w:themeColor="accent3" w:themeShade="BF"/>
          <w:sz w:val="22"/>
          <w:szCs w:val="22"/>
          <w:lang w:val="en-GB"/>
        </w:rPr>
        <w:t xml:space="preserve">the bankruptcy court had issued its judgment, which was then appealed and at the same time there were ongoing separate state level proceedings where the judgment was made before the appeal </w:t>
      </w:r>
      <w:r w:rsidR="002F7189" w:rsidRPr="002F7189">
        <w:rPr>
          <w:rFonts w:ascii="Arial" w:hAnsi="Arial" w:cs="Arial"/>
          <w:color w:val="7B7B7B" w:themeColor="accent3" w:themeShade="BF"/>
          <w:sz w:val="22"/>
          <w:szCs w:val="22"/>
          <w:lang w:val="en-GB"/>
        </w:rPr>
        <w:t>was resolved</w:t>
      </w:r>
      <w:r w:rsidRPr="002F7189">
        <w:rPr>
          <w:rFonts w:ascii="Arial" w:hAnsi="Arial" w:cs="Arial"/>
          <w:color w:val="7B7B7B" w:themeColor="accent3" w:themeShade="BF"/>
          <w:sz w:val="22"/>
          <w:szCs w:val="22"/>
          <w:lang w:val="en-GB"/>
        </w:rPr>
        <w:t xml:space="preserve"> in the bankruptcy court. The US Supreme Court determined that the bankruptcy court</w:t>
      </w:r>
      <w:r w:rsidR="002F7189" w:rsidRPr="002F7189">
        <w:rPr>
          <w:rFonts w:ascii="Arial" w:hAnsi="Arial" w:cs="Arial"/>
          <w:color w:val="7B7B7B" w:themeColor="accent3" w:themeShade="BF"/>
          <w:sz w:val="22"/>
          <w:szCs w:val="22"/>
          <w:lang w:val="en-GB"/>
        </w:rPr>
        <w:t>’</w:t>
      </w:r>
      <w:r w:rsidRPr="002F7189">
        <w:rPr>
          <w:rFonts w:ascii="Arial" w:hAnsi="Arial" w:cs="Arial"/>
          <w:color w:val="7B7B7B" w:themeColor="accent3" w:themeShade="BF"/>
          <w:sz w:val="22"/>
          <w:szCs w:val="22"/>
          <w:lang w:val="en-GB"/>
        </w:rPr>
        <w:t xml:space="preserve">s final order was </w:t>
      </w:r>
      <w:r w:rsidR="002F7189" w:rsidRPr="002F7189">
        <w:rPr>
          <w:rFonts w:ascii="Arial" w:hAnsi="Arial" w:cs="Arial"/>
          <w:color w:val="7B7B7B" w:themeColor="accent3" w:themeShade="BF"/>
          <w:sz w:val="22"/>
          <w:szCs w:val="22"/>
          <w:lang w:val="en-GB"/>
        </w:rPr>
        <w:t xml:space="preserve">not </w:t>
      </w:r>
      <w:r w:rsidRPr="002F7189">
        <w:rPr>
          <w:rFonts w:ascii="Arial" w:hAnsi="Arial" w:cs="Arial"/>
          <w:color w:val="7B7B7B" w:themeColor="accent3" w:themeShade="BF"/>
          <w:sz w:val="22"/>
          <w:szCs w:val="22"/>
          <w:lang w:val="en-GB"/>
        </w:rPr>
        <w:t xml:space="preserve">constitutional over a state law claim under Article III.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6F83CEF7" w14:textId="57302966" w:rsidR="0045429E" w:rsidRPr="00512731" w:rsidRDefault="0045429E" w:rsidP="005B2A9B">
      <w:pPr>
        <w:jc w:val="both"/>
        <w:rPr>
          <w:rFonts w:ascii="Arial" w:hAnsi="Arial" w:cs="Arial"/>
          <w:color w:val="7B7B7B" w:themeColor="accent3" w:themeShade="BF"/>
          <w:sz w:val="22"/>
          <w:szCs w:val="22"/>
        </w:rPr>
      </w:pPr>
      <w:r w:rsidRPr="00512731">
        <w:rPr>
          <w:rFonts w:ascii="Arial" w:hAnsi="Arial" w:cs="Arial"/>
          <w:color w:val="7B7B7B" w:themeColor="accent3" w:themeShade="BF"/>
          <w:sz w:val="22"/>
          <w:szCs w:val="22"/>
        </w:rPr>
        <w:lastRenderedPageBreak/>
        <w:t xml:space="preserve">In chapter 15 proceedings a foreign representative cannot invoke the provisions of the Bankruptcy Code regarding avoidance powers – </w:t>
      </w:r>
      <w:r w:rsidR="00516386" w:rsidRPr="00512731">
        <w:rPr>
          <w:rFonts w:ascii="Arial" w:hAnsi="Arial" w:cs="Arial"/>
          <w:color w:val="7B7B7B" w:themeColor="accent3" w:themeShade="BF"/>
          <w:sz w:val="22"/>
          <w:szCs w:val="22"/>
        </w:rPr>
        <w:t xml:space="preserve">typically interpreted </w:t>
      </w:r>
      <w:r w:rsidR="00512731" w:rsidRPr="00512731">
        <w:rPr>
          <w:rFonts w:ascii="Arial" w:hAnsi="Arial" w:cs="Arial"/>
          <w:color w:val="7B7B7B" w:themeColor="accent3" w:themeShade="BF"/>
          <w:sz w:val="22"/>
          <w:szCs w:val="22"/>
        </w:rPr>
        <w:t>to</w:t>
      </w:r>
      <w:r w:rsidR="00516386" w:rsidRPr="00512731">
        <w:rPr>
          <w:rFonts w:ascii="Arial" w:hAnsi="Arial" w:cs="Arial"/>
          <w:color w:val="7B7B7B" w:themeColor="accent3" w:themeShade="BF"/>
          <w:sz w:val="22"/>
          <w:szCs w:val="22"/>
        </w:rPr>
        <w:t xml:space="preserve"> apply to </w:t>
      </w:r>
      <w:r w:rsidRPr="00512731">
        <w:rPr>
          <w:rFonts w:ascii="Arial" w:hAnsi="Arial" w:cs="Arial"/>
          <w:color w:val="7B7B7B" w:themeColor="accent3" w:themeShade="BF"/>
          <w:sz w:val="22"/>
          <w:szCs w:val="22"/>
        </w:rPr>
        <w:t xml:space="preserve">powers to unwind avoidance preferences and fraudulent conveyances. </w:t>
      </w:r>
    </w:p>
    <w:p w14:paraId="49A4AB4D" w14:textId="4D4C87D5" w:rsidR="00516386" w:rsidRPr="00512731" w:rsidRDefault="00516386" w:rsidP="005B2A9B">
      <w:pPr>
        <w:jc w:val="both"/>
        <w:rPr>
          <w:rFonts w:ascii="Arial" w:hAnsi="Arial" w:cs="Arial"/>
          <w:color w:val="7B7B7B" w:themeColor="accent3" w:themeShade="BF"/>
          <w:sz w:val="22"/>
          <w:szCs w:val="22"/>
        </w:rPr>
      </w:pPr>
    </w:p>
    <w:p w14:paraId="4844DDA4" w14:textId="197A9DC9" w:rsidR="00DC359F" w:rsidRPr="000A4EEE" w:rsidRDefault="00512731" w:rsidP="000A4EEE">
      <w:pPr>
        <w:jc w:val="both"/>
        <w:rPr>
          <w:rFonts w:ascii="Arial" w:hAnsi="Arial" w:cs="Arial"/>
          <w:color w:val="7B7B7B" w:themeColor="accent3" w:themeShade="BF"/>
          <w:sz w:val="22"/>
          <w:szCs w:val="22"/>
        </w:rPr>
      </w:pPr>
      <w:r w:rsidRPr="00512731">
        <w:rPr>
          <w:rFonts w:ascii="Arial" w:hAnsi="Arial" w:cs="Arial"/>
          <w:color w:val="7B7B7B" w:themeColor="accent3" w:themeShade="BF"/>
          <w:sz w:val="22"/>
          <w:szCs w:val="22"/>
        </w:rPr>
        <w:t>Upon recognition of the foreign proceeding, u</w:t>
      </w:r>
      <w:r w:rsidR="00516386" w:rsidRPr="00512731">
        <w:rPr>
          <w:rFonts w:ascii="Arial" w:hAnsi="Arial" w:cs="Arial"/>
          <w:color w:val="7B7B7B" w:themeColor="accent3" w:themeShade="BF"/>
          <w:sz w:val="22"/>
          <w:szCs w:val="22"/>
        </w:rPr>
        <w:t>nder</w:t>
      </w:r>
      <w:r w:rsidR="00516386" w:rsidRPr="00512731">
        <w:rPr>
          <w:color w:val="7B7B7B" w:themeColor="accent3" w:themeShade="BF"/>
        </w:rPr>
        <w:t xml:space="preserve"> </w:t>
      </w:r>
      <w:r w:rsidR="00516386" w:rsidRPr="00512731">
        <w:rPr>
          <w:rFonts w:ascii="Arial" w:hAnsi="Arial" w:cs="Arial"/>
          <w:color w:val="7B7B7B" w:themeColor="accent3" w:themeShade="BF"/>
          <w:sz w:val="22"/>
          <w:szCs w:val="22"/>
        </w:rPr>
        <w:t>11 U.S. Code § 1523</w:t>
      </w:r>
      <w:r w:rsidR="00516386" w:rsidRPr="00512731">
        <w:rPr>
          <w:rFonts w:ascii="Arial" w:hAnsi="Arial" w:cs="Arial"/>
          <w:color w:val="7B7B7B" w:themeColor="accent3" w:themeShade="BF"/>
          <w:sz w:val="22"/>
          <w:szCs w:val="22"/>
        </w:rPr>
        <w:t xml:space="preserve"> a foreign representative has standing to obtain equivalent relief </w:t>
      </w:r>
      <w:r w:rsidRPr="00512731">
        <w:rPr>
          <w:rFonts w:ascii="Arial" w:hAnsi="Arial" w:cs="Arial"/>
          <w:color w:val="7B7B7B" w:themeColor="accent3" w:themeShade="BF"/>
          <w:sz w:val="22"/>
          <w:szCs w:val="22"/>
        </w:rPr>
        <w:t xml:space="preserve">under chapter 7 or 11 plenary </w:t>
      </w:r>
      <w:proofErr w:type="gramStart"/>
      <w:r w:rsidRPr="00512731">
        <w:rPr>
          <w:rFonts w:ascii="Arial" w:hAnsi="Arial" w:cs="Arial"/>
          <w:color w:val="7B7B7B" w:themeColor="accent3" w:themeShade="BF"/>
          <w:sz w:val="22"/>
          <w:szCs w:val="22"/>
        </w:rPr>
        <w:t>proceedings,</w:t>
      </w:r>
      <w:proofErr w:type="gramEnd"/>
      <w:r w:rsidRPr="00512731">
        <w:rPr>
          <w:rFonts w:ascii="Arial" w:hAnsi="Arial" w:cs="Arial"/>
          <w:color w:val="7B7B7B" w:themeColor="accent3" w:themeShade="BF"/>
          <w:sz w:val="22"/>
          <w:szCs w:val="22"/>
        </w:rPr>
        <w:t xml:space="preserve"> however such relief is limited to US assets of the debtor.</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81A96D4" w14:textId="25D8DBCF" w:rsidR="000A4972" w:rsidRPr="00260F59" w:rsidRDefault="000A4972" w:rsidP="000A4972">
      <w:pPr>
        <w:jc w:val="both"/>
        <w:rPr>
          <w:rFonts w:ascii="Arial" w:hAnsi="Arial" w:cs="Arial"/>
          <w:color w:val="7B7B7B" w:themeColor="accent3" w:themeShade="BF"/>
          <w:sz w:val="22"/>
          <w:szCs w:val="22"/>
          <w:lang w:val="en-GB"/>
        </w:rPr>
      </w:pPr>
      <w:r w:rsidRPr="00260F59">
        <w:rPr>
          <w:rFonts w:ascii="Arial" w:hAnsi="Arial" w:cs="Arial"/>
          <w:color w:val="7B7B7B" w:themeColor="accent3" w:themeShade="BF"/>
          <w:sz w:val="22"/>
          <w:szCs w:val="22"/>
          <w:lang w:val="en-GB"/>
        </w:rPr>
        <w:t>Interlocutory orders are orders which resol</w:t>
      </w:r>
      <w:r w:rsidR="004E74BB" w:rsidRPr="00260F59">
        <w:rPr>
          <w:rFonts w:ascii="Arial" w:hAnsi="Arial" w:cs="Arial"/>
          <w:color w:val="7B7B7B" w:themeColor="accent3" w:themeShade="BF"/>
          <w:sz w:val="22"/>
          <w:szCs w:val="22"/>
          <w:lang w:val="en-GB"/>
        </w:rPr>
        <w:t xml:space="preserve">ve a specific issue or claim in a matter. </w:t>
      </w:r>
      <w:r w:rsidR="004E74BB" w:rsidRPr="00260F59">
        <w:rPr>
          <w:rFonts w:ascii="Arial" w:hAnsi="Arial" w:cs="Arial"/>
          <w:color w:val="7B7B7B" w:themeColor="accent3" w:themeShade="BF"/>
          <w:sz w:val="22"/>
          <w:szCs w:val="22"/>
          <w:lang w:val="en-GB"/>
        </w:rPr>
        <w:t xml:space="preserve">Interlocutory orders may be appealed only with leave of </w:t>
      </w:r>
      <w:r w:rsidR="00260F59" w:rsidRPr="00260F59">
        <w:rPr>
          <w:rFonts w:ascii="Arial" w:hAnsi="Arial" w:cs="Arial"/>
          <w:color w:val="7B7B7B" w:themeColor="accent3" w:themeShade="BF"/>
          <w:sz w:val="22"/>
          <w:szCs w:val="22"/>
          <w:lang w:val="en-GB"/>
        </w:rPr>
        <w:t xml:space="preserve">the </w:t>
      </w:r>
      <w:r w:rsidR="004E74BB" w:rsidRPr="00260F59">
        <w:rPr>
          <w:rFonts w:ascii="Arial" w:hAnsi="Arial" w:cs="Arial"/>
          <w:color w:val="7B7B7B" w:themeColor="accent3" w:themeShade="BF"/>
          <w:sz w:val="22"/>
          <w:szCs w:val="22"/>
          <w:lang w:val="en-GB"/>
        </w:rPr>
        <w:t>court.</w:t>
      </w:r>
    </w:p>
    <w:p w14:paraId="08703E7D" w14:textId="5519F316" w:rsidR="004E74BB" w:rsidRPr="00260F59" w:rsidRDefault="004E74BB" w:rsidP="000A4972">
      <w:pPr>
        <w:jc w:val="both"/>
        <w:rPr>
          <w:rFonts w:ascii="Arial" w:hAnsi="Arial" w:cs="Arial"/>
          <w:color w:val="7B7B7B" w:themeColor="accent3" w:themeShade="BF"/>
          <w:sz w:val="22"/>
          <w:szCs w:val="22"/>
          <w:lang w:val="en-GB"/>
        </w:rPr>
      </w:pPr>
    </w:p>
    <w:p w14:paraId="5F8F7D3D" w14:textId="06770616" w:rsidR="004E74BB" w:rsidRPr="00260F59" w:rsidRDefault="00260F59" w:rsidP="000A4972">
      <w:pPr>
        <w:jc w:val="both"/>
        <w:rPr>
          <w:rFonts w:ascii="Arial" w:hAnsi="Arial" w:cs="Arial"/>
          <w:color w:val="7B7B7B" w:themeColor="accent3" w:themeShade="BF"/>
          <w:sz w:val="22"/>
          <w:szCs w:val="22"/>
          <w:lang w:val="en-GB"/>
        </w:rPr>
      </w:pPr>
      <w:r w:rsidRPr="00260F59">
        <w:rPr>
          <w:rFonts w:ascii="Arial" w:hAnsi="Arial" w:cs="Arial"/>
          <w:color w:val="7B7B7B" w:themeColor="accent3" w:themeShade="BF"/>
          <w:sz w:val="22"/>
          <w:szCs w:val="22"/>
          <w:lang w:val="en-GB"/>
        </w:rPr>
        <w:t xml:space="preserve">Final orders are those which resolve all issues in a matter. Final orders may </w:t>
      </w:r>
      <w:proofErr w:type="gramStart"/>
      <w:r w:rsidRPr="00260F59">
        <w:rPr>
          <w:rFonts w:ascii="Arial" w:hAnsi="Arial" w:cs="Arial"/>
          <w:color w:val="7B7B7B" w:themeColor="accent3" w:themeShade="BF"/>
          <w:sz w:val="22"/>
          <w:szCs w:val="22"/>
          <w:lang w:val="en-GB"/>
        </w:rPr>
        <w:t>appealed</w:t>
      </w:r>
      <w:proofErr w:type="gramEnd"/>
      <w:r w:rsidRPr="00260F59">
        <w:rPr>
          <w:rFonts w:ascii="Arial" w:hAnsi="Arial" w:cs="Arial"/>
          <w:color w:val="7B7B7B" w:themeColor="accent3" w:themeShade="BF"/>
          <w:sz w:val="22"/>
          <w:szCs w:val="22"/>
          <w:lang w:val="en-GB"/>
        </w:rPr>
        <w:t xml:space="preserve"> as a matter of absolute right.</w:t>
      </w:r>
    </w:p>
    <w:p w14:paraId="53D64AD1" w14:textId="77777777" w:rsidR="000A4972" w:rsidRPr="00260F59" w:rsidRDefault="000A4972" w:rsidP="000A4972">
      <w:pPr>
        <w:jc w:val="both"/>
        <w:rPr>
          <w:rFonts w:ascii="Arial" w:hAnsi="Arial" w:cs="Arial"/>
          <w:color w:val="7B7B7B" w:themeColor="accent3" w:themeShade="BF"/>
          <w:sz w:val="22"/>
          <w:szCs w:val="22"/>
          <w:lang w:val="en-GB"/>
        </w:rPr>
      </w:pPr>
    </w:p>
    <w:p w14:paraId="43442A21" w14:textId="612148C7" w:rsidR="000A4972" w:rsidRPr="00260F59" w:rsidRDefault="000A4972" w:rsidP="000A4972">
      <w:pPr>
        <w:jc w:val="both"/>
        <w:rPr>
          <w:rFonts w:ascii="Arial" w:hAnsi="Arial" w:cs="Arial"/>
          <w:i/>
          <w:iCs/>
          <w:color w:val="7B7B7B" w:themeColor="accent3" w:themeShade="BF"/>
          <w:sz w:val="22"/>
          <w:szCs w:val="22"/>
          <w:lang w:val="en-GB"/>
        </w:rPr>
      </w:pPr>
      <w:r w:rsidRPr="00260F59">
        <w:rPr>
          <w:rFonts w:ascii="Arial" w:hAnsi="Arial" w:cs="Arial"/>
          <w:color w:val="7B7B7B" w:themeColor="accent3" w:themeShade="BF"/>
          <w:sz w:val="22"/>
          <w:szCs w:val="22"/>
          <w:lang w:val="en-GB"/>
        </w:rPr>
        <w:t>28 U.S. Code § 158 – Appeals (a)(1)-(3)</w:t>
      </w:r>
      <w:r w:rsidRPr="00260F59">
        <w:rPr>
          <w:rFonts w:ascii="Arial" w:hAnsi="Arial" w:cs="Arial"/>
          <w:color w:val="7B7B7B" w:themeColor="accent3" w:themeShade="BF"/>
          <w:sz w:val="22"/>
          <w:szCs w:val="22"/>
          <w:lang w:val="en-GB"/>
        </w:rPr>
        <w:t xml:space="preserve"> provides that</w:t>
      </w:r>
      <w:r w:rsidRPr="00260F59">
        <w:rPr>
          <w:rFonts w:ascii="Arial" w:hAnsi="Arial" w:cs="Arial"/>
          <w:color w:val="7B7B7B" w:themeColor="accent3" w:themeShade="BF"/>
          <w:sz w:val="22"/>
          <w:szCs w:val="22"/>
          <w:lang w:val="en-GB"/>
        </w:rPr>
        <w:t xml:space="preserve"> </w:t>
      </w:r>
      <w:r w:rsidRPr="00260F59">
        <w:rPr>
          <w:rFonts w:ascii="Arial" w:hAnsi="Arial" w:cs="Arial"/>
          <w:color w:val="7B7B7B" w:themeColor="accent3" w:themeShade="BF"/>
          <w:sz w:val="22"/>
          <w:szCs w:val="22"/>
          <w:lang w:val="en-GB"/>
        </w:rPr>
        <w:t>“</w:t>
      </w:r>
      <w:r w:rsidRPr="00260F59">
        <w:rPr>
          <w:rFonts w:ascii="Arial" w:hAnsi="Arial" w:cs="Arial"/>
          <w:i/>
          <w:iCs/>
          <w:color w:val="7B7B7B" w:themeColor="accent3" w:themeShade="BF"/>
          <w:sz w:val="22"/>
          <w:szCs w:val="22"/>
          <w:lang w:val="en-GB"/>
        </w:rPr>
        <w:t>district courts of the United States have jurisdiction to hear appeals</w:t>
      </w:r>
      <w:r w:rsidRPr="00260F59">
        <w:rPr>
          <w:rFonts w:ascii="Arial" w:hAnsi="Arial" w:cs="Arial"/>
          <w:i/>
          <w:iCs/>
          <w:color w:val="7B7B7B" w:themeColor="accent3" w:themeShade="BF"/>
          <w:sz w:val="22"/>
          <w:szCs w:val="22"/>
          <w:lang w:val="en-GB"/>
        </w:rPr>
        <w:t>:</w:t>
      </w:r>
    </w:p>
    <w:p w14:paraId="29111B64" w14:textId="40178FF3" w:rsidR="000A4972" w:rsidRPr="00260F59" w:rsidRDefault="000A4972" w:rsidP="000A4972">
      <w:pPr>
        <w:pStyle w:val="ListParagraph"/>
        <w:numPr>
          <w:ilvl w:val="0"/>
          <w:numId w:val="15"/>
        </w:numPr>
        <w:jc w:val="both"/>
        <w:rPr>
          <w:rFonts w:ascii="Arial" w:hAnsi="Arial" w:cs="Arial"/>
          <w:i/>
          <w:iCs/>
          <w:color w:val="7B7B7B" w:themeColor="accent3" w:themeShade="BF"/>
          <w:sz w:val="22"/>
          <w:szCs w:val="22"/>
          <w:lang w:val="en-GB"/>
        </w:rPr>
      </w:pPr>
      <w:r w:rsidRPr="00260F59">
        <w:rPr>
          <w:rFonts w:ascii="Arial" w:hAnsi="Arial" w:cs="Arial"/>
          <w:i/>
          <w:iCs/>
          <w:color w:val="7B7B7B" w:themeColor="accent3" w:themeShade="BF"/>
          <w:sz w:val="22"/>
          <w:szCs w:val="22"/>
          <w:lang w:val="en-GB"/>
        </w:rPr>
        <w:t xml:space="preserve">from final judgments, orders, and </w:t>
      </w:r>
      <w:proofErr w:type="gramStart"/>
      <w:r w:rsidRPr="00260F59">
        <w:rPr>
          <w:rFonts w:ascii="Arial" w:hAnsi="Arial" w:cs="Arial"/>
          <w:i/>
          <w:iCs/>
          <w:color w:val="7B7B7B" w:themeColor="accent3" w:themeShade="BF"/>
          <w:sz w:val="22"/>
          <w:szCs w:val="22"/>
          <w:lang w:val="en-GB"/>
        </w:rPr>
        <w:t>decrees;</w:t>
      </w:r>
      <w:proofErr w:type="gramEnd"/>
    </w:p>
    <w:p w14:paraId="10549848" w14:textId="202D7CF8" w:rsidR="000A4972" w:rsidRPr="00260F59" w:rsidRDefault="000A4972" w:rsidP="000A4972">
      <w:pPr>
        <w:pStyle w:val="ListParagraph"/>
        <w:numPr>
          <w:ilvl w:val="0"/>
          <w:numId w:val="15"/>
        </w:numPr>
        <w:jc w:val="both"/>
        <w:rPr>
          <w:rFonts w:ascii="Arial" w:hAnsi="Arial" w:cs="Arial"/>
          <w:i/>
          <w:iCs/>
          <w:color w:val="7B7B7B" w:themeColor="accent3" w:themeShade="BF"/>
          <w:sz w:val="22"/>
          <w:szCs w:val="22"/>
          <w:lang w:val="en-GB"/>
        </w:rPr>
      </w:pPr>
      <w:r w:rsidRPr="00260F59">
        <w:rPr>
          <w:rFonts w:ascii="Arial" w:hAnsi="Arial" w:cs="Arial"/>
          <w:i/>
          <w:iCs/>
          <w:color w:val="7B7B7B" w:themeColor="accent3" w:themeShade="BF"/>
          <w:sz w:val="22"/>
          <w:szCs w:val="22"/>
          <w:lang w:val="en-GB"/>
        </w:rPr>
        <w:t>from interlocutory orders and decrees issued under section 1121(d) of title 11 increasing or reducing the time periods referred to in section 1121 of such title; and</w:t>
      </w:r>
    </w:p>
    <w:p w14:paraId="2F269800" w14:textId="010BEC89" w:rsidR="000A4972" w:rsidRPr="00260F59" w:rsidRDefault="000A4972" w:rsidP="000A4972">
      <w:pPr>
        <w:pStyle w:val="ListParagraph"/>
        <w:numPr>
          <w:ilvl w:val="0"/>
          <w:numId w:val="15"/>
        </w:numPr>
        <w:jc w:val="both"/>
        <w:rPr>
          <w:rFonts w:ascii="Arial" w:hAnsi="Arial" w:cs="Arial"/>
          <w:i/>
          <w:iCs/>
          <w:color w:val="7B7B7B" w:themeColor="accent3" w:themeShade="BF"/>
          <w:sz w:val="22"/>
          <w:szCs w:val="22"/>
          <w:lang w:val="en-GB"/>
        </w:rPr>
      </w:pPr>
      <w:r w:rsidRPr="00260F59">
        <w:rPr>
          <w:rFonts w:ascii="Arial" w:hAnsi="Arial" w:cs="Arial"/>
          <w:i/>
          <w:iCs/>
          <w:color w:val="7B7B7B" w:themeColor="accent3" w:themeShade="BF"/>
          <w:sz w:val="22"/>
          <w:szCs w:val="22"/>
          <w:lang w:val="en-GB"/>
        </w:rPr>
        <w:t>with leave of the court, from other interlocutory orders and decrees</w:t>
      </w:r>
      <w:r w:rsidRPr="00260F59">
        <w:rPr>
          <w:rFonts w:ascii="Arial" w:hAnsi="Arial" w:cs="Arial"/>
          <w:i/>
          <w:iCs/>
          <w:color w:val="7B7B7B" w:themeColor="accent3" w:themeShade="BF"/>
          <w:sz w:val="22"/>
          <w:szCs w:val="22"/>
          <w:lang w:val="en-GB"/>
        </w:rPr>
        <w:t>.</w:t>
      </w:r>
      <w:r w:rsidRPr="00260F59">
        <w:rPr>
          <w:rFonts w:ascii="Arial" w:hAnsi="Arial" w:cs="Arial"/>
          <w:color w:val="7B7B7B" w:themeColor="accent3" w:themeShade="BF"/>
          <w:sz w:val="22"/>
          <w:szCs w:val="22"/>
          <w:lang w:val="en-GB"/>
        </w:rPr>
        <w:t>”</w:t>
      </w:r>
    </w:p>
    <w:p w14:paraId="41798374" w14:textId="77777777" w:rsidR="000A4972" w:rsidRDefault="000A4972" w:rsidP="005B2A9B">
      <w:pPr>
        <w:jc w:val="both"/>
        <w:rPr>
          <w:rFonts w:ascii="Arial" w:hAnsi="Arial" w:cs="Arial"/>
          <w:color w:val="FF0000"/>
          <w:sz w:val="22"/>
          <w:szCs w:val="22"/>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72842068" w14:textId="470B6AD4" w:rsidR="009D3F71" w:rsidRPr="00367161" w:rsidRDefault="00367161" w:rsidP="001A4F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ordinary course of business, u</w:t>
      </w:r>
      <w:r w:rsidR="009D3F71" w:rsidRPr="00367161">
        <w:rPr>
          <w:rFonts w:ascii="Arial" w:hAnsi="Arial" w:cs="Arial"/>
          <w:color w:val="7B7B7B" w:themeColor="accent3" w:themeShade="BF"/>
          <w:sz w:val="22"/>
          <w:szCs w:val="22"/>
          <w:lang w:val="en-GB"/>
        </w:rPr>
        <w:t xml:space="preserve">nder </w:t>
      </w:r>
      <w:r w:rsidR="009D3F71" w:rsidRPr="00367161">
        <w:rPr>
          <w:rFonts w:ascii="Arial" w:hAnsi="Arial" w:cs="Arial"/>
          <w:color w:val="7B7B7B" w:themeColor="accent3" w:themeShade="BF"/>
          <w:sz w:val="22"/>
          <w:szCs w:val="22"/>
          <w:lang w:val="en-GB"/>
        </w:rPr>
        <w:t>§ 102</w:t>
      </w:r>
      <w:r w:rsidR="009D3F71" w:rsidRPr="00367161">
        <w:rPr>
          <w:rFonts w:ascii="Arial" w:hAnsi="Arial" w:cs="Arial"/>
          <w:color w:val="7B7B7B" w:themeColor="accent3" w:themeShade="BF"/>
          <w:sz w:val="22"/>
          <w:szCs w:val="22"/>
          <w:lang w:val="en-GB"/>
        </w:rPr>
        <w:t>(b)(7) of the Del Gen Corp L, fiduciary duties owed by d</w:t>
      </w:r>
      <w:r w:rsidR="001A4F09" w:rsidRPr="00367161">
        <w:rPr>
          <w:rFonts w:ascii="Arial" w:hAnsi="Arial" w:cs="Arial"/>
          <w:color w:val="7B7B7B" w:themeColor="accent3" w:themeShade="BF"/>
          <w:sz w:val="22"/>
          <w:szCs w:val="22"/>
          <w:lang w:val="en-GB"/>
        </w:rPr>
        <w:t>irectors</w:t>
      </w:r>
      <w:r w:rsidR="009D3F71" w:rsidRPr="00367161">
        <w:rPr>
          <w:rFonts w:ascii="Arial" w:hAnsi="Arial" w:cs="Arial"/>
          <w:color w:val="7B7B7B" w:themeColor="accent3" w:themeShade="BF"/>
          <w:sz w:val="22"/>
          <w:szCs w:val="22"/>
          <w:lang w:val="en-GB"/>
        </w:rPr>
        <w:t xml:space="preserve"> of Delaware corporations</w:t>
      </w:r>
      <w:r w:rsidR="001A4F09" w:rsidRPr="0036716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the </w:t>
      </w:r>
      <w:proofErr w:type="gramStart"/>
      <w:r>
        <w:rPr>
          <w:rFonts w:ascii="Arial" w:hAnsi="Arial" w:cs="Arial"/>
          <w:color w:val="7B7B7B" w:themeColor="accent3" w:themeShade="BF"/>
          <w:sz w:val="22"/>
          <w:szCs w:val="22"/>
          <w:lang w:val="en-GB"/>
        </w:rPr>
        <w:t>corporation</w:t>
      </w:r>
      <w:proofErr w:type="gramEnd"/>
      <w:r>
        <w:rPr>
          <w:rFonts w:ascii="Arial" w:hAnsi="Arial" w:cs="Arial"/>
          <w:color w:val="7B7B7B" w:themeColor="accent3" w:themeShade="BF"/>
          <w:sz w:val="22"/>
          <w:szCs w:val="22"/>
          <w:lang w:val="en-GB"/>
        </w:rPr>
        <w:t xml:space="preserve"> or its shareholders</w:t>
      </w:r>
      <w:r w:rsidR="0008474A">
        <w:rPr>
          <w:rFonts w:ascii="Arial" w:hAnsi="Arial" w:cs="Arial"/>
          <w:color w:val="7B7B7B" w:themeColor="accent3" w:themeShade="BF"/>
          <w:sz w:val="22"/>
          <w:szCs w:val="22"/>
          <w:lang w:val="en-GB"/>
        </w:rPr>
        <w:t xml:space="preserve"> </w:t>
      </w:r>
      <w:r w:rsidR="009D3F71" w:rsidRPr="00367161">
        <w:rPr>
          <w:rFonts w:ascii="Arial" w:hAnsi="Arial" w:cs="Arial"/>
          <w:color w:val="7B7B7B" w:themeColor="accent3" w:themeShade="BF"/>
          <w:sz w:val="22"/>
          <w:szCs w:val="22"/>
          <w:lang w:val="en-GB"/>
        </w:rPr>
        <w:t>include:</w:t>
      </w:r>
    </w:p>
    <w:p w14:paraId="702127D0" w14:textId="41348B2F" w:rsidR="009D3F71" w:rsidRPr="00367161" w:rsidRDefault="009D3F71" w:rsidP="009D3F71">
      <w:pPr>
        <w:pStyle w:val="ListParagraph"/>
        <w:numPr>
          <w:ilvl w:val="0"/>
          <w:numId w:val="16"/>
        </w:numPr>
        <w:jc w:val="both"/>
        <w:rPr>
          <w:rFonts w:ascii="Arial" w:hAnsi="Arial" w:cs="Arial"/>
          <w:color w:val="7B7B7B" w:themeColor="accent3" w:themeShade="BF"/>
          <w:sz w:val="22"/>
          <w:szCs w:val="22"/>
          <w:lang w:val="en-GB"/>
        </w:rPr>
      </w:pPr>
      <w:r w:rsidRPr="00367161">
        <w:rPr>
          <w:rFonts w:ascii="Arial" w:hAnsi="Arial" w:cs="Arial"/>
          <w:color w:val="7B7B7B" w:themeColor="accent3" w:themeShade="BF"/>
          <w:sz w:val="22"/>
          <w:szCs w:val="22"/>
          <w:lang w:val="en-GB"/>
        </w:rPr>
        <w:t xml:space="preserve">duty of </w:t>
      </w:r>
      <w:r w:rsidR="001A4F09" w:rsidRPr="00367161">
        <w:rPr>
          <w:rFonts w:ascii="Arial" w:hAnsi="Arial" w:cs="Arial"/>
          <w:color w:val="7B7B7B" w:themeColor="accent3" w:themeShade="BF"/>
          <w:sz w:val="22"/>
          <w:szCs w:val="22"/>
          <w:lang w:val="en-GB"/>
        </w:rPr>
        <w:t>loyalty</w:t>
      </w:r>
      <w:r w:rsidR="00367161">
        <w:rPr>
          <w:rFonts w:ascii="Arial" w:hAnsi="Arial" w:cs="Arial"/>
          <w:color w:val="7B7B7B" w:themeColor="accent3" w:themeShade="BF"/>
          <w:sz w:val="22"/>
          <w:szCs w:val="22"/>
          <w:lang w:val="en-GB"/>
        </w:rPr>
        <w:t xml:space="preserve">, being the </w:t>
      </w:r>
      <w:r w:rsidRPr="00367161">
        <w:rPr>
          <w:rFonts w:ascii="Arial" w:hAnsi="Arial" w:cs="Arial"/>
          <w:color w:val="7B7B7B" w:themeColor="accent3" w:themeShade="BF"/>
          <w:sz w:val="22"/>
          <w:szCs w:val="22"/>
          <w:lang w:val="en-GB"/>
        </w:rPr>
        <w:t>duty to act in good faith, in the best interests of the corporation and its stockholders</w:t>
      </w:r>
      <w:r w:rsidR="00367161" w:rsidRPr="00367161">
        <w:rPr>
          <w:rFonts w:ascii="Arial" w:hAnsi="Arial" w:cs="Arial"/>
          <w:color w:val="7B7B7B" w:themeColor="accent3" w:themeShade="BF"/>
          <w:sz w:val="22"/>
          <w:szCs w:val="22"/>
          <w:lang w:val="en-GB"/>
        </w:rPr>
        <w:t xml:space="preserve"> and not for their own personal </w:t>
      </w:r>
      <w:proofErr w:type="gramStart"/>
      <w:r w:rsidR="00367161" w:rsidRPr="00367161">
        <w:rPr>
          <w:rFonts w:ascii="Arial" w:hAnsi="Arial" w:cs="Arial"/>
          <w:color w:val="7B7B7B" w:themeColor="accent3" w:themeShade="BF"/>
          <w:sz w:val="22"/>
          <w:szCs w:val="22"/>
          <w:lang w:val="en-GB"/>
        </w:rPr>
        <w:t>interests</w:t>
      </w:r>
      <w:r w:rsidRPr="00367161">
        <w:rPr>
          <w:rFonts w:ascii="Arial" w:hAnsi="Arial" w:cs="Arial"/>
          <w:color w:val="7B7B7B" w:themeColor="accent3" w:themeShade="BF"/>
          <w:sz w:val="22"/>
          <w:szCs w:val="22"/>
          <w:lang w:val="en-GB"/>
        </w:rPr>
        <w:t>;</w:t>
      </w:r>
      <w:proofErr w:type="gramEnd"/>
      <w:r w:rsidRPr="00367161">
        <w:rPr>
          <w:rFonts w:ascii="Arial" w:hAnsi="Arial" w:cs="Arial"/>
          <w:color w:val="7B7B7B" w:themeColor="accent3" w:themeShade="BF"/>
          <w:sz w:val="22"/>
          <w:szCs w:val="22"/>
          <w:lang w:val="en-GB"/>
        </w:rPr>
        <w:t xml:space="preserve"> </w:t>
      </w:r>
    </w:p>
    <w:p w14:paraId="04489F13" w14:textId="55CB3D2E" w:rsidR="009D3F71" w:rsidRDefault="009D3F71" w:rsidP="009D3F71">
      <w:pPr>
        <w:pStyle w:val="ListParagraph"/>
        <w:numPr>
          <w:ilvl w:val="0"/>
          <w:numId w:val="16"/>
        </w:numPr>
        <w:jc w:val="both"/>
        <w:rPr>
          <w:rFonts w:ascii="Arial" w:hAnsi="Arial" w:cs="Arial"/>
          <w:color w:val="7B7B7B" w:themeColor="accent3" w:themeShade="BF"/>
          <w:sz w:val="22"/>
          <w:szCs w:val="22"/>
          <w:lang w:val="en-GB"/>
        </w:rPr>
      </w:pPr>
      <w:r w:rsidRPr="00367161">
        <w:rPr>
          <w:rFonts w:ascii="Arial" w:hAnsi="Arial" w:cs="Arial"/>
          <w:color w:val="7B7B7B" w:themeColor="accent3" w:themeShade="BF"/>
          <w:sz w:val="22"/>
          <w:szCs w:val="22"/>
          <w:lang w:val="en-GB"/>
        </w:rPr>
        <w:t xml:space="preserve">duty of care </w:t>
      </w:r>
      <w:r w:rsidR="00367161" w:rsidRPr="00367161">
        <w:rPr>
          <w:rFonts w:ascii="Arial" w:hAnsi="Arial" w:cs="Arial"/>
          <w:color w:val="7B7B7B" w:themeColor="accent3" w:themeShade="BF"/>
          <w:sz w:val="22"/>
          <w:szCs w:val="22"/>
          <w:lang w:val="en-GB"/>
        </w:rPr>
        <w:t>in making informed business decisions for the benefit of the corporation and its stockholders.</w:t>
      </w:r>
    </w:p>
    <w:p w14:paraId="70F6E4DA" w14:textId="36ACBE10" w:rsidR="00331931" w:rsidRDefault="00331931" w:rsidP="00331931">
      <w:pPr>
        <w:jc w:val="both"/>
        <w:rPr>
          <w:rFonts w:ascii="Arial" w:hAnsi="Arial" w:cs="Arial"/>
          <w:color w:val="7B7B7B" w:themeColor="accent3" w:themeShade="BF"/>
          <w:sz w:val="22"/>
          <w:szCs w:val="22"/>
          <w:lang w:val="en-GB"/>
        </w:rPr>
      </w:pPr>
    </w:p>
    <w:p w14:paraId="1C044D72" w14:textId="56A9F86A" w:rsidR="00331931" w:rsidRDefault="00331931" w:rsidP="003319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Delaware law provides directors with a set of presumptions being the “business judgment rule”, which </w:t>
      </w:r>
      <w:r w:rsidR="00F37FCC">
        <w:rPr>
          <w:rFonts w:ascii="Arial" w:hAnsi="Arial" w:cs="Arial"/>
          <w:color w:val="7B7B7B" w:themeColor="accent3" w:themeShade="BF"/>
          <w:sz w:val="22"/>
          <w:szCs w:val="22"/>
          <w:lang w:val="en-GB"/>
        </w:rPr>
        <w:t xml:space="preserve">can </w:t>
      </w:r>
      <w:r>
        <w:rPr>
          <w:rFonts w:ascii="Arial" w:hAnsi="Arial" w:cs="Arial"/>
          <w:color w:val="7B7B7B" w:themeColor="accent3" w:themeShade="BF"/>
          <w:sz w:val="22"/>
          <w:szCs w:val="22"/>
          <w:lang w:val="en-GB"/>
        </w:rPr>
        <w:t>protect the directors from being held liable for any erro</w:t>
      </w:r>
      <w:r w:rsidR="0068770C">
        <w:rPr>
          <w:rFonts w:ascii="Arial" w:hAnsi="Arial" w:cs="Arial"/>
          <w:color w:val="7B7B7B" w:themeColor="accent3" w:themeShade="BF"/>
          <w:sz w:val="22"/>
          <w:szCs w:val="22"/>
          <w:lang w:val="en-GB"/>
        </w:rPr>
        <w:t>rs</w:t>
      </w:r>
      <w:r w:rsidR="000613BC">
        <w:rPr>
          <w:rFonts w:ascii="Arial" w:hAnsi="Arial" w:cs="Arial"/>
          <w:color w:val="7B7B7B" w:themeColor="accent3" w:themeShade="BF"/>
          <w:sz w:val="22"/>
          <w:szCs w:val="22"/>
          <w:lang w:val="en-GB"/>
        </w:rPr>
        <w:t>/losses</w:t>
      </w:r>
      <w:r w:rsidR="0068770C">
        <w:rPr>
          <w:rFonts w:ascii="Arial" w:hAnsi="Arial" w:cs="Arial"/>
          <w:color w:val="7B7B7B" w:themeColor="accent3" w:themeShade="BF"/>
          <w:sz w:val="22"/>
          <w:szCs w:val="22"/>
          <w:lang w:val="en-GB"/>
        </w:rPr>
        <w:t>. The business judgment</w:t>
      </w:r>
      <w:r w:rsidR="0008474A">
        <w:rPr>
          <w:rFonts w:ascii="Arial" w:hAnsi="Arial" w:cs="Arial"/>
          <w:color w:val="7B7B7B" w:themeColor="accent3" w:themeShade="BF"/>
          <w:sz w:val="22"/>
          <w:szCs w:val="22"/>
          <w:lang w:val="en-GB"/>
        </w:rPr>
        <w:t xml:space="preserve"> rule</w:t>
      </w:r>
      <w:r w:rsidR="000613BC">
        <w:rPr>
          <w:rFonts w:ascii="Arial" w:hAnsi="Arial" w:cs="Arial"/>
          <w:color w:val="7B7B7B" w:themeColor="accent3" w:themeShade="BF"/>
          <w:sz w:val="22"/>
          <w:szCs w:val="22"/>
          <w:lang w:val="en-GB"/>
        </w:rPr>
        <w:t xml:space="preserve"> presumes that </w:t>
      </w:r>
      <w:r w:rsidR="00F37FCC">
        <w:rPr>
          <w:rFonts w:ascii="Arial" w:hAnsi="Arial" w:cs="Arial"/>
          <w:color w:val="7B7B7B" w:themeColor="accent3" w:themeShade="BF"/>
          <w:sz w:val="22"/>
          <w:szCs w:val="22"/>
          <w:lang w:val="en-GB"/>
        </w:rPr>
        <w:t xml:space="preserve">directors were properly informed, had all relevant information, when discharging their duties </w:t>
      </w:r>
      <w:r w:rsidR="0008474A">
        <w:rPr>
          <w:rFonts w:ascii="Arial" w:hAnsi="Arial" w:cs="Arial"/>
          <w:color w:val="7B7B7B" w:themeColor="accent3" w:themeShade="BF"/>
          <w:sz w:val="22"/>
          <w:szCs w:val="22"/>
          <w:lang w:val="en-GB"/>
        </w:rPr>
        <w:t xml:space="preserve">as </w:t>
      </w:r>
      <w:r w:rsidR="00F37FCC">
        <w:rPr>
          <w:rFonts w:ascii="Arial" w:hAnsi="Arial" w:cs="Arial"/>
          <w:color w:val="7B7B7B" w:themeColor="accent3" w:themeShade="BF"/>
          <w:sz w:val="22"/>
          <w:szCs w:val="22"/>
          <w:lang w:val="en-GB"/>
        </w:rPr>
        <w:t>directors and making decisions affecting the corporation.</w:t>
      </w:r>
    </w:p>
    <w:p w14:paraId="2EFFD1D8" w14:textId="27220F48" w:rsidR="00F37FCC" w:rsidRDefault="00F37FCC" w:rsidP="00331931">
      <w:pPr>
        <w:jc w:val="both"/>
        <w:rPr>
          <w:rFonts w:ascii="Arial" w:hAnsi="Arial" w:cs="Arial"/>
          <w:color w:val="7B7B7B" w:themeColor="accent3" w:themeShade="BF"/>
          <w:sz w:val="22"/>
          <w:szCs w:val="22"/>
          <w:lang w:val="en-GB"/>
        </w:rPr>
      </w:pPr>
    </w:p>
    <w:p w14:paraId="60B0FF64" w14:textId="038FC148" w:rsidR="00F37FCC" w:rsidRPr="00331931" w:rsidRDefault="00F37FCC" w:rsidP="003319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should ideally be disinterested and independent, where this is not the case the business judgement rule would not apply.</w:t>
      </w:r>
    </w:p>
    <w:p w14:paraId="5913B7DE" w14:textId="2C78E49D" w:rsidR="009D3F71" w:rsidRDefault="009D3F71" w:rsidP="009D3F71">
      <w:pPr>
        <w:jc w:val="both"/>
        <w:rPr>
          <w:rFonts w:ascii="Arial" w:hAnsi="Arial" w:cs="Arial"/>
          <w:color w:val="FF0000"/>
          <w:sz w:val="22"/>
          <w:szCs w:val="22"/>
          <w:lang w:val="en-GB"/>
        </w:rPr>
      </w:pPr>
    </w:p>
    <w:p w14:paraId="0FE7F9FE" w14:textId="1C0E25F4" w:rsidR="001A4F09" w:rsidRDefault="00331931" w:rsidP="001A4F09">
      <w:pPr>
        <w:jc w:val="both"/>
        <w:rPr>
          <w:rFonts w:ascii="Arial" w:hAnsi="Arial" w:cs="Arial"/>
          <w:color w:val="7B7B7B" w:themeColor="accent3" w:themeShade="BF"/>
          <w:sz w:val="22"/>
          <w:szCs w:val="22"/>
          <w:lang w:val="en-GB"/>
        </w:rPr>
      </w:pPr>
      <w:r w:rsidRPr="00331931">
        <w:rPr>
          <w:rFonts w:ascii="Arial" w:hAnsi="Arial" w:cs="Arial"/>
          <w:color w:val="7B7B7B" w:themeColor="accent3" w:themeShade="BF"/>
          <w:sz w:val="22"/>
          <w:szCs w:val="22"/>
          <w:lang w:val="en-GB"/>
        </w:rPr>
        <w:t xml:space="preserve">The </w:t>
      </w:r>
      <w:proofErr w:type="gramStart"/>
      <w:r w:rsidRPr="00331931">
        <w:rPr>
          <w:rFonts w:ascii="Arial" w:hAnsi="Arial" w:cs="Arial"/>
          <w:color w:val="7B7B7B" w:themeColor="accent3" w:themeShade="BF"/>
          <w:sz w:val="22"/>
          <w:szCs w:val="22"/>
          <w:lang w:val="en-GB"/>
        </w:rPr>
        <w:t>directors</w:t>
      </w:r>
      <w:proofErr w:type="gramEnd"/>
      <w:r w:rsidRPr="00331931">
        <w:rPr>
          <w:rFonts w:ascii="Arial" w:hAnsi="Arial" w:cs="Arial"/>
          <w:color w:val="7B7B7B" w:themeColor="accent3" w:themeShade="BF"/>
          <w:sz w:val="22"/>
          <w:szCs w:val="22"/>
          <w:lang w:val="en-GB"/>
        </w:rPr>
        <w:t xml:space="preserve"> fiduciary duties are owed to the corporation or its shareholders whether a company is solvent, potentially insolvent or actually insolvent, directors fiduciary duties do not extend to creditors even in insolvency.</w:t>
      </w:r>
    </w:p>
    <w:p w14:paraId="65D2BA6F" w14:textId="77777777" w:rsidR="0008474A" w:rsidRPr="001A4F09" w:rsidRDefault="0008474A" w:rsidP="001A4F09">
      <w:pPr>
        <w:jc w:val="both"/>
        <w:rPr>
          <w:rFonts w:ascii="Arial" w:hAnsi="Arial" w:cs="Arial"/>
          <w:color w:val="FF0000"/>
          <w:sz w:val="22"/>
          <w:szCs w:val="22"/>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E3ACBA6" w14:textId="732CA774" w:rsidR="003B5B31" w:rsidRDefault="00DC4FC1" w:rsidP="005B2A9B">
      <w:pPr>
        <w:jc w:val="both"/>
        <w:rPr>
          <w:rFonts w:ascii="Arial" w:hAnsi="Arial" w:cs="Arial"/>
          <w:color w:val="7B7B7B" w:themeColor="accent3" w:themeShade="BF"/>
          <w:sz w:val="22"/>
          <w:szCs w:val="22"/>
          <w:lang w:val="en-GB"/>
        </w:rPr>
      </w:pPr>
      <w:r w:rsidRPr="00DC4FC1">
        <w:rPr>
          <w:rFonts w:ascii="Arial" w:hAnsi="Arial" w:cs="Arial"/>
          <w:color w:val="7B7B7B" w:themeColor="accent3" w:themeShade="BF"/>
          <w:sz w:val="22"/>
          <w:szCs w:val="22"/>
          <w:lang w:val="en-GB"/>
        </w:rPr>
        <w:t xml:space="preserve">In considering </w:t>
      </w:r>
      <w:r>
        <w:rPr>
          <w:rFonts w:ascii="Arial" w:hAnsi="Arial" w:cs="Arial"/>
          <w:color w:val="7B7B7B" w:themeColor="accent3" w:themeShade="BF"/>
          <w:sz w:val="22"/>
          <w:szCs w:val="22"/>
          <w:lang w:val="en-GB"/>
        </w:rPr>
        <w:t>if</w:t>
      </w:r>
      <w:r w:rsidRPr="00DC4FC1">
        <w:rPr>
          <w:rFonts w:ascii="Arial" w:hAnsi="Arial" w:cs="Arial"/>
          <w:color w:val="7B7B7B" w:themeColor="accent3" w:themeShade="BF"/>
          <w:sz w:val="22"/>
          <w:szCs w:val="22"/>
          <w:lang w:val="en-GB"/>
        </w:rPr>
        <w:t xml:space="preserve"> the foreign proceedings</w:t>
      </w:r>
      <w:r>
        <w:rPr>
          <w:rFonts w:ascii="Arial" w:hAnsi="Arial" w:cs="Arial"/>
          <w:color w:val="7B7B7B" w:themeColor="accent3" w:themeShade="BF"/>
          <w:sz w:val="22"/>
          <w:szCs w:val="22"/>
          <w:lang w:val="en-GB"/>
        </w:rPr>
        <w:t xml:space="preserve">/English scheme of arrangement </w:t>
      </w:r>
      <w:r w:rsidRPr="00DC4FC1">
        <w:rPr>
          <w:rFonts w:ascii="Arial" w:hAnsi="Arial" w:cs="Arial"/>
          <w:color w:val="7B7B7B" w:themeColor="accent3" w:themeShade="BF"/>
          <w:sz w:val="22"/>
          <w:szCs w:val="22"/>
          <w:lang w:val="en-GB"/>
        </w:rPr>
        <w:t xml:space="preserve">could be granted chapter 15 recognition as a foreign main or foreign non-main proceeding, you would need to consider the debtor’s </w:t>
      </w:r>
      <w:proofErr w:type="spellStart"/>
      <w:r w:rsidRPr="00DC4FC1">
        <w:rPr>
          <w:rFonts w:ascii="Arial" w:hAnsi="Arial" w:cs="Arial"/>
          <w:color w:val="7B7B7B" w:themeColor="accent3" w:themeShade="BF"/>
          <w:sz w:val="22"/>
          <w:szCs w:val="22"/>
          <w:lang w:val="en-GB"/>
        </w:rPr>
        <w:t>center</w:t>
      </w:r>
      <w:proofErr w:type="spellEnd"/>
      <w:r w:rsidRPr="00DC4FC1">
        <w:rPr>
          <w:rFonts w:ascii="Arial" w:hAnsi="Arial" w:cs="Arial"/>
          <w:color w:val="7B7B7B" w:themeColor="accent3" w:themeShade="BF"/>
          <w:sz w:val="22"/>
          <w:szCs w:val="22"/>
          <w:lang w:val="en-GB"/>
        </w:rPr>
        <w:t xml:space="preserve"> of main interests (“COMI”)</w:t>
      </w:r>
      <w:r>
        <w:rPr>
          <w:rFonts w:ascii="Arial" w:hAnsi="Arial" w:cs="Arial"/>
          <w:color w:val="7B7B7B" w:themeColor="accent3" w:themeShade="BF"/>
          <w:sz w:val="22"/>
          <w:szCs w:val="22"/>
          <w:lang w:val="en-GB"/>
        </w:rPr>
        <w:t xml:space="preserve">. </w:t>
      </w:r>
    </w:p>
    <w:p w14:paraId="13210A93" w14:textId="759F5F93" w:rsidR="00DC4FC1" w:rsidRDefault="00DC4FC1" w:rsidP="005B2A9B">
      <w:pPr>
        <w:jc w:val="both"/>
        <w:rPr>
          <w:rFonts w:ascii="Arial" w:hAnsi="Arial" w:cs="Arial"/>
          <w:color w:val="7B7B7B" w:themeColor="accent3" w:themeShade="BF"/>
          <w:sz w:val="22"/>
          <w:szCs w:val="22"/>
          <w:lang w:val="en-GB"/>
        </w:rPr>
      </w:pPr>
    </w:p>
    <w:p w14:paraId="64C74E76" w14:textId="6A2C9271" w:rsidR="00DC4FC1" w:rsidRDefault="00DC4FC1" w:rsidP="00DC4F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are such proceedings commenced in a debtor’s COMI. There is a rebuttable presumption that a debtor’s COMI is its country of incorporation, being Greece in the case of Gambling Corporation, therefore when considering the COMI, the following factors should </w:t>
      </w:r>
      <w:r w:rsidR="00FC3B3E">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be considered in analysis of the same, being the l</w:t>
      </w:r>
      <w:r w:rsidRPr="00DC4FC1">
        <w:rPr>
          <w:rFonts w:ascii="Arial" w:hAnsi="Arial" w:cs="Arial"/>
          <w:color w:val="7B7B7B" w:themeColor="accent3" w:themeShade="BF"/>
          <w:sz w:val="22"/>
          <w:szCs w:val="22"/>
          <w:lang w:val="en-GB"/>
        </w:rPr>
        <w:t>ocation of</w:t>
      </w:r>
      <w:r>
        <w:rPr>
          <w:rFonts w:ascii="Arial" w:hAnsi="Arial" w:cs="Arial"/>
          <w:color w:val="7B7B7B" w:themeColor="accent3" w:themeShade="BF"/>
          <w:sz w:val="22"/>
          <w:szCs w:val="22"/>
          <w:lang w:val="en-GB"/>
        </w:rPr>
        <w:t>:</w:t>
      </w:r>
    </w:p>
    <w:p w14:paraId="0494813D" w14:textId="77777777" w:rsidR="00DC4FC1" w:rsidRDefault="00DC4FC1" w:rsidP="00DC4FC1">
      <w:pPr>
        <w:pStyle w:val="ListParagraph"/>
        <w:numPr>
          <w:ilvl w:val="0"/>
          <w:numId w:val="17"/>
        </w:numPr>
        <w:jc w:val="both"/>
        <w:rPr>
          <w:rFonts w:ascii="Arial" w:hAnsi="Arial" w:cs="Arial"/>
          <w:color w:val="7B7B7B" w:themeColor="accent3" w:themeShade="BF"/>
          <w:sz w:val="22"/>
          <w:szCs w:val="22"/>
          <w:lang w:val="en-GB"/>
        </w:rPr>
      </w:pPr>
      <w:r w:rsidRPr="00DC4FC1">
        <w:rPr>
          <w:rFonts w:ascii="Arial" w:hAnsi="Arial" w:cs="Arial"/>
          <w:color w:val="7B7B7B" w:themeColor="accent3" w:themeShade="BF"/>
          <w:sz w:val="22"/>
          <w:szCs w:val="22"/>
          <w:lang w:val="en-GB"/>
        </w:rPr>
        <w:t>headquarters</w:t>
      </w:r>
    </w:p>
    <w:p w14:paraId="75803C17" w14:textId="10B734BE" w:rsidR="00DC4FC1" w:rsidRPr="00DC4FC1" w:rsidRDefault="00DC4FC1" w:rsidP="00DC4FC1">
      <w:pPr>
        <w:pStyle w:val="ListParagraph"/>
        <w:numPr>
          <w:ilvl w:val="0"/>
          <w:numId w:val="17"/>
        </w:numPr>
        <w:jc w:val="both"/>
        <w:rPr>
          <w:rFonts w:ascii="Arial" w:hAnsi="Arial" w:cs="Arial"/>
          <w:color w:val="7B7B7B" w:themeColor="accent3" w:themeShade="BF"/>
          <w:sz w:val="22"/>
          <w:szCs w:val="22"/>
          <w:lang w:val="en-GB"/>
        </w:rPr>
      </w:pPr>
      <w:r w:rsidRPr="00DC4FC1">
        <w:rPr>
          <w:rFonts w:ascii="Arial" w:hAnsi="Arial" w:cs="Arial"/>
          <w:color w:val="7B7B7B" w:themeColor="accent3" w:themeShade="BF"/>
          <w:sz w:val="22"/>
          <w:szCs w:val="22"/>
          <w:lang w:val="en-GB"/>
        </w:rPr>
        <w:t>management</w:t>
      </w:r>
    </w:p>
    <w:p w14:paraId="538E39C3" w14:textId="502EBE3A" w:rsidR="00DC4FC1" w:rsidRPr="00DC4FC1" w:rsidRDefault="00DC4FC1" w:rsidP="00DC4FC1">
      <w:pPr>
        <w:pStyle w:val="ListParagraph"/>
        <w:numPr>
          <w:ilvl w:val="0"/>
          <w:numId w:val="17"/>
        </w:numPr>
        <w:jc w:val="both"/>
        <w:rPr>
          <w:rFonts w:ascii="Arial" w:hAnsi="Arial" w:cs="Arial"/>
          <w:color w:val="7B7B7B" w:themeColor="accent3" w:themeShade="BF"/>
          <w:sz w:val="22"/>
          <w:szCs w:val="22"/>
          <w:lang w:val="en-GB"/>
        </w:rPr>
      </w:pPr>
      <w:r w:rsidRPr="00DC4FC1">
        <w:rPr>
          <w:rFonts w:ascii="Arial" w:hAnsi="Arial" w:cs="Arial"/>
          <w:color w:val="7B7B7B" w:themeColor="accent3" w:themeShade="BF"/>
          <w:sz w:val="22"/>
          <w:szCs w:val="22"/>
          <w:lang w:val="en-GB"/>
        </w:rPr>
        <w:t xml:space="preserve">primary assets </w:t>
      </w:r>
    </w:p>
    <w:p w14:paraId="124ACDFA" w14:textId="5F6F0C00" w:rsidR="00DC4FC1" w:rsidRPr="00DC4FC1" w:rsidRDefault="00DC4FC1" w:rsidP="00DC4FC1">
      <w:pPr>
        <w:pStyle w:val="ListParagraph"/>
        <w:numPr>
          <w:ilvl w:val="0"/>
          <w:numId w:val="17"/>
        </w:numPr>
        <w:jc w:val="both"/>
        <w:rPr>
          <w:rFonts w:ascii="Arial" w:hAnsi="Arial" w:cs="Arial"/>
          <w:color w:val="7B7B7B" w:themeColor="accent3" w:themeShade="BF"/>
          <w:sz w:val="22"/>
          <w:szCs w:val="22"/>
          <w:lang w:val="en-GB"/>
        </w:rPr>
      </w:pPr>
      <w:r w:rsidRPr="00DC4FC1">
        <w:rPr>
          <w:rFonts w:ascii="Arial" w:hAnsi="Arial" w:cs="Arial"/>
          <w:color w:val="7B7B7B" w:themeColor="accent3" w:themeShade="BF"/>
          <w:sz w:val="22"/>
          <w:szCs w:val="22"/>
          <w:lang w:val="en-GB"/>
        </w:rPr>
        <w:t xml:space="preserve">majority of debtors creditors or </w:t>
      </w:r>
      <w:proofErr w:type="gramStart"/>
      <w:r w:rsidRPr="00DC4FC1">
        <w:rPr>
          <w:rFonts w:ascii="Arial" w:hAnsi="Arial" w:cs="Arial"/>
          <w:color w:val="7B7B7B" w:themeColor="accent3" w:themeShade="BF"/>
          <w:sz w:val="22"/>
          <w:szCs w:val="22"/>
          <w:lang w:val="en-GB"/>
        </w:rPr>
        <w:t>a majority of</w:t>
      </w:r>
      <w:proofErr w:type="gramEnd"/>
      <w:r w:rsidRPr="00DC4FC1">
        <w:rPr>
          <w:rFonts w:ascii="Arial" w:hAnsi="Arial" w:cs="Arial"/>
          <w:color w:val="7B7B7B" w:themeColor="accent3" w:themeShade="BF"/>
          <w:sz w:val="22"/>
          <w:szCs w:val="22"/>
          <w:lang w:val="en-GB"/>
        </w:rPr>
        <w:t xml:space="preserve"> the creditors that will be affected by the relief requested by the foreign representative </w:t>
      </w:r>
    </w:p>
    <w:p w14:paraId="5ACCA505" w14:textId="0C171CFD" w:rsidR="00DC4FC1" w:rsidRDefault="00DC4FC1" w:rsidP="00DC4FC1">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w:t>
      </w:r>
      <w:r w:rsidRPr="00DC4FC1">
        <w:rPr>
          <w:rFonts w:ascii="Arial" w:hAnsi="Arial" w:cs="Arial"/>
          <w:color w:val="7B7B7B" w:themeColor="accent3" w:themeShade="BF"/>
          <w:sz w:val="22"/>
          <w:szCs w:val="22"/>
          <w:lang w:val="en-GB"/>
        </w:rPr>
        <w:t>urisdiction whose law will apply to most disputes</w:t>
      </w:r>
      <w:r>
        <w:rPr>
          <w:rFonts w:ascii="Arial" w:hAnsi="Arial" w:cs="Arial"/>
          <w:color w:val="7B7B7B" w:themeColor="accent3" w:themeShade="BF"/>
          <w:sz w:val="22"/>
          <w:szCs w:val="22"/>
          <w:lang w:val="en-GB"/>
        </w:rPr>
        <w:t>.</w:t>
      </w:r>
    </w:p>
    <w:p w14:paraId="6DBFD6CC" w14:textId="550CA622" w:rsidR="00DC4FC1" w:rsidRDefault="00DC4FC1" w:rsidP="00DC4FC1">
      <w:pPr>
        <w:jc w:val="both"/>
        <w:rPr>
          <w:rFonts w:ascii="Arial" w:hAnsi="Arial" w:cs="Arial"/>
          <w:color w:val="7B7B7B" w:themeColor="accent3" w:themeShade="BF"/>
          <w:sz w:val="22"/>
          <w:szCs w:val="22"/>
          <w:lang w:val="en-GB"/>
        </w:rPr>
      </w:pPr>
    </w:p>
    <w:p w14:paraId="614E4309" w14:textId="04DD0EF7" w:rsidR="00DC4FC1" w:rsidRDefault="00DC4FC1" w:rsidP="00DC4F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Gambling Corporation’s place of incorporation and </w:t>
      </w:r>
      <w:r w:rsidR="00FC3B3E">
        <w:rPr>
          <w:rFonts w:ascii="Arial" w:hAnsi="Arial" w:cs="Arial"/>
          <w:color w:val="7B7B7B" w:themeColor="accent3" w:themeShade="BF"/>
          <w:sz w:val="22"/>
          <w:szCs w:val="22"/>
          <w:lang w:val="en-GB"/>
        </w:rPr>
        <w:t>principal</w:t>
      </w:r>
      <w:r>
        <w:rPr>
          <w:rFonts w:ascii="Arial" w:hAnsi="Arial" w:cs="Arial"/>
          <w:color w:val="7B7B7B" w:themeColor="accent3" w:themeShade="BF"/>
          <w:sz w:val="22"/>
          <w:szCs w:val="22"/>
          <w:lang w:val="en-GB"/>
        </w:rPr>
        <w:t xml:space="preserve"> place of business is in Greece</w:t>
      </w:r>
      <w:r w:rsidR="00FC3B3E">
        <w:rPr>
          <w:rFonts w:ascii="Arial" w:hAnsi="Arial" w:cs="Arial"/>
          <w:color w:val="7B7B7B" w:themeColor="accent3" w:themeShade="BF"/>
          <w:sz w:val="22"/>
          <w:szCs w:val="22"/>
          <w:lang w:val="en-GB"/>
        </w:rPr>
        <w:t>. With the information provided it is not clear of the location of the primary assets</w:t>
      </w:r>
      <w:r w:rsidR="00340B03">
        <w:rPr>
          <w:rFonts w:ascii="Arial" w:hAnsi="Arial" w:cs="Arial"/>
          <w:color w:val="7B7B7B" w:themeColor="accent3" w:themeShade="BF"/>
          <w:sz w:val="22"/>
          <w:szCs w:val="22"/>
          <w:lang w:val="en-GB"/>
        </w:rPr>
        <w:t>, majority of creditors of the company or those affected by the requested relief or jurisdiction that will apply to most disputes (as only aware of the dispute governed by English law) so</w:t>
      </w:r>
      <w:r w:rsidR="000A4EEE">
        <w:rPr>
          <w:rFonts w:ascii="Arial" w:hAnsi="Arial" w:cs="Arial"/>
          <w:color w:val="7B7B7B" w:themeColor="accent3" w:themeShade="BF"/>
          <w:sz w:val="22"/>
          <w:szCs w:val="22"/>
          <w:lang w:val="en-GB"/>
        </w:rPr>
        <w:t xml:space="preserve"> we are</w:t>
      </w:r>
      <w:r w:rsidR="00340B03">
        <w:rPr>
          <w:rFonts w:ascii="Arial" w:hAnsi="Arial" w:cs="Arial"/>
          <w:color w:val="7B7B7B" w:themeColor="accent3" w:themeShade="BF"/>
          <w:sz w:val="22"/>
          <w:szCs w:val="22"/>
          <w:lang w:val="en-GB"/>
        </w:rPr>
        <w:t xml:space="preserve"> unable to </w:t>
      </w:r>
      <w:proofErr w:type="gramStart"/>
      <w:r w:rsidR="00340B03">
        <w:rPr>
          <w:rFonts w:ascii="Arial" w:hAnsi="Arial" w:cs="Arial"/>
          <w:color w:val="7B7B7B" w:themeColor="accent3" w:themeShade="BF"/>
          <w:sz w:val="22"/>
          <w:szCs w:val="22"/>
          <w:lang w:val="en-GB"/>
        </w:rPr>
        <w:t>make a determination</w:t>
      </w:r>
      <w:proofErr w:type="gramEnd"/>
      <w:r w:rsidR="00340B03">
        <w:rPr>
          <w:rFonts w:ascii="Arial" w:hAnsi="Arial" w:cs="Arial"/>
          <w:color w:val="7B7B7B" w:themeColor="accent3" w:themeShade="BF"/>
          <w:sz w:val="22"/>
          <w:szCs w:val="22"/>
          <w:lang w:val="en-GB"/>
        </w:rPr>
        <w:t xml:space="preserve"> other than Greece being the debtor’s COMI. As such based on the information provided the English scheme of arrangement would likely not be granted chapter 15 recognition as a foreign main proceeding.</w:t>
      </w:r>
    </w:p>
    <w:p w14:paraId="07E50748" w14:textId="0544BC13" w:rsidR="00340B03" w:rsidRDefault="00340B03" w:rsidP="00DC4FC1">
      <w:pPr>
        <w:jc w:val="both"/>
        <w:rPr>
          <w:rFonts w:ascii="Arial" w:hAnsi="Arial" w:cs="Arial"/>
          <w:color w:val="7B7B7B" w:themeColor="accent3" w:themeShade="BF"/>
          <w:sz w:val="22"/>
          <w:szCs w:val="22"/>
          <w:lang w:val="en-GB"/>
        </w:rPr>
      </w:pPr>
    </w:p>
    <w:p w14:paraId="7E7623A1" w14:textId="73262587" w:rsidR="003B5B31" w:rsidRPr="00F35653" w:rsidRDefault="00340B03" w:rsidP="00F35653">
      <w:pPr>
        <w:jc w:val="both"/>
        <w:rPr>
          <w:rFonts w:ascii="Arial" w:hAnsi="Arial" w:cs="Arial"/>
          <w:color w:val="FF0000"/>
          <w:sz w:val="22"/>
          <w:szCs w:val="22"/>
          <w:lang w:val="en-GB"/>
        </w:rPr>
      </w:pPr>
      <w:r>
        <w:rPr>
          <w:rFonts w:ascii="Arial" w:hAnsi="Arial" w:cs="Arial"/>
          <w:color w:val="7B7B7B" w:themeColor="accent3" w:themeShade="BF"/>
          <w:sz w:val="22"/>
          <w:szCs w:val="22"/>
          <w:lang w:val="en-GB"/>
        </w:rPr>
        <w:t>Where the proceedings are taken place in a jurisdiction other than the debtor’s COMI i.e., under English law in this case, then the proceedings can be granted chapter 15 recognition</w:t>
      </w:r>
      <w:r w:rsidR="00615FD5">
        <w:rPr>
          <w:rFonts w:ascii="Arial" w:hAnsi="Arial" w:cs="Arial"/>
          <w:color w:val="7B7B7B" w:themeColor="accent3" w:themeShade="BF"/>
          <w:sz w:val="22"/>
          <w:szCs w:val="22"/>
          <w:lang w:val="en-GB"/>
        </w:rPr>
        <w:t xml:space="preserve"> as a foreign non-main proceeding where the debtor has an establishment in the jurisdictio</w:t>
      </w:r>
      <w:r w:rsidR="000313F0">
        <w:rPr>
          <w:rFonts w:ascii="Arial" w:hAnsi="Arial" w:cs="Arial"/>
          <w:color w:val="7B7B7B" w:themeColor="accent3" w:themeShade="BF"/>
          <w:sz w:val="22"/>
          <w:szCs w:val="22"/>
          <w:lang w:val="en-GB"/>
        </w:rPr>
        <w:t xml:space="preserve">n, that was in existence prior to commencement of the chapter 15 proceedings. Under </w:t>
      </w:r>
      <w:r w:rsidR="000313F0" w:rsidRPr="000313F0">
        <w:rPr>
          <w:rFonts w:ascii="Arial" w:hAnsi="Arial" w:cs="Arial"/>
          <w:color w:val="7B7B7B" w:themeColor="accent3" w:themeShade="BF"/>
          <w:sz w:val="22"/>
          <w:szCs w:val="22"/>
          <w:lang w:val="en-GB"/>
        </w:rPr>
        <w:t>11 U.S. Code § 1502</w:t>
      </w:r>
      <w:r w:rsidR="000313F0">
        <w:rPr>
          <w:rFonts w:ascii="Arial" w:hAnsi="Arial" w:cs="Arial"/>
          <w:color w:val="7B7B7B" w:themeColor="accent3" w:themeShade="BF"/>
          <w:sz w:val="22"/>
          <w:szCs w:val="22"/>
          <w:lang w:val="en-GB"/>
        </w:rPr>
        <w:t xml:space="preserve"> establishment means “</w:t>
      </w:r>
      <w:r w:rsidR="000313F0" w:rsidRPr="000313F0">
        <w:rPr>
          <w:rFonts w:ascii="Arial" w:hAnsi="Arial" w:cs="Arial"/>
          <w:color w:val="7B7B7B" w:themeColor="accent3" w:themeShade="BF"/>
          <w:sz w:val="22"/>
          <w:szCs w:val="22"/>
          <w:lang w:val="en-GB"/>
        </w:rPr>
        <w:t>any place of operations where the debtor carries out a non</w:t>
      </w:r>
      <w:r w:rsidR="000313F0" w:rsidRPr="000313F0">
        <w:rPr>
          <w:rFonts w:ascii="Arial" w:hAnsi="Arial" w:cs="Arial"/>
          <w:color w:val="7B7B7B" w:themeColor="accent3" w:themeShade="BF"/>
          <w:sz w:val="22"/>
          <w:szCs w:val="22"/>
          <w:lang w:val="en-GB"/>
        </w:rPr>
        <w:t>-</w:t>
      </w:r>
      <w:r w:rsidR="000313F0" w:rsidRPr="000313F0">
        <w:rPr>
          <w:rFonts w:ascii="Arial" w:hAnsi="Arial" w:cs="Arial"/>
          <w:color w:val="7B7B7B" w:themeColor="accent3" w:themeShade="BF"/>
          <w:sz w:val="22"/>
          <w:szCs w:val="22"/>
          <w:lang w:val="en-GB"/>
        </w:rPr>
        <w:t>transitory economic activity</w:t>
      </w:r>
      <w:r w:rsidR="000313F0">
        <w:rPr>
          <w:rFonts w:ascii="Arial" w:hAnsi="Arial" w:cs="Arial"/>
          <w:color w:val="7B7B7B" w:themeColor="accent3" w:themeShade="BF"/>
          <w:sz w:val="22"/>
          <w:szCs w:val="22"/>
          <w:lang w:val="en-GB"/>
        </w:rPr>
        <w:t>”</w:t>
      </w:r>
      <w:r w:rsidR="000313F0" w:rsidRPr="000313F0">
        <w:rPr>
          <w:rFonts w:ascii="Arial" w:hAnsi="Arial" w:cs="Arial"/>
          <w:color w:val="7B7B7B" w:themeColor="accent3" w:themeShade="BF"/>
          <w:sz w:val="22"/>
          <w:szCs w:val="22"/>
          <w:lang w:val="en-GB"/>
        </w:rPr>
        <w:t>.</w:t>
      </w:r>
      <w:r w:rsidR="000313F0">
        <w:rPr>
          <w:rFonts w:ascii="Arial" w:hAnsi="Arial" w:cs="Arial"/>
          <w:color w:val="7B7B7B" w:themeColor="accent3" w:themeShade="BF"/>
          <w:sz w:val="22"/>
          <w:szCs w:val="22"/>
          <w:lang w:val="en-GB"/>
        </w:rPr>
        <w:t xml:space="preserve"> </w:t>
      </w:r>
      <w:r w:rsidR="000A4EEE">
        <w:rPr>
          <w:rFonts w:ascii="Arial" w:hAnsi="Arial" w:cs="Arial"/>
          <w:color w:val="7B7B7B" w:themeColor="accent3" w:themeShade="BF"/>
          <w:sz w:val="22"/>
          <w:szCs w:val="22"/>
          <w:lang w:val="en-GB"/>
        </w:rPr>
        <w:t>Gambling</w:t>
      </w:r>
      <w:r w:rsidR="000313F0">
        <w:rPr>
          <w:rFonts w:ascii="Arial" w:hAnsi="Arial" w:cs="Arial"/>
          <w:color w:val="7B7B7B" w:themeColor="accent3" w:themeShade="BF"/>
          <w:sz w:val="22"/>
          <w:szCs w:val="22"/>
          <w:lang w:val="en-GB"/>
        </w:rPr>
        <w:t xml:space="preserve"> Corporation operates casinos and betting parlours in international cities, including London. In this instance we would need to consider if the casino is a non-transitory economic activity, </w:t>
      </w:r>
      <w:proofErr w:type="gramStart"/>
      <w:r w:rsidR="000313F0">
        <w:rPr>
          <w:rFonts w:ascii="Arial" w:hAnsi="Arial" w:cs="Arial"/>
          <w:color w:val="7B7B7B" w:themeColor="accent3" w:themeShade="BF"/>
          <w:sz w:val="22"/>
          <w:szCs w:val="22"/>
          <w:lang w:val="en-GB"/>
        </w:rPr>
        <w:t>i.e.</w:t>
      </w:r>
      <w:proofErr w:type="gramEnd"/>
      <w:r w:rsidR="000313F0">
        <w:rPr>
          <w:rFonts w:ascii="Arial" w:hAnsi="Arial" w:cs="Arial"/>
          <w:color w:val="7B7B7B" w:themeColor="accent3" w:themeShade="BF"/>
          <w:sz w:val="22"/>
          <w:szCs w:val="22"/>
          <w:lang w:val="en-GB"/>
        </w:rPr>
        <w:t xml:space="preserve"> permanent and if so the English scheme of arrangement </w:t>
      </w:r>
      <w:r w:rsidR="00F35653" w:rsidRPr="000313F0">
        <w:rPr>
          <w:rFonts w:ascii="Arial" w:hAnsi="Arial" w:cs="Arial"/>
          <w:color w:val="7B7B7B" w:themeColor="accent3" w:themeShade="BF"/>
          <w:sz w:val="22"/>
          <w:szCs w:val="22"/>
          <w:lang w:val="en-GB"/>
        </w:rPr>
        <w:t xml:space="preserve">would be granted </w:t>
      </w:r>
      <w:r w:rsidR="000313F0" w:rsidRPr="000313F0">
        <w:rPr>
          <w:rFonts w:ascii="Arial" w:hAnsi="Arial" w:cs="Arial"/>
          <w:color w:val="7B7B7B" w:themeColor="accent3" w:themeShade="BF"/>
          <w:sz w:val="22"/>
          <w:szCs w:val="22"/>
          <w:lang w:val="en-GB"/>
        </w:rPr>
        <w:t xml:space="preserve">chapter 15 </w:t>
      </w:r>
      <w:r w:rsidR="00F35653" w:rsidRPr="000313F0">
        <w:rPr>
          <w:rFonts w:ascii="Arial" w:hAnsi="Arial" w:cs="Arial"/>
          <w:color w:val="7B7B7B" w:themeColor="accent3" w:themeShade="BF"/>
          <w:sz w:val="22"/>
          <w:szCs w:val="22"/>
          <w:lang w:val="en-GB"/>
        </w:rPr>
        <w:t>recognition as a foreign non-main proceeding.</w:t>
      </w:r>
      <w:r w:rsidR="00F35653">
        <w:rPr>
          <w:rFonts w:ascii="Arial" w:hAnsi="Arial" w:cs="Arial"/>
          <w:color w:val="FF0000"/>
          <w:sz w:val="22"/>
          <w:szCs w:val="22"/>
          <w:lang w:val="en-GB"/>
        </w:rPr>
        <w:t xml:space="preserve"> </w:t>
      </w:r>
      <w:r w:rsidR="003B5B31" w:rsidRPr="00F35653">
        <w:rPr>
          <w:rFonts w:ascii="Arial" w:hAnsi="Arial" w:cs="Arial"/>
          <w:color w:val="FF0000"/>
          <w:sz w:val="22"/>
          <w:szCs w:val="22"/>
          <w:lang w:val="en-GB"/>
        </w:rPr>
        <w:t xml:space="preserve">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 xml:space="preserve">Fourth, because of all these distractions, Oil Corp has forgotten to pay rent </w:t>
      </w:r>
      <w:r w:rsidRPr="00323167">
        <w:rPr>
          <w:rFonts w:ascii="Arial" w:hAnsi="Arial" w:cs="Arial"/>
        </w:rPr>
        <w:lastRenderedPageBreak/>
        <w:t>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5651EE3" w:rsidR="005B2A9B" w:rsidRDefault="001F23EE" w:rsidP="005B2A9B">
      <w:pPr>
        <w:jc w:val="both"/>
        <w:rPr>
          <w:rFonts w:ascii="Arial" w:hAnsi="Arial" w:cs="Arial"/>
          <w:color w:val="7B7B7B" w:themeColor="accent3" w:themeShade="BF"/>
          <w:sz w:val="22"/>
          <w:szCs w:val="22"/>
          <w:lang w:val="en-GB"/>
        </w:rPr>
      </w:pPr>
      <w:r w:rsidRPr="003D7C17">
        <w:rPr>
          <w:rFonts w:ascii="Arial" w:hAnsi="Arial" w:cs="Arial"/>
          <w:color w:val="7B7B7B" w:themeColor="accent3" w:themeShade="BF"/>
          <w:sz w:val="22"/>
          <w:szCs w:val="22"/>
          <w:u w:val="single"/>
          <w:lang w:val="en-GB"/>
        </w:rPr>
        <w:t>First Situation</w:t>
      </w:r>
      <w:r>
        <w:rPr>
          <w:rFonts w:ascii="Arial" w:hAnsi="Arial" w:cs="Arial"/>
          <w:color w:val="7B7B7B" w:themeColor="accent3" w:themeShade="BF"/>
          <w:sz w:val="22"/>
          <w:szCs w:val="22"/>
          <w:lang w:val="en-GB"/>
        </w:rPr>
        <w:t xml:space="preserve"> - </w:t>
      </w:r>
      <w:proofErr w:type="spellStart"/>
      <w:r w:rsidRPr="001F23EE">
        <w:rPr>
          <w:rFonts w:ascii="Arial" w:hAnsi="Arial" w:cs="Arial"/>
          <w:color w:val="7B7B7B" w:themeColor="accent3" w:themeShade="BF"/>
          <w:sz w:val="22"/>
          <w:szCs w:val="22"/>
          <w:lang w:val="en-GB"/>
        </w:rPr>
        <w:t>ShipCo</w:t>
      </w:r>
      <w:proofErr w:type="spellEnd"/>
      <w:r w:rsidRPr="001F23EE">
        <w:rPr>
          <w:rFonts w:ascii="Arial" w:hAnsi="Arial" w:cs="Arial"/>
          <w:color w:val="7B7B7B" w:themeColor="accent3" w:themeShade="BF"/>
          <w:sz w:val="22"/>
          <w:szCs w:val="22"/>
          <w:lang w:val="en-GB"/>
        </w:rPr>
        <w:t xml:space="preserve">, one of its key customers, has filed a breach of contract lawsuit in Texas state court alleging that Oil Corp sold it contaminated oil that caused USD 1 billion in damage to </w:t>
      </w:r>
      <w:proofErr w:type="spellStart"/>
      <w:r w:rsidRPr="001F23EE">
        <w:rPr>
          <w:rFonts w:ascii="Arial" w:hAnsi="Arial" w:cs="Arial"/>
          <w:color w:val="7B7B7B" w:themeColor="accent3" w:themeShade="BF"/>
          <w:sz w:val="22"/>
          <w:szCs w:val="22"/>
          <w:lang w:val="en-GB"/>
        </w:rPr>
        <w:t>ShipCo’s</w:t>
      </w:r>
      <w:proofErr w:type="spellEnd"/>
      <w:r w:rsidRPr="001F23EE">
        <w:rPr>
          <w:rFonts w:ascii="Arial" w:hAnsi="Arial" w:cs="Arial"/>
          <w:color w:val="7B7B7B" w:themeColor="accent3" w:themeShade="BF"/>
          <w:sz w:val="22"/>
          <w:szCs w:val="22"/>
          <w:lang w:val="en-GB"/>
        </w:rPr>
        <w:t xml:space="preserve"> container ships</w:t>
      </w:r>
      <w:r w:rsidR="003D7C17">
        <w:rPr>
          <w:rFonts w:ascii="Arial" w:hAnsi="Arial" w:cs="Arial"/>
          <w:color w:val="7B7B7B" w:themeColor="accent3" w:themeShade="BF"/>
          <w:sz w:val="22"/>
          <w:szCs w:val="22"/>
          <w:lang w:val="en-GB"/>
        </w:rPr>
        <w:t>.</w:t>
      </w:r>
    </w:p>
    <w:p w14:paraId="187349C6" w14:textId="19E1E934" w:rsidR="009E03CA" w:rsidRDefault="009E03CA" w:rsidP="005B2A9B">
      <w:pPr>
        <w:jc w:val="both"/>
        <w:rPr>
          <w:rFonts w:ascii="Arial" w:hAnsi="Arial" w:cs="Arial"/>
          <w:color w:val="7B7B7B" w:themeColor="accent3" w:themeShade="BF"/>
          <w:sz w:val="22"/>
          <w:szCs w:val="22"/>
          <w:lang w:val="en-GB"/>
        </w:rPr>
      </w:pPr>
    </w:p>
    <w:p w14:paraId="0ABC332E" w14:textId="6E6A199D" w:rsidR="009E03CA" w:rsidRDefault="00E7256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w:t>
      </w:r>
      <w:r w:rsidR="009E03CA">
        <w:rPr>
          <w:rFonts w:ascii="Arial" w:hAnsi="Arial" w:cs="Arial"/>
          <w:color w:val="7B7B7B" w:themeColor="accent3" w:themeShade="BF"/>
          <w:sz w:val="22"/>
          <w:szCs w:val="22"/>
          <w:lang w:val="en-GB"/>
        </w:rPr>
        <w:t xml:space="preserve"> chapter </w:t>
      </w:r>
      <w:r>
        <w:rPr>
          <w:rFonts w:ascii="Arial" w:hAnsi="Arial" w:cs="Arial"/>
          <w:color w:val="7B7B7B" w:themeColor="accent3" w:themeShade="BF"/>
          <w:sz w:val="22"/>
          <w:szCs w:val="22"/>
          <w:lang w:val="en-GB"/>
        </w:rPr>
        <w:t xml:space="preserve">11 petition is filed, there is a worldwide automatic stay that is triggered under section 362 of the Bankruptcy code. The stay applies to commencement or continuation of proceedings against the debtor. If the petition was filed </w:t>
      </w:r>
      <w:r w:rsidR="009E03CA">
        <w:rPr>
          <w:rFonts w:ascii="Arial" w:hAnsi="Arial" w:cs="Arial"/>
          <w:color w:val="7B7B7B" w:themeColor="accent3" w:themeShade="BF"/>
          <w:sz w:val="22"/>
          <w:szCs w:val="22"/>
          <w:lang w:val="en-GB"/>
        </w:rPr>
        <w:t>prior to the breach of contract lawsuit</w:t>
      </w:r>
      <w:r>
        <w:rPr>
          <w:rFonts w:ascii="Arial" w:hAnsi="Arial" w:cs="Arial"/>
          <w:color w:val="7B7B7B" w:themeColor="accent3" w:themeShade="BF"/>
          <w:sz w:val="22"/>
          <w:szCs w:val="22"/>
          <w:lang w:val="en-GB"/>
        </w:rPr>
        <w:t xml:space="preserve"> being filed or</w:t>
      </w:r>
      <w:r w:rsidR="00D6676A">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lawsuit is ongoing at the time of the filing of the petition, then </w:t>
      </w:r>
      <w:r w:rsidR="009E03CA">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breach of contract </w:t>
      </w:r>
      <w:r w:rsidR="009E03CA">
        <w:rPr>
          <w:rFonts w:ascii="Arial" w:hAnsi="Arial" w:cs="Arial"/>
          <w:color w:val="7B7B7B" w:themeColor="accent3" w:themeShade="BF"/>
          <w:sz w:val="22"/>
          <w:szCs w:val="22"/>
          <w:lang w:val="en-GB"/>
        </w:rPr>
        <w:t xml:space="preserve">lawsuit would be a violation of the automatic stay against the debtor granted by the chapter 11 proceeding. </w:t>
      </w:r>
    </w:p>
    <w:p w14:paraId="1C2C69A9" w14:textId="6EDE383B" w:rsidR="002C2C5C" w:rsidRDefault="002C2C5C" w:rsidP="005B2A9B">
      <w:pPr>
        <w:jc w:val="both"/>
        <w:rPr>
          <w:rFonts w:ascii="Arial" w:hAnsi="Arial" w:cs="Arial"/>
          <w:color w:val="7B7B7B" w:themeColor="accent3" w:themeShade="BF"/>
          <w:sz w:val="22"/>
          <w:szCs w:val="22"/>
          <w:lang w:val="en-GB"/>
        </w:rPr>
      </w:pPr>
    </w:p>
    <w:p w14:paraId="5E202658" w14:textId="460F6E78" w:rsidR="002C2C5C" w:rsidRDefault="002C2C5C" w:rsidP="005B2A9B">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should seek approval of the bankruptcy court before filing the breach of contract lawsuit.</w:t>
      </w:r>
    </w:p>
    <w:p w14:paraId="4E0FBC49" w14:textId="4CB70E7E" w:rsidR="001F23EE" w:rsidRDefault="001F23EE" w:rsidP="005B2A9B">
      <w:pPr>
        <w:jc w:val="both"/>
        <w:rPr>
          <w:rFonts w:ascii="Arial" w:hAnsi="Arial" w:cs="Arial"/>
          <w:color w:val="7B7B7B" w:themeColor="accent3" w:themeShade="BF"/>
          <w:sz w:val="22"/>
          <w:szCs w:val="22"/>
          <w:lang w:val="en-GB"/>
        </w:rPr>
      </w:pPr>
    </w:p>
    <w:p w14:paraId="25B3C6AD" w14:textId="590DC643" w:rsidR="001F23EE" w:rsidRDefault="001F23EE" w:rsidP="005B2A9B">
      <w:pPr>
        <w:jc w:val="both"/>
        <w:rPr>
          <w:rFonts w:ascii="Arial" w:hAnsi="Arial" w:cs="Arial"/>
          <w:color w:val="7B7B7B" w:themeColor="accent3" w:themeShade="BF"/>
          <w:sz w:val="22"/>
          <w:szCs w:val="22"/>
          <w:lang w:val="en-GB"/>
        </w:rPr>
      </w:pPr>
      <w:r w:rsidRPr="003D7C17">
        <w:rPr>
          <w:rFonts w:ascii="Arial" w:hAnsi="Arial" w:cs="Arial"/>
          <w:color w:val="7B7B7B" w:themeColor="accent3" w:themeShade="BF"/>
          <w:sz w:val="22"/>
          <w:szCs w:val="22"/>
          <w:u w:val="single"/>
          <w:lang w:val="en-GB"/>
        </w:rPr>
        <w:t xml:space="preserve">Second Situation </w:t>
      </w:r>
      <w:r>
        <w:rPr>
          <w:rFonts w:ascii="Arial" w:hAnsi="Arial" w:cs="Arial"/>
          <w:color w:val="7B7B7B" w:themeColor="accent3" w:themeShade="BF"/>
          <w:sz w:val="22"/>
          <w:szCs w:val="22"/>
          <w:lang w:val="en-GB"/>
        </w:rPr>
        <w:t xml:space="preserve">- </w:t>
      </w:r>
      <w:r w:rsidRPr="001F23EE">
        <w:rPr>
          <w:rFonts w:ascii="Arial" w:hAnsi="Arial" w:cs="Arial"/>
          <w:color w:val="7B7B7B" w:themeColor="accent3" w:themeShade="BF"/>
          <w:sz w:val="22"/>
          <w:szCs w:val="22"/>
          <w:lang w:val="en-GB"/>
        </w:rPr>
        <w:t>the US Department of Justice is investigating whether Oil Corp illegally purchased oil from countries subject to US sanctions</w:t>
      </w:r>
      <w:r w:rsidR="003D7C17">
        <w:rPr>
          <w:rFonts w:ascii="Arial" w:hAnsi="Arial" w:cs="Arial"/>
          <w:color w:val="7B7B7B" w:themeColor="accent3" w:themeShade="BF"/>
          <w:sz w:val="22"/>
          <w:szCs w:val="22"/>
          <w:lang w:val="en-GB"/>
        </w:rPr>
        <w:t>.</w:t>
      </w:r>
    </w:p>
    <w:p w14:paraId="007BDBEC" w14:textId="2AB0AF92" w:rsidR="002C2C5C" w:rsidRDefault="002C2C5C" w:rsidP="005B2A9B">
      <w:pPr>
        <w:jc w:val="both"/>
        <w:rPr>
          <w:rFonts w:ascii="Arial" w:hAnsi="Arial" w:cs="Arial"/>
          <w:color w:val="7B7B7B" w:themeColor="accent3" w:themeShade="BF"/>
          <w:sz w:val="22"/>
          <w:szCs w:val="22"/>
          <w:lang w:val="en-GB"/>
        </w:rPr>
      </w:pPr>
    </w:p>
    <w:p w14:paraId="574C4EC7" w14:textId="5D4DB657" w:rsidR="002C2C5C" w:rsidRDefault="002C2C5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is subject to certain statutory exceptions, which include regulatory investigations. US Department of Justice can proceed with their investigations i</w:t>
      </w:r>
      <w:r w:rsidR="00D6676A">
        <w:rPr>
          <w:rFonts w:ascii="Arial" w:hAnsi="Arial" w:cs="Arial"/>
          <w:color w:val="7B7B7B" w:themeColor="accent3" w:themeShade="BF"/>
          <w:sz w:val="22"/>
          <w:szCs w:val="22"/>
          <w:lang w:val="en-GB"/>
        </w:rPr>
        <w:t>nto whether</w:t>
      </w:r>
      <w:r>
        <w:rPr>
          <w:rFonts w:ascii="Arial" w:hAnsi="Arial" w:cs="Arial"/>
          <w:color w:val="7B7B7B" w:themeColor="accent3" w:themeShade="BF"/>
          <w:sz w:val="22"/>
          <w:szCs w:val="22"/>
          <w:lang w:val="en-GB"/>
        </w:rPr>
        <w:t xml:space="preserve"> Oil Corp illegally purchased oil from countries subject to US sanctions.</w:t>
      </w:r>
    </w:p>
    <w:p w14:paraId="0251B447" w14:textId="137DC802" w:rsidR="001F23EE" w:rsidRDefault="001F23EE" w:rsidP="005B2A9B">
      <w:pPr>
        <w:jc w:val="both"/>
        <w:rPr>
          <w:rFonts w:ascii="Arial" w:hAnsi="Arial" w:cs="Arial"/>
          <w:color w:val="7B7B7B" w:themeColor="accent3" w:themeShade="BF"/>
          <w:sz w:val="22"/>
          <w:szCs w:val="22"/>
          <w:lang w:val="en-GB"/>
        </w:rPr>
      </w:pPr>
    </w:p>
    <w:p w14:paraId="5B6EC1C1" w14:textId="7EA4B5FA" w:rsidR="001F23EE" w:rsidRDefault="001F23EE" w:rsidP="005B2A9B">
      <w:pPr>
        <w:jc w:val="both"/>
        <w:rPr>
          <w:rFonts w:ascii="Arial" w:hAnsi="Arial" w:cs="Arial"/>
          <w:color w:val="7B7B7B" w:themeColor="accent3" w:themeShade="BF"/>
          <w:sz w:val="22"/>
          <w:szCs w:val="22"/>
          <w:lang w:val="en-GB"/>
        </w:rPr>
      </w:pPr>
      <w:r w:rsidRPr="003D7C17">
        <w:rPr>
          <w:rFonts w:ascii="Arial" w:hAnsi="Arial" w:cs="Arial"/>
          <w:color w:val="7B7B7B" w:themeColor="accent3" w:themeShade="BF"/>
          <w:sz w:val="22"/>
          <w:szCs w:val="22"/>
          <w:u w:val="single"/>
          <w:lang w:val="en-GB"/>
        </w:rPr>
        <w:t xml:space="preserve">Third Situation </w:t>
      </w:r>
      <w:r>
        <w:rPr>
          <w:rFonts w:ascii="Arial" w:hAnsi="Arial" w:cs="Arial"/>
          <w:color w:val="7B7B7B" w:themeColor="accent3" w:themeShade="BF"/>
          <w:sz w:val="22"/>
          <w:szCs w:val="22"/>
          <w:lang w:val="en-GB"/>
        </w:rPr>
        <w:t xml:space="preserve">- </w:t>
      </w:r>
      <w:r w:rsidRPr="001F23EE">
        <w:rPr>
          <w:rFonts w:ascii="Arial" w:hAnsi="Arial" w:cs="Arial"/>
          <w:color w:val="7B7B7B" w:themeColor="accent3" w:themeShade="BF"/>
          <w:sz w:val="22"/>
          <w:szCs w:val="22"/>
          <w:lang w:val="en-GB"/>
        </w:rPr>
        <w:t>Oil Corp. has missed a payment on its secured loan from USA Bank, and USA Bank is threatening to foreclose on an Oil Corp refinery located in the Philippine</w:t>
      </w:r>
      <w:r>
        <w:rPr>
          <w:rFonts w:ascii="Arial" w:hAnsi="Arial" w:cs="Arial"/>
          <w:color w:val="7B7B7B" w:themeColor="accent3" w:themeShade="BF"/>
          <w:sz w:val="22"/>
          <w:szCs w:val="22"/>
          <w:lang w:val="en-GB"/>
        </w:rPr>
        <w:t>s</w:t>
      </w:r>
      <w:r w:rsidR="003D7C17">
        <w:rPr>
          <w:rFonts w:ascii="Arial" w:hAnsi="Arial" w:cs="Arial"/>
          <w:color w:val="7B7B7B" w:themeColor="accent3" w:themeShade="BF"/>
          <w:sz w:val="22"/>
          <w:szCs w:val="22"/>
          <w:lang w:val="en-GB"/>
        </w:rPr>
        <w:t>.</w:t>
      </w:r>
    </w:p>
    <w:p w14:paraId="0FE630AF" w14:textId="0CE65C9B" w:rsidR="003013D1" w:rsidRDefault="003013D1" w:rsidP="005B2A9B">
      <w:pPr>
        <w:jc w:val="both"/>
        <w:rPr>
          <w:rFonts w:ascii="Arial" w:hAnsi="Arial" w:cs="Arial"/>
          <w:color w:val="7B7B7B" w:themeColor="accent3" w:themeShade="BF"/>
          <w:sz w:val="22"/>
          <w:szCs w:val="22"/>
          <w:lang w:val="en-GB"/>
        </w:rPr>
      </w:pPr>
    </w:p>
    <w:p w14:paraId="7C7B4E2B" w14:textId="1FD08E54" w:rsidR="003013D1" w:rsidRDefault="003013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Foreclosure of the Oil Corp’s non-US property (</w:t>
      </w:r>
      <w:r w:rsidR="002C2C5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Philippines refinery) securing the loan from USA Bank</w:t>
      </w:r>
      <w:r w:rsidR="002C2C5C">
        <w:rPr>
          <w:rFonts w:ascii="Arial" w:hAnsi="Arial" w:cs="Arial"/>
          <w:color w:val="7B7B7B" w:themeColor="accent3" w:themeShade="BF"/>
          <w:sz w:val="22"/>
          <w:szCs w:val="22"/>
          <w:lang w:val="en-GB"/>
        </w:rPr>
        <w:t xml:space="preserve"> is prohibited by the automatic worldwide stay triggered upon the filing of the chapter 11 petition. Proceeding with foreclosure of the same would result in USA Bank violating the automatic stay.</w:t>
      </w:r>
    </w:p>
    <w:p w14:paraId="23DD9963" w14:textId="07521FF1" w:rsidR="001F23EE" w:rsidRDefault="001F23EE" w:rsidP="005B2A9B">
      <w:pPr>
        <w:jc w:val="both"/>
        <w:rPr>
          <w:rFonts w:ascii="Arial" w:hAnsi="Arial" w:cs="Arial"/>
          <w:color w:val="7B7B7B" w:themeColor="accent3" w:themeShade="BF"/>
          <w:sz w:val="22"/>
          <w:szCs w:val="22"/>
          <w:lang w:val="en-GB"/>
        </w:rPr>
      </w:pPr>
    </w:p>
    <w:p w14:paraId="74A02422" w14:textId="02E2B27D" w:rsidR="001F23EE" w:rsidRDefault="001F23EE" w:rsidP="005B2A9B">
      <w:pPr>
        <w:jc w:val="both"/>
        <w:rPr>
          <w:rFonts w:ascii="Arial" w:hAnsi="Arial" w:cs="Arial"/>
          <w:color w:val="7B7B7B" w:themeColor="accent3" w:themeShade="BF"/>
          <w:sz w:val="22"/>
          <w:szCs w:val="22"/>
          <w:lang w:val="en-GB"/>
        </w:rPr>
      </w:pPr>
      <w:r w:rsidRPr="003D7C17">
        <w:rPr>
          <w:rFonts w:ascii="Arial" w:hAnsi="Arial" w:cs="Arial"/>
          <w:color w:val="7B7B7B" w:themeColor="accent3" w:themeShade="BF"/>
          <w:sz w:val="22"/>
          <w:szCs w:val="22"/>
          <w:u w:val="single"/>
          <w:lang w:val="en-GB"/>
        </w:rPr>
        <w:t>Fourth Situation</w:t>
      </w:r>
      <w:r>
        <w:rPr>
          <w:rFonts w:ascii="Arial" w:hAnsi="Arial" w:cs="Arial"/>
          <w:color w:val="7B7B7B" w:themeColor="accent3" w:themeShade="BF"/>
          <w:sz w:val="22"/>
          <w:szCs w:val="22"/>
          <w:lang w:val="en-GB"/>
        </w:rPr>
        <w:t xml:space="preserve"> - </w:t>
      </w:r>
      <w:r w:rsidRPr="001F23EE">
        <w:rPr>
          <w:rFonts w:ascii="Arial" w:hAnsi="Arial" w:cs="Arial"/>
          <w:color w:val="7B7B7B" w:themeColor="accent3" w:themeShade="BF"/>
          <w:sz w:val="22"/>
          <w:szCs w:val="22"/>
          <w:lang w:val="en-GB"/>
        </w:rPr>
        <w:t>Oil Corp has forgotten to pay rent on its Houston, Texas office space and its landlord is threatening to evict it</w:t>
      </w:r>
      <w:r w:rsidR="003D7C17">
        <w:rPr>
          <w:rFonts w:ascii="Arial" w:hAnsi="Arial" w:cs="Arial"/>
          <w:color w:val="7B7B7B" w:themeColor="accent3" w:themeShade="BF"/>
          <w:sz w:val="22"/>
          <w:szCs w:val="22"/>
          <w:lang w:val="en-GB"/>
        </w:rPr>
        <w:t>.</w:t>
      </w:r>
    </w:p>
    <w:p w14:paraId="4DE604BB" w14:textId="0C5050EE" w:rsidR="00B3697C" w:rsidRDefault="00B3697C" w:rsidP="005B2A9B">
      <w:pPr>
        <w:jc w:val="both"/>
        <w:rPr>
          <w:rFonts w:ascii="Arial" w:hAnsi="Arial" w:cs="Arial"/>
          <w:color w:val="7B7B7B" w:themeColor="accent3" w:themeShade="BF"/>
          <w:sz w:val="22"/>
          <w:szCs w:val="22"/>
          <w:lang w:val="en-GB"/>
        </w:rPr>
      </w:pPr>
    </w:p>
    <w:p w14:paraId="6742B999" w14:textId="0F720931" w:rsidR="00323167" w:rsidRPr="002C2C5C" w:rsidRDefault="00E8332F" w:rsidP="002C2C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chapter 11 filing provides the debtor with powers to assume or reject executory or burdensome contracts which </w:t>
      </w:r>
      <w:r w:rsidR="00357819">
        <w:rPr>
          <w:rFonts w:ascii="Arial" w:hAnsi="Arial" w:cs="Arial"/>
          <w:color w:val="7B7B7B" w:themeColor="accent3" w:themeShade="BF"/>
          <w:sz w:val="22"/>
          <w:szCs w:val="22"/>
          <w:lang w:val="en-GB"/>
        </w:rPr>
        <w:t>includes unexpired leases. The landlord is unable to evict Oil Corp once the chapter 11 filing has been made due to the automatic stay granted and the debtor would need to either assume or reject the lease. Only if the debtor elects to reject the lease can the landlord make a claim for any unpaid rent. The lease will be deemed to be rejected if the debtor does not assume or reject the contract within 120 days of the order.</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 xml:space="preserve">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w:t>
      </w:r>
      <w:r w:rsidRPr="00323167">
        <w:rPr>
          <w:rFonts w:ascii="Arial" w:hAnsi="Arial" w:cs="Arial"/>
        </w:rPr>
        <w:lastRenderedPageBreak/>
        <w:t>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C996C6C" w14:textId="7113EC6E" w:rsidR="00BF3721" w:rsidRDefault="00BF3721" w:rsidP="00BF372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BF3721">
        <w:rPr>
          <w:rFonts w:ascii="Arial" w:hAnsi="Arial" w:cs="Arial"/>
          <w:color w:val="7B7B7B" w:themeColor="accent3" w:themeShade="BF"/>
          <w:sz w:val="22"/>
          <w:szCs w:val="22"/>
          <w:lang w:val="en-GB"/>
        </w:rPr>
        <w:t xml:space="preserve">assume and assign the trademark </w:t>
      </w:r>
      <w:proofErr w:type="gramStart"/>
      <w:r w:rsidRPr="00BF3721">
        <w:rPr>
          <w:rFonts w:ascii="Arial" w:hAnsi="Arial" w:cs="Arial"/>
          <w:color w:val="7B7B7B" w:themeColor="accent3" w:themeShade="BF"/>
          <w:sz w:val="22"/>
          <w:szCs w:val="22"/>
          <w:lang w:val="en-GB"/>
        </w:rPr>
        <w:t>license;</w:t>
      </w:r>
      <w:proofErr w:type="gramEnd"/>
      <w:r w:rsidRPr="00BF3721">
        <w:rPr>
          <w:rFonts w:ascii="Arial" w:hAnsi="Arial" w:cs="Arial"/>
          <w:color w:val="7B7B7B" w:themeColor="accent3" w:themeShade="BF"/>
          <w:sz w:val="22"/>
          <w:szCs w:val="22"/>
          <w:lang w:val="en-GB"/>
        </w:rPr>
        <w:t xml:space="preserve"> </w:t>
      </w:r>
    </w:p>
    <w:p w14:paraId="24621BFE" w14:textId="2ECAAD2E" w:rsidR="00A062AA" w:rsidRDefault="00A062AA" w:rsidP="00A062AA">
      <w:pPr>
        <w:autoSpaceDE w:val="0"/>
        <w:autoSpaceDN w:val="0"/>
        <w:adjustRightInd w:val="0"/>
        <w:jc w:val="both"/>
        <w:rPr>
          <w:rFonts w:ascii="Arial" w:hAnsi="Arial" w:cs="Arial"/>
          <w:color w:val="7B7B7B" w:themeColor="accent3" w:themeShade="BF"/>
          <w:sz w:val="22"/>
          <w:szCs w:val="22"/>
          <w:lang w:val="en-GB"/>
        </w:rPr>
      </w:pPr>
    </w:p>
    <w:p w14:paraId="306283EC" w14:textId="4823B9E9" w:rsidR="00A062AA" w:rsidRPr="00A062AA" w:rsidRDefault="00A062AA" w:rsidP="00A062AA">
      <w:pPr>
        <w:autoSpaceDE w:val="0"/>
        <w:autoSpaceDN w:val="0"/>
        <w:adjustRightInd w:val="0"/>
        <w:ind w:left="108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Oil Corp to assign the trademark license, licensed from Plastic Corp, Plastic Corp as licensor would need to provide consent to </w:t>
      </w:r>
      <w:r w:rsidR="00D6676A">
        <w:rPr>
          <w:rFonts w:ascii="Arial" w:hAnsi="Arial" w:cs="Arial"/>
          <w:color w:val="7B7B7B" w:themeColor="accent3" w:themeShade="BF"/>
          <w:sz w:val="22"/>
          <w:szCs w:val="22"/>
          <w:lang w:val="en-GB"/>
        </w:rPr>
        <w:t xml:space="preserve">do </w:t>
      </w:r>
      <w:r>
        <w:rPr>
          <w:rFonts w:ascii="Arial" w:hAnsi="Arial" w:cs="Arial"/>
          <w:color w:val="7B7B7B" w:themeColor="accent3" w:themeShade="BF"/>
          <w:sz w:val="22"/>
          <w:szCs w:val="22"/>
          <w:lang w:val="en-GB"/>
        </w:rPr>
        <w:t xml:space="preserve">so. Trademark licenses are not assignable without licensor consent. </w:t>
      </w:r>
    </w:p>
    <w:p w14:paraId="6473BD0E" w14:textId="77777777" w:rsidR="00BF3721" w:rsidRPr="00BF3721" w:rsidRDefault="00BF3721" w:rsidP="00BF3721">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2E9DC9E3" w14:textId="1D7FEFC2" w:rsidR="00BF3721" w:rsidRPr="00D6676A" w:rsidRDefault="00BF3721" w:rsidP="00BF3721">
      <w:pPr>
        <w:pStyle w:val="ListParagraph"/>
        <w:numPr>
          <w:ilvl w:val="0"/>
          <w:numId w:val="18"/>
        </w:numPr>
        <w:autoSpaceDE w:val="0"/>
        <w:autoSpaceDN w:val="0"/>
        <w:adjustRightInd w:val="0"/>
        <w:jc w:val="both"/>
        <w:rPr>
          <w:rFonts w:ascii="Arial" w:hAnsi="Arial" w:cs="Arial"/>
          <w:color w:val="808080" w:themeColor="background1" w:themeShade="80"/>
          <w:sz w:val="22"/>
          <w:szCs w:val="22"/>
          <w:lang w:val="en-GB"/>
        </w:rPr>
      </w:pPr>
      <w:r w:rsidRPr="00BF3721">
        <w:rPr>
          <w:rFonts w:ascii="Arial" w:hAnsi="Arial" w:cs="Arial"/>
          <w:color w:val="7B7B7B" w:themeColor="accent3" w:themeShade="BF"/>
          <w:sz w:val="22"/>
          <w:szCs w:val="22"/>
          <w:lang w:val="en-GB"/>
        </w:rPr>
        <w:t xml:space="preserve">reject the patent licenses so the purchaser has the exclusive right to use the </w:t>
      </w:r>
      <w:proofErr w:type="gramStart"/>
      <w:r w:rsidRPr="00BF3721">
        <w:rPr>
          <w:rFonts w:ascii="Arial" w:hAnsi="Arial" w:cs="Arial"/>
          <w:color w:val="7B7B7B" w:themeColor="accent3" w:themeShade="BF"/>
          <w:sz w:val="22"/>
          <w:szCs w:val="22"/>
          <w:lang w:val="en-GB"/>
        </w:rPr>
        <w:t>patents;</w:t>
      </w:r>
      <w:proofErr w:type="gramEnd"/>
      <w:r w:rsidRPr="00BF3721">
        <w:rPr>
          <w:rFonts w:ascii="Arial" w:hAnsi="Arial" w:cs="Arial"/>
          <w:color w:val="7B7B7B" w:themeColor="accent3" w:themeShade="BF"/>
          <w:sz w:val="22"/>
          <w:szCs w:val="22"/>
          <w:lang w:val="en-GB"/>
        </w:rPr>
        <w:t xml:space="preserve"> </w:t>
      </w:r>
    </w:p>
    <w:p w14:paraId="501DAED5" w14:textId="556C6553" w:rsidR="00D6676A" w:rsidRDefault="00D6676A" w:rsidP="00D6676A">
      <w:pPr>
        <w:autoSpaceDE w:val="0"/>
        <w:autoSpaceDN w:val="0"/>
        <w:adjustRightInd w:val="0"/>
        <w:jc w:val="both"/>
        <w:rPr>
          <w:rFonts w:ascii="Arial" w:hAnsi="Arial" w:cs="Arial"/>
          <w:color w:val="808080" w:themeColor="background1" w:themeShade="80"/>
          <w:sz w:val="22"/>
          <w:szCs w:val="22"/>
          <w:lang w:val="en-GB"/>
        </w:rPr>
      </w:pPr>
    </w:p>
    <w:p w14:paraId="3A7802B6" w14:textId="1D9FF3CB" w:rsidR="00D6676A" w:rsidRDefault="00D6676A" w:rsidP="00D6676A">
      <w:pPr>
        <w:autoSpaceDE w:val="0"/>
        <w:autoSpaceDN w:val="0"/>
        <w:adjustRightInd w:val="0"/>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w:t>
      </w:r>
      <w:r w:rsidRPr="00D6676A">
        <w:t xml:space="preserve"> </w:t>
      </w:r>
      <w:r w:rsidRPr="00D6676A">
        <w:rPr>
          <w:rFonts w:ascii="Arial" w:hAnsi="Arial" w:cs="Arial"/>
          <w:color w:val="808080" w:themeColor="background1" w:themeShade="80"/>
          <w:sz w:val="22"/>
          <w:szCs w:val="22"/>
          <w:lang w:val="en-GB"/>
        </w:rPr>
        <w:t>11 U.S. Code § 365</w:t>
      </w:r>
      <w:r>
        <w:rPr>
          <w:rFonts w:ascii="Arial" w:hAnsi="Arial" w:cs="Arial"/>
          <w:color w:val="808080" w:themeColor="background1" w:themeShade="80"/>
          <w:sz w:val="22"/>
          <w:szCs w:val="22"/>
          <w:lang w:val="en-GB"/>
        </w:rPr>
        <w:t xml:space="preserve"> (n), if Oil Corp were to reject the patent licenses, the licensee, being Plastic Corp, may elect to:</w:t>
      </w:r>
    </w:p>
    <w:p w14:paraId="5F0AF845" w14:textId="196B2C0D" w:rsidR="00D6676A" w:rsidRDefault="00D6676A" w:rsidP="00D6676A">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treat the contract as terminated; or</w:t>
      </w:r>
    </w:p>
    <w:p w14:paraId="3E4D4066" w14:textId="68A79BD6" w:rsidR="00D6676A" w:rsidRDefault="00D6676A" w:rsidP="00D6676A">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retain its rights (including a right to enforce any exclusivity provision in the contract)</w:t>
      </w:r>
    </w:p>
    <w:p w14:paraId="01125D0D" w14:textId="638206DE" w:rsidR="00D6676A" w:rsidRDefault="00D6676A" w:rsidP="00D6676A">
      <w:pPr>
        <w:autoSpaceDE w:val="0"/>
        <w:autoSpaceDN w:val="0"/>
        <w:adjustRightInd w:val="0"/>
        <w:jc w:val="both"/>
        <w:rPr>
          <w:rFonts w:ascii="Arial" w:hAnsi="Arial" w:cs="Arial"/>
          <w:color w:val="808080" w:themeColor="background1" w:themeShade="80"/>
          <w:sz w:val="22"/>
          <w:szCs w:val="22"/>
          <w:lang w:val="en-GB"/>
        </w:rPr>
      </w:pPr>
    </w:p>
    <w:p w14:paraId="0E4E66B7" w14:textId="09550451" w:rsidR="00D6676A" w:rsidRPr="00D6676A" w:rsidRDefault="00D6676A" w:rsidP="00D6676A">
      <w:pPr>
        <w:autoSpaceDE w:val="0"/>
        <w:autoSpaceDN w:val="0"/>
        <w:adjustRightInd w:val="0"/>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Corp therefore would require the consent of Plastic Corp to achieve this goal. </w:t>
      </w:r>
    </w:p>
    <w:p w14:paraId="1A64CED4" w14:textId="77777777" w:rsidR="00BF3721" w:rsidRPr="00BF3721" w:rsidRDefault="00BF3721" w:rsidP="00BF3721">
      <w:pPr>
        <w:pStyle w:val="ListParagraph"/>
        <w:rPr>
          <w:rFonts w:ascii="Arial" w:hAnsi="Arial" w:cs="Arial"/>
          <w:color w:val="808080" w:themeColor="background1" w:themeShade="80"/>
          <w:sz w:val="22"/>
          <w:szCs w:val="22"/>
          <w:lang w:val="en-GB"/>
        </w:rPr>
      </w:pPr>
    </w:p>
    <w:p w14:paraId="7EA1A5DB" w14:textId="77777777" w:rsidR="00BF3721" w:rsidRPr="00BF3721" w:rsidRDefault="00BF3721" w:rsidP="00BF3721">
      <w:pPr>
        <w:pStyle w:val="ListParagraph"/>
        <w:autoSpaceDE w:val="0"/>
        <w:autoSpaceDN w:val="0"/>
        <w:adjustRightInd w:val="0"/>
        <w:ind w:left="1080"/>
        <w:jc w:val="both"/>
        <w:rPr>
          <w:rFonts w:ascii="Arial" w:hAnsi="Arial" w:cs="Arial"/>
          <w:color w:val="808080" w:themeColor="background1" w:themeShade="80"/>
          <w:sz w:val="22"/>
          <w:szCs w:val="22"/>
          <w:lang w:val="en-GB"/>
        </w:rPr>
      </w:pPr>
    </w:p>
    <w:p w14:paraId="691B977A" w14:textId="5AC5EB04" w:rsidR="00455018" w:rsidRPr="004C421B" w:rsidRDefault="00BF3721" w:rsidP="00BF3721">
      <w:pPr>
        <w:pStyle w:val="ListParagraph"/>
        <w:numPr>
          <w:ilvl w:val="0"/>
          <w:numId w:val="18"/>
        </w:numPr>
        <w:autoSpaceDE w:val="0"/>
        <w:autoSpaceDN w:val="0"/>
        <w:adjustRightInd w:val="0"/>
        <w:jc w:val="both"/>
        <w:rPr>
          <w:rFonts w:ascii="Arial" w:hAnsi="Arial" w:cs="Arial"/>
          <w:color w:val="808080" w:themeColor="background1" w:themeShade="80"/>
          <w:sz w:val="22"/>
          <w:szCs w:val="22"/>
          <w:lang w:val="en-GB"/>
        </w:rPr>
      </w:pPr>
      <w:bookmarkStart w:id="2" w:name="_Hlk109561411"/>
      <w:r w:rsidRPr="00BF3721">
        <w:rPr>
          <w:rFonts w:ascii="Arial" w:hAnsi="Arial" w:cs="Arial"/>
          <w:color w:val="7B7B7B" w:themeColor="accent3" w:themeShade="BF"/>
          <w:sz w:val="22"/>
          <w:szCs w:val="22"/>
          <w:lang w:val="en-GB"/>
        </w:rPr>
        <w:t>sell the manufacturing facility free and clear of the USA Bank lien.</w:t>
      </w:r>
    </w:p>
    <w:bookmarkEnd w:id="2"/>
    <w:p w14:paraId="75D5E5D8" w14:textId="73C3B98C" w:rsidR="004C421B" w:rsidRDefault="004C421B" w:rsidP="004C421B">
      <w:pPr>
        <w:autoSpaceDE w:val="0"/>
        <w:autoSpaceDN w:val="0"/>
        <w:adjustRightInd w:val="0"/>
        <w:jc w:val="both"/>
        <w:rPr>
          <w:rFonts w:ascii="Arial" w:hAnsi="Arial" w:cs="Arial"/>
          <w:color w:val="808080" w:themeColor="background1" w:themeShade="80"/>
          <w:sz w:val="22"/>
          <w:szCs w:val="22"/>
          <w:lang w:val="en-GB"/>
        </w:rPr>
      </w:pPr>
    </w:p>
    <w:p w14:paraId="36B235D5" w14:textId="0B7120C6" w:rsidR="004C421B" w:rsidRPr="004C421B" w:rsidRDefault="00A062AA" w:rsidP="004C421B">
      <w:pPr>
        <w:autoSpaceDE w:val="0"/>
        <w:autoSpaceDN w:val="0"/>
        <w:adjustRightInd w:val="0"/>
        <w:ind w:left="10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sidR="004C421B">
        <w:rPr>
          <w:rFonts w:ascii="Arial" w:hAnsi="Arial" w:cs="Arial"/>
          <w:color w:val="808080" w:themeColor="background1" w:themeShade="80"/>
          <w:sz w:val="22"/>
          <w:szCs w:val="22"/>
          <w:lang w:val="en-GB"/>
        </w:rPr>
        <w:t xml:space="preserve">chapter 11 proceedings the debtor has the powers to sell assets free and clear of liens. </w:t>
      </w:r>
      <w:r>
        <w:rPr>
          <w:rFonts w:ascii="Arial" w:hAnsi="Arial" w:cs="Arial"/>
          <w:color w:val="808080" w:themeColor="background1" w:themeShade="80"/>
          <w:sz w:val="22"/>
          <w:szCs w:val="22"/>
          <w:lang w:val="en-GB"/>
        </w:rPr>
        <w:t xml:space="preserve">Oil Corp would not require the consent of USA Bank to </w:t>
      </w:r>
      <w:r w:rsidRPr="00A062AA">
        <w:rPr>
          <w:rFonts w:ascii="Arial" w:hAnsi="Arial" w:cs="Arial"/>
          <w:color w:val="808080" w:themeColor="background1" w:themeShade="80"/>
          <w:sz w:val="22"/>
          <w:szCs w:val="22"/>
          <w:lang w:val="en-GB"/>
        </w:rPr>
        <w:t>sell the manufacturing facility free and clear of the USA Bank lien.</w:t>
      </w: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4001" w14:textId="77777777" w:rsidR="001B0C58" w:rsidRDefault="001B0C58" w:rsidP="00241B44">
      <w:r>
        <w:separator/>
      </w:r>
    </w:p>
  </w:endnote>
  <w:endnote w:type="continuationSeparator" w:id="0">
    <w:p w14:paraId="429D2817" w14:textId="77777777" w:rsidR="001B0C58" w:rsidRDefault="001B0C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07AA352C" w:rsidR="00241FA3" w:rsidRPr="009B4976" w:rsidRDefault="000A4EEE" w:rsidP="009B4976">
    <w:pPr>
      <w:pStyle w:val="Footer"/>
      <w:ind w:right="360"/>
      <w:rPr>
        <w:rFonts w:ascii="Arial" w:hAnsi="Arial" w:cs="Arial"/>
        <w:sz w:val="18"/>
        <w:szCs w:val="18"/>
        <w:lang w:val="en-GB"/>
      </w:rPr>
    </w:pPr>
    <w:r w:rsidRPr="000A4EEE">
      <w:rPr>
        <w:rFonts w:ascii="Arial" w:hAnsi="Arial" w:cs="Arial"/>
        <w:sz w:val="18"/>
        <w:szCs w:val="18"/>
        <w:lang w:val="en-GB"/>
      </w:rPr>
      <w:t>202122-458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3AB2" w14:textId="77777777" w:rsidR="001B0C58" w:rsidRDefault="001B0C58" w:rsidP="00241B44">
      <w:r>
        <w:separator/>
      </w:r>
    </w:p>
  </w:footnote>
  <w:footnote w:type="continuationSeparator" w:id="0">
    <w:p w14:paraId="467C0775" w14:textId="77777777" w:rsidR="001B0C58" w:rsidRDefault="001B0C58" w:rsidP="00241B44">
      <w:r>
        <w:continuationSeparator/>
      </w:r>
    </w:p>
  </w:footnote>
  <w:footnote w:id="1">
    <w:p w14:paraId="2E3DD1B2" w14:textId="7332F2DE" w:rsidR="007662D4" w:rsidRDefault="007662D4">
      <w:pPr>
        <w:pStyle w:val="FootnoteText"/>
      </w:pPr>
      <w:r>
        <w:rPr>
          <w:rStyle w:val="FootnoteReference"/>
        </w:rPr>
        <w:footnoteRef/>
      </w:r>
      <w:r>
        <w:t xml:space="preserve"> </w:t>
      </w:r>
      <w:r w:rsidRPr="007662D4">
        <w:t>11 U.S. Code § 548</w:t>
      </w:r>
      <w:r>
        <w:t xml:space="preserve"> a (1)(A)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A6BFE"/>
    <w:multiLevelType w:val="hybridMultilevel"/>
    <w:tmpl w:val="5E1E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D7CDD"/>
    <w:multiLevelType w:val="hybridMultilevel"/>
    <w:tmpl w:val="68AAAB22"/>
    <w:lvl w:ilvl="0" w:tplc="8D2E9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55275"/>
    <w:multiLevelType w:val="hybridMultilevel"/>
    <w:tmpl w:val="318C5086"/>
    <w:lvl w:ilvl="0" w:tplc="A9E67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D32D1"/>
    <w:multiLevelType w:val="hybridMultilevel"/>
    <w:tmpl w:val="32429498"/>
    <w:lvl w:ilvl="0" w:tplc="BFFCE06C">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26F16"/>
    <w:multiLevelType w:val="hybridMultilevel"/>
    <w:tmpl w:val="DE7CBE16"/>
    <w:lvl w:ilvl="0" w:tplc="D676E9D2">
      <w:start w:val="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D68DB"/>
    <w:multiLevelType w:val="hybridMultilevel"/>
    <w:tmpl w:val="CB26F312"/>
    <w:lvl w:ilvl="0" w:tplc="D676E9D2">
      <w:start w:val="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3"/>
  </w:num>
  <w:num w:numId="5">
    <w:abstractNumId w:val="5"/>
  </w:num>
  <w:num w:numId="6">
    <w:abstractNumId w:val="15"/>
  </w:num>
  <w:num w:numId="7">
    <w:abstractNumId w:val="2"/>
  </w:num>
  <w:num w:numId="8">
    <w:abstractNumId w:val="16"/>
  </w:num>
  <w:num w:numId="9">
    <w:abstractNumId w:val="6"/>
  </w:num>
  <w:num w:numId="10">
    <w:abstractNumId w:val="11"/>
  </w:num>
  <w:num w:numId="11">
    <w:abstractNumId w:val="8"/>
  </w:num>
  <w:num w:numId="12">
    <w:abstractNumId w:val="9"/>
  </w:num>
  <w:num w:numId="13">
    <w:abstractNumId w:val="0"/>
  </w:num>
  <w:num w:numId="14">
    <w:abstractNumId w:val="14"/>
  </w:num>
  <w:num w:numId="15">
    <w:abstractNumId w:val="4"/>
  </w:num>
  <w:num w:numId="16">
    <w:abstractNumId w:val="18"/>
  </w:num>
  <w:num w:numId="17">
    <w:abstractNumId w:val="17"/>
  </w:num>
  <w:num w:numId="18">
    <w:abstractNumId w:val="7"/>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4FE"/>
    <w:rsid w:val="00010BA0"/>
    <w:rsid w:val="0001655B"/>
    <w:rsid w:val="00020557"/>
    <w:rsid w:val="00021FC2"/>
    <w:rsid w:val="00022E00"/>
    <w:rsid w:val="000250C7"/>
    <w:rsid w:val="00026F16"/>
    <w:rsid w:val="000313F0"/>
    <w:rsid w:val="00037621"/>
    <w:rsid w:val="00037671"/>
    <w:rsid w:val="00044D46"/>
    <w:rsid w:val="00045088"/>
    <w:rsid w:val="00045904"/>
    <w:rsid w:val="000502FD"/>
    <w:rsid w:val="000613BC"/>
    <w:rsid w:val="00065166"/>
    <w:rsid w:val="00082609"/>
    <w:rsid w:val="0008474A"/>
    <w:rsid w:val="000851CC"/>
    <w:rsid w:val="00093BE8"/>
    <w:rsid w:val="00097B45"/>
    <w:rsid w:val="000A407B"/>
    <w:rsid w:val="000A4972"/>
    <w:rsid w:val="000A4EEE"/>
    <w:rsid w:val="000A636A"/>
    <w:rsid w:val="000A68ED"/>
    <w:rsid w:val="000B5FF1"/>
    <w:rsid w:val="000B609F"/>
    <w:rsid w:val="000C154E"/>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2173"/>
    <w:rsid w:val="001966D9"/>
    <w:rsid w:val="001A4F09"/>
    <w:rsid w:val="001A7E9A"/>
    <w:rsid w:val="001B0C58"/>
    <w:rsid w:val="001B0F70"/>
    <w:rsid w:val="001B5016"/>
    <w:rsid w:val="001C45FC"/>
    <w:rsid w:val="001D0469"/>
    <w:rsid w:val="001D4862"/>
    <w:rsid w:val="001E25B9"/>
    <w:rsid w:val="001E49E0"/>
    <w:rsid w:val="001E7B5A"/>
    <w:rsid w:val="001F23EE"/>
    <w:rsid w:val="001F7412"/>
    <w:rsid w:val="00202DFE"/>
    <w:rsid w:val="0020725B"/>
    <w:rsid w:val="002110F1"/>
    <w:rsid w:val="00223917"/>
    <w:rsid w:val="0024116D"/>
    <w:rsid w:val="00241B44"/>
    <w:rsid w:val="00241FA3"/>
    <w:rsid w:val="00245EFB"/>
    <w:rsid w:val="0025386E"/>
    <w:rsid w:val="00256B2F"/>
    <w:rsid w:val="00256B74"/>
    <w:rsid w:val="00260F59"/>
    <w:rsid w:val="002638B0"/>
    <w:rsid w:val="0026647A"/>
    <w:rsid w:val="002668D3"/>
    <w:rsid w:val="0027299F"/>
    <w:rsid w:val="00284EBE"/>
    <w:rsid w:val="002903A7"/>
    <w:rsid w:val="0029433F"/>
    <w:rsid w:val="00294829"/>
    <w:rsid w:val="00295A6F"/>
    <w:rsid w:val="0029690F"/>
    <w:rsid w:val="00297C8A"/>
    <w:rsid w:val="002A2A60"/>
    <w:rsid w:val="002A37BB"/>
    <w:rsid w:val="002B1C45"/>
    <w:rsid w:val="002B776B"/>
    <w:rsid w:val="002C0121"/>
    <w:rsid w:val="002C13C8"/>
    <w:rsid w:val="002C2C5C"/>
    <w:rsid w:val="002C3547"/>
    <w:rsid w:val="002D0021"/>
    <w:rsid w:val="002D299D"/>
    <w:rsid w:val="002D3473"/>
    <w:rsid w:val="002D6789"/>
    <w:rsid w:val="002D78C5"/>
    <w:rsid w:val="002F1956"/>
    <w:rsid w:val="002F3440"/>
    <w:rsid w:val="002F7189"/>
    <w:rsid w:val="002F75A3"/>
    <w:rsid w:val="003013D1"/>
    <w:rsid w:val="00301D2B"/>
    <w:rsid w:val="00303C2F"/>
    <w:rsid w:val="003108E6"/>
    <w:rsid w:val="003144EF"/>
    <w:rsid w:val="00323167"/>
    <w:rsid w:val="00326292"/>
    <w:rsid w:val="00326415"/>
    <w:rsid w:val="00330937"/>
    <w:rsid w:val="00330F31"/>
    <w:rsid w:val="00331931"/>
    <w:rsid w:val="00334648"/>
    <w:rsid w:val="0033768C"/>
    <w:rsid w:val="00337938"/>
    <w:rsid w:val="00340769"/>
    <w:rsid w:val="00340B03"/>
    <w:rsid w:val="00341AA6"/>
    <w:rsid w:val="003502EB"/>
    <w:rsid w:val="00357819"/>
    <w:rsid w:val="00361A0A"/>
    <w:rsid w:val="00364836"/>
    <w:rsid w:val="0036565C"/>
    <w:rsid w:val="0036625E"/>
    <w:rsid w:val="00367161"/>
    <w:rsid w:val="00371E8E"/>
    <w:rsid w:val="0037465A"/>
    <w:rsid w:val="00382C98"/>
    <w:rsid w:val="0038533C"/>
    <w:rsid w:val="00386568"/>
    <w:rsid w:val="00390B57"/>
    <w:rsid w:val="003948D5"/>
    <w:rsid w:val="00396821"/>
    <w:rsid w:val="00397D3A"/>
    <w:rsid w:val="003A051E"/>
    <w:rsid w:val="003A1B45"/>
    <w:rsid w:val="003A75F4"/>
    <w:rsid w:val="003B170F"/>
    <w:rsid w:val="003B3C5F"/>
    <w:rsid w:val="003B5B31"/>
    <w:rsid w:val="003B7184"/>
    <w:rsid w:val="003C4471"/>
    <w:rsid w:val="003C53FE"/>
    <w:rsid w:val="003D0A6D"/>
    <w:rsid w:val="003D7C17"/>
    <w:rsid w:val="003E0B16"/>
    <w:rsid w:val="003E67D1"/>
    <w:rsid w:val="00404329"/>
    <w:rsid w:val="00405DC1"/>
    <w:rsid w:val="00415F1F"/>
    <w:rsid w:val="0042108F"/>
    <w:rsid w:val="004248F6"/>
    <w:rsid w:val="004273B0"/>
    <w:rsid w:val="00430FED"/>
    <w:rsid w:val="00431BA8"/>
    <w:rsid w:val="00434A8C"/>
    <w:rsid w:val="00437297"/>
    <w:rsid w:val="00444284"/>
    <w:rsid w:val="00445CE6"/>
    <w:rsid w:val="004534C2"/>
    <w:rsid w:val="0045429E"/>
    <w:rsid w:val="0045446F"/>
    <w:rsid w:val="00455018"/>
    <w:rsid w:val="0045683E"/>
    <w:rsid w:val="00477C72"/>
    <w:rsid w:val="00491675"/>
    <w:rsid w:val="0049367A"/>
    <w:rsid w:val="00493855"/>
    <w:rsid w:val="00495E79"/>
    <w:rsid w:val="004A57DD"/>
    <w:rsid w:val="004A7B51"/>
    <w:rsid w:val="004A7D71"/>
    <w:rsid w:val="004A7EF3"/>
    <w:rsid w:val="004B11FD"/>
    <w:rsid w:val="004B23A2"/>
    <w:rsid w:val="004C421B"/>
    <w:rsid w:val="004D1A5A"/>
    <w:rsid w:val="004D2FFF"/>
    <w:rsid w:val="004D3721"/>
    <w:rsid w:val="004D64F9"/>
    <w:rsid w:val="004E3A6B"/>
    <w:rsid w:val="004E5AF5"/>
    <w:rsid w:val="004E622C"/>
    <w:rsid w:val="004E74BB"/>
    <w:rsid w:val="004F49B5"/>
    <w:rsid w:val="004F5FDF"/>
    <w:rsid w:val="004F7B99"/>
    <w:rsid w:val="00512731"/>
    <w:rsid w:val="00515810"/>
    <w:rsid w:val="00516386"/>
    <w:rsid w:val="005177FE"/>
    <w:rsid w:val="0052263B"/>
    <w:rsid w:val="005232FE"/>
    <w:rsid w:val="00524728"/>
    <w:rsid w:val="005331CA"/>
    <w:rsid w:val="00537970"/>
    <w:rsid w:val="00540E3A"/>
    <w:rsid w:val="00544127"/>
    <w:rsid w:val="005463A9"/>
    <w:rsid w:val="00553EB2"/>
    <w:rsid w:val="00560534"/>
    <w:rsid w:val="00562AEE"/>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6526"/>
    <w:rsid w:val="005E7008"/>
    <w:rsid w:val="005F026D"/>
    <w:rsid w:val="005F2AEA"/>
    <w:rsid w:val="005F2D0B"/>
    <w:rsid w:val="005F4B31"/>
    <w:rsid w:val="00610388"/>
    <w:rsid w:val="00610AC7"/>
    <w:rsid w:val="00612CA5"/>
    <w:rsid w:val="006153EC"/>
    <w:rsid w:val="00615FD5"/>
    <w:rsid w:val="00616F5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70C"/>
    <w:rsid w:val="00687A1D"/>
    <w:rsid w:val="00697EA1"/>
    <w:rsid w:val="006A2646"/>
    <w:rsid w:val="006A6530"/>
    <w:rsid w:val="006B3571"/>
    <w:rsid w:val="006B435A"/>
    <w:rsid w:val="006B4C64"/>
    <w:rsid w:val="006D6BD5"/>
    <w:rsid w:val="006E01E4"/>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62D4"/>
    <w:rsid w:val="0076764D"/>
    <w:rsid w:val="0077498C"/>
    <w:rsid w:val="00777C53"/>
    <w:rsid w:val="007809BC"/>
    <w:rsid w:val="00784128"/>
    <w:rsid w:val="00787BCC"/>
    <w:rsid w:val="00793173"/>
    <w:rsid w:val="007A2A33"/>
    <w:rsid w:val="007B0187"/>
    <w:rsid w:val="007B0809"/>
    <w:rsid w:val="007B5C89"/>
    <w:rsid w:val="007C1FCC"/>
    <w:rsid w:val="007C6201"/>
    <w:rsid w:val="007D0192"/>
    <w:rsid w:val="007D7C92"/>
    <w:rsid w:val="007E1154"/>
    <w:rsid w:val="007E6BA4"/>
    <w:rsid w:val="007F12AB"/>
    <w:rsid w:val="007F41F8"/>
    <w:rsid w:val="007F659B"/>
    <w:rsid w:val="00800F2D"/>
    <w:rsid w:val="0080454E"/>
    <w:rsid w:val="00804C32"/>
    <w:rsid w:val="00805305"/>
    <w:rsid w:val="00806302"/>
    <w:rsid w:val="00807119"/>
    <w:rsid w:val="0082483F"/>
    <w:rsid w:val="008279C0"/>
    <w:rsid w:val="00834F92"/>
    <w:rsid w:val="0084151F"/>
    <w:rsid w:val="0086162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17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3F71"/>
    <w:rsid w:val="009E03CA"/>
    <w:rsid w:val="009E2AEB"/>
    <w:rsid w:val="009E2E27"/>
    <w:rsid w:val="009E45DF"/>
    <w:rsid w:val="009E4DE3"/>
    <w:rsid w:val="009F275E"/>
    <w:rsid w:val="00A024E7"/>
    <w:rsid w:val="00A047EE"/>
    <w:rsid w:val="00A062AA"/>
    <w:rsid w:val="00A2274A"/>
    <w:rsid w:val="00A235B7"/>
    <w:rsid w:val="00A27A7A"/>
    <w:rsid w:val="00A3165E"/>
    <w:rsid w:val="00A34ABE"/>
    <w:rsid w:val="00A407EF"/>
    <w:rsid w:val="00A46B4C"/>
    <w:rsid w:val="00A5117B"/>
    <w:rsid w:val="00A56D34"/>
    <w:rsid w:val="00A60074"/>
    <w:rsid w:val="00A6627C"/>
    <w:rsid w:val="00A71019"/>
    <w:rsid w:val="00A81029"/>
    <w:rsid w:val="00A85DE5"/>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02C8A"/>
    <w:rsid w:val="00B10961"/>
    <w:rsid w:val="00B14819"/>
    <w:rsid w:val="00B15E2F"/>
    <w:rsid w:val="00B17AA9"/>
    <w:rsid w:val="00B27E6E"/>
    <w:rsid w:val="00B3697C"/>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3721"/>
    <w:rsid w:val="00BF50F7"/>
    <w:rsid w:val="00C02F29"/>
    <w:rsid w:val="00C20AFE"/>
    <w:rsid w:val="00C22A25"/>
    <w:rsid w:val="00C34FF5"/>
    <w:rsid w:val="00C35671"/>
    <w:rsid w:val="00C35B77"/>
    <w:rsid w:val="00C362AA"/>
    <w:rsid w:val="00C376EB"/>
    <w:rsid w:val="00C42B7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6676A"/>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C4FC1"/>
    <w:rsid w:val="00DC5147"/>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256D"/>
    <w:rsid w:val="00E77C3D"/>
    <w:rsid w:val="00E8332F"/>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640C"/>
    <w:rsid w:val="00F27CD8"/>
    <w:rsid w:val="00F30351"/>
    <w:rsid w:val="00F3323E"/>
    <w:rsid w:val="00F341F4"/>
    <w:rsid w:val="00F34F9D"/>
    <w:rsid w:val="00F35653"/>
    <w:rsid w:val="00F35CCE"/>
    <w:rsid w:val="00F37FCC"/>
    <w:rsid w:val="00F5524B"/>
    <w:rsid w:val="00F60538"/>
    <w:rsid w:val="00F61DD2"/>
    <w:rsid w:val="00F66AFF"/>
    <w:rsid w:val="00F71433"/>
    <w:rsid w:val="00F92140"/>
    <w:rsid w:val="00F97C5B"/>
    <w:rsid w:val="00FA3D50"/>
    <w:rsid w:val="00FB7FBD"/>
    <w:rsid w:val="00FC374A"/>
    <w:rsid w:val="00FC3B3E"/>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33E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715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3718706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5799</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Walmsley</cp:lastModifiedBy>
  <cp:revision>33</cp:revision>
  <cp:lastPrinted>2019-08-27T05:42:00Z</cp:lastPrinted>
  <dcterms:created xsi:type="dcterms:W3CDTF">2021-08-17T15:55:00Z</dcterms:created>
  <dcterms:modified xsi:type="dcterms:W3CDTF">2022-07-24T23:00:00Z</dcterms:modified>
</cp:coreProperties>
</file>