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E76657" w:rsidRDefault="00A6325B" w:rsidP="006F4751">
      <w:pPr>
        <w:pStyle w:val="ListParagraph"/>
        <w:numPr>
          <w:ilvl w:val="1"/>
          <w:numId w:val="5"/>
        </w:numPr>
        <w:ind w:left="426"/>
        <w:jc w:val="both"/>
        <w:rPr>
          <w:rFonts w:ascii="Arial" w:hAnsi="Arial" w:cs="Arial"/>
          <w:sz w:val="22"/>
          <w:szCs w:val="22"/>
          <w:lang w:val="en-GB"/>
        </w:rPr>
      </w:pPr>
      <w:r w:rsidRPr="0079089A">
        <w:rPr>
          <w:rFonts w:ascii="Arial" w:hAnsi="Arial" w:cs="Arial"/>
          <w:sz w:val="22"/>
          <w:szCs w:val="22"/>
          <w:highlight w:val="yellow"/>
          <w:lang w:val="en-GB"/>
        </w:rPr>
        <w:t>a</w:t>
      </w:r>
      <w:r w:rsidR="00286642" w:rsidRPr="0079089A">
        <w:rPr>
          <w:rFonts w:ascii="Arial" w:hAnsi="Arial" w:cs="Arial"/>
          <w:sz w:val="22"/>
          <w:szCs w:val="22"/>
          <w:highlight w:val="yellow"/>
          <w:lang w:val="en-GB"/>
        </w:rPr>
        <w:t>ny of the above</w:t>
      </w:r>
      <w:r w:rsidRPr="0079089A">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79089A" w:rsidRDefault="005D093D" w:rsidP="009578F6">
      <w:pPr>
        <w:pStyle w:val="ListParagraph"/>
        <w:numPr>
          <w:ilvl w:val="0"/>
          <w:numId w:val="6"/>
        </w:numPr>
        <w:ind w:left="426"/>
        <w:jc w:val="both"/>
        <w:rPr>
          <w:rFonts w:ascii="Arial" w:hAnsi="Arial" w:cs="Arial"/>
          <w:sz w:val="22"/>
          <w:szCs w:val="22"/>
          <w:highlight w:val="yellow"/>
          <w:lang w:val="en-GB"/>
        </w:rPr>
      </w:pPr>
      <w:r w:rsidRPr="0079089A">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79089A" w:rsidRDefault="00B81F6E" w:rsidP="006F4751">
      <w:pPr>
        <w:pStyle w:val="ListParagraph"/>
        <w:numPr>
          <w:ilvl w:val="1"/>
          <w:numId w:val="7"/>
        </w:numPr>
        <w:ind w:left="426"/>
        <w:jc w:val="both"/>
        <w:rPr>
          <w:rFonts w:ascii="Arial" w:hAnsi="Arial" w:cs="Arial"/>
          <w:sz w:val="22"/>
          <w:szCs w:val="22"/>
          <w:highlight w:val="yellow"/>
          <w:lang w:val="en-GB"/>
        </w:rPr>
      </w:pPr>
      <w:r w:rsidRPr="0079089A">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E76657" w:rsidRDefault="00FE53A3" w:rsidP="009578F6">
      <w:pPr>
        <w:pStyle w:val="ListParagraph"/>
        <w:numPr>
          <w:ilvl w:val="0"/>
          <w:numId w:val="8"/>
        </w:numPr>
        <w:ind w:left="426"/>
        <w:jc w:val="both"/>
        <w:rPr>
          <w:rFonts w:ascii="Arial" w:hAnsi="Arial" w:cs="Arial"/>
          <w:sz w:val="22"/>
          <w:szCs w:val="22"/>
          <w:lang w:val="en-GB"/>
        </w:rPr>
      </w:pPr>
      <w:r w:rsidRPr="00E76657">
        <w:rPr>
          <w:rFonts w:ascii="Arial" w:hAnsi="Arial" w:cs="Arial"/>
          <w:sz w:val="22"/>
          <w:szCs w:val="22"/>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417771" w:rsidRDefault="00FE53A3" w:rsidP="009578F6">
      <w:pPr>
        <w:pStyle w:val="ListParagraph"/>
        <w:numPr>
          <w:ilvl w:val="0"/>
          <w:numId w:val="8"/>
        </w:numPr>
        <w:ind w:left="426"/>
        <w:jc w:val="both"/>
        <w:rPr>
          <w:rFonts w:ascii="Arial" w:hAnsi="Arial" w:cs="Arial"/>
          <w:sz w:val="22"/>
          <w:szCs w:val="22"/>
          <w:highlight w:val="yellow"/>
          <w:lang w:val="en-GB"/>
        </w:rPr>
      </w:pPr>
      <w:r w:rsidRPr="00417771">
        <w:rPr>
          <w:rFonts w:ascii="Arial" w:hAnsi="Arial" w:cs="Arial"/>
          <w:sz w:val="22"/>
          <w:szCs w:val="22"/>
          <w:highlight w:val="yellow"/>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5D25EA" w:rsidRDefault="0041438F" w:rsidP="009578F6">
      <w:pPr>
        <w:pStyle w:val="ListParagraph"/>
        <w:numPr>
          <w:ilvl w:val="0"/>
          <w:numId w:val="9"/>
        </w:numPr>
        <w:ind w:left="426"/>
        <w:jc w:val="both"/>
        <w:rPr>
          <w:rFonts w:ascii="Arial" w:hAnsi="Arial" w:cs="Arial"/>
          <w:sz w:val="22"/>
          <w:szCs w:val="22"/>
          <w:highlight w:val="yellow"/>
          <w:lang w:val="en-GB"/>
        </w:rPr>
      </w:pPr>
      <w:r w:rsidRPr="005D25EA">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5D25EA" w:rsidRDefault="006F4751" w:rsidP="009578F6">
      <w:pPr>
        <w:pStyle w:val="ListParagraph"/>
        <w:numPr>
          <w:ilvl w:val="0"/>
          <w:numId w:val="10"/>
        </w:numPr>
        <w:ind w:left="426"/>
        <w:jc w:val="both"/>
        <w:rPr>
          <w:rFonts w:ascii="Arial" w:hAnsi="Arial" w:cs="Arial"/>
          <w:sz w:val="22"/>
          <w:szCs w:val="22"/>
          <w:highlight w:val="yellow"/>
          <w:lang w:val="en-GB"/>
        </w:rPr>
      </w:pPr>
      <w:r w:rsidRPr="005D25EA">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E76657" w:rsidRDefault="00FD3A07" w:rsidP="009578F6">
      <w:pPr>
        <w:pStyle w:val="ListParagraph"/>
        <w:numPr>
          <w:ilvl w:val="0"/>
          <w:numId w:val="13"/>
        </w:numPr>
        <w:ind w:left="426"/>
        <w:jc w:val="both"/>
        <w:rPr>
          <w:rFonts w:ascii="Arial" w:eastAsiaTheme="minorHAnsi" w:hAnsi="Arial" w:cs="Arial"/>
          <w:sz w:val="22"/>
          <w:szCs w:val="22"/>
          <w:lang w:val="en-GB"/>
        </w:rPr>
      </w:pPr>
      <w:r w:rsidRPr="00E76657">
        <w:rPr>
          <w:rFonts w:ascii="Arial" w:hAnsi="Arial" w:cs="Arial"/>
          <w:sz w:val="22"/>
          <w:szCs w:val="22"/>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C7BEE"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9C7BEE">
        <w:rPr>
          <w:rFonts w:ascii="Arial" w:hAnsi="Arial" w:cs="Arial"/>
          <w:sz w:val="22"/>
          <w:szCs w:val="22"/>
          <w:highlight w:val="yellow"/>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A867DC" w:rsidRDefault="00B22016" w:rsidP="00B22016">
      <w:pPr>
        <w:pStyle w:val="ListParagraph"/>
        <w:numPr>
          <w:ilvl w:val="1"/>
          <w:numId w:val="14"/>
        </w:numPr>
        <w:ind w:left="426"/>
        <w:jc w:val="both"/>
        <w:rPr>
          <w:rFonts w:ascii="Arial" w:hAnsi="Arial" w:cs="Arial"/>
          <w:sz w:val="22"/>
          <w:szCs w:val="22"/>
          <w:highlight w:val="yellow"/>
          <w:lang w:val="en-GB"/>
        </w:rPr>
      </w:pPr>
      <w:r w:rsidRPr="00A867DC">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A867DC" w:rsidRDefault="005D54B3" w:rsidP="005D54B3">
      <w:pPr>
        <w:pStyle w:val="ListParagraph"/>
        <w:numPr>
          <w:ilvl w:val="0"/>
          <w:numId w:val="15"/>
        </w:numPr>
        <w:ind w:left="426"/>
        <w:jc w:val="both"/>
        <w:rPr>
          <w:rFonts w:ascii="Arial" w:hAnsi="Arial" w:cs="Arial"/>
          <w:sz w:val="22"/>
          <w:szCs w:val="22"/>
          <w:highlight w:val="yellow"/>
          <w:lang w:val="en-GB"/>
        </w:rPr>
      </w:pPr>
      <w:r w:rsidRPr="00A867DC">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425F71" w:rsidRDefault="009578F6" w:rsidP="009578F6">
      <w:pPr>
        <w:pStyle w:val="ListParagraph"/>
        <w:numPr>
          <w:ilvl w:val="0"/>
          <w:numId w:val="18"/>
        </w:numPr>
        <w:ind w:left="426"/>
        <w:jc w:val="both"/>
        <w:rPr>
          <w:rFonts w:ascii="Arial" w:hAnsi="Arial" w:cs="Arial"/>
          <w:sz w:val="22"/>
          <w:szCs w:val="22"/>
          <w:highlight w:val="yellow"/>
          <w:lang w:val="en-GB"/>
        </w:rPr>
      </w:pPr>
      <w:r w:rsidRPr="00425F71">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71BAE4C6" w14:textId="77777777" w:rsidR="00A35DBF" w:rsidRDefault="00A35DBF" w:rsidP="00A35DBF">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Bankruptcy Ordinance (Cap 6) (</w:t>
      </w:r>
      <w:r>
        <w:rPr>
          <w:rFonts w:ascii="Arial" w:hAnsi="Arial" w:cs="Arial"/>
          <w:b/>
          <w:color w:val="7B7B7B" w:themeColor="accent3" w:themeShade="BF"/>
          <w:sz w:val="22"/>
          <w:szCs w:val="22"/>
        </w:rPr>
        <w:t>BO</w:t>
      </w:r>
      <w:r>
        <w:rPr>
          <w:rFonts w:ascii="Arial" w:hAnsi="Arial" w:cs="Arial"/>
          <w:color w:val="7B7B7B" w:themeColor="accent3" w:themeShade="BF"/>
          <w:sz w:val="22"/>
          <w:szCs w:val="22"/>
        </w:rPr>
        <w:t>) provides the statutory requirements to be met for a bankruptcy petition to be presented against a debtor. Specifically, §4 of the BO states that a debtor:</w:t>
      </w:r>
    </w:p>
    <w:p w14:paraId="29E77006" w14:textId="77777777" w:rsidR="00A35DBF" w:rsidRDefault="00A35DBF" w:rsidP="00A35DBF">
      <w:pPr>
        <w:ind w:left="90"/>
        <w:jc w:val="both"/>
        <w:rPr>
          <w:rFonts w:ascii="Arial" w:hAnsi="Arial" w:cs="Arial"/>
          <w:color w:val="7B7B7B" w:themeColor="accent3" w:themeShade="BF"/>
          <w:sz w:val="22"/>
          <w:szCs w:val="22"/>
        </w:rPr>
      </w:pPr>
    </w:p>
    <w:p w14:paraId="2EC165D4" w14:textId="77777777" w:rsidR="00A35DBF" w:rsidRDefault="00A35DBF" w:rsidP="00A35DBF">
      <w:pPr>
        <w:pStyle w:val="ListParagraph"/>
        <w:numPr>
          <w:ilvl w:val="0"/>
          <w:numId w:val="29"/>
        </w:numPr>
        <w:ind w:left="9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Is domiciled in Hong Kong: </w:t>
      </w:r>
      <w:r>
        <w:rPr>
          <w:rFonts w:ascii="Arial" w:hAnsi="Arial" w:cs="Arial"/>
          <w:i/>
          <w:color w:val="7B7B7B" w:themeColor="accent3" w:themeShade="BF"/>
          <w:sz w:val="22"/>
          <w:szCs w:val="22"/>
        </w:rPr>
        <w:t xml:space="preserve">§4(1)(a) </w:t>
      </w:r>
      <w:proofErr w:type="gramStart"/>
      <w:r>
        <w:rPr>
          <w:rFonts w:ascii="Arial" w:hAnsi="Arial" w:cs="Arial"/>
          <w:i/>
          <w:color w:val="7B7B7B" w:themeColor="accent3" w:themeShade="BF"/>
          <w:sz w:val="22"/>
          <w:szCs w:val="22"/>
        </w:rPr>
        <w:t>BO</w:t>
      </w:r>
      <w:r>
        <w:rPr>
          <w:rFonts w:ascii="Arial" w:hAnsi="Arial" w:cs="Arial"/>
          <w:color w:val="7B7B7B" w:themeColor="accent3" w:themeShade="BF"/>
          <w:sz w:val="22"/>
          <w:szCs w:val="22"/>
        </w:rPr>
        <w:t>;</w:t>
      </w:r>
      <w:proofErr w:type="gramEnd"/>
    </w:p>
    <w:p w14:paraId="4C6C5313" w14:textId="77777777" w:rsidR="00A35DBF" w:rsidRDefault="00A35DBF" w:rsidP="00A35DBF">
      <w:pPr>
        <w:pStyle w:val="ListParagraph"/>
        <w:numPr>
          <w:ilvl w:val="0"/>
          <w:numId w:val="29"/>
        </w:numPr>
        <w:ind w:left="9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Is personally present in Hong Kong on the day on which the petition is presented: </w:t>
      </w:r>
      <w:r>
        <w:rPr>
          <w:rFonts w:ascii="Arial" w:hAnsi="Arial" w:cs="Arial"/>
          <w:i/>
          <w:color w:val="7B7B7B" w:themeColor="accent3" w:themeShade="BF"/>
          <w:sz w:val="22"/>
          <w:szCs w:val="22"/>
        </w:rPr>
        <w:t>§4(1)(b</w:t>
      </w:r>
      <w:proofErr w:type="gramStart"/>
      <w:r>
        <w:rPr>
          <w:rFonts w:ascii="Arial" w:hAnsi="Arial" w:cs="Arial"/>
          <w:i/>
          <w:color w:val="7B7B7B" w:themeColor="accent3" w:themeShade="BF"/>
          <w:sz w:val="22"/>
          <w:szCs w:val="22"/>
        </w:rPr>
        <w:t>)</w:t>
      </w:r>
      <w:r>
        <w:rPr>
          <w:rFonts w:ascii="Arial" w:hAnsi="Arial" w:cs="Arial"/>
          <w:color w:val="7B7B7B" w:themeColor="accent3" w:themeShade="BF"/>
          <w:sz w:val="22"/>
          <w:szCs w:val="22"/>
        </w:rPr>
        <w:t>;</w:t>
      </w:r>
      <w:proofErr w:type="gramEnd"/>
    </w:p>
    <w:p w14:paraId="72BBF0AB" w14:textId="77777777" w:rsidR="00A35DBF" w:rsidRDefault="00A35DBF" w:rsidP="00A35DBF">
      <w:pPr>
        <w:pStyle w:val="ListParagraph"/>
        <w:numPr>
          <w:ilvl w:val="0"/>
          <w:numId w:val="29"/>
        </w:numPr>
        <w:ind w:left="990"/>
        <w:jc w:val="both"/>
        <w:rPr>
          <w:rFonts w:ascii="Arial" w:hAnsi="Arial" w:cs="Arial"/>
          <w:color w:val="7B7B7B" w:themeColor="accent3" w:themeShade="BF"/>
          <w:sz w:val="22"/>
          <w:szCs w:val="22"/>
        </w:rPr>
      </w:pPr>
      <w:r>
        <w:rPr>
          <w:rFonts w:ascii="Arial" w:hAnsi="Arial" w:cs="Arial"/>
          <w:color w:val="7B7B7B" w:themeColor="accent3" w:themeShade="BF"/>
          <w:sz w:val="22"/>
          <w:szCs w:val="22"/>
        </w:rPr>
        <w:t>At any time in 3 years ending with the day</w:t>
      </w:r>
    </w:p>
    <w:p w14:paraId="2F0CB81F" w14:textId="77777777" w:rsidR="00A35DBF" w:rsidRDefault="00A35DBF" w:rsidP="00A35DBF">
      <w:pPr>
        <w:pStyle w:val="ListParagraph"/>
        <w:ind w:left="990"/>
        <w:jc w:val="both"/>
        <w:rPr>
          <w:rFonts w:ascii="Arial" w:hAnsi="Arial" w:cs="Arial"/>
          <w:color w:val="7B7B7B" w:themeColor="accent3" w:themeShade="BF"/>
          <w:sz w:val="22"/>
          <w:szCs w:val="22"/>
        </w:rPr>
      </w:pPr>
    </w:p>
    <w:p w14:paraId="16005B99" w14:textId="77777777" w:rsidR="00A35DBF" w:rsidRDefault="00A35DBF" w:rsidP="00A35DBF">
      <w:pPr>
        <w:pStyle w:val="ListParagraph"/>
        <w:numPr>
          <w:ilvl w:val="1"/>
          <w:numId w:val="29"/>
        </w:numPr>
        <w:ind w:left="1530"/>
        <w:jc w:val="both"/>
        <w:rPr>
          <w:rFonts w:ascii="Arial" w:hAnsi="Arial" w:cs="Arial"/>
          <w:color w:val="7B7B7B" w:themeColor="accent3" w:themeShade="BF"/>
          <w:sz w:val="22"/>
          <w:szCs w:val="22"/>
        </w:rPr>
      </w:pPr>
      <w:r>
        <w:rPr>
          <w:rFonts w:ascii="Arial" w:hAnsi="Arial" w:cs="Arial"/>
          <w:color w:val="7B7B7B" w:themeColor="accent3" w:themeShade="BF"/>
          <w:sz w:val="22"/>
          <w:szCs w:val="22"/>
        </w:rPr>
        <w:t>He has ordinarily been resident, or has a place of residence, in Hong Kong; or</w:t>
      </w:r>
    </w:p>
    <w:p w14:paraId="26C6CA5C" w14:textId="77777777" w:rsidR="00A35DBF" w:rsidRPr="00D50696" w:rsidRDefault="00A35DBF" w:rsidP="00A35DBF">
      <w:pPr>
        <w:pStyle w:val="ListParagraph"/>
        <w:numPr>
          <w:ilvl w:val="1"/>
          <w:numId w:val="29"/>
        </w:numPr>
        <w:ind w:left="153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He has carried on business in Hong Kong: </w:t>
      </w:r>
      <w:r>
        <w:rPr>
          <w:rFonts w:ascii="Arial" w:hAnsi="Arial" w:cs="Arial"/>
          <w:i/>
          <w:color w:val="7B7B7B" w:themeColor="accent3" w:themeShade="BF"/>
          <w:sz w:val="22"/>
          <w:szCs w:val="22"/>
        </w:rPr>
        <w:t>see §4(1)(c)(</w:t>
      </w:r>
      <w:proofErr w:type="spellStart"/>
      <w:r>
        <w:rPr>
          <w:rFonts w:ascii="Arial" w:hAnsi="Arial" w:cs="Arial"/>
          <w:i/>
          <w:color w:val="7B7B7B" w:themeColor="accent3" w:themeShade="BF"/>
          <w:sz w:val="22"/>
          <w:szCs w:val="22"/>
        </w:rPr>
        <w:t>i</w:t>
      </w:r>
      <w:proofErr w:type="spellEnd"/>
      <w:r>
        <w:rPr>
          <w:rFonts w:ascii="Arial" w:hAnsi="Arial" w:cs="Arial"/>
          <w:i/>
          <w:color w:val="7B7B7B" w:themeColor="accent3" w:themeShade="BF"/>
          <w:sz w:val="22"/>
          <w:szCs w:val="22"/>
        </w:rPr>
        <w:t>)-(ii) BO.</w:t>
      </w:r>
    </w:p>
    <w:p w14:paraId="334DF3BB" w14:textId="77777777" w:rsidR="00A35DBF" w:rsidRDefault="00A35DBF" w:rsidP="00A35DBF">
      <w:pPr>
        <w:jc w:val="both"/>
        <w:rPr>
          <w:rFonts w:ascii="Arial" w:hAnsi="Arial" w:cs="Arial"/>
          <w:color w:val="7B7B7B" w:themeColor="accent3" w:themeShade="BF"/>
          <w:sz w:val="22"/>
          <w:szCs w:val="22"/>
        </w:rPr>
      </w:pPr>
    </w:p>
    <w:p w14:paraId="508C0B46" w14:textId="77777777" w:rsidR="00A35DBF" w:rsidRPr="00D50696" w:rsidRDefault="00A35DBF" w:rsidP="00A35DB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For the purposes of this section, a debtor shall be considered to carry on business in Hong Kong if the debtor was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carrying on business as a firm or partnership of which the debtor is a member: </w:t>
      </w:r>
      <w:r>
        <w:rPr>
          <w:rFonts w:ascii="Arial" w:hAnsi="Arial" w:cs="Arial"/>
          <w:i/>
          <w:color w:val="7B7B7B" w:themeColor="accent3" w:themeShade="BF"/>
          <w:sz w:val="22"/>
          <w:szCs w:val="22"/>
        </w:rPr>
        <w:t>§4(2)(a) BO</w:t>
      </w:r>
      <w:r>
        <w:rPr>
          <w:rFonts w:ascii="Arial" w:hAnsi="Arial" w:cs="Arial"/>
          <w:color w:val="7B7B7B" w:themeColor="accent3" w:themeShade="BF"/>
          <w:sz w:val="22"/>
          <w:szCs w:val="22"/>
        </w:rPr>
        <w:t xml:space="preserve">; or (ii) carrying on business by an agent or manager of the debtor for such firm or partnership: </w:t>
      </w:r>
      <w:r>
        <w:rPr>
          <w:rFonts w:ascii="Arial" w:hAnsi="Arial" w:cs="Arial"/>
          <w:i/>
          <w:color w:val="7B7B7B" w:themeColor="accent3" w:themeShade="BF"/>
          <w:sz w:val="22"/>
          <w:szCs w:val="22"/>
        </w:rPr>
        <w:t>§4(2)(b) BO</w:t>
      </w:r>
      <w:r>
        <w:rPr>
          <w:rFonts w:ascii="Arial" w:hAnsi="Arial" w:cs="Arial"/>
          <w:color w:val="7B7B7B" w:themeColor="accent3" w:themeShade="BF"/>
          <w:sz w:val="22"/>
          <w:szCs w:val="22"/>
        </w:rPr>
        <w:t>.</w:t>
      </w:r>
      <w:r w:rsidRPr="00D50696">
        <w:rPr>
          <w:rFonts w:ascii="Arial" w:hAnsi="Arial" w:cs="Arial"/>
          <w:color w:val="7B7B7B" w:themeColor="accent3" w:themeShade="BF"/>
          <w:sz w:val="22"/>
          <w:szCs w:val="22"/>
        </w:rPr>
        <w:t xml:space="preserve"> </w:t>
      </w:r>
    </w:p>
    <w:p w14:paraId="1F1047AF" w14:textId="77777777" w:rsidR="00E15753" w:rsidRPr="00E15753" w:rsidRDefault="00E15753" w:rsidP="00A960CD">
      <w:pPr>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7E41FDC4" w14:textId="77777777" w:rsidR="0038684B" w:rsidRPr="003A7865" w:rsidRDefault="0038684B" w:rsidP="0038684B">
      <w:pPr>
        <w:ind w:left="90"/>
        <w:jc w:val="both"/>
        <w:rPr>
          <w:rFonts w:ascii="Arial" w:hAnsi="Arial" w:cs="Arial"/>
          <w:sz w:val="22"/>
          <w:szCs w:val="22"/>
        </w:rPr>
      </w:pPr>
      <w:r>
        <w:rPr>
          <w:rFonts w:ascii="Arial" w:hAnsi="Arial" w:cs="Arial"/>
          <w:color w:val="7B7B7B" w:themeColor="accent3" w:themeShade="BF"/>
          <w:sz w:val="22"/>
          <w:szCs w:val="22"/>
        </w:rPr>
        <w:t>The Hong Kong Courts have a statutory power to wind up a registered non-Hong Kong company</w:t>
      </w:r>
      <w:r>
        <w:rPr>
          <w:rStyle w:val="FootnoteReference"/>
          <w:rFonts w:ascii="Arial" w:hAnsi="Arial" w:cs="Arial"/>
          <w:color w:val="7B7B7B" w:themeColor="accent3" w:themeShade="BF"/>
          <w:sz w:val="22"/>
          <w:szCs w:val="22"/>
        </w:rPr>
        <w:footnoteReference w:id="1"/>
      </w:r>
      <w:r>
        <w:rPr>
          <w:rFonts w:ascii="Arial" w:hAnsi="Arial" w:cs="Arial"/>
          <w:color w:val="7B7B7B" w:themeColor="accent3" w:themeShade="BF"/>
          <w:sz w:val="22"/>
          <w:szCs w:val="22"/>
        </w:rPr>
        <w:t xml:space="preserve"> provided three core requirements are satisfied. These core requirements have developed to justify the Court setting in motion its winding up procedures over a corporate body to which </w:t>
      </w:r>
      <w:r>
        <w:rPr>
          <w:rFonts w:ascii="Arial" w:hAnsi="Arial" w:cs="Arial"/>
          <w:i/>
          <w:color w:val="7B7B7B" w:themeColor="accent3" w:themeShade="BF"/>
          <w:sz w:val="22"/>
          <w:szCs w:val="22"/>
        </w:rPr>
        <w:t>prima facie</w:t>
      </w:r>
      <w:r>
        <w:rPr>
          <w:rFonts w:ascii="Arial" w:hAnsi="Arial" w:cs="Arial"/>
          <w:color w:val="7B7B7B" w:themeColor="accent3" w:themeShade="BF"/>
          <w:sz w:val="22"/>
          <w:szCs w:val="22"/>
        </w:rPr>
        <w:t xml:space="preserve"> is beyond the limits of its territoriality. Specifically,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there had to be a sufficient connection with Hong Kong, but this does not necessarily have to consist of assets within the jurisdiction; (ii) there must be a reasonable possibility that the winding up order would benefit those applying for it; and (iii) the court must be able to exercise jurisdiction over one or more of the persons in the distribution of the company’s assets: </w:t>
      </w:r>
      <w:r>
        <w:rPr>
          <w:rFonts w:ascii="Arial" w:hAnsi="Arial" w:cs="Arial"/>
          <w:i/>
          <w:color w:val="7B7B7B" w:themeColor="accent3" w:themeShade="BF"/>
          <w:sz w:val="22"/>
          <w:szCs w:val="22"/>
        </w:rPr>
        <w:t xml:space="preserve">see Re China </w:t>
      </w:r>
      <w:proofErr w:type="spellStart"/>
      <w:r>
        <w:rPr>
          <w:rFonts w:ascii="Arial" w:hAnsi="Arial" w:cs="Arial"/>
          <w:i/>
          <w:color w:val="7B7B7B" w:themeColor="accent3" w:themeShade="BF"/>
          <w:sz w:val="22"/>
          <w:szCs w:val="22"/>
        </w:rPr>
        <w:t>Huiyan</w:t>
      </w:r>
      <w:proofErr w:type="spellEnd"/>
      <w:r>
        <w:rPr>
          <w:rFonts w:ascii="Arial" w:hAnsi="Arial" w:cs="Arial"/>
          <w:i/>
          <w:color w:val="7B7B7B" w:themeColor="accent3" w:themeShade="BF"/>
          <w:sz w:val="22"/>
          <w:szCs w:val="22"/>
        </w:rPr>
        <w:t xml:space="preserve"> Juice Group Ltd </w:t>
      </w:r>
      <w:r>
        <w:rPr>
          <w:rFonts w:ascii="Arial" w:hAnsi="Arial" w:cs="Arial"/>
          <w:color w:val="7B7B7B" w:themeColor="accent3" w:themeShade="BF"/>
          <w:sz w:val="22"/>
          <w:szCs w:val="22"/>
        </w:rPr>
        <w:t>[2021] 1 HKLRD 255 at §19.</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09F87DE3" w14:textId="77777777" w:rsidR="008B0544" w:rsidRDefault="008B0544" w:rsidP="008B0544">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Further to section 193 of the Companies (Winding Up and Miscellaneous Provisions) Ordinance (Cap 32) (</w:t>
      </w:r>
      <w:r>
        <w:rPr>
          <w:rFonts w:ascii="Arial" w:hAnsi="Arial" w:cs="Arial"/>
          <w:b/>
          <w:color w:val="7B7B7B" w:themeColor="accent3" w:themeShade="BF"/>
          <w:sz w:val="22"/>
          <w:szCs w:val="22"/>
        </w:rPr>
        <w:t>CWUMPO</w:t>
      </w:r>
      <w:r>
        <w:rPr>
          <w:rFonts w:ascii="Arial" w:hAnsi="Arial" w:cs="Arial"/>
          <w:color w:val="7B7B7B" w:themeColor="accent3" w:themeShade="BF"/>
          <w:sz w:val="22"/>
          <w:szCs w:val="22"/>
        </w:rPr>
        <w:t xml:space="preserve">) a provisional liquidator may be appointed by the Hong Kong Court any time after the presentation of a winding up petition </w:t>
      </w:r>
      <w:r>
        <w:rPr>
          <w:rFonts w:ascii="Arial" w:hAnsi="Arial" w:cs="Arial"/>
          <w:color w:val="7B7B7B" w:themeColor="accent3" w:themeShade="BF"/>
          <w:sz w:val="22"/>
          <w:szCs w:val="22"/>
          <w:u w:val="single"/>
        </w:rPr>
        <w:t>and</w:t>
      </w:r>
      <w:r>
        <w:rPr>
          <w:rFonts w:ascii="Arial" w:hAnsi="Arial" w:cs="Arial"/>
          <w:color w:val="7B7B7B" w:themeColor="accent3" w:themeShade="BF"/>
          <w:sz w:val="22"/>
          <w:szCs w:val="22"/>
        </w:rPr>
        <w:t xml:space="preserve"> before the making of a winding up order: </w:t>
      </w:r>
      <w:r>
        <w:rPr>
          <w:rFonts w:ascii="Arial" w:hAnsi="Arial" w:cs="Arial"/>
          <w:i/>
          <w:color w:val="7B7B7B" w:themeColor="accent3" w:themeShade="BF"/>
          <w:sz w:val="22"/>
          <w:szCs w:val="22"/>
        </w:rPr>
        <w:t>§193(1) CWUMPO</w:t>
      </w:r>
      <w:r>
        <w:rPr>
          <w:rFonts w:ascii="Arial" w:hAnsi="Arial" w:cs="Arial"/>
          <w:color w:val="7B7B7B" w:themeColor="accent3" w:themeShade="BF"/>
          <w:sz w:val="22"/>
          <w:szCs w:val="22"/>
        </w:rPr>
        <w:t xml:space="preserve">. </w:t>
      </w:r>
    </w:p>
    <w:p w14:paraId="7731FE26" w14:textId="77777777" w:rsidR="008B0544" w:rsidRDefault="008B0544" w:rsidP="008B0544">
      <w:pPr>
        <w:ind w:left="90"/>
        <w:jc w:val="both"/>
        <w:rPr>
          <w:rFonts w:ascii="Arial" w:hAnsi="Arial" w:cs="Arial"/>
          <w:color w:val="7B7B7B" w:themeColor="accent3" w:themeShade="BF"/>
          <w:sz w:val="22"/>
          <w:szCs w:val="22"/>
        </w:rPr>
      </w:pPr>
    </w:p>
    <w:p w14:paraId="4CC20BC3" w14:textId="77777777" w:rsidR="00F863D8" w:rsidRDefault="00F863D8" w:rsidP="00F863D8">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Further to section 193 of the Companies (Winding-Up and Miscellaneous Provisions) Ordinance (Cap 32) (</w:t>
      </w:r>
      <w:r>
        <w:rPr>
          <w:rFonts w:ascii="Arial" w:hAnsi="Arial" w:cs="Arial"/>
          <w:b/>
          <w:color w:val="7B7B7B" w:themeColor="accent3" w:themeShade="BF"/>
          <w:sz w:val="22"/>
          <w:szCs w:val="22"/>
        </w:rPr>
        <w:t>CWUMPO</w:t>
      </w:r>
      <w:r>
        <w:rPr>
          <w:rFonts w:ascii="Arial" w:hAnsi="Arial" w:cs="Arial"/>
          <w:color w:val="7B7B7B" w:themeColor="accent3" w:themeShade="BF"/>
          <w:sz w:val="22"/>
          <w:szCs w:val="22"/>
        </w:rPr>
        <w:t xml:space="preserve">), a provisional liquidator may be appointed by the Hong Kong Court any time after the presentation of a winding up petition </w:t>
      </w:r>
      <w:r>
        <w:rPr>
          <w:rFonts w:ascii="Arial" w:hAnsi="Arial" w:cs="Arial"/>
          <w:color w:val="7B7B7B" w:themeColor="accent3" w:themeShade="BF"/>
          <w:sz w:val="22"/>
          <w:szCs w:val="22"/>
          <w:u w:val="single"/>
        </w:rPr>
        <w:t>and</w:t>
      </w:r>
      <w:r>
        <w:rPr>
          <w:rFonts w:ascii="Arial" w:hAnsi="Arial" w:cs="Arial"/>
          <w:color w:val="7B7B7B" w:themeColor="accent3" w:themeShade="BF"/>
          <w:sz w:val="22"/>
          <w:szCs w:val="22"/>
        </w:rPr>
        <w:t xml:space="preserve"> before the making of a winding up order: </w:t>
      </w:r>
      <w:r>
        <w:rPr>
          <w:rFonts w:ascii="Arial" w:hAnsi="Arial" w:cs="Arial"/>
          <w:i/>
          <w:color w:val="7B7B7B" w:themeColor="accent3" w:themeShade="BF"/>
          <w:sz w:val="22"/>
          <w:szCs w:val="22"/>
        </w:rPr>
        <w:t>§193(1) CWUMPO</w:t>
      </w:r>
      <w:r>
        <w:rPr>
          <w:rFonts w:ascii="Arial" w:hAnsi="Arial" w:cs="Arial"/>
          <w:color w:val="7B7B7B" w:themeColor="accent3" w:themeShade="BF"/>
          <w:sz w:val="22"/>
          <w:szCs w:val="22"/>
        </w:rPr>
        <w:t xml:space="preserve">. </w:t>
      </w:r>
    </w:p>
    <w:p w14:paraId="4B4A102E" w14:textId="77777777" w:rsidR="00F863D8" w:rsidRDefault="00F863D8" w:rsidP="00F863D8">
      <w:pPr>
        <w:ind w:left="90"/>
        <w:jc w:val="both"/>
        <w:rPr>
          <w:rFonts w:ascii="Arial" w:hAnsi="Arial" w:cs="Arial"/>
          <w:color w:val="7B7B7B" w:themeColor="accent3" w:themeShade="BF"/>
          <w:sz w:val="22"/>
          <w:szCs w:val="22"/>
        </w:rPr>
      </w:pPr>
    </w:p>
    <w:p w14:paraId="735B9477" w14:textId="77777777" w:rsidR="00F863D8" w:rsidRDefault="00F863D8" w:rsidP="00F863D8">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are two instances for which applications are made for the appointment of provisional liquidators. First, there is evidence of mismanagement by the company directors, which gives rise to a risk that the company’s directors may dissipate its assets before a winding-up order is made. In that regard, a provisional liquidator may be appointed to secure the company’s assets and preserve their value until the winding-up order is made. Second, a provisional liquidator may be appointed where the company wishes to reorganize its debt and enter into a scheme of arrangement with its creditors</w:t>
      </w:r>
      <w:r>
        <w:rPr>
          <w:rStyle w:val="FootnoteReference"/>
          <w:rFonts w:ascii="Arial" w:hAnsi="Arial" w:cs="Arial"/>
          <w:color w:val="7B7B7B" w:themeColor="accent3" w:themeShade="BF"/>
          <w:sz w:val="22"/>
          <w:szCs w:val="22"/>
        </w:rPr>
        <w:footnoteReference w:id="2"/>
      </w:r>
      <w:r>
        <w:rPr>
          <w:rFonts w:ascii="Arial" w:hAnsi="Arial" w:cs="Arial"/>
          <w:color w:val="7B7B7B" w:themeColor="accent3" w:themeShade="BF"/>
          <w:sz w:val="22"/>
          <w:szCs w:val="22"/>
        </w:rPr>
        <w:t xml:space="preserve">. </w:t>
      </w:r>
    </w:p>
    <w:p w14:paraId="1B5B9EAE" w14:textId="77777777" w:rsidR="00F863D8" w:rsidRDefault="00F863D8" w:rsidP="00F863D8">
      <w:pPr>
        <w:ind w:left="90"/>
        <w:jc w:val="both"/>
        <w:rPr>
          <w:rFonts w:ascii="Arial" w:hAnsi="Arial" w:cs="Arial"/>
          <w:color w:val="7B7B7B" w:themeColor="accent3" w:themeShade="BF"/>
          <w:sz w:val="22"/>
          <w:szCs w:val="22"/>
        </w:rPr>
      </w:pPr>
    </w:p>
    <w:p w14:paraId="24E34005" w14:textId="77777777" w:rsidR="00F863D8" w:rsidRDefault="00F863D8" w:rsidP="00F863D8">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provisional liquidator’s powers will be governed by the powers directed by the Court in the order appointing the provisional liquidator: </w:t>
      </w:r>
      <w:r>
        <w:rPr>
          <w:rFonts w:ascii="Arial" w:hAnsi="Arial" w:cs="Arial"/>
          <w:i/>
          <w:color w:val="7B7B7B" w:themeColor="accent3" w:themeShade="BF"/>
          <w:sz w:val="22"/>
          <w:szCs w:val="22"/>
        </w:rPr>
        <w:t>§193(3) CWUMPO</w:t>
      </w:r>
      <w:r>
        <w:rPr>
          <w:rFonts w:ascii="Arial" w:hAnsi="Arial" w:cs="Arial"/>
          <w:color w:val="7B7B7B" w:themeColor="accent3" w:themeShade="BF"/>
          <w:sz w:val="22"/>
          <w:szCs w:val="22"/>
        </w:rPr>
        <w:t xml:space="preserve">. In considering an application for the appointment of a provisional liquidator, the Hong Kong Court will have regard to the following factors: </w:t>
      </w:r>
    </w:p>
    <w:p w14:paraId="3D1BCC3E" w14:textId="77777777" w:rsidR="00F863D8" w:rsidRDefault="00F863D8" w:rsidP="00F863D8">
      <w:pPr>
        <w:pStyle w:val="ListParagraph"/>
        <w:ind w:left="1170"/>
        <w:jc w:val="both"/>
        <w:rPr>
          <w:rFonts w:ascii="Arial" w:hAnsi="Arial" w:cs="Arial"/>
          <w:color w:val="7B7B7B" w:themeColor="accent3" w:themeShade="BF"/>
          <w:sz w:val="22"/>
          <w:szCs w:val="22"/>
        </w:rPr>
      </w:pPr>
    </w:p>
    <w:p w14:paraId="6E774ADA" w14:textId="77777777" w:rsidR="00F863D8" w:rsidRDefault="00F863D8" w:rsidP="00F863D8">
      <w:pPr>
        <w:pStyle w:val="ListParagraph"/>
        <w:numPr>
          <w:ilvl w:val="0"/>
          <w:numId w:val="28"/>
        </w:numPr>
        <w:ind w:left="117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commercial </w:t>
      </w:r>
      <w:proofErr w:type="gramStart"/>
      <w:r>
        <w:rPr>
          <w:rFonts w:ascii="Arial" w:hAnsi="Arial" w:cs="Arial"/>
          <w:color w:val="7B7B7B" w:themeColor="accent3" w:themeShade="BF"/>
          <w:sz w:val="22"/>
          <w:szCs w:val="22"/>
        </w:rPr>
        <w:t>realities;</w:t>
      </w:r>
      <w:proofErr w:type="gramEnd"/>
    </w:p>
    <w:p w14:paraId="717F6F59" w14:textId="77777777" w:rsidR="00F863D8" w:rsidRDefault="00F863D8" w:rsidP="00F863D8">
      <w:pPr>
        <w:pStyle w:val="ListParagraph"/>
        <w:numPr>
          <w:ilvl w:val="0"/>
          <w:numId w:val="28"/>
        </w:numPr>
        <w:ind w:left="117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degree of </w:t>
      </w:r>
      <w:proofErr w:type="gramStart"/>
      <w:r>
        <w:rPr>
          <w:rFonts w:ascii="Arial" w:hAnsi="Arial" w:cs="Arial"/>
          <w:color w:val="7B7B7B" w:themeColor="accent3" w:themeShade="BF"/>
          <w:sz w:val="22"/>
          <w:szCs w:val="22"/>
        </w:rPr>
        <w:t>urgency;</w:t>
      </w:r>
      <w:proofErr w:type="gramEnd"/>
      <w:r>
        <w:rPr>
          <w:rFonts w:ascii="Arial" w:hAnsi="Arial" w:cs="Arial"/>
          <w:color w:val="7B7B7B" w:themeColor="accent3" w:themeShade="BF"/>
          <w:sz w:val="22"/>
          <w:szCs w:val="22"/>
        </w:rPr>
        <w:t xml:space="preserve"> </w:t>
      </w:r>
    </w:p>
    <w:p w14:paraId="40DFA7BD" w14:textId="77777777" w:rsidR="00F863D8" w:rsidRDefault="00F863D8" w:rsidP="00F863D8">
      <w:pPr>
        <w:pStyle w:val="ListParagraph"/>
        <w:numPr>
          <w:ilvl w:val="0"/>
          <w:numId w:val="28"/>
        </w:numPr>
        <w:ind w:left="117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need for an order appointing a provisional liquidator; and</w:t>
      </w:r>
    </w:p>
    <w:p w14:paraId="5F32C19E" w14:textId="77777777" w:rsidR="00F863D8" w:rsidRPr="001E5FB0" w:rsidRDefault="00F863D8" w:rsidP="00F863D8">
      <w:pPr>
        <w:pStyle w:val="ListParagraph"/>
        <w:numPr>
          <w:ilvl w:val="0"/>
          <w:numId w:val="28"/>
        </w:numPr>
        <w:ind w:left="117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balance of convenience</w:t>
      </w:r>
      <w:r>
        <w:rPr>
          <w:rStyle w:val="FootnoteReference"/>
          <w:rFonts w:ascii="Arial" w:hAnsi="Arial" w:cs="Arial"/>
          <w:color w:val="7B7B7B" w:themeColor="accent3" w:themeShade="BF"/>
          <w:sz w:val="22"/>
          <w:szCs w:val="22"/>
        </w:rPr>
        <w:footnoteReference w:id="3"/>
      </w:r>
      <w:r>
        <w:rPr>
          <w:rFonts w:ascii="Arial" w:hAnsi="Arial" w:cs="Arial"/>
          <w:color w:val="7B7B7B" w:themeColor="accent3" w:themeShade="BF"/>
          <w:sz w:val="22"/>
          <w:szCs w:val="22"/>
        </w:rPr>
        <w:t xml:space="preserve">. </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64844C3B" w14:textId="77777777" w:rsidR="006817E5" w:rsidRDefault="006817E5" w:rsidP="006817E5">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primary principle which underlies insolvency procedure is that this is a collective procedure which allows the general body of unsecured creditors of a company to share in the assets of the insolvent estate, equally, on a </w:t>
      </w:r>
      <w:proofErr w:type="spellStart"/>
      <w:r>
        <w:rPr>
          <w:rFonts w:ascii="Arial" w:hAnsi="Arial" w:cs="Arial"/>
          <w:i/>
          <w:color w:val="7B7B7B" w:themeColor="accent3" w:themeShade="BF"/>
          <w:sz w:val="22"/>
          <w:szCs w:val="22"/>
        </w:rPr>
        <w:t>pari</w:t>
      </w:r>
      <w:proofErr w:type="spellEnd"/>
      <w:r>
        <w:rPr>
          <w:rFonts w:ascii="Arial" w:hAnsi="Arial" w:cs="Arial"/>
          <w:i/>
          <w:color w:val="7B7B7B" w:themeColor="accent3" w:themeShade="BF"/>
          <w:sz w:val="22"/>
          <w:szCs w:val="22"/>
        </w:rPr>
        <w:t xml:space="preserve"> passu</w:t>
      </w:r>
      <w:r>
        <w:rPr>
          <w:rFonts w:ascii="Arial" w:hAnsi="Arial" w:cs="Arial"/>
          <w:color w:val="7B7B7B" w:themeColor="accent3" w:themeShade="BF"/>
          <w:sz w:val="22"/>
          <w:szCs w:val="22"/>
        </w:rPr>
        <w:t xml:space="preserve"> basis. In stark contrast to this underlying principle, an unfair preference payment by a company to a creditor prefers the interest of that creditor to the extent that such a creditor is placed in a better position than it would have been had the company entered insolvency.  Given the global nature of business today, and the separate legal personality of companies, the look back period for unfair preferences to a “connected party” is extended to two years. This further underscores the importance of the collective nature of insolvency procedures.  </w:t>
      </w:r>
    </w:p>
    <w:p w14:paraId="426D682C" w14:textId="77777777" w:rsidR="006817E5" w:rsidRDefault="006817E5" w:rsidP="006817E5">
      <w:pPr>
        <w:ind w:left="90"/>
        <w:jc w:val="both"/>
        <w:rPr>
          <w:rFonts w:ascii="Arial" w:hAnsi="Arial" w:cs="Arial"/>
          <w:color w:val="7B7B7B" w:themeColor="accent3" w:themeShade="BF"/>
          <w:sz w:val="22"/>
          <w:szCs w:val="22"/>
        </w:rPr>
      </w:pPr>
    </w:p>
    <w:p w14:paraId="7A4239AC" w14:textId="77777777" w:rsidR="006817E5" w:rsidRDefault="006817E5" w:rsidP="006817E5">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266 of the CWUMPO confers standing on a liquidator to apply to set aside an unfair preference provided that the statutory requirements are satisfied. A company gives an unfair preference to a person if:</w:t>
      </w:r>
    </w:p>
    <w:p w14:paraId="59AB6595" w14:textId="77777777" w:rsidR="006817E5" w:rsidRDefault="006817E5" w:rsidP="006817E5">
      <w:pPr>
        <w:ind w:left="90"/>
        <w:jc w:val="both"/>
        <w:rPr>
          <w:rFonts w:ascii="Arial" w:hAnsi="Arial" w:cs="Arial"/>
          <w:color w:val="7B7B7B" w:themeColor="accent3" w:themeShade="BF"/>
          <w:sz w:val="22"/>
          <w:szCs w:val="22"/>
        </w:rPr>
      </w:pPr>
    </w:p>
    <w:p w14:paraId="1F64E6C3" w14:textId="77777777" w:rsidR="006817E5" w:rsidRDefault="006817E5" w:rsidP="006817E5">
      <w:pPr>
        <w:pStyle w:val="ListParagraph"/>
        <w:numPr>
          <w:ilvl w:val="0"/>
          <w:numId w:val="28"/>
        </w:numPr>
        <w:ind w:left="126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person is a creditor of the company or a guarantor of the company’s debt: </w:t>
      </w:r>
      <w:r>
        <w:rPr>
          <w:rFonts w:ascii="Arial" w:hAnsi="Arial" w:cs="Arial"/>
          <w:i/>
          <w:color w:val="7B7B7B" w:themeColor="accent3" w:themeShade="BF"/>
          <w:sz w:val="22"/>
          <w:szCs w:val="22"/>
        </w:rPr>
        <w:t>see §266A(1)(a)(</w:t>
      </w:r>
      <w:proofErr w:type="spellStart"/>
      <w:r>
        <w:rPr>
          <w:rFonts w:ascii="Arial" w:hAnsi="Arial" w:cs="Arial"/>
          <w:i/>
          <w:color w:val="7B7B7B" w:themeColor="accent3" w:themeShade="BF"/>
          <w:sz w:val="22"/>
          <w:szCs w:val="22"/>
        </w:rPr>
        <w:t>i</w:t>
      </w:r>
      <w:proofErr w:type="spellEnd"/>
      <w:r>
        <w:rPr>
          <w:rFonts w:ascii="Arial" w:hAnsi="Arial" w:cs="Arial"/>
          <w:i/>
          <w:color w:val="7B7B7B" w:themeColor="accent3" w:themeShade="BF"/>
          <w:sz w:val="22"/>
          <w:szCs w:val="22"/>
        </w:rPr>
        <w:t>)-(ii</w:t>
      </w:r>
      <w:proofErr w:type="gramStart"/>
      <w:r>
        <w:rPr>
          <w:rFonts w:ascii="Arial" w:hAnsi="Arial" w:cs="Arial"/>
          <w:i/>
          <w:color w:val="7B7B7B" w:themeColor="accent3" w:themeShade="BF"/>
          <w:sz w:val="22"/>
          <w:szCs w:val="22"/>
        </w:rPr>
        <w:t>)</w:t>
      </w:r>
      <w:r>
        <w:rPr>
          <w:rFonts w:ascii="Arial" w:hAnsi="Arial" w:cs="Arial"/>
          <w:color w:val="7B7B7B" w:themeColor="accent3" w:themeShade="BF"/>
          <w:sz w:val="22"/>
          <w:szCs w:val="22"/>
        </w:rPr>
        <w:t>;</w:t>
      </w:r>
      <w:proofErr w:type="gramEnd"/>
    </w:p>
    <w:p w14:paraId="7CF59450" w14:textId="77777777" w:rsidR="006817E5" w:rsidRDefault="006817E5" w:rsidP="006817E5">
      <w:pPr>
        <w:pStyle w:val="ListParagraph"/>
        <w:ind w:left="1260"/>
        <w:jc w:val="both"/>
        <w:rPr>
          <w:rFonts w:ascii="Arial" w:hAnsi="Arial" w:cs="Arial"/>
          <w:color w:val="7B7B7B" w:themeColor="accent3" w:themeShade="BF"/>
          <w:sz w:val="22"/>
          <w:szCs w:val="22"/>
        </w:rPr>
      </w:pPr>
    </w:p>
    <w:p w14:paraId="7447BA38" w14:textId="77777777" w:rsidR="006817E5" w:rsidRDefault="006817E5" w:rsidP="006817E5">
      <w:pPr>
        <w:pStyle w:val="ListParagraph"/>
        <w:numPr>
          <w:ilvl w:val="0"/>
          <w:numId w:val="28"/>
        </w:numPr>
        <w:ind w:left="126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effect of the unfair preference is to put that creditor in a better position than it would have been in the event that the company entered into insolvent liquidation:</w:t>
      </w:r>
      <w:r>
        <w:rPr>
          <w:rFonts w:ascii="Arial" w:hAnsi="Arial" w:cs="Arial"/>
          <w:i/>
          <w:color w:val="7B7B7B" w:themeColor="accent3" w:themeShade="BF"/>
          <w:sz w:val="22"/>
          <w:szCs w:val="22"/>
        </w:rPr>
        <w:t xml:space="preserve"> see §266A(1)(b</w:t>
      </w:r>
      <w:proofErr w:type="gramStart"/>
      <w:r>
        <w:rPr>
          <w:rFonts w:ascii="Arial" w:hAnsi="Arial" w:cs="Arial"/>
          <w:i/>
          <w:color w:val="7B7B7B" w:themeColor="accent3" w:themeShade="BF"/>
          <w:sz w:val="22"/>
          <w:szCs w:val="22"/>
        </w:rPr>
        <w:t>)</w:t>
      </w:r>
      <w:r>
        <w:rPr>
          <w:rFonts w:ascii="Arial" w:hAnsi="Arial" w:cs="Arial"/>
          <w:color w:val="7B7B7B" w:themeColor="accent3" w:themeShade="BF"/>
          <w:sz w:val="22"/>
          <w:szCs w:val="22"/>
        </w:rPr>
        <w:t>;</w:t>
      </w:r>
      <w:proofErr w:type="gramEnd"/>
    </w:p>
    <w:p w14:paraId="7EBFEB9A" w14:textId="77777777" w:rsidR="006817E5" w:rsidRPr="009B7927" w:rsidRDefault="006817E5" w:rsidP="006817E5">
      <w:pPr>
        <w:pStyle w:val="ListParagraph"/>
        <w:rPr>
          <w:rFonts w:ascii="Arial" w:hAnsi="Arial" w:cs="Arial"/>
          <w:color w:val="7B7B7B" w:themeColor="accent3" w:themeShade="BF"/>
          <w:sz w:val="22"/>
          <w:szCs w:val="22"/>
        </w:rPr>
      </w:pPr>
    </w:p>
    <w:p w14:paraId="23BE7D7D" w14:textId="77777777" w:rsidR="006817E5" w:rsidRDefault="006817E5" w:rsidP="006817E5">
      <w:pPr>
        <w:pStyle w:val="ListParagraph"/>
        <w:numPr>
          <w:ilvl w:val="0"/>
          <w:numId w:val="28"/>
        </w:numPr>
        <w:ind w:left="126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At the time that the unfair preference was given the company was unable to pay its debts within the meaning of section §178; </w:t>
      </w:r>
      <w:r>
        <w:rPr>
          <w:rFonts w:ascii="Arial" w:hAnsi="Arial" w:cs="Arial"/>
          <w:i/>
          <w:color w:val="7B7B7B" w:themeColor="accent3" w:themeShade="BF"/>
          <w:sz w:val="22"/>
          <w:szCs w:val="22"/>
        </w:rPr>
        <w:t>see §266B(2</w:t>
      </w:r>
      <w:proofErr w:type="gramStart"/>
      <w:r>
        <w:rPr>
          <w:rFonts w:ascii="Arial" w:hAnsi="Arial" w:cs="Arial"/>
          <w:i/>
          <w:color w:val="7B7B7B" w:themeColor="accent3" w:themeShade="BF"/>
          <w:sz w:val="22"/>
          <w:szCs w:val="22"/>
        </w:rPr>
        <w:t>)</w:t>
      </w:r>
      <w:r>
        <w:rPr>
          <w:rFonts w:ascii="Arial" w:hAnsi="Arial" w:cs="Arial"/>
          <w:color w:val="7B7B7B" w:themeColor="accent3" w:themeShade="BF"/>
          <w:sz w:val="22"/>
          <w:szCs w:val="22"/>
        </w:rPr>
        <w:t>;</w:t>
      </w:r>
      <w:proofErr w:type="gramEnd"/>
    </w:p>
    <w:p w14:paraId="5DE0F8B4" w14:textId="77777777" w:rsidR="006817E5" w:rsidRPr="00AD712F" w:rsidRDefault="006817E5" w:rsidP="006817E5">
      <w:pPr>
        <w:pStyle w:val="ListParagraph"/>
        <w:rPr>
          <w:rFonts w:ascii="Arial" w:hAnsi="Arial" w:cs="Arial"/>
          <w:color w:val="7B7B7B" w:themeColor="accent3" w:themeShade="BF"/>
          <w:sz w:val="22"/>
          <w:szCs w:val="22"/>
        </w:rPr>
      </w:pPr>
    </w:p>
    <w:p w14:paraId="1AB1F87F" w14:textId="77777777" w:rsidR="006817E5" w:rsidRDefault="006817E5" w:rsidP="006817E5">
      <w:pPr>
        <w:pStyle w:val="ListParagraph"/>
        <w:numPr>
          <w:ilvl w:val="0"/>
          <w:numId w:val="28"/>
        </w:numPr>
        <w:ind w:left="126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unfair preference was given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to a person connected with the company 2 years within the onset of insolvency: </w:t>
      </w:r>
      <w:r>
        <w:rPr>
          <w:rFonts w:ascii="Arial" w:hAnsi="Arial" w:cs="Arial"/>
          <w:i/>
          <w:color w:val="7B7B7B" w:themeColor="accent3" w:themeShade="BF"/>
          <w:sz w:val="22"/>
          <w:szCs w:val="22"/>
        </w:rPr>
        <w:t>266B(1)(b)</w:t>
      </w:r>
      <w:r>
        <w:rPr>
          <w:rFonts w:ascii="Arial" w:hAnsi="Arial" w:cs="Arial"/>
          <w:color w:val="7B7B7B" w:themeColor="accent3" w:themeShade="BF"/>
          <w:sz w:val="22"/>
          <w:szCs w:val="22"/>
        </w:rPr>
        <w:t>, or in all other cases, (ii) the period of six months ending with the onset of insolvency (</w:t>
      </w:r>
      <w:proofErr w:type="gramStart"/>
      <w:r>
        <w:rPr>
          <w:rFonts w:ascii="Arial" w:hAnsi="Arial" w:cs="Arial"/>
          <w:color w:val="7B7B7B" w:themeColor="accent3" w:themeShade="BF"/>
          <w:sz w:val="22"/>
          <w:szCs w:val="22"/>
        </w:rPr>
        <w:t>i.e.</w:t>
      </w:r>
      <w:proofErr w:type="gramEnd"/>
      <w:r>
        <w:rPr>
          <w:rFonts w:ascii="Arial" w:hAnsi="Arial" w:cs="Arial"/>
          <w:color w:val="7B7B7B" w:themeColor="accent3" w:themeShade="BF"/>
          <w:sz w:val="22"/>
          <w:szCs w:val="22"/>
        </w:rPr>
        <w:t xml:space="preserve"> the presentation of the petition): </w:t>
      </w:r>
      <w:r>
        <w:rPr>
          <w:rFonts w:ascii="Arial" w:hAnsi="Arial" w:cs="Arial"/>
          <w:i/>
          <w:color w:val="7B7B7B" w:themeColor="accent3" w:themeShade="BF"/>
          <w:sz w:val="22"/>
          <w:szCs w:val="22"/>
        </w:rPr>
        <w:t>266B(1)(c)</w:t>
      </w:r>
      <w:r>
        <w:rPr>
          <w:rFonts w:ascii="Arial" w:hAnsi="Arial" w:cs="Arial"/>
          <w:color w:val="7B7B7B" w:themeColor="accent3" w:themeShade="BF"/>
          <w:sz w:val="22"/>
          <w:szCs w:val="22"/>
        </w:rPr>
        <w:t>; and</w:t>
      </w:r>
    </w:p>
    <w:p w14:paraId="3896D137" w14:textId="77777777" w:rsidR="006817E5" w:rsidRPr="0075431C" w:rsidRDefault="006817E5" w:rsidP="006817E5">
      <w:pPr>
        <w:pStyle w:val="ListParagraph"/>
        <w:rPr>
          <w:rFonts w:ascii="Arial" w:hAnsi="Arial" w:cs="Arial"/>
          <w:color w:val="7B7B7B" w:themeColor="accent3" w:themeShade="BF"/>
          <w:sz w:val="22"/>
          <w:szCs w:val="22"/>
        </w:rPr>
      </w:pPr>
    </w:p>
    <w:p w14:paraId="0CE503D9" w14:textId="77777777" w:rsidR="006817E5" w:rsidRDefault="006817E5" w:rsidP="006817E5">
      <w:pPr>
        <w:pStyle w:val="ListParagraph"/>
        <w:numPr>
          <w:ilvl w:val="0"/>
          <w:numId w:val="28"/>
        </w:numPr>
        <w:ind w:left="1260"/>
        <w:jc w:val="both"/>
        <w:rPr>
          <w:rFonts w:ascii="Arial" w:hAnsi="Arial" w:cs="Arial"/>
          <w:color w:val="7B7B7B" w:themeColor="accent3" w:themeShade="BF"/>
          <w:sz w:val="22"/>
          <w:szCs w:val="22"/>
        </w:rPr>
      </w:pPr>
      <w:r>
        <w:rPr>
          <w:rFonts w:ascii="Arial" w:hAnsi="Arial" w:cs="Arial"/>
          <w:color w:val="7B7B7B" w:themeColor="accent3" w:themeShade="BF"/>
          <w:sz w:val="22"/>
          <w:szCs w:val="22"/>
        </w:rPr>
        <w:t>In giving the unfair preference the company was influenced by a desire to prefer the creditor</w:t>
      </w:r>
      <w:r>
        <w:rPr>
          <w:rStyle w:val="FootnoteReference"/>
          <w:rFonts w:ascii="Arial" w:hAnsi="Arial" w:cs="Arial"/>
          <w:color w:val="7B7B7B" w:themeColor="accent3" w:themeShade="BF"/>
          <w:sz w:val="22"/>
          <w:szCs w:val="22"/>
        </w:rPr>
        <w:footnoteReference w:id="4"/>
      </w:r>
      <w:r>
        <w:rPr>
          <w:rFonts w:ascii="Arial" w:hAnsi="Arial" w:cs="Arial"/>
          <w:color w:val="7B7B7B" w:themeColor="accent3" w:themeShade="BF"/>
          <w:sz w:val="22"/>
          <w:szCs w:val="22"/>
        </w:rPr>
        <w:t>.</w:t>
      </w:r>
    </w:p>
    <w:p w14:paraId="48D15FA4" w14:textId="77777777" w:rsidR="006817E5" w:rsidRPr="00DF56E2" w:rsidRDefault="006817E5" w:rsidP="006817E5">
      <w:pPr>
        <w:pStyle w:val="ListParagraph"/>
        <w:rPr>
          <w:rFonts w:ascii="Arial" w:hAnsi="Arial" w:cs="Arial"/>
          <w:color w:val="7B7B7B" w:themeColor="accent3" w:themeShade="BF"/>
          <w:sz w:val="22"/>
          <w:szCs w:val="22"/>
        </w:rPr>
      </w:pPr>
    </w:p>
    <w:p w14:paraId="234EFF2E" w14:textId="77777777" w:rsidR="006817E5" w:rsidRPr="00FA5E30" w:rsidRDefault="006817E5" w:rsidP="006817E5">
      <w:pPr>
        <w:jc w:val="both"/>
        <w:rPr>
          <w:rFonts w:ascii="Arial" w:hAnsi="Arial" w:cs="Arial"/>
          <w:i/>
          <w:color w:val="7B7B7B" w:themeColor="accent3" w:themeShade="BF"/>
          <w:sz w:val="22"/>
          <w:szCs w:val="22"/>
        </w:rPr>
      </w:pPr>
      <w:r>
        <w:rPr>
          <w:rFonts w:ascii="Arial" w:hAnsi="Arial" w:cs="Arial"/>
          <w:color w:val="7B7B7B" w:themeColor="accent3" w:themeShade="BF"/>
          <w:sz w:val="22"/>
          <w:szCs w:val="22"/>
        </w:rPr>
        <w:t>If the Court is satisfied that the above requirements are satisfied, by way of example, the court may order any of the following: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the property transferred be vested in the company: </w:t>
      </w:r>
      <w:r>
        <w:rPr>
          <w:rFonts w:ascii="Arial" w:hAnsi="Arial" w:cs="Arial"/>
          <w:i/>
          <w:color w:val="7B7B7B" w:themeColor="accent3" w:themeShade="BF"/>
          <w:sz w:val="22"/>
          <w:szCs w:val="22"/>
        </w:rPr>
        <w:t>2666C(1)(a)</w:t>
      </w:r>
      <w:r>
        <w:rPr>
          <w:rFonts w:ascii="Arial" w:hAnsi="Arial" w:cs="Arial"/>
          <w:color w:val="7B7B7B" w:themeColor="accent3" w:themeShade="BF"/>
          <w:sz w:val="22"/>
          <w:szCs w:val="22"/>
        </w:rPr>
        <w:t xml:space="preserve">; (ii) release or discharge any security given by the company: </w:t>
      </w:r>
      <w:r>
        <w:rPr>
          <w:rFonts w:ascii="Arial" w:hAnsi="Arial" w:cs="Arial"/>
          <w:i/>
          <w:color w:val="7B7B7B" w:themeColor="accent3" w:themeShade="BF"/>
          <w:sz w:val="22"/>
          <w:szCs w:val="22"/>
        </w:rPr>
        <w:t>§266C(1)(c);</w:t>
      </w:r>
      <w:r>
        <w:rPr>
          <w:rFonts w:ascii="Arial" w:hAnsi="Arial" w:cs="Arial"/>
          <w:color w:val="7B7B7B" w:themeColor="accent3" w:themeShade="BF"/>
          <w:sz w:val="22"/>
          <w:szCs w:val="22"/>
        </w:rPr>
        <w:t xml:space="preserve"> or (iii) require any person who received the benefit of the unfair preference to pay sums to the liquidator: </w:t>
      </w:r>
      <w:r>
        <w:rPr>
          <w:rFonts w:ascii="Arial" w:hAnsi="Arial" w:cs="Arial"/>
          <w:i/>
          <w:color w:val="7B7B7B" w:themeColor="accent3" w:themeShade="BF"/>
          <w:sz w:val="22"/>
          <w:szCs w:val="22"/>
        </w:rPr>
        <w:t>§266C(1)(d).</w:t>
      </w:r>
    </w:p>
    <w:p w14:paraId="57CBC3D6" w14:textId="3F24D756" w:rsidR="005D446E" w:rsidRPr="005D446E" w:rsidRDefault="005D446E" w:rsidP="00E14FA7">
      <w:pPr>
        <w:jc w:val="both"/>
        <w:rPr>
          <w:rFonts w:ascii="Arial" w:hAnsi="Arial" w:cs="Arial"/>
          <w:color w:val="808080" w:themeColor="background1" w:themeShade="80"/>
          <w:sz w:val="22"/>
          <w:szCs w:val="22"/>
          <w:lang w:val="en-GB"/>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6AF8CA1E" w14:textId="77777777" w:rsidR="00F8541C" w:rsidRDefault="00F8541C" w:rsidP="00F8541C">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Hong Kong has not adopted the UNCITRAL Model Law on Cross-Border Insolvency, nor is a party to any treaties dealing with cross-border insolvency. Before May 2021, there was no arrangement for a Hong Kong office holder to obtain recognition and assistance in the PRC. Thus, it was challenging, if not impossible, for a Hong Kong office holder to take any action in the PRC. </w:t>
      </w:r>
    </w:p>
    <w:p w14:paraId="656EC659" w14:textId="77777777" w:rsidR="00F8541C" w:rsidRDefault="00F8541C" w:rsidP="00F8541C">
      <w:pPr>
        <w:ind w:left="90"/>
        <w:jc w:val="both"/>
        <w:rPr>
          <w:rFonts w:ascii="Arial" w:hAnsi="Arial" w:cs="Arial"/>
          <w:color w:val="7B7B7B" w:themeColor="accent3" w:themeShade="BF"/>
          <w:sz w:val="22"/>
          <w:szCs w:val="22"/>
        </w:rPr>
      </w:pPr>
    </w:p>
    <w:p w14:paraId="65BC426F" w14:textId="77777777" w:rsidR="00F8541C" w:rsidRDefault="00F8541C" w:rsidP="00F8541C">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On 14 May 2021, the Supreme Court in Mainland  of the PRC and the Hong Kong Court entered into a “Record of Meeting” for mutual recognition and assistance to Hong Kong office holders in the PRC. Presently, this is a pilot program that is limited in scope. Thus, the three regions in Mainland PRC to which the “Record of Meeting” applies are: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Shanghai municipality; (ii) Xiamen Municipality of the Fujian province; and (iii) Shenzhen municipality of Guangdong Province.  </w:t>
      </w:r>
    </w:p>
    <w:p w14:paraId="024D9111" w14:textId="77777777" w:rsidR="00F8541C" w:rsidRDefault="00F8541C" w:rsidP="00F8541C">
      <w:pPr>
        <w:ind w:left="90"/>
        <w:jc w:val="both"/>
        <w:rPr>
          <w:rFonts w:ascii="Arial" w:hAnsi="Arial" w:cs="Arial"/>
          <w:color w:val="7B7B7B" w:themeColor="accent3" w:themeShade="BF"/>
          <w:sz w:val="22"/>
          <w:szCs w:val="22"/>
        </w:rPr>
      </w:pPr>
    </w:p>
    <w:p w14:paraId="74C2EC80" w14:textId="77777777" w:rsidR="00F8541C" w:rsidRDefault="00F8541C" w:rsidP="00F8541C">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Under the “Record of Meeting” pilot program, a Hong Kong office holder must satisfy the following requirements before he/she may apply for recognition and assistance in one of the provinces as mentioned above: </w:t>
      </w:r>
    </w:p>
    <w:p w14:paraId="74F7D499" w14:textId="77777777" w:rsidR="00F8541C" w:rsidRDefault="00F8541C" w:rsidP="00F8541C">
      <w:pPr>
        <w:ind w:left="90"/>
        <w:jc w:val="both"/>
        <w:rPr>
          <w:rFonts w:ascii="Arial" w:hAnsi="Arial" w:cs="Arial"/>
          <w:color w:val="7B7B7B" w:themeColor="accent3" w:themeShade="BF"/>
          <w:sz w:val="22"/>
          <w:szCs w:val="22"/>
        </w:rPr>
      </w:pPr>
    </w:p>
    <w:p w14:paraId="62A3EA4A" w14:textId="77777777" w:rsidR="00F8541C" w:rsidRDefault="00F8541C" w:rsidP="00F8541C">
      <w:pPr>
        <w:pStyle w:val="ListParagraph"/>
        <w:numPr>
          <w:ilvl w:val="0"/>
          <w:numId w:val="28"/>
        </w:numPr>
        <w:ind w:left="81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debtor company’s COMI is in the Hong Kong Special Administrative </w:t>
      </w:r>
      <w:proofErr w:type="gramStart"/>
      <w:r>
        <w:rPr>
          <w:rFonts w:ascii="Arial" w:hAnsi="Arial" w:cs="Arial"/>
          <w:color w:val="7B7B7B" w:themeColor="accent3" w:themeShade="BF"/>
          <w:sz w:val="22"/>
          <w:szCs w:val="22"/>
        </w:rPr>
        <w:t>Region;</w:t>
      </w:r>
      <w:proofErr w:type="gramEnd"/>
    </w:p>
    <w:p w14:paraId="45600AB3" w14:textId="77777777" w:rsidR="00F8541C" w:rsidRDefault="00F8541C" w:rsidP="00F8541C">
      <w:pPr>
        <w:pStyle w:val="ListParagraph"/>
        <w:numPr>
          <w:ilvl w:val="0"/>
          <w:numId w:val="28"/>
        </w:numPr>
        <w:ind w:left="81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debtor company has its principal assets or a place of business/representative office in the three pilot regions listed </w:t>
      </w:r>
      <w:proofErr w:type="gramStart"/>
      <w:r>
        <w:rPr>
          <w:rFonts w:ascii="Arial" w:hAnsi="Arial" w:cs="Arial"/>
          <w:color w:val="7B7B7B" w:themeColor="accent3" w:themeShade="BF"/>
          <w:sz w:val="22"/>
          <w:szCs w:val="22"/>
        </w:rPr>
        <w:t>above;</w:t>
      </w:r>
      <w:proofErr w:type="gramEnd"/>
    </w:p>
    <w:p w14:paraId="10874B7F" w14:textId="77777777" w:rsidR="00F8541C" w:rsidRDefault="00F8541C" w:rsidP="00F8541C">
      <w:pPr>
        <w:pStyle w:val="ListParagraph"/>
        <w:numPr>
          <w:ilvl w:val="0"/>
          <w:numId w:val="28"/>
        </w:numPr>
        <w:ind w:left="81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Hong Kong insolvency proceeding must be a compulsory liquidation, creditors voluntary liquidation, or a scheme of arrangement commenced by a liquidator or a provisional liquidator</w:t>
      </w:r>
      <w:r>
        <w:rPr>
          <w:rStyle w:val="FootnoteReference"/>
          <w:rFonts w:ascii="Arial" w:hAnsi="Arial" w:cs="Arial"/>
          <w:color w:val="7B7B7B" w:themeColor="accent3" w:themeShade="BF"/>
          <w:sz w:val="22"/>
          <w:szCs w:val="22"/>
        </w:rPr>
        <w:footnoteReference w:id="5"/>
      </w:r>
      <w:r>
        <w:rPr>
          <w:rFonts w:ascii="Arial" w:hAnsi="Arial" w:cs="Arial"/>
          <w:color w:val="7B7B7B" w:themeColor="accent3" w:themeShade="BF"/>
          <w:sz w:val="22"/>
          <w:szCs w:val="22"/>
        </w:rPr>
        <w:t>; and</w:t>
      </w:r>
    </w:p>
    <w:p w14:paraId="31681224" w14:textId="77777777" w:rsidR="00F8541C" w:rsidRPr="005A2C2A" w:rsidRDefault="00F8541C" w:rsidP="00F8541C">
      <w:pPr>
        <w:pStyle w:val="ListParagraph"/>
        <w:numPr>
          <w:ilvl w:val="0"/>
          <w:numId w:val="28"/>
        </w:numPr>
        <w:ind w:left="810"/>
        <w:jc w:val="both"/>
        <w:rPr>
          <w:rFonts w:ascii="Arial" w:hAnsi="Arial" w:cs="Arial"/>
          <w:color w:val="7B7B7B" w:themeColor="accent3" w:themeShade="BF"/>
          <w:sz w:val="22"/>
          <w:szCs w:val="22"/>
        </w:rPr>
      </w:pPr>
      <w:r>
        <w:rPr>
          <w:rFonts w:ascii="Arial" w:hAnsi="Arial" w:cs="Arial"/>
          <w:color w:val="7B7B7B" w:themeColor="accent3" w:themeShade="BF"/>
          <w:sz w:val="22"/>
          <w:szCs w:val="22"/>
        </w:rPr>
        <w:t>None of the circumstances where the Mainland courts to refuse to grant recognition or assistance</w:t>
      </w:r>
      <w:r>
        <w:rPr>
          <w:rStyle w:val="FootnoteReference"/>
          <w:rFonts w:ascii="Arial" w:hAnsi="Arial" w:cs="Arial"/>
          <w:color w:val="7B7B7B" w:themeColor="accent3" w:themeShade="BF"/>
          <w:sz w:val="22"/>
          <w:szCs w:val="22"/>
        </w:rPr>
        <w:footnoteReference w:id="6"/>
      </w:r>
      <w:r>
        <w:rPr>
          <w:rFonts w:ascii="Arial" w:hAnsi="Arial" w:cs="Arial"/>
          <w:color w:val="7B7B7B" w:themeColor="accent3" w:themeShade="BF"/>
          <w:sz w:val="22"/>
          <w:szCs w:val="22"/>
        </w:rPr>
        <w:t>.</w:t>
      </w:r>
    </w:p>
    <w:p w14:paraId="008CC21A" w14:textId="77777777" w:rsidR="00F8541C" w:rsidRDefault="00F8541C" w:rsidP="00F8541C"/>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0A9D4E06" w14:textId="77777777" w:rsidR="000306E5" w:rsidRDefault="000306E5" w:rsidP="000306E5">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Hong Kong, there is no equivalent to a UK administration procedure or US Chapter 11 to rescue a Hong Kong company facing financial difficulties. In Hong Kong, a company may seek to restructure its debts under a scheme of arrangement under 13 of the CWUMPO.  </w:t>
      </w:r>
    </w:p>
    <w:p w14:paraId="4FC6E83D" w14:textId="77777777" w:rsidR="000306E5" w:rsidRDefault="000306E5" w:rsidP="000306E5">
      <w:pPr>
        <w:ind w:left="90"/>
        <w:jc w:val="both"/>
        <w:rPr>
          <w:rFonts w:ascii="Arial" w:hAnsi="Arial" w:cs="Arial"/>
          <w:color w:val="7B7B7B" w:themeColor="accent3" w:themeShade="BF"/>
          <w:sz w:val="22"/>
          <w:szCs w:val="22"/>
        </w:rPr>
      </w:pPr>
    </w:p>
    <w:p w14:paraId="1CC83E82" w14:textId="77777777" w:rsidR="000306E5" w:rsidRDefault="000306E5" w:rsidP="000306E5">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scheme procedure is a three-stage process. First, an application is made to the Hong Kong Court seeking leave to convene a meeting of creditors. Second, a meeting is convened for a class of creditors or the company's creditors to vote on the proposed scheme. Before this meeting, the creditors must be provided an explanatory statement that must set out the scheme's effect to give such creditors sufficient information to make an informed decision. To proceed to the third stage of this process, the proposed scheme must be approved by a majority of the company's creditors, being over 50% in number representing 75% in value of the creditors voting at the meeting. Where there are classes of creditors, the scheme must be approved by all classes of the company's creditors. If the company attains the requisite statutory approval from the creditors, the scheme is submitted to the court for approval at a further court hearing. In considering whether to sanction the scheme, the court will have regard to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whether the procedural requirements have been satisfied and (ii) the fairness of the proposed scheme between the company and the creditors. If the court sanctions the scheme, the scheme will be binding on the creditors and the company.  </w:t>
      </w:r>
    </w:p>
    <w:p w14:paraId="4912CC9B" w14:textId="77777777" w:rsidR="000306E5" w:rsidRDefault="000306E5" w:rsidP="000306E5">
      <w:pPr>
        <w:ind w:left="90"/>
        <w:jc w:val="both"/>
        <w:rPr>
          <w:rFonts w:ascii="Arial" w:hAnsi="Arial" w:cs="Arial"/>
          <w:color w:val="7B7B7B" w:themeColor="accent3" w:themeShade="BF"/>
          <w:sz w:val="22"/>
          <w:szCs w:val="22"/>
        </w:rPr>
      </w:pPr>
    </w:p>
    <w:p w14:paraId="714025CE" w14:textId="77777777" w:rsidR="000306E5" w:rsidRDefault="000306E5" w:rsidP="000306E5">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Scheme rather than a liquidation of a company may be advantageous to the company, creditors, and directors. The company will continue as a going concern after successfully implementing a scheme. This self-evidently benefits the company, its employees, and trade creditors. Indeed, if a company is placed into liquidation, then the company will cease to carry on business and be dissolved; if the company presents a petition for the appointment of provisional liquidators, this will trigger a statutory moratorium. This will provide the necessary breathing space for the company to negotiate with its creditors without having creditors bring claims against it or file a petition to wind up the company. Finally, without the scheme procedure, a company must obtain 100% of all the creditors to restructure its debt. While this may be possible in certain circumstances, a scheme allows a company to reorganize its debts where 100% consent may not be possible. Moreover, this significantly reduces the risks of holdout creditors seeking an unfair advantage over the company's other creditors.  </w:t>
      </w:r>
    </w:p>
    <w:p w14:paraId="44F74553" w14:textId="77777777" w:rsidR="000306E5" w:rsidRDefault="000306E5" w:rsidP="000306E5">
      <w:pPr>
        <w:ind w:left="90"/>
        <w:jc w:val="both"/>
        <w:rPr>
          <w:rFonts w:ascii="Arial" w:hAnsi="Arial" w:cs="Arial"/>
          <w:color w:val="7B7B7B" w:themeColor="accent3" w:themeShade="BF"/>
          <w:sz w:val="22"/>
          <w:szCs w:val="22"/>
        </w:rPr>
      </w:pPr>
    </w:p>
    <w:p w14:paraId="5D2B53CC" w14:textId="77777777" w:rsidR="000306E5" w:rsidRDefault="000306E5" w:rsidP="000306E5">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As regards creditors, generally speaking, in a liquidation scenario, the unsecured creditors of a company typically expect to receive pennies on the dollar on their debts. By agreeing to a scheme of arrangement, the creditors are more likely to receive a higher sum in repayment of their debt.</w:t>
      </w:r>
    </w:p>
    <w:p w14:paraId="623AA05C" w14:textId="77777777" w:rsidR="000306E5" w:rsidRDefault="000306E5" w:rsidP="000306E5">
      <w:pPr>
        <w:ind w:left="90"/>
        <w:jc w:val="both"/>
        <w:rPr>
          <w:rFonts w:ascii="Arial" w:hAnsi="Arial" w:cs="Arial"/>
          <w:color w:val="7B7B7B" w:themeColor="accent3" w:themeShade="BF"/>
          <w:sz w:val="22"/>
          <w:szCs w:val="22"/>
        </w:rPr>
      </w:pPr>
    </w:p>
    <w:p w14:paraId="7E26CECC" w14:textId="77777777" w:rsidR="000306E5" w:rsidRDefault="000306E5" w:rsidP="000306E5">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regards directors, provided that the scheme is implemented, this will avoid the detailed investigation of the company's affairs. Additionally, a scheme will minimize the risk of a director being personally liable for fraudulent trading. </w:t>
      </w:r>
    </w:p>
    <w:p w14:paraId="31D85F19" w14:textId="77777777" w:rsidR="000306E5" w:rsidRDefault="000306E5" w:rsidP="000306E5">
      <w:pPr>
        <w:ind w:left="90"/>
        <w:jc w:val="both"/>
        <w:rPr>
          <w:rFonts w:ascii="Arial" w:hAnsi="Arial" w:cs="Arial"/>
          <w:color w:val="7B7B7B" w:themeColor="accent3" w:themeShade="BF"/>
          <w:sz w:val="22"/>
          <w:szCs w:val="22"/>
        </w:rPr>
      </w:pPr>
    </w:p>
    <w:p w14:paraId="54C506A4" w14:textId="77777777" w:rsidR="000306E5" w:rsidRDefault="000306E5" w:rsidP="000306E5">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One con to this procedure is that it does not automatically trigger a statutory moratorium which prevents individual creditors from enforcing their claims against the company without leave of the court. To address this issue, a company may present a winding-up petition seeking the appointment of a provisional liquidator for a restructure. </w:t>
      </w:r>
    </w:p>
    <w:p w14:paraId="259CA323" w14:textId="77777777" w:rsidR="000306E5" w:rsidRPr="006E21E1" w:rsidRDefault="000306E5" w:rsidP="000306E5"/>
    <w:p w14:paraId="17162B9B" w14:textId="48938F2F" w:rsidR="00A05487" w:rsidRDefault="00A05487" w:rsidP="00004FBC">
      <w:pPr>
        <w:ind w:left="90"/>
        <w:jc w:val="both"/>
        <w:rPr>
          <w:rFonts w:ascii="Arial" w:hAnsi="Arial" w:cs="Arial"/>
          <w:sz w:val="22"/>
          <w:szCs w:val="22"/>
        </w:rPr>
      </w:pPr>
    </w:p>
    <w:p w14:paraId="5FE8C88D" w14:textId="2FBF527B" w:rsidR="00A05487" w:rsidRPr="005D2CD6" w:rsidRDefault="00A05487" w:rsidP="00004FBC">
      <w:pPr>
        <w:ind w:left="90"/>
        <w:jc w:val="both"/>
        <w:rPr>
          <w:rFonts w:ascii="Arial" w:hAnsi="Arial" w:cs="Arial"/>
          <w:sz w:val="22"/>
          <w:szCs w:val="22"/>
        </w:rPr>
      </w:pPr>
    </w:p>
    <w:p w14:paraId="60ADAAB6" w14:textId="77777777" w:rsidR="00711999" w:rsidRPr="00711999" w:rsidRDefault="00711999"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224C62E9" w14:textId="77777777" w:rsidR="007F275E" w:rsidRPr="00A10B8C" w:rsidRDefault="007F275E" w:rsidP="007F275E">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a preliminary point,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the sole director of Mountainview Limited (</w:t>
      </w:r>
      <w:r>
        <w:rPr>
          <w:rFonts w:ascii="Arial" w:hAnsi="Arial" w:cs="Arial"/>
          <w:b/>
          <w:color w:val="7B7B7B" w:themeColor="accent3" w:themeShade="BF"/>
          <w:sz w:val="22"/>
          <w:szCs w:val="22"/>
        </w:rPr>
        <w:t>MV</w:t>
      </w:r>
      <w:r>
        <w:rPr>
          <w:rFonts w:ascii="Arial" w:hAnsi="Arial" w:cs="Arial"/>
          <w:color w:val="7B7B7B" w:themeColor="accent3" w:themeShade="BF"/>
          <w:sz w:val="22"/>
          <w:szCs w:val="22"/>
        </w:rPr>
        <w:t xml:space="preserve">), owes certain fiduciary duties to MV. Where a company is insolvent or in the zone of insolvency, as is the case here with MV,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Chan’s duties shift to act in the best interest of the general body of MV’s unsecured creditors.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must be mindful of this duty because if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were to act in breach of these duties if MV enters liquidation, a liquidator might bring actions against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on behalf of MV. Thus, if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fails to comply with his fiduciary obligations,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may be subject to personal liability for civil and/or criminal penalties. In addition to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Chan’s fiduciary duties, he must keep proper records. It is an offence to falsify or alter the books and records with the intent to defraud creditors: </w:t>
      </w:r>
      <w:r>
        <w:rPr>
          <w:rFonts w:ascii="Arial" w:hAnsi="Arial" w:cs="Arial"/>
          <w:i/>
          <w:color w:val="7B7B7B" w:themeColor="accent3" w:themeShade="BF"/>
          <w:sz w:val="22"/>
          <w:szCs w:val="22"/>
        </w:rPr>
        <w:t>§272 CWUMPO</w:t>
      </w:r>
      <w:r>
        <w:rPr>
          <w:rFonts w:ascii="Arial" w:hAnsi="Arial" w:cs="Arial"/>
          <w:color w:val="7B7B7B" w:themeColor="accent3" w:themeShade="BF"/>
          <w:sz w:val="22"/>
          <w:szCs w:val="22"/>
        </w:rPr>
        <w:t>.</w:t>
      </w:r>
    </w:p>
    <w:p w14:paraId="677B4BD3" w14:textId="77777777" w:rsidR="007F275E" w:rsidRDefault="007F275E" w:rsidP="007F275E">
      <w:pPr>
        <w:ind w:left="90"/>
        <w:jc w:val="both"/>
        <w:rPr>
          <w:rFonts w:ascii="Arial" w:hAnsi="Arial" w:cs="Arial"/>
          <w:color w:val="7B7B7B" w:themeColor="accent3" w:themeShade="BF"/>
          <w:sz w:val="22"/>
          <w:szCs w:val="22"/>
        </w:rPr>
      </w:pPr>
    </w:p>
    <w:p w14:paraId="0018CCED" w14:textId="77777777" w:rsidR="007F275E" w:rsidRDefault="007F275E" w:rsidP="007F275E">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Upon filing a winding up petition (which will be discussed below),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must also be aware of the following. First, any disposition of MV’s property is void unless the court validates it. While it is possible to seek retrospective validation, the prudent course for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would be to seek prospective validation. Second, any creditor of MV who has been granted a security (i.e., a floating charge within 12 months of the winding up); a transaction at an undervalue; unfair preference; or fraudulent trading such transactions are liable for claw back a liquidator. Again, such a determination by the Hong Kong Court may result in personal liability for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w:t>
      </w:r>
    </w:p>
    <w:p w14:paraId="527A4975" w14:textId="77777777" w:rsidR="007F275E" w:rsidRDefault="007F275E" w:rsidP="007F275E">
      <w:pPr>
        <w:ind w:left="90"/>
        <w:jc w:val="both"/>
        <w:rPr>
          <w:rFonts w:ascii="Arial" w:hAnsi="Arial" w:cs="Arial"/>
          <w:color w:val="7B7B7B" w:themeColor="accent3" w:themeShade="BF"/>
          <w:sz w:val="22"/>
          <w:szCs w:val="22"/>
        </w:rPr>
      </w:pPr>
    </w:p>
    <w:p w14:paraId="3860F189" w14:textId="77777777" w:rsidR="007F275E" w:rsidRDefault="007F275E" w:rsidP="007F275E">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While there is no statutory definition of insolvency, a company will be considered “insolvent” if it cannot meet its debts under §178(1) of the CWMPO. Suppose MV is unable to pay its debts within the meaning of §178(1) of the CWMPO. In that case, MV may be placed into liquidation either by a creditors voluntary liquidation (</w:t>
      </w:r>
      <w:r>
        <w:rPr>
          <w:rFonts w:ascii="Arial" w:hAnsi="Arial" w:cs="Arial"/>
          <w:b/>
          <w:color w:val="7B7B7B" w:themeColor="accent3" w:themeShade="BF"/>
          <w:sz w:val="22"/>
          <w:szCs w:val="22"/>
        </w:rPr>
        <w:t>CVL</w:t>
      </w:r>
      <w:r>
        <w:rPr>
          <w:rFonts w:ascii="Arial" w:hAnsi="Arial" w:cs="Arial"/>
          <w:color w:val="7B7B7B" w:themeColor="accent3" w:themeShade="BF"/>
          <w:sz w:val="22"/>
          <w:szCs w:val="22"/>
        </w:rPr>
        <w:t>)</w:t>
      </w:r>
      <w:r>
        <w:rPr>
          <w:rStyle w:val="FootnoteReference"/>
          <w:rFonts w:ascii="Arial" w:hAnsi="Arial" w:cs="Arial"/>
          <w:color w:val="7B7B7B" w:themeColor="accent3" w:themeShade="BF"/>
          <w:sz w:val="22"/>
          <w:szCs w:val="22"/>
        </w:rPr>
        <w:footnoteReference w:id="7"/>
      </w:r>
      <w:r>
        <w:rPr>
          <w:rFonts w:ascii="Arial" w:hAnsi="Arial" w:cs="Arial"/>
          <w:color w:val="7B7B7B" w:themeColor="accent3" w:themeShade="BF"/>
          <w:sz w:val="22"/>
          <w:szCs w:val="22"/>
        </w:rPr>
        <w:t xml:space="preserve"> or a compulsory liquidation. Regarding CVL, a director of CVL (i.e.,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may convene a meeting to pass a special resolution to wind up MV. Following the special resolution, a meeting of creditors must be convened within 14 days of the date of the resolution to appoint a liquidator.  </w:t>
      </w:r>
    </w:p>
    <w:p w14:paraId="7A1EE8B0" w14:textId="77777777" w:rsidR="007F275E" w:rsidRDefault="007F275E" w:rsidP="007F275E">
      <w:pPr>
        <w:ind w:left="90"/>
        <w:jc w:val="both"/>
        <w:rPr>
          <w:rFonts w:ascii="Arial" w:hAnsi="Arial" w:cs="Arial"/>
          <w:color w:val="7B7B7B" w:themeColor="accent3" w:themeShade="BF"/>
          <w:sz w:val="22"/>
          <w:szCs w:val="22"/>
        </w:rPr>
      </w:pPr>
    </w:p>
    <w:p w14:paraId="0ED19290" w14:textId="77777777" w:rsidR="007F275E" w:rsidRDefault="007F275E" w:rsidP="007F275E">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respect of a compulsory winding up, such procedure may be commenced by the company, a contributory or creditor of the company. Creditors most commonly use this procedure. Upon such application, if the court is satisfied that the grounds for winding up a company under §177 are satisfied, an order will be made, and a liquidator will be appointed.  </w:t>
      </w:r>
    </w:p>
    <w:p w14:paraId="18F06413" w14:textId="77777777" w:rsidR="007F275E" w:rsidRDefault="007F275E" w:rsidP="007F275E">
      <w:pPr>
        <w:ind w:left="90"/>
        <w:jc w:val="both"/>
        <w:rPr>
          <w:rFonts w:ascii="Arial" w:hAnsi="Arial" w:cs="Arial"/>
          <w:color w:val="7B7B7B" w:themeColor="accent3" w:themeShade="BF"/>
          <w:sz w:val="22"/>
          <w:szCs w:val="22"/>
        </w:rPr>
      </w:pPr>
    </w:p>
    <w:p w14:paraId="593BE47F" w14:textId="77777777" w:rsidR="007F275E" w:rsidRDefault="007F275E" w:rsidP="007F275E">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either scenario, upon the appointment of a liquidator, the powers of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as director, will be displaced and rest with the liquidator. More importantly, a liquidator will be appointed to secure the company's assets, adjudicate creditors' proofs of claim, investigate the affairs of a company, and distribute the assets of the MV’s creditors in accordance with the statutory priority. </w:t>
      </w:r>
    </w:p>
    <w:p w14:paraId="69B9D3CC" w14:textId="77777777" w:rsidR="007F275E" w:rsidRDefault="007F275E" w:rsidP="007F275E">
      <w:pPr>
        <w:ind w:left="90"/>
        <w:jc w:val="both"/>
        <w:rPr>
          <w:rFonts w:ascii="Arial" w:hAnsi="Arial" w:cs="Arial"/>
          <w:color w:val="7B7B7B" w:themeColor="accent3" w:themeShade="BF"/>
          <w:sz w:val="22"/>
          <w:szCs w:val="22"/>
        </w:rPr>
      </w:pPr>
    </w:p>
    <w:p w14:paraId="18FF1606" w14:textId="77777777" w:rsidR="007F275E" w:rsidRDefault="007F275E" w:rsidP="007F275E">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The sensible course for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to adopt is to ensure MV acts in the best interests of its creditors. Rather than wait for a creditor to apply to the court to wind up MV,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should consider placing MV into CVL. This will minimize a liquidator later bringing a fraudulent trading claim seeking personal liability against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The position will be even stronger provided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has not given any unfair preferences or carried out any transactions at an undervalue. That being said, a liquidator appointed under either scenario is under an obligation to investigate the affairs of the company. Therefore, it will not be possible to appoint a partial liquidator to carry out the liquidation of MV. </w:t>
      </w: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6AA178DD" w14:textId="6C263DCF" w:rsidR="004B5998" w:rsidRDefault="004B5998" w:rsidP="004B5998">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Hong Kong, common forms of receivables capable of being security include but are not limited to cash deposits or trade receivables. Security can be granted over such assets by way of either a “fixed” or “floating charge .”As regards a “fixed charge,” this is a charge which automatically attaches to the identified asset, in this case, the cash deposits, immediately upon the creation of the fixed charge. This form of security is preferred by creditors as a charge is not allowed to deal with the asset subject to the secured asset without the consent of the charger. In contrast, a “floating charge” is a charge created over a specifically identified category asset that will crystalize into a fixed charge upon the occurrence of a specified event (by way of example, the presentation of a winding up petition). It is essential to bear in mind that GFL’s classification of the charge as a “fixed” charge is not determinative of its nature and, if considered by a court, will largely depend on the extent of control the </w:t>
      </w:r>
      <w:proofErr w:type="spellStart"/>
      <w:r>
        <w:rPr>
          <w:rFonts w:ascii="Arial" w:hAnsi="Arial" w:cs="Arial"/>
          <w:color w:val="7B7B7B" w:themeColor="accent3" w:themeShade="BF"/>
          <w:sz w:val="22"/>
          <w:szCs w:val="22"/>
        </w:rPr>
        <w:t>chargee</w:t>
      </w:r>
      <w:proofErr w:type="spellEnd"/>
      <w:r>
        <w:rPr>
          <w:rFonts w:ascii="Arial" w:hAnsi="Arial" w:cs="Arial"/>
          <w:color w:val="7B7B7B" w:themeColor="accent3" w:themeShade="BF"/>
          <w:sz w:val="22"/>
          <w:szCs w:val="22"/>
        </w:rPr>
        <w:t xml:space="preserve"> may exercise over the charged asset</w:t>
      </w:r>
      <w:r w:rsidR="0089727D">
        <w:rPr>
          <w:rStyle w:val="FootnoteReference"/>
          <w:rFonts w:ascii="Arial" w:hAnsi="Arial" w:cs="Arial"/>
          <w:color w:val="7B7B7B" w:themeColor="accent3" w:themeShade="BF"/>
          <w:sz w:val="22"/>
          <w:szCs w:val="22"/>
        </w:rPr>
        <w:footnoteReference w:id="8"/>
      </w:r>
      <w:r>
        <w:rPr>
          <w:rFonts w:ascii="Arial" w:hAnsi="Arial" w:cs="Arial"/>
          <w:color w:val="7B7B7B" w:themeColor="accent3" w:themeShade="BF"/>
          <w:sz w:val="22"/>
          <w:szCs w:val="22"/>
        </w:rPr>
        <w:t xml:space="preserve">.  </w:t>
      </w:r>
    </w:p>
    <w:p w14:paraId="4FA69D89" w14:textId="77777777" w:rsidR="004B5998" w:rsidRDefault="004B5998" w:rsidP="004B5998">
      <w:pPr>
        <w:ind w:left="90"/>
        <w:jc w:val="both"/>
        <w:rPr>
          <w:rFonts w:ascii="Arial" w:hAnsi="Arial" w:cs="Arial"/>
          <w:color w:val="7B7B7B" w:themeColor="accent3" w:themeShade="BF"/>
          <w:sz w:val="22"/>
          <w:szCs w:val="22"/>
        </w:rPr>
      </w:pPr>
    </w:p>
    <w:p w14:paraId="45F67626" w14:textId="77777777" w:rsidR="004B5998" w:rsidRDefault="004B5998" w:rsidP="004B5998">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Here, GFL and Kite purportedly executed a security instrument whereby Kite agreed to grant a fixed charge over the cash deposits of Kite. Notwithstanding this fact, GFL failed to take control over the cash deposits by giving express written notice to Kite to pay the cash deposits into a separate account. Indeed, following the purported grant of the fixed charge, Kite continued to trade with its trade creditors, and the cash deposits were paid into Kite’s normal operating account. </w:t>
      </w:r>
    </w:p>
    <w:p w14:paraId="1B1F606E" w14:textId="77777777" w:rsidR="004B5998" w:rsidRDefault="004B5998" w:rsidP="004B5998">
      <w:pPr>
        <w:ind w:left="90"/>
        <w:jc w:val="both"/>
        <w:rPr>
          <w:rFonts w:ascii="Arial" w:hAnsi="Arial" w:cs="Arial"/>
          <w:color w:val="7B7B7B" w:themeColor="accent3" w:themeShade="BF"/>
          <w:sz w:val="22"/>
          <w:szCs w:val="22"/>
        </w:rPr>
      </w:pPr>
    </w:p>
    <w:p w14:paraId="1DC32086" w14:textId="77777777" w:rsidR="004B5998" w:rsidRDefault="004B5998" w:rsidP="004B5998">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As a consequence, there are very strong prospects that a court, considering whether this charge was a fixed or floating charge, would determine that the charge created over Kite’s cash deposits was a “floating” rather than a fixed charge. This is significant for two reasons. </w:t>
      </w:r>
    </w:p>
    <w:p w14:paraId="61C36FDF" w14:textId="77777777" w:rsidR="004B5998" w:rsidRDefault="004B5998" w:rsidP="004B5998">
      <w:pPr>
        <w:ind w:left="90"/>
        <w:jc w:val="both"/>
        <w:rPr>
          <w:rFonts w:ascii="Arial" w:hAnsi="Arial" w:cs="Arial"/>
          <w:color w:val="7B7B7B" w:themeColor="accent3" w:themeShade="BF"/>
          <w:sz w:val="22"/>
          <w:szCs w:val="22"/>
        </w:rPr>
      </w:pPr>
    </w:p>
    <w:p w14:paraId="21A7AAE2" w14:textId="77777777" w:rsidR="004B5998" w:rsidRDefault="004B5998" w:rsidP="004B5998">
      <w:pPr>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First, under §267 of the CWMPO, a floating charge may be invalid if it is granted 12 months before the onset of liquidation if the company is insolvent or, as a result of the charge, the company is invalid. Although it is not clear from the facts whether Kite was insolvent at the time charge was granted, if Kite was insolvent or insolvent following the grant of the charge, then the charge is invalid, and the liquidator could insist that the realizations be handed over to the liquidator. In that regard, the realizations would be available to the liquidator to apply towards the payment of the expenses of the liquidation and distributed to the unsecured creditors of the Kite. </w:t>
      </w:r>
    </w:p>
    <w:p w14:paraId="38537705" w14:textId="77777777" w:rsidR="004B5998" w:rsidRDefault="004B5998" w:rsidP="004B5998">
      <w:pPr>
        <w:ind w:left="90"/>
        <w:jc w:val="both"/>
        <w:rPr>
          <w:rFonts w:ascii="Arial" w:hAnsi="Arial" w:cs="Arial"/>
          <w:color w:val="7B7B7B" w:themeColor="accent3" w:themeShade="BF"/>
          <w:sz w:val="22"/>
          <w:szCs w:val="22"/>
        </w:rPr>
      </w:pPr>
    </w:p>
    <w:p w14:paraId="7509C943" w14:textId="77777777" w:rsidR="004B5998" w:rsidRPr="00AF61E5" w:rsidRDefault="004B5998" w:rsidP="004B5998">
      <w:pPr>
        <w:ind w:left="90"/>
        <w:jc w:val="both"/>
        <w:rPr>
          <w:rFonts w:ascii="Arial" w:hAnsi="Arial" w:cs="Arial"/>
          <w:sz w:val="22"/>
          <w:szCs w:val="22"/>
        </w:rPr>
      </w:pPr>
      <w:r>
        <w:rPr>
          <w:rFonts w:ascii="Arial" w:hAnsi="Arial" w:cs="Arial"/>
          <w:color w:val="7B7B7B" w:themeColor="accent3" w:themeShade="BF"/>
          <w:sz w:val="22"/>
          <w:szCs w:val="22"/>
        </w:rPr>
        <w:t>Second, in the insolvency context, if Kite’s unsecured assets are insufficient to meet certain statutory preferential claims (i.e., liquidation expenses and employment claims under §267), the floating charge assets will be applied to meet these claims:</w:t>
      </w:r>
      <w:r>
        <w:rPr>
          <w:rFonts w:ascii="Arial" w:hAnsi="Arial" w:cs="Arial"/>
          <w:i/>
          <w:color w:val="7B7B7B" w:themeColor="accent3" w:themeShade="BF"/>
          <w:sz w:val="22"/>
          <w:szCs w:val="22"/>
        </w:rPr>
        <w:t xml:space="preserve"> §265(1) CWUMPO</w:t>
      </w:r>
      <w:r>
        <w:rPr>
          <w:rFonts w:ascii="Arial" w:hAnsi="Arial" w:cs="Arial"/>
          <w:color w:val="7B7B7B" w:themeColor="accent3" w:themeShade="BF"/>
          <w:sz w:val="22"/>
          <w:szCs w:val="22"/>
        </w:rPr>
        <w:t>. Thus, if the floating charge is not invalid under §267, it will not be possible to insist that the receiver’s realizations are returned to the liquidator of Kite to be distributed to its unsecured creditors. However, as indicated above, the liquidator may require the return of the receiver’s realizations to meet the expenses of a liquidator and the employment claims.</w:t>
      </w: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lastRenderedPageBreak/>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2289C622" w14:textId="77777777" w:rsidR="00472A80" w:rsidRDefault="00472A80" w:rsidP="00472A8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BVI office holder has identified a clause in the FA that states that if SPL becomes insolvent, then all of the other provisions (including SPL's obligation of repayment) are void, and all of SPL's assets vest immediately in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Qi for the repayment of his shareholder loans. The effect of such provision raises two separate and distinct questions. First, if such provision is valid, would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Xu have had standing as a creditor of SPL to file a petition to wind up SPL in the BVI. If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Xu did not have standing to file a petition, then it will not be possible for the BVI office holder to seek relief in Hong Kong on the footing of said petition. Consequently,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Xu would have to issue a fresh petition in Hong Kong to wind up SPL under the Court's jurisdiction to wind up a non-Registered Hong Kong company. For the Court to grant such an order, the three core requirements (discussed more fully below) will have to be satisfied. For present purposes, as the question of standing is a matter of BVI law, it is assumed that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Xu had standing to file a petition. The next question is whether such a clause is valid under Hong Kong law. </w:t>
      </w:r>
    </w:p>
    <w:p w14:paraId="1A82D4E1" w14:textId="77777777" w:rsidR="00472A80" w:rsidRDefault="00472A80" w:rsidP="00472A80">
      <w:pPr>
        <w:jc w:val="both"/>
        <w:rPr>
          <w:rFonts w:ascii="Arial" w:hAnsi="Arial" w:cs="Arial"/>
          <w:color w:val="7B7B7B" w:themeColor="accent3" w:themeShade="BF"/>
          <w:sz w:val="22"/>
          <w:szCs w:val="22"/>
        </w:rPr>
      </w:pPr>
    </w:p>
    <w:p w14:paraId="282D7D01" w14:textId="77777777" w:rsidR="00472A80" w:rsidRDefault="00472A80" w:rsidP="00472A8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indicated above, the effect of the provision in the FA is to contract out of the insolvency legislation (i.e., the statutory priority of payments under Hong Kong law). Under Hong Kong law, in a liquidation scenario,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Qi's shareholder loans would be treated as the company's unsecured debt. In this regard,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Qi would be entitled to a </w:t>
      </w:r>
      <w:proofErr w:type="spellStart"/>
      <w:r>
        <w:rPr>
          <w:rFonts w:ascii="Arial" w:hAnsi="Arial" w:cs="Arial"/>
          <w:i/>
          <w:color w:val="7B7B7B" w:themeColor="accent3" w:themeShade="BF"/>
          <w:sz w:val="22"/>
          <w:szCs w:val="22"/>
        </w:rPr>
        <w:t>pari</w:t>
      </w:r>
      <w:proofErr w:type="spellEnd"/>
      <w:r>
        <w:rPr>
          <w:rFonts w:ascii="Arial" w:hAnsi="Arial" w:cs="Arial"/>
          <w:i/>
          <w:color w:val="7B7B7B" w:themeColor="accent3" w:themeShade="BF"/>
          <w:sz w:val="22"/>
          <w:szCs w:val="22"/>
        </w:rPr>
        <w:t xml:space="preserve"> passu</w:t>
      </w:r>
      <w:r>
        <w:rPr>
          <w:rFonts w:ascii="Arial" w:hAnsi="Arial" w:cs="Arial"/>
          <w:color w:val="7B7B7B" w:themeColor="accent3" w:themeShade="BF"/>
          <w:sz w:val="22"/>
          <w:szCs w:val="22"/>
        </w:rPr>
        <w:t xml:space="preserve"> distribution with the other unsecured creditors of SPL instead of the immediate repayment of his shareholder loan. In the premise, this provision may be void under the anti-deprivation rule. The case of </w:t>
      </w:r>
      <w:r>
        <w:rPr>
          <w:rFonts w:ascii="Arial" w:hAnsi="Arial" w:cs="Arial"/>
          <w:i/>
          <w:color w:val="7B7B7B" w:themeColor="accent3" w:themeShade="BF"/>
          <w:sz w:val="22"/>
          <w:szCs w:val="22"/>
        </w:rPr>
        <w:t>Belmont Park Investments Pty Limited v BNY Corporate Trustee Services Limited</w:t>
      </w:r>
      <w:r>
        <w:rPr>
          <w:rFonts w:ascii="Arial" w:hAnsi="Arial" w:cs="Arial"/>
          <w:color w:val="7B7B7B" w:themeColor="accent3" w:themeShade="BF"/>
          <w:sz w:val="22"/>
          <w:szCs w:val="22"/>
        </w:rPr>
        <w:t xml:space="preserve"> helpfully distilled the principles a court will apply in determining whether the anti-deprivation rule has been violated to invalidate the provision. Courts have held that the anti-deprivation rule has been violated where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the party seeking to take advantage of the deprivation was trying to avoid the bankruptcy rules</w:t>
      </w:r>
      <w:r>
        <w:rPr>
          <w:rStyle w:val="FootnoteReference"/>
          <w:rFonts w:ascii="Arial" w:hAnsi="Arial" w:cs="Arial"/>
          <w:color w:val="7B7B7B" w:themeColor="accent3" w:themeShade="BF"/>
          <w:sz w:val="22"/>
          <w:szCs w:val="22"/>
        </w:rPr>
        <w:footnoteReference w:id="9"/>
      </w:r>
      <w:r>
        <w:rPr>
          <w:rFonts w:ascii="Arial" w:hAnsi="Arial" w:cs="Arial"/>
          <w:color w:val="7B7B7B" w:themeColor="accent3" w:themeShade="BF"/>
          <w:sz w:val="22"/>
          <w:szCs w:val="22"/>
        </w:rPr>
        <w:t>; (ii) the deprivation did not take place for reasons other than bankruptcy</w:t>
      </w:r>
      <w:r>
        <w:rPr>
          <w:rStyle w:val="FootnoteReference"/>
          <w:rFonts w:ascii="Arial" w:hAnsi="Arial" w:cs="Arial"/>
          <w:color w:val="7B7B7B" w:themeColor="accent3" w:themeShade="BF"/>
          <w:sz w:val="22"/>
          <w:szCs w:val="22"/>
        </w:rPr>
        <w:footnoteReference w:id="10"/>
      </w:r>
      <w:r>
        <w:rPr>
          <w:rFonts w:ascii="Arial" w:hAnsi="Arial" w:cs="Arial"/>
          <w:color w:val="7B7B7B" w:themeColor="accent3" w:themeShade="BF"/>
          <w:sz w:val="22"/>
          <w:szCs w:val="22"/>
        </w:rPr>
        <w:t>; and (iii) the asset is "flawed" in that the party seeking to take advantage of the provision cannot by contract qualify it in the event of his own bankruptcy</w:t>
      </w:r>
      <w:r>
        <w:rPr>
          <w:rStyle w:val="FootnoteReference"/>
          <w:rFonts w:ascii="Arial" w:hAnsi="Arial" w:cs="Arial"/>
          <w:color w:val="7B7B7B" w:themeColor="accent3" w:themeShade="BF"/>
          <w:sz w:val="22"/>
          <w:szCs w:val="22"/>
        </w:rPr>
        <w:footnoteReference w:id="11"/>
      </w:r>
      <w:r>
        <w:rPr>
          <w:rFonts w:ascii="Arial" w:hAnsi="Arial" w:cs="Arial"/>
          <w:color w:val="7B7B7B" w:themeColor="accent3" w:themeShade="BF"/>
          <w:sz w:val="22"/>
          <w:szCs w:val="22"/>
        </w:rPr>
        <w:t>.</w:t>
      </w:r>
    </w:p>
    <w:p w14:paraId="74214ADA" w14:textId="77777777" w:rsidR="00472A80" w:rsidRDefault="00472A80" w:rsidP="00472A80">
      <w:pPr>
        <w:jc w:val="both"/>
        <w:rPr>
          <w:rFonts w:ascii="Arial" w:hAnsi="Arial" w:cs="Arial"/>
          <w:color w:val="7B7B7B" w:themeColor="accent3" w:themeShade="BF"/>
          <w:sz w:val="22"/>
          <w:szCs w:val="22"/>
        </w:rPr>
      </w:pPr>
    </w:p>
    <w:p w14:paraId="3C4195F1" w14:textId="77777777" w:rsidR="00472A80" w:rsidRPr="007C5618" w:rsidRDefault="00472A80" w:rsidP="00472A8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Applying the above to the factual matrix of this case, the BVI office holder would have reasonable prospects of challenging the provision as being void under the anti-deprivation rule. This is because the creditors of SPL would be deprived of an asset by SPL under the terms of the FA playing such asset beyond the reach of its creditors. Therefore, if such a provision is void, then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Xu would have had standing, as a creditor of SPL, to file a petition in the BVI. If I am wrong, as indicated above,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Xu would have to file a fresh petition in Hong Kong and satisfy the three core requirements discussed below. </w:t>
      </w:r>
    </w:p>
    <w:p w14:paraId="3B22050F" w14:textId="77777777" w:rsidR="00472A80" w:rsidRDefault="00472A80" w:rsidP="00472A80">
      <w:pPr>
        <w:jc w:val="both"/>
        <w:rPr>
          <w:rFonts w:ascii="Arial" w:hAnsi="Arial" w:cs="Arial"/>
          <w:color w:val="7B7B7B" w:themeColor="accent3" w:themeShade="BF"/>
          <w:sz w:val="22"/>
          <w:szCs w:val="22"/>
        </w:rPr>
      </w:pPr>
    </w:p>
    <w:p w14:paraId="2328E75E" w14:textId="77777777" w:rsidR="00472A80" w:rsidRDefault="00472A80" w:rsidP="00472A8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BVI office holder may commence a liquidation in Hong Kong ancillary to the BVI insolvency proceedings. Alternatively, the BVI office holder may seek recognition and assistance from the Hong Kong court. It should be noted that the Hong Kong courts, under common law principles of modified universalism, have been willing to assist foreign courts and </w:t>
      </w:r>
      <w:r>
        <w:rPr>
          <w:rFonts w:ascii="Arial" w:hAnsi="Arial" w:cs="Arial"/>
          <w:color w:val="7B7B7B" w:themeColor="accent3" w:themeShade="BF"/>
          <w:sz w:val="22"/>
          <w:szCs w:val="22"/>
        </w:rPr>
        <w:lastRenderedPageBreak/>
        <w:t>office holders in cross-border insolvency matters. The appropriate procedure will primarily depend on the scope of the powers required by the office holder. If which will likely be the case here, the BVI will wish to have the full range of powers exercisable by a Hong Kong officer holder under the CWUMPO; the BVI officer holder should make an application for an ancillary liquidation. This is especially the case where there are potentially assets in the PRC.</w:t>
      </w:r>
    </w:p>
    <w:p w14:paraId="7340CF98" w14:textId="77777777" w:rsidR="00472A80" w:rsidRDefault="00472A80" w:rsidP="00472A80">
      <w:pPr>
        <w:jc w:val="both"/>
        <w:rPr>
          <w:rFonts w:ascii="Arial" w:hAnsi="Arial" w:cs="Arial"/>
          <w:color w:val="7B7B7B" w:themeColor="accent3" w:themeShade="BF"/>
          <w:sz w:val="22"/>
          <w:szCs w:val="22"/>
        </w:rPr>
      </w:pPr>
    </w:p>
    <w:p w14:paraId="1869013E" w14:textId="77777777" w:rsidR="00472A80" w:rsidRDefault="00472A80" w:rsidP="00472A8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To commence an ancillary liquidation in Hong Kong, the BVI office holder must satisfy the three core requirements for the Hong Kong court to exercise its jurisdiction to wind up a non-registered Hong Kong company. Specifically,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there has to be a sufficient connection with Hong Kong, but this does not necessarily have to consist of assets within the jurisdiction; (ii) there must be a reasonable possibility that a winding up order would benefit those applying for it; and (iii) the court must be able to exercise jurisdiction over one or more of the persons interested in the distribution of the company's assets: </w:t>
      </w:r>
      <w:r>
        <w:rPr>
          <w:rFonts w:ascii="Arial" w:hAnsi="Arial" w:cs="Arial"/>
          <w:i/>
          <w:color w:val="7B7B7B" w:themeColor="accent3" w:themeShade="BF"/>
          <w:sz w:val="22"/>
          <w:szCs w:val="22"/>
        </w:rPr>
        <w:t xml:space="preserve">Re China </w:t>
      </w:r>
      <w:proofErr w:type="spellStart"/>
      <w:r>
        <w:rPr>
          <w:rFonts w:ascii="Arial" w:hAnsi="Arial" w:cs="Arial"/>
          <w:i/>
          <w:color w:val="7B7B7B" w:themeColor="accent3" w:themeShade="BF"/>
          <w:sz w:val="22"/>
          <w:szCs w:val="22"/>
        </w:rPr>
        <w:t>Huiyan</w:t>
      </w:r>
      <w:proofErr w:type="spellEnd"/>
      <w:r>
        <w:rPr>
          <w:rFonts w:ascii="Arial" w:hAnsi="Arial" w:cs="Arial"/>
          <w:i/>
          <w:color w:val="7B7B7B" w:themeColor="accent3" w:themeShade="BF"/>
          <w:sz w:val="22"/>
          <w:szCs w:val="22"/>
        </w:rPr>
        <w:t xml:space="preserve"> Juice Group Ltd </w:t>
      </w:r>
      <w:r>
        <w:rPr>
          <w:rFonts w:ascii="Arial" w:hAnsi="Arial" w:cs="Arial"/>
          <w:color w:val="7B7B7B" w:themeColor="accent3" w:themeShade="BF"/>
          <w:sz w:val="22"/>
          <w:szCs w:val="22"/>
        </w:rPr>
        <w:t>[2021] 1 HKLRD at §19.</w:t>
      </w:r>
    </w:p>
    <w:p w14:paraId="0F61674A" w14:textId="77777777" w:rsidR="00472A80" w:rsidRDefault="00472A80" w:rsidP="00472A80">
      <w:pPr>
        <w:jc w:val="both"/>
        <w:rPr>
          <w:rFonts w:ascii="Arial" w:hAnsi="Arial" w:cs="Arial"/>
          <w:color w:val="7B7B7B" w:themeColor="accent3" w:themeShade="BF"/>
          <w:sz w:val="22"/>
          <w:szCs w:val="22"/>
        </w:rPr>
      </w:pPr>
    </w:p>
    <w:p w14:paraId="26C44B77" w14:textId="77777777" w:rsidR="00472A80" w:rsidRDefault="00472A80" w:rsidP="00472A8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regards requirement number one, there is a sufficient connection to Hong Kong. This is because (1) the FA Agreement is governed by Hong Kong law; (2)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Zhang, SPL's independent director, is resident in Hong Kong; (3)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Wong, SPL's bookkeeper, is resident in Hong Kong; (4) SPL has assets within the jurisdiction i.e., a Hong Kong bank account; and (5) it is believed that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Qi is resident in Hong Kong. Regarding the second core requirement, there is clear evidence that there is a reasonable possibility of a benefit to the liquidator. Based on the above facts, aside from the potential assets in the PRC, the only available asset of SPL is the bank account in Hong Kong. Finally, to satisfy the third core requirement, it must be shown that there is a person with a sufficient connection who has a substantial financial interest in the winding up. Here,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Qi, who is believed to be resident in Hong Kong, has that connection as well as a substantial financial interest, being the repayment of his shareholder loans. Suppose the Hong Kong court did not consider this enough to satisfy the core requirements, for the reasons set out above. In that case, requirements (1) and (2) are so substantial that the court would order the ancillary liquidation of SPL: </w:t>
      </w:r>
      <w:r>
        <w:rPr>
          <w:rFonts w:ascii="Arial" w:hAnsi="Arial" w:cs="Arial"/>
          <w:i/>
          <w:color w:val="7B7B7B" w:themeColor="accent3" w:themeShade="BF"/>
          <w:sz w:val="22"/>
          <w:szCs w:val="22"/>
        </w:rPr>
        <w:t>See Re China Medical [2018] HKCA 111</w:t>
      </w:r>
      <w:r>
        <w:rPr>
          <w:rFonts w:ascii="Arial" w:hAnsi="Arial" w:cs="Arial"/>
          <w:color w:val="7B7B7B" w:themeColor="accent3" w:themeShade="BF"/>
          <w:sz w:val="22"/>
          <w:szCs w:val="22"/>
        </w:rPr>
        <w:t>.</w:t>
      </w:r>
    </w:p>
    <w:p w14:paraId="538FD5F1" w14:textId="77777777" w:rsidR="00472A80" w:rsidRDefault="00472A80" w:rsidP="00472A80">
      <w:pPr>
        <w:jc w:val="both"/>
        <w:rPr>
          <w:rFonts w:ascii="Arial" w:hAnsi="Arial" w:cs="Arial"/>
          <w:color w:val="7B7B7B" w:themeColor="accent3" w:themeShade="BF"/>
          <w:sz w:val="22"/>
          <w:szCs w:val="22"/>
        </w:rPr>
      </w:pPr>
    </w:p>
    <w:p w14:paraId="500F63DA" w14:textId="77777777" w:rsidR="00472A80" w:rsidRDefault="00472A80" w:rsidP="00472A8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sensible approach would be for the BVI office holder to obtain an ancillary liquidation order. However, in either case, the BVI officer holder will want to (1) obtain the production of documents and examine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Zhang,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Wong, and/or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Qi and (2)  take steps to exercise power to deal with SPL's Hong Kong bank account. </w:t>
      </w:r>
    </w:p>
    <w:p w14:paraId="79769236" w14:textId="77777777" w:rsidR="00472A80" w:rsidRDefault="00472A80" w:rsidP="00472A80">
      <w:pPr>
        <w:jc w:val="both"/>
        <w:rPr>
          <w:rFonts w:ascii="Arial" w:hAnsi="Arial" w:cs="Arial"/>
          <w:color w:val="7B7B7B" w:themeColor="accent3" w:themeShade="BF"/>
          <w:sz w:val="22"/>
          <w:szCs w:val="22"/>
        </w:rPr>
      </w:pPr>
    </w:p>
    <w:p w14:paraId="54D410A9" w14:textId="77777777" w:rsidR="00472A80" w:rsidRDefault="00472A80" w:rsidP="00472A8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regards (1), section 286A of the CWUMPO, after a winding up order has been made upon an application by a liquidator, the court may direct a person (a) who is or has been an officer of the company; (b) a person who has or is a receiver or manager of the property of the company; and/or (c) any person who has taken part in the formation or management of the company: see §268A(2)(a), and (c)-(d), to attend before the court for examination: §286A(1). Section 286B then goes on to provide the court has the power also to order such person to swear an affidavit in relation to the formation or affairs of the company: §286D(1)(c) or to produce any documents or records relating to the dealings of the company: §286B(1)(d). </w:t>
      </w:r>
    </w:p>
    <w:p w14:paraId="669004B9" w14:textId="77777777" w:rsidR="00472A80" w:rsidRDefault="00472A80" w:rsidP="00472A80">
      <w:pPr>
        <w:jc w:val="both"/>
        <w:rPr>
          <w:rFonts w:ascii="Arial" w:hAnsi="Arial" w:cs="Arial"/>
          <w:color w:val="7B7B7B" w:themeColor="accent3" w:themeShade="BF"/>
          <w:sz w:val="22"/>
          <w:szCs w:val="22"/>
        </w:rPr>
      </w:pPr>
    </w:p>
    <w:p w14:paraId="3E122B89" w14:textId="77777777" w:rsidR="00472A80" w:rsidRDefault="00472A80" w:rsidP="00472A8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respect of the production of documents and/or examination of witnesses, the BVI office holder has the powers set out above under an ancillary liquidation. If, instead, the BVI office holder intends to seek the assistance of the Hong Kong court to examine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Zhang and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Wong, the scope of the court's power is not unlimited. Accordingly, the powers available to the BVI office holder in Hong Kong will be limited to the powers available to the BVI office holder under BVI law, which, as I understand it is not as expansive as examination/production powers under Hong Kong law</w:t>
      </w:r>
      <w:r>
        <w:rPr>
          <w:rStyle w:val="FootnoteReference"/>
          <w:rFonts w:ascii="Arial" w:hAnsi="Arial" w:cs="Arial"/>
          <w:color w:val="7B7B7B" w:themeColor="accent3" w:themeShade="BF"/>
          <w:sz w:val="22"/>
          <w:szCs w:val="22"/>
        </w:rPr>
        <w:footnoteReference w:id="12"/>
      </w:r>
      <w:r>
        <w:rPr>
          <w:rFonts w:ascii="Arial" w:hAnsi="Arial" w:cs="Arial"/>
          <w:color w:val="7B7B7B" w:themeColor="accent3" w:themeShade="BF"/>
          <w:sz w:val="22"/>
          <w:szCs w:val="22"/>
        </w:rPr>
        <w:t xml:space="preserve">. </w:t>
      </w:r>
    </w:p>
    <w:p w14:paraId="5A1D0A0C" w14:textId="77777777" w:rsidR="00472A80" w:rsidRDefault="00472A80" w:rsidP="00472A80">
      <w:pPr>
        <w:jc w:val="both"/>
        <w:rPr>
          <w:rFonts w:ascii="Arial" w:hAnsi="Arial" w:cs="Arial"/>
          <w:color w:val="7B7B7B" w:themeColor="accent3" w:themeShade="BF"/>
          <w:sz w:val="22"/>
          <w:szCs w:val="22"/>
        </w:rPr>
      </w:pPr>
    </w:p>
    <w:p w14:paraId="2717620D" w14:textId="77777777" w:rsidR="00472A80" w:rsidRDefault="00472A80" w:rsidP="00472A8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As regards (2), under an ancillary order, the BVI office holder will have the power to collect assets within the jurisdiction to deal with them in the primary insolvency proceedings. If the BVI office holder seeks to obtain recognition under common law principles, the case of </w:t>
      </w:r>
      <w:r>
        <w:rPr>
          <w:rFonts w:ascii="Arial" w:hAnsi="Arial" w:cs="Arial"/>
          <w:i/>
          <w:color w:val="7B7B7B" w:themeColor="accent3" w:themeShade="BF"/>
          <w:sz w:val="22"/>
          <w:szCs w:val="22"/>
        </w:rPr>
        <w:t xml:space="preserve">Re </w:t>
      </w:r>
      <w:proofErr w:type="spellStart"/>
      <w:r>
        <w:rPr>
          <w:rFonts w:ascii="Arial" w:hAnsi="Arial" w:cs="Arial"/>
          <w:i/>
          <w:color w:val="7B7B7B" w:themeColor="accent3" w:themeShade="BF"/>
          <w:sz w:val="22"/>
          <w:szCs w:val="22"/>
        </w:rPr>
        <w:t>Lumena</w:t>
      </w:r>
      <w:proofErr w:type="spellEnd"/>
      <w:r>
        <w:rPr>
          <w:rFonts w:ascii="Arial" w:hAnsi="Arial" w:cs="Arial"/>
          <w:i/>
          <w:color w:val="7B7B7B" w:themeColor="accent3" w:themeShade="BF"/>
          <w:sz w:val="22"/>
          <w:szCs w:val="22"/>
        </w:rPr>
        <w:t xml:space="preserve"> New Materials Corp (in provisional liquidation)</w:t>
      </w:r>
      <w:r>
        <w:rPr>
          <w:rFonts w:ascii="Arial" w:hAnsi="Arial" w:cs="Arial"/>
          <w:color w:val="7B7B7B" w:themeColor="accent3" w:themeShade="BF"/>
          <w:sz w:val="22"/>
          <w:szCs w:val="22"/>
        </w:rPr>
        <w:t xml:space="preserve"> [2018] HKCFI 276 has confirmed that the court will assist a foreign office holder in dealing with assets within the jurisdiction.</w:t>
      </w:r>
    </w:p>
    <w:p w14:paraId="47195195" w14:textId="77777777" w:rsidR="00472A80" w:rsidRDefault="00472A80" w:rsidP="00472A80">
      <w:pPr>
        <w:jc w:val="both"/>
        <w:rPr>
          <w:rFonts w:ascii="Arial" w:hAnsi="Arial" w:cs="Arial"/>
          <w:color w:val="7B7B7B" w:themeColor="accent3" w:themeShade="BF"/>
          <w:sz w:val="22"/>
          <w:szCs w:val="22"/>
        </w:rPr>
      </w:pPr>
    </w:p>
    <w:p w14:paraId="315B9832" w14:textId="77777777" w:rsidR="00472A80" w:rsidRPr="00AD60E0" w:rsidRDefault="00472A80" w:rsidP="00472A8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As regards the assets of SPL in Mainland China, it may be possible upon further investigation to utilize the recently enacted pilot program. The procedure under the "Record of Meeting" is limited to the following three regions in the PRC: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Shanghai municipality; (ii) Xiamen municipality of the Fujian province; and (iii) the Shenzhen municipality. If SPL's assets are located within the regions as mentioned above and upon the BVI office holder obtaining an order for an ancillary liquidation, he/she may make an application for recognition provided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SPL's COMI is located in Hong Kong; (ii) SPL's principal assets or place of business/ representative office is in one of the three regions; (iii) the Hong Kong insolvency procedure is compulsory liquidation initiated by a liquidator or provisional liquidator; and (iv) none of the circumstances exist for the PRC Court to refuse recognition. The difficulty in the present case is that SPL is a BVI-registered company. Thus, unless it can be established that SPL's COMI is in Hong Kong, it is unlikely that the BVI office holder could seek recognition and assistance in the  PRC. Moreover, it is unclear from the above facts whether any of SPL's assets are located within the three pilot regions. </w:t>
      </w:r>
    </w:p>
    <w:p w14:paraId="21EA928E" w14:textId="77777777" w:rsidR="00472A80" w:rsidRPr="00A83BF8" w:rsidRDefault="00472A80" w:rsidP="00472A80"/>
    <w:p w14:paraId="57D57819" w14:textId="1A822044"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70BE" w14:textId="77777777" w:rsidR="008259D7" w:rsidRDefault="008259D7" w:rsidP="00241B44">
      <w:r>
        <w:separator/>
      </w:r>
    </w:p>
  </w:endnote>
  <w:endnote w:type="continuationSeparator" w:id="0">
    <w:p w14:paraId="4C62BD9D" w14:textId="77777777" w:rsidR="008259D7" w:rsidRDefault="008259D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A135DE" w:rsidRPr="00FC7B47" w:rsidRDefault="00A135D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A135DE" w:rsidRPr="00FC7B47" w:rsidRDefault="00A135D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A135DE" w:rsidRPr="009B4976" w:rsidRDefault="00A135DE" w:rsidP="00A135DE">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2DFE458C" w:rsidR="00A135DE" w:rsidRDefault="00A135DE" w:rsidP="009B4976">
    <w:pPr>
      <w:pStyle w:val="Footer"/>
      <w:ind w:right="360"/>
      <w:rPr>
        <w:rFonts w:ascii="Arial" w:hAnsi="Arial" w:cs="Arial"/>
        <w:sz w:val="18"/>
        <w:szCs w:val="18"/>
        <w:lang w:val="en-GB"/>
      </w:rPr>
    </w:pPr>
    <w:r>
      <w:rPr>
        <w:rFonts w:ascii="Arial" w:hAnsi="Arial" w:cs="Arial"/>
        <w:sz w:val="18"/>
        <w:szCs w:val="18"/>
        <w:lang w:val="en-GB"/>
      </w:rPr>
      <w:t>202122-544</w:t>
    </w:r>
    <w:r w:rsidRPr="009B4976">
      <w:rPr>
        <w:rFonts w:ascii="Arial" w:hAnsi="Arial" w:cs="Arial"/>
        <w:sz w:val="18"/>
        <w:szCs w:val="18"/>
        <w:lang w:val="en-GB"/>
      </w:rPr>
      <w:t>.assessment</w:t>
    </w:r>
    <w:r>
      <w:rPr>
        <w:rFonts w:ascii="Arial" w:hAnsi="Arial" w:cs="Arial"/>
        <w:sz w:val="18"/>
        <w:szCs w:val="18"/>
        <w:lang w:val="en-GB"/>
      </w:rPr>
      <w:t>8C.docx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A135DE" w:rsidRPr="003D7879" w:rsidRDefault="00A135DE"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2860" w14:textId="77777777" w:rsidR="008259D7" w:rsidRDefault="008259D7" w:rsidP="00241B44">
      <w:r>
        <w:separator/>
      </w:r>
    </w:p>
  </w:footnote>
  <w:footnote w:type="continuationSeparator" w:id="0">
    <w:p w14:paraId="48C90450" w14:textId="77777777" w:rsidR="008259D7" w:rsidRDefault="008259D7" w:rsidP="00241B44">
      <w:r>
        <w:continuationSeparator/>
      </w:r>
    </w:p>
  </w:footnote>
  <w:footnote w:id="1">
    <w:p w14:paraId="44B14D80" w14:textId="77777777" w:rsidR="0038684B" w:rsidRDefault="0038684B" w:rsidP="0038684B">
      <w:pPr>
        <w:pStyle w:val="FootnoteText"/>
      </w:pPr>
      <w:r>
        <w:rPr>
          <w:rStyle w:val="FootnoteReference"/>
        </w:rPr>
        <w:footnoteRef/>
      </w:r>
      <w:r>
        <w:t xml:space="preserve"> Article X </w:t>
      </w:r>
      <w:r w:rsidRPr="00820DE8">
        <w:rPr>
          <w:i/>
        </w:rPr>
        <w:t>CWUMPO</w:t>
      </w:r>
    </w:p>
  </w:footnote>
  <w:footnote w:id="2">
    <w:p w14:paraId="393AC0F0" w14:textId="674172DC" w:rsidR="00F863D8" w:rsidRDefault="00F863D8" w:rsidP="00F863D8">
      <w:pPr>
        <w:pStyle w:val="FootnoteText"/>
      </w:pPr>
      <w:r>
        <w:rPr>
          <w:rStyle w:val="FootnoteReference"/>
        </w:rPr>
        <w:footnoteRef/>
      </w:r>
      <w:r>
        <w:t xml:space="preserve"> Module at </w:t>
      </w:r>
      <w:r w:rsidR="00343FE8">
        <w:t>]</w:t>
      </w:r>
      <w:r>
        <w:t>6.3.8]</w:t>
      </w:r>
    </w:p>
  </w:footnote>
  <w:footnote w:id="3">
    <w:p w14:paraId="1E08784D" w14:textId="77777777" w:rsidR="00F863D8" w:rsidRDefault="00F863D8" w:rsidP="00F863D8">
      <w:pPr>
        <w:pStyle w:val="FootnoteText"/>
      </w:pPr>
      <w:r>
        <w:rPr>
          <w:rStyle w:val="FootnoteReference"/>
        </w:rPr>
        <w:footnoteRef/>
      </w:r>
      <w:r>
        <w:t xml:space="preserve"> Ibid. </w:t>
      </w:r>
    </w:p>
  </w:footnote>
  <w:footnote w:id="4">
    <w:p w14:paraId="28A05111" w14:textId="77777777" w:rsidR="006817E5" w:rsidRDefault="006817E5" w:rsidP="006817E5">
      <w:pPr>
        <w:pStyle w:val="FootnoteText"/>
      </w:pPr>
      <w:r>
        <w:rPr>
          <w:rStyle w:val="FootnoteReference"/>
        </w:rPr>
        <w:footnoteRef/>
      </w:r>
      <w:r>
        <w:t xml:space="preserve"> Module at [6.3.15.1]</w:t>
      </w:r>
    </w:p>
  </w:footnote>
  <w:footnote w:id="5">
    <w:p w14:paraId="32FF1CD0" w14:textId="77777777" w:rsidR="00F8541C" w:rsidRDefault="00F8541C" w:rsidP="00F8541C">
      <w:pPr>
        <w:pStyle w:val="FootnoteText"/>
      </w:pPr>
      <w:r>
        <w:rPr>
          <w:rStyle w:val="FootnoteReference"/>
        </w:rPr>
        <w:footnoteRef/>
      </w:r>
      <w:r>
        <w:t xml:space="preserve"> Module at []</w:t>
      </w:r>
    </w:p>
  </w:footnote>
  <w:footnote w:id="6">
    <w:p w14:paraId="00012857" w14:textId="77777777" w:rsidR="00F8541C" w:rsidRDefault="00F8541C" w:rsidP="00F8541C">
      <w:pPr>
        <w:pStyle w:val="FootnoteText"/>
      </w:pPr>
      <w:r>
        <w:rPr>
          <w:rStyle w:val="FootnoteReference"/>
        </w:rPr>
        <w:footnoteRef/>
      </w:r>
      <w:r>
        <w:t xml:space="preserve"> Kwm.com/hk/en/insights/latest-thinking/pilot-mechanism-in-cross-border-insolvency.htm</w:t>
      </w:r>
    </w:p>
  </w:footnote>
  <w:footnote w:id="7">
    <w:p w14:paraId="0CFCA0A6" w14:textId="77777777" w:rsidR="007F275E" w:rsidRDefault="007F275E" w:rsidP="007F275E">
      <w:pPr>
        <w:pStyle w:val="FootnoteText"/>
      </w:pPr>
      <w:r>
        <w:rPr>
          <w:rStyle w:val="FootnoteReference"/>
        </w:rPr>
        <w:footnoteRef/>
      </w:r>
      <w:r>
        <w:t xml:space="preserve"> §228 CWUMPO</w:t>
      </w:r>
    </w:p>
  </w:footnote>
  <w:footnote w:id="8">
    <w:p w14:paraId="121E1A2D" w14:textId="591501A5" w:rsidR="0089727D" w:rsidRDefault="0089727D">
      <w:pPr>
        <w:pStyle w:val="FootnoteText"/>
      </w:pPr>
      <w:r>
        <w:rPr>
          <w:rStyle w:val="FootnoteReference"/>
        </w:rPr>
        <w:footnoteRef/>
      </w:r>
      <w:r>
        <w:t xml:space="preserve"> Module at [5.4]</w:t>
      </w:r>
    </w:p>
  </w:footnote>
  <w:footnote w:id="9">
    <w:p w14:paraId="3F0503A3" w14:textId="77777777" w:rsidR="00472A80" w:rsidRPr="00AD1E43" w:rsidRDefault="00472A80" w:rsidP="00472A80">
      <w:pPr>
        <w:pStyle w:val="FootnoteText"/>
      </w:pPr>
      <w:r>
        <w:rPr>
          <w:rStyle w:val="FootnoteReference"/>
        </w:rPr>
        <w:footnoteRef/>
      </w:r>
      <w:r>
        <w:t xml:space="preserve"> </w:t>
      </w:r>
      <w:r>
        <w:rPr>
          <w:i/>
        </w:rPr>
        <w:t xml:space="preserve">Belmont Park </w:t>
      </w:r>
      <w:r>
        <w:t>at [71]</w:t>
      </w:r>
    </w:p>
  </w:footnote>
  <w:footnote w:id="10">
    <w:p w14:paraId="3E696AF1" w14:textId="77777777" w:rsidR="00472A80" w:rsidRDefault="00472A80" w:rsidP="00472A80">
      <w:pPr>
        <w:pStyle w:val="FootnoteText"/>
      </w:pPr>
      <w:r>
        <w:rPr>
          <w:rStyle w:val="FootnoteReference"/>
        </w:rPr>
        <w:footnoteRef/>
      </w:r>
      <w:r>
        <w:t xml:space="preserve"> Ibid at [80]</w:t>
      </w:r>
    </w:p>
  </w:footnote>
  <w:footnote w:id="11">
    <w:p w14:paraId="6D387A83" w14:textId="77777777" w:rsidR="00472A80" w:rsidRDefault="00472A80" w:rsidP="00472A80">
      <w:pPr>
        <w:pStyle w:val="FootnoteText"/>
      </w:pPr>
      <w:r>
        <w:rPr>
          <w:rStyle w:val="FootnoteReference"/>
        </w:rPr>
        <w:footnoteRef/>
      </w:r>
      <w:r>
        <w:t xml:space="preserve"> Ibid at [84].</w:t>
      </w:r>
    </w:p>
  </w:footnote>
  <w:footnote w:id="12">
    <w:p w14:paraId="2AC0E110" w14:textId="77777777" w:rsidR="00472A80" w:rsidRDefault="00472A80" w:rsidP="00472A80">
      <w:pPr>
        <w:pStyle w:val="FootnoteText"/>
      </w:pPr>
      <w:r>
        <w:rPr>
          <w:rStyle w:val="FootnoteReference"/>
        </w:rPr>
        <w:footnoteRef/>
      </w:r>
      <w:r>
        <w:t xml:space="preserve"> Module at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51179"/>
    <w:multiLevelType w:val="hybridMultilevel"/>
    <w:tmpl w:val="0D54B12E"/>
    <w:lvl w:ilvl="0" w:tplc="3C7A9CAC">
      <w:start w:val="1671"/>
      <w:numFmt w:val="bullet"/>
      <w:lvlText w:val=""/>
      <w:lvlJc w:val="left"/>
      <w:pPr>
        <w:ind w:left="450" w:hanging="360"/>
      </w:pPr>
      <w:rPr>
        <w:rFonts w:ascii="Symbol" w:eastAsia="Times New Roman" w:hAnsi="Symbol"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A6DDD"/>
    <w:multiLevelType w:val="hybridMultilevel"/>
    <w:tmpl w:val="ABC2BD92"/>
    <w:lvl w:ilvl="0" w:tplc="2B76957E">
      <w:start w:val="1671"/>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2570539">
    <w:abstractNumId w:val="26"/>
  </w:num>
  <w:num w:numId="2" w16cid:durableId="918559853">
    <w:abstractNumId w:val="24"/>
  </w:num>
  <w:num w:numId="3" w16cid:durableId="390468474">
    <w:abstractNumId w:val="12"/>
  </w:num>
  <w:num w:numId="4" w16cid:durableId="2107992248">
    <w:abstractNumId w:val="16"/>
  </w:num>
  <w:num w:numId="5" w16cid:durableId="1800495175">
    <w:abstractNumId w:val="9"/>
  </w:num>
  <w:num w:numId="6" w16cid:durableId="899487090">
    <w:abstractNumId w:val="8"/>
  </w:num>
  <w:num w:numId="7" w16cid:durableId="1848127738">
    <w:abstractNumId w:val="7"/>
  </w:num>
  <w:num w:numId="8" w16cid:durableId="1126579104">
    <w:abstractNumId w:val="15"/>
  </w:num>
  <w:num w:numId="9" w16cid:durableId="1337730369">
    <w:abstractNumId w:val="3"/>
  </w:num>
  <w:num w:numId="10" w16cid:durableId="2079016399">
    <w:abstractNumId w:val="20"/>
  </w:num>
  <w:num w:numId="11" w16cid:durableId="13070594">
    <w:abstractNumId w:val="11"/>
  </w:num>
  <w:num w:numId="12" w16cid:durableId="1146513910">
    <w:abstractNumId w:val="17"/>
  </w:num>
  <w:num w:numId="13" w16cid:durableId="1163668946">
    <w:abstractNumId w:val="28"/>
  </w:num>
  <w:num w:numId="14" w16cid:durableId="1260218244">
    <w:abstractNumId w:val="21"/>
  </w:num>
  <w:num w:numId="15" w16cid:durableId="1081564949">
    <w:abstractNumId w:val="19"/>
  </w:num>
  <w:num w:numId="16" w16cid:durableId="809782576">
    <w:abstractNumId w:val="18"/>
  </w:num>
  <w:num w:numId="17" w16cid:durableId="1824812305">
    <w:abstractNumId w:val="5"/>
  </w:num>
  <w:num w:numId="18" w16cid:durableId="1277518151">
    <w:abstractNumId w:val="27"/>
  </w:num>
  <w:num w:numId="19" w16cid:durableId="1055660078">
    <w:abstractNumId w:val="22"/>
  </w:num>
  <w:num w:numId="20" w16cid:durableId="1856991295">
    <w:abstractNumId w:val="25"/>
  </w:num>
  <w:num w:numId="21" w16cid:durableId="1630283271">
    <w:abstractNumId w:val="10"/>
  </w:num>
  <w:num w:numId="22" w16cid:durableId="1543207352">
    <w:abstractNumId w:val="14"/>
  </w:num>
  <w:num w:numId="23" w16cid:durableId="946696925">
    <w:abstractNumId w:val="0"/>
  </w:num>
  <w:num w:numId="24" w16cid:durableId="247085238">
    <w:abstractNumId w:val="23"/>
  </w:num>
  <w:num w:numId="25" w16cid:durableId="500393651">
    <w:abstractNumId w:val="6"/>
  </w:num>
  <w:num w:numId="26" w16cid:durableId="524637770">
    <w:abstractNumId w:val="1"/>
  </w:num>
  <w:num w:numId="27" w16cid:durableId="889027985">
    <w:abstractNumId w:val="2"/>
  </w:num>
  <w:num w:numId="28" w16cid:durableId="1808158945">
    <w:abstractNumId w:val="13"/>
  </w:num>
  <w:num w:numId="29" w16cid:durableId="165047786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4FBC"/>
    <w:rsid w:val="00007BF3"/>
    <w:rsid w:val="00010809"/>
    <w:rsid w:val="00010BA0"/>
    <w:rsid w:val="00014507"/>
    <w:rsid w:val="000168DB"/>
    <w:rsid w:val="00020557"/>
    <w:rsid w:val="00021FC2"/>
    <w:rsid w:val="000250C7"/>
    <w:rsid w:val="00026F16"/>
    <w:rsid w:val="000306E5"/>
    <w:rsid w:val="00037621"/>
    <w:rsid w:val="00044D46"/>
    <w:rsid w:val="00045088"/>
    <w:rsid w:val="00045904"/>
    <w:rsid w:val="00046FA0"/>
    <w:rsid w:val="000502FD"/>
    <w:rsid w:val="0005076F"/>
    <w:rsid w:val="00057102"/>
    <w:rsid w:val="00057521"/>
    <w:rsid w:val="00065166"/>
    <w:rsid w:val="00072C01"/>
    <w:rsid w:val="00074890"/>
    <w:rsid w:val="00082609"/>
    <w:rsid w:val="00082853"/>
    <w:rsid w:val="000851CC"/>
    <w:rsid w:val="0008559D"/>
    <w:rsid w:val="00087F21"/>
    <w:rsid w:val="00093BE8"/>
    <w:rsid w:val="0009469B"/>
    <w:rsid w:val="000A1AC9"/>
    <w:rsid w:val="000A407B"/>
    <w:rsid w:val="000A463E"/>
    <w:rsid w:val="000A68ED"/>
    <w:rsid w:val="000B05A3"/>
    <w:rsid w:val="000B0832"/>
    <w:rsid w:val="000B1C00"/>
    <w:rsid w:val="000B5B0E"/>
    <w:rsid w:val="000B5FF1"/>
    <w:rsid w:val="000B609F"/>
    <w:rsid w:val="000D4D1C"/>
    <w:rsid w:val="000D55A8"/>
    <w:rsid w:val="000E4841"/>
    <w:rsid w:val="000E7B06"/>
    <w:rsid w:val="000F1677"/>
    <w:rsid w:val="000F2258"/>
    <w:rsid w:val="000F3D6C"/>
    <w:rsid w:val="00100999"/>
    <w:rsid w:val="00101707"/>
    <w:rsid w:val="00102CC9"/>
    <w:rsid w:val="0010593A"/>
    <w:rsid w:val="0011473D"/>
    <w:rsid w:val="00115C85"/>
    <w:rsid w:val="00123305"/>
    <w:rsid w:val="00123855"/>
    <w:rsid w:val="00126A4D"/>
    <w:rsid w:val="0013071B"/>
    <w:rsid w:val="0013174B"/>
    <w:rsid w:val="0014171F"/>
    <w:rsid w:val="00142B28"/>
    <w:rsid w:val="0014622C"/>
    <w:rsid w:val="00152348"/>
    <w:rsid w:val="0015456D"/>
    <w:rsid w:val="00155FA2"/>
    <w:rsid w:val="00160183"/>
    <w:rsid w:val="00161D0D"/>
    <w:rsid w:val="00161F1B"/>
    <w:rsid w:val="00162829"/>
    <w:rsid w:val="00165552"/>
    <w:rsid w:val="00180548"/>
    <w:rsid w:val="00180AC4"/>
    <w:rsid w:val="00180CCE"/>
    <w:rsid w:val="00181AD4"/>
    <w:rsid w:val="0018267A"/>
    <w:rsid w:val="00182779"/>
    <w:rsid w:val="001830DF"/>
    <w:rsid w:val="001844D8"/>
    <w:rsid w:val="00185186"/>
    <w:rsid w:val="00193428"/>
    <w:rsid w:val="001966D9"/>
    <w:rsid w:val="001A007A"/>
    <w:rsid w:val="001A7E9A"/>
    <w:rsid w:val="001B0F70"/>
    <w:rsid w:val="001B1D14"/>
    <w:rsid w:val="001B5016"/>
    <w:rsid w:val="001B6568"/>
    <w:rsid w:val="001C2326"/>
    <w:rsid w:val="001C35C7"/>
    <w:rsid w:val="001C45FC"/>
    <w:rsid w:val="001C6BC7"/>
    <w:rsid w:val="001D0469"/>
    <w:rsid w:val="001D29C0"/>
    <w:rsid w:val="001D4862"/>
    <w:rsid w:val="001D7DC8"/>
    <w:rsid w:val="001E11FC"/>
    <w:rsid w:val="001E25B9"/>
    <w:rsid w:val="001E2A61"/>
    <w:rsid w:val="001E49E0"/>
    <w:rsid w:val="001E5FB0"/>
    <w:rsid w:val="001E7B5A"/>
    <w:rsid w:val="001F7412"/>
    <w:rsid w:val="0020090A"/>
    <w:rsid w:val="00202DFE"/>
    <w:rsid w:val="0020725B"/>
    <w:rsid w:val="002110F1"/>
    <w:rsid w:val="00225ADF"/>
    <w:rsid w:val="002356EA"/>
    <w:rsid w:val="0024116D"/>
    <w:rsid w:val="002414D3"/>
    <w:rsid w:val="00241B44"/>
    <w:rsid w:val="00241FA3"/>
    <w:rsid w:val="00245EFB"/>
    <w:rsid w:val="0025386E"/>
    <w:rsid w:val="002613DE"/>
    <w:rsid w:val="002638B0"/>
    <w:rsid w:val="00264C46"/>
    <w:rsid w:val="0026647A"/>
    <w:rsid w:val="002668D3"/>
    <w:rsid w:val="0027299F"/>
    <w:rsid w:val="00273C71"/>
    <w:rsid w:val="00284EBE"/>
    <w:rsid w:val="00286642"/>
    <w:rsid w:val="002903A7"/>
    <w:rsid w:val="002908C7"/>
    <w:rsid w:val="0029433F"/>
    <w:rsid w:val="00294829"/>
    <w:rsid w:val="0029690F"/>
    <w:rsid w:val="00297C8A"/>
    <w:rsid w:val="002A2A60"/>
    <w:rsid w:val="002A37BB"/>
    <w:rsid w:val="002B1C45"/>
    <w:rsid w:val="002B5280"/>
    <w:rsid w:val="002C13C8"/>
    <w:rsid w:val="002C3547"/>
    <w:rsid w:val="002C6462"/>
    <w:rsid w:val="002C6E39"/>
    <w:rsid w:val="002D0021"/>
    <w:rsid w:val="002D299D"/>
    <w:rsid w:val="002D30E7"/>
    <w:rsid w:val="002D3473"/>
    <w:rsid w:val="002F02E4"/>
    <w:rsid w:val="002F1956"/>
    <w:rsid w:val="002F3440"/>
    <w:rsid w:val="002F75A3"/>
    <w:rsid w:val="0030392B"/>
    <w:rsid w:val="00303C2F"/>
    <w:rsid w:val="00304178"/>
    <w:rsid w:val="003144EF"/>
    <w:rsid w:val="00321FE0"/>
    <w:rsid w:val="00326292"/>
    <w:rsid w:val="00326415"/>
    <w:rsid w:val="00330937"/>
    <w:rsid w:val="00330F31"/>
    <w:rsid w:val="003311A1"/>
    <w:rsid w:val="00333D8C"/>
    <w:rsid w:val="00334648"/>
    <w:rsid w:val="0033768C"/>
    <w:rsid w:val="00337938"/>
    <w:rsid w:val="00340769"/>
    <w:rsid w:val="00341AA6"/>
    <w:rsid w:val="00343FE8"/>
    <w:rsid w:val="003518BB"/>
    <w:rsid w:val="00361A0A"/>
    <w:rsid w:val="00364836"/>
    <w:rsid w:val="0036565C"/>
    <w:rsid w:val="0036625E"/>
    <w:rsid w:val="0037383A"/>
    <w:rsid w:val="0037465A"/>
    <w:rsid w:val="003765EF"/>
    <w:rsid w:val="00382C98"/>
    <w:rsid w:val="0038533C"/>
    <w:rsid w:val="0038628B"/>
    <w:rsid w:val="00386568"/>
    <w:rsid w:val="00386801"/>
    <w:rsid w:val="0038684B"/>
    <w:rsid w:val="00390B57"/>
    <w:rsid w:val="003948D5"/>
    <w:rsid w:val="00396821"/>
    <w:rsid w:val="00397D3A"/>
    <w:rsid w:val="003A051E"/>
    <w:rsid w:val="003A1806"/>
    <w:rsid w:val="003A7865"/>
    <w:rsid w:val="003B170F"/>
    <w:rsid w:val="003B3C5F"/>
    <w:rsid w:val="003C10EB"/>
    <w:rsid w:val="003C4471"/>
    <w:rsid w:val="003D0A6D"/>
    <w:rsid w:val="003D7879"/>
    <w:rsid w:val="003E0B16"/>
    <w:rsid w:val="003E10A7"/>
    <w:rsid w:val="003E16D3"/>
    <w:rsid w:val="003E220B"/>
    <w:rsid w:val="003E67D1"/>
    <w:rsid w:val="003F3561"/>
    <w:rsid w:val="003F73C7"/>
    <w:rsid w:val="004017D4"/>
    <w:rsid w:val="00404329"/>
    <w:rsid w:val="00405DC1"/>
    <w:rsid w:val="00411D40"/>
    <w:rsid w:val="0041438F"/>
    <w:rsid w:val="00415F1F"/>
    <w:rsid w:val="00417771"/>
    <w:rsid w:val="0042108F"/>
    <w:rsid w:val="00425F71"/>
    <w:rsid w:val="00430FED"/>
    <w:rsid w:val="00434A8C"/>
    <w:rsid w:val="0043616E"/>
    <w:rsid w:val="00437297"/>
    <w:rsid w:val="00444284"/>
    <w:rsid w:val="00445CE6"/>
    <w:rsid w:val="00451C31"/>
    <w:rsid w:val="004534C2"/>
    <w:rsid w:val="0045446F"/>
    <w:rsid w:val="0045683E"/>
    <w:rsid w:val="00470948"/>
    <w:rsid w:val="00472A80"/>
    <w:rsid w:val="00476AD1"/>
    <w:rsid w:val="00476F40"/>
    <w:rsid w:val="00477C72"/>
    <w:rsid w:val="00477FB7"/>
    <w:rsid w:val="00485546"/>
    <w:rsid w:val="00491675"/>
    <w:rsid w:val="00493855"/>
    <w:rsid w:val="00495E79"/>
    <w:rsid w:val="00496120"/>
    <w:rsid w:val="004A2D83"/>
    <w:rsid w:val="004A57DD"/>
    <w:rsid w:val="004A641F"/>
    <w:rsid w:val="004A7B51"/>
    <w:rsid w:val="004A7D71"/>
    <w:rsid w:val="004A7EF3"/>
    <w:rsid w:val="004B11FD"/>
    <w:rsid w:val="004B23A2"/>
    <w:rsid w:val="004B5998"/>
    <w:rsid w:val="004B756E"/>
    <w:rsid w:val="004D1A5A"/>
    <w:rsid w:val="004D2FFF"/>
    <w:rsid w:val="004D3721"/>
    <w:rsid w:val="004D5D96"/>
    <w:rsid w:val="004D64F9"/>
    <w:rsid w:val="004E3A6B"/>
    <w:rsid w:val="004E47FC"/>
    <w:rsid w:val="004E622C"/>
    <w:rsid w:val="004E7F43"/>
    <w:rsid w:val="004F5FDF"/>
    <w:rsid w:val="005051E4"/>
    <w:rsid w:val="00513416"/>
    <w:rsid w:val="005177FE"/>
    <w:rsid w:val="00521DA5"/>
    <w:rsid w:val="0052263B"/>
    <w:rsid w:val="005234E4"/>
    <w:rsid w:val="00524728"/>
    <w:rsid w:val="005331CA"/>
    <w:rsid w:val="0053501A"/>
    <w:rsid w:val="00537970"/>
    <w:rsid w:val="00540E3A"/>
    <w:rsid w:val="00544127"/>
    <w:rsid w:val="005463A9"/>
    <w:rsid w:val="00553EB2"/>
    <w:rsid w:val="00557BDA"/>
    <w:rsid w:val="0056020B"/>
    <w:rsid w:val="00560534"/>
    <w:rsid w:val="0056391B"/>
    <w:rsid w:val="005650E2"/>
    <w:rsid w:val="00567AD7"/>
    <w:rsid w:val="00575B2D"/>
    <w:rsid w:val="005778B6"/>
    <w:rsid w:val="005833D0"/>
    <w:rsid w:val="005846F3"/>
    <w:rsid w:val="0058622F"/>
    <w:rsid w:val="00592F82"/>
    <w:rsid w:val="005A0CCA"/>
    <w:rsid w:val="005A2C2A"/>
    <w:rsid w:val="005A6FF2"/>
    <w:rsid w:val="005A726D"/>
    <w:rsid w:val="005B67AC"/>
    <w:rsid w:val="005B79F4"/>
    <w:rsid w:val="005D093D"/>
    <w:rsid w:val="005D16DD"/>
    <w:rsid w:val="005D25EA"/>
    <w:rsid w:val="005D43E0"/>
    <w:rsid w:val="005D446E"/>
    <w:rsid w:val="005D54B3"/>
    <w:rsid w:val="005D58A3"/>
    <w:rsid w:val="005E1B79"/>
    <w:rsid w:val="005E6076"/>
    <w:rsid w:val="005E7008"/>
    <w:rsid w:val="005F026D"/>
    <w:rsid w:val="005F2AEA"/>
    <w:rsid w:val="005F2D0B"/>
    <w:rsid w:val="005F2E8D"/>
    <w:rsid w:val="005F38FD"/>
    <w:rsid w:val="005F4B31"/>
    <w:rsid w:val="00607069"/>
    <w:rsid w:val="00610388"/>
    <w:rsid w:val="00610AC7"/>
    <w:rsid w:val="00612CA5"/>
    <w:rsid w:val="006153EC"/>
    <w:rsid w:val="00621A17"/>
    <w:rsid w:val="00627CC9"/>
    <w:rsid w:val="00627E7B"/>
    <w:rsid w:val="00630542"/>
    <w:rsid w:val="00630C2F"/>
    <w:rsid w:val="00632E44"/>
    <w:rsid w:val="00634622"/>
    <w:rsid w:val="00636808"/>
    <w:rsid w:val="00641035"/>
    <w:rsid w:val="00641515"/>
    <w:rsid w:val="00646209"/>
    <w:rsid w:val="00651E6D"/>
    <w:rsid w:val="00654C2F"/>
    <w:rsid w:val="00657087"/>
    <w:rsid w:val="0066105D"/>
    <w:rsid w:val="006639DB"/>
    <w:rsid w:val="006661EF"/>
    <w:rsid w:val="00677AEB"/>
    <w:rsid w:val="00680EF2"/>
    <w:rsid w:val="006817E5"/>
    <w:rsid w:val="006824D9"/>
    <w:rsid w:val="00687A1D"/>
    <w:rsid w:val="00690174"/>
    <w:rsid w:val="00690B0B"/>
    <w:rsid w:val="00697EA1"/>
    <w:rsid w:val="006A2646"/>
    <w:rsid w:val="006A642A"/>
    <w:rsid w:val="006A6530"/>
    <w:rsid w:val="006B435A"/>
    <w:rsid w:val="006B4C64"/>
    <w:rsid w:val="006B4D5B"/>
    <w:rsid w:val="006B5069"/>
    <w:rsid w:val="006D02CE"/>
    <w:rsid w:val="006D6BD5"/>
    <w:rsid w:val="006E481A"/>
    <w:rsid w:val="006E5298"/>
    <w:rsid w:val="006F22B2"/>
    <w:rsid w:val="006F4751"/>
    <w:rsid w:val="006F4A78"/>
    <w:rsid w:val="006F734A"/>
    <w:rsid w:val="00700D83"/>
    <w:rsid w:val="007019F6"/>
    <w:rsid w:val="007020B5"/>
    <w:rsid w:val="00702DB9"/>
    <w:rsid w:val="00704852"/>
    <w:rsid w:val="007074E9"/>
    <w:rsid w:val="0071143E"/>
    <w:rsid w:val="00711999"/>
    <w:rsid w:val="00713DA4"/>
    <w:rsid w:val="00714BF1"/>
    <w:rsid w:val="00721383"/>
    <w:rsid w:val="0073158B"/>
    <w:rsid w:val="007333CC"/>
    <w:rsid w:val="0073399A"/>
    <w:rsid w:val="00737749"/>
    <w:rsid w:val="00740DAD"/>
    <w:rsid w:val="00742110"/>
    <w:rsid w:val="007454FF"/>
    <w:rsid w:val="0075431C"/>
    <w:rsid w:val="007603F5"/>
    <w:rsid w:val="00764DB0"/>
    <w:rsid w:val="0076764D"/>
    <w:rsid w:val="0077498C"/>
    <w:rsid w:val="007809BC"/>
    <w:rsid w:val="00784128"/>
    <w:rsid w:val="00785A24"/>
    <w:rsid w:val="00787BCC"/>
    <w:rsid w:val="0079089A"/>
    <w:rsid w:val="00793173"/>
    <w:rsid w:val="0079742B"/>
    <w:rsid w:val="007A06A0"/>
    <w:rsid w:val="007A18D0"/>
    <w:rsid w:val="007A2A33"/>
    <w:rsid w:val="007B5C89"/>
    <w:rsid w:val="007C1654"/>
    <w:rsid w:val="007C1FCC"/>
    <w:rsid w:val="007C4AE9"/>
    <w:rsid w:val="007C5618"/>
    <w:rsid w:val="007C6201"/>
    <w:rsid w:val="007C625D"/>
    <w:rsid w:val="007D449C"/>
    <w:rsid w:val="007D7C92"/>
    <w:rsid w:val="007E1154"/>
    <w:rsid w:val="007E1E1F"/>
    <w:rsid w:val="007E4C99"/>
    <w:rsid w:val="007E6BA4"/>
    <w:rsid w:val="007F275E"/>
    <w:rsid w:val="007F39C7"/>
    <w:rsid w:val="007F3B24"/>
    <w:rsid w:val="007F41F8"/>
    <w:rsid w:val="007F659B"/>
    <w:rsid w:val="007F7496"/>
    <w:rsid w:val="008023B6"/>
    <w:rsid w:val="00802E21"/>
    <w:rsid w:val="0080454E"/>
    <w:rsid w:val="00804C32"/>
    <w:rsid w:val="00806302"/>
    <w:rsid w:val="00807119"/>
    <w:rsid w:val="00810229"/>
    <w:rsid w:val="008111BA"/>
    <w:rsid w:val="00814E48"/>
    <w:rsid w:val="0081669A"/>
    <w:rsid w:val="0082483F"/>
    <w:rsid w:val="008259D7"/>
    <w:rsid w:val="008279C0"/>
    <w:rsid w:val="00844E12"/>
    <w:rsid w:val="00851F4A"/>
    <w:rsid w:val="00852D90"/>
    <w:rsid w:val="00867701"/>
    <w:rsid w:val="008723F3"/>
    <w:rsid w:val="008758A8"/>
    <w:rsid w:val="00876F56"/>
    <w:rsid w:val="00881DE6"/>
    <w:rsid w:val="008834C6"/>
    <w:rsid w:val="008837A6"/>
    <w:rsid w:val="00884C75"/>
    <w:rsid w:val="0089145D"/>
    <w:rsid w:val="00893B7C"/>
    <w:rsid w:val="0089727D"/>
    <w:rsid w:val="00897D68"/>
    <w:rsid w:val="008A298C"/>
    <w:rsid w:val="008A4DF2"/>
    <w:rsid w:val="008A6CFE"/>
    <w:rsid w:val="008B0544"/>
    <w:rsid w:val="008B5333"/>
    <w:rsid w:val="008B6223"/>
    <w:rsid w:val="008C4F8E"/>
    <w:rsid w:val="008C66E0"/>
    <w:rsid w:val="008E3339"/>
    <w:rsid w:val="008F20FC"/>
    <w:rsid w:val="008F4673"/>
    <w:rsid w:val="008F5FFE"/>
    <w:rsid w:val="00905A43"/>
    <w:rsid w:val="00906022"/>
    <w:rsid w:val="00912C79"/>
    <w:rsid w:val="009174D7"/>
    <w:rsid w:val="00921B8C"/>
    <w:rsid w:val="00926F22"/>
    <w:rsid w:val="00930CCA"/>
    <w:rsid w:val="009337CE"/>
    <w:rsid w:val="009362BA"/>
    <w:rsid w:val="00942123"/>
    <w:rsid w:val="00944E2E"/>
    <w:rsid w:val="0095207B"/>
    <w:rsid w:val="009578F6"/>
    <w:rsid w:val="00962045"/>
    <w:rsid w:val="00966B3B"/>
    <w:rsid w:val="00980E61"/>
    <w:rsid w:val="0098256E"/>
    <w:rsid w:val="009873F4"/>
    <w:rsid w:val="0098790C"/>
    <w:rsid w:val="00991428"/>
    <w:rsid w:val="00992676"/>
    <w:rsid w:val="009954B2"/>
    <w:rsid w:val="00996691"/>
    <w:rsid w:val="009A3A68"/>
    <w:rsid w:val="009A3AB7"/>
    <w:rsid w:val="009A60C5"/>
    <w:rsid w:val="009B0207"/>
    <w:rsid w:val="009B0723"/>
    <w:rsid w:val="009B07AD"/>
    <w:rsid w:val="009B0883"/>
    <w:rsid w:val="009B15E2"/>
    <w:rsid w:val="009B4171"/>
    <w:rsid w:val="009B4976"/>
    <w:rsid w:val="009B7927"/>
    <w:rsid w:val="009C0B8E"/>
    <w:rsid w:val="009C1BC8"/>
    <w:rsid w:val="009C2442"/>
    <w:rsid w:val="009C7BEE"/>
    <w:rsid w:val="009D0811"/>
    <w:rsid w:val="009D0EE1"/>
    <w:rsid w:val="009E2AEB"/>
    <w:rsid w:val="009E2E27"/>
    <w:rsid w:val="009E45DF"/>
    <w:rsid w:val="009E4DE3"/>
    <w:rsid w:val="009E5531"/>
    <w:rsid w:val="009F275E"/>
    <w:rsid w:val="00A0319B"/>
    <w:rsid w:val="00A03CA5"/>
    <w:rsid w:val="00A047EE"/>
    <w:rsid w:val="00A05487"/>
    <w:rsid w:val="00A055B2"/>
    <w:rsid w:val="00A10B8C"/>
    <w:rsid w:val="00A135DE"/>
    <w:rsid w:val="00A2076A"/>
    <w:rsid w:val="00A2274A"/>
    <w:rsid w:val="00A235B7"/>
    <w:rsid w:val="00A253E7"/>
    <w:rsid w:val="00A27A7A"/>
    <w:rsid w:val="00A27DFF"/>
    <w:rsid w:val="00A303C9"/>
    <w:rsid w:val="00A34ABE"/>
    <w:rsid w:val="00A35DBF"/>
    <w:rsid w:val="00A407EF"/>
    <w:rsid w:val="00A46B4C"/>
    <w:rsid w:val="00A5117B"/>
    <w:rsid w:val="00A56D34"/>
    <w:rsid w:val="00A60074"/>
    <w:rsid w:val="00A6325B"/>
    <w:rsid w:val="00A6627C"/>
    <w:rsid w:val="00A706C7"/>
    <w:rsid w:val="00A71019"/>
    <w:rsid w:val="00A81029"/>
    <w:rsid w:val="00A817C6"/>
    <w:rsid w:val="00A83E2E"/>
    <w:rsid w:val="00A845F5"/>
    <w:rsid w:val="00A867DC"/>
    <w:rsid w:val="00A87BA2"/>
    <w:rsid w:val="00A960CD"/>
    <w:rsid w:val="00A96489"/>
    <w:rsid w:val="00AA08C1"/>
    <w:rsid w:val="00AA0C60"/>
    <w:rsid w:val="00AA31DA"/>
    <w:rsid w:val="00AA4BB6"/>
    <w:rsid w:val="00AB2425"/>
    <w:rsid w:val="00AB685C"/>
    <w:rsid w:val="00AB6C2D"/>
    <w:rsid w:val="00AC08F7"/>
    <w:rsid w:val="00AC3839"/>
    <w:rsid w:val="00AC7082"/>
    <w:rsid w:val="00AD1E43"/>
    <w:rsid w:val="00AD4BE8"/>
    <w:rsid w:val="00AD60E0"/>
    <w:rsid w:val="00AD6F2E"/>
    <w:rsid w:val="00AD712F"/>
    <w:rsid w:val="00AE2668"/>
    <w:rsid w:val="00AE3105"/>
    <w:rsid w:val="00AF228E"/>
    <w:rsid w:val="00AF61E5"/>
    <w:rsid w:val="00B00FB6"/>
    <w:rsid w:val="00B016A8"/>
    <w:rsid w:val="00B02099"/>
    <w:rsid w:val="00B029B3"/>
    <w:rsid w:val="00B14819"/>
    <w:rsid w:val="00B15E2F"/>
    <w:rsid w:val="00B17AA9"/>
    <w:rsid w:val="00B22016"/>
    <w:rsid w:val="00B25814"/>
    <w:rsid w:val="00B35A14"/>
    <w:rsid w:val="00B43BD3"/>
    <w:rsid w:val="00B44713"/>
    <w:rsid w:val="00B46A79"/>
    <w:rsid w:val="00B51B95"/>
    <w:rsid w:val="00B5317F"/>
    <w:rsid w:val="00B5423F"/>
    <w:rsid w:val="00B56103"/>
    <w:rsid w:val="00B56AB2"/>
    <w:rsid w:val="00B61EF4"/>
    <w:rsid w:val="00B64929"/>
    <w:rsid w:val="00B67E8E"/>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D2F2E"/>
    <w:rsid w:val="00BE4FF3"/>
    <w:rsid w:val="00BF04AE"/>
    <w:rsid w:val="00BF4F31"/>
    <w:rsid w:val="00BF50F7"/>
    <w:rsid w:val="00BF5746"/>
    <w:rsid w:val="00C02F29"/>
    <w:rsid w:val="00C17718"/>
    <w:rsid w:val="00C20AFE"/>
    <w:rsid w:val="00C22A25"/>
    <w:rsid w:val="00C328C8"/>
    <w:rsid w:val="00C35671"/>
    <w:rsid w:val="00C35B77"/>
    <w:rsid w:val="00C376EB"/>
    <w:rsid w:val="00C436A8"/>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6535"/>
    <w:rsid w:val="00C8712A"/>
    <w:rsid w:val="00C902C8"/>
    <w:rsid w:val="00C919D1"/>
    <w:rsid w:val="00C963D3"/>
    <w:rsid w:val="00CB0227"/>
    <w:rsid w:val="00CB1983"/>
    <w:rsid w:val="00CB2CBB"/>
    <w:rsid w:val="00CB7CAC"/>
    <w:rsid w:val="00CC5335"/>
    <w:rsid w:val="00CC5BA4"/>
    <w:rsid w:val="00CD26A0"/>
    <w:rsid w:val="00CD4998"/>
    <w:rsid w:val="00CE1035"/>
    <w:rsid w:val="00CE6C50"/>
    <w:rsid w:val="00CE6E50"/>
    <w:rsid w:val="00CE7208"/>
    <w:rsid w:val="00CE7AFA"/>
    <w:rsid w:val="00CF1E7A"/>
    <w:rsid w:val="00CF2819"/>
    <w:rsid w:val="00CF4F9D"/>
    <w:rsid w:val="00CF70DC"/>
    <w:rsid w:val="00D027D9"/>
    <w:rsid w:val="00D148DC"/>
    <w:rsid w:val="00D17FDC"/>
    <w:rsid w:val="00D21D8C"/>
    <w:rsid w:val="00D26B8F"/>
    <w:rsid w:val="00D27A96"/>
    <w:rsid w:val="00D27B91"/>
    <w:rsid w:val="00D423E5"/>
    <w:rsid w:val="00D50696"/>
    <w:rsid w:val="00D53719"/>
    <w:rsid w:val="00D63EFD"/>
    <w:rsid w:val="00D759CE"/>
    <w:rsid w:val="00D764E9"/>
    <w:rsid w:val="00D832A3"/>
    <w:rsid w:val="00D84752"/>
    <w:rsid w:val="00D84A4B"/>
    <w:rsid w:val="00D86B3B"/>
    <w:rsid w:val="00D8748A"/>
    <w:rsid w:val="00D92542"/>
    <w:rsid w:val="00D93196"/>
    <w:rsid w:val="00D94882"/>
    <w:rsid w:val="00D94F60"/>
    <w:rsid w:val="00DA0DC0"/>
    <w:rsid w:val="00DA2355"/>
    <w:rsid w:val="00DB243C"/>
    <w:rsid w:val="00DB482A"/>
    <w:rsid w:val="00DB50FB"/>
    <w:rsid w:val="00DB56F2"/>
    <w:rsid w:val="00DB67B8"/>
    <w:rsid w:val="00DB6EF5"/>
    <w:rsid w:val="00DC00E0"/>
    <w:rsid w:val="00DC2245"/>
    <w:rsid w:val="00DC2DE8"/>
    <w:rsid w:val="00DC3089"/>
    <w:rsid w:val="00DC4420"/>
    <w:rsid w:val="00DD0802"/>
    <w:rsid w:val="00DD2E11"/>
    <w:rsid w:val="00DE03AF"/>
    <w:rsid w:val="00DE121C"/>
    <w:rsid w:val="00DE2CA5"/>
    <w:rsid w:val="00DE6633"/>
    <w:rsid w:val="00DE7C52"/>
    <w:rsid w:val="00DF38FF"/>
    <w:rsid w:val="00DF56E2"/>
    <w:rsid w:val="00DF75F8"/>
    <w:rsid w:val="00DF7A3A"/>
    <w:rsid w:val="00E00C00"/>
    <w:rsid w:val="00E0223B"/>
    <w:rsid w:val="00E02EDA"/>
    <w:rsid w:val="00E0420E"/>
    <w:rsid w:val="00E06F2B"/>
    <w:rsid w:val="00E07C5A"/>
    <w:rsid w:val="00E14FA7"/>
    <w:rsid w:val="00E15753"/>
    <w:rsid w:val="00E15BA9"/>
    <w:rsid w:val="00E170A1"/>
    <w:rsid w:val="00E21999"/>
    <w:rsid w:val="00E224FB"/>
    <w:rsid w:val="00E26E19"/>
    <w:rsid w:val="00E30B9A"/>
    <w:rsid w:val="00E31DF3"/>
    <w:rsid w:val="00E35DD9"/>
    <w:rsid w:val="00E411C7"/>
    <w:rsid w:val="00E450A4"/>
    <w:rsid w:val="00E506BE"/>
    <w:rsid w:val="00E55547"/>
    <w:rsid w:val="00E6302B"/>
    <w:rsid w:val="00E6452F"/>
    <w:rsid w:val="00E64F45"/>
    <w:rsid w:val="00E6742D"/>
    <w:rsid w:val="00E71CB0"/>
    <w:rsid w:val="00E71E80"/>
    <w:rsid w:val="00E72B62"/>
    <w:rsid w:val="00E76657"/>
    <w:rsid w:val="00E77C3D"/>
    <w:rsid w:val="00E80ECC"/>
    <w:rsid w:val="00E90991"/>
    <w:rsid w:val="00E909F0"/>
    <w:rsid w:val="00E90D47"/>
    <w:rsid w:val="00E93993"/>
    <w:rsid w:val="00E9597C"/>
    <w:rsid w:val="00EA0913"/>
    <w:rsid w:val="00EA5B00"/>
    <w:rsid w:val="00EB146B"/>
    <w:rsid w:val="00EB45AC"/>
    <w:rsid w:val="00EB487F"/>
    <w:rsid w:val="00EB4E15"/>
    <w:rsid w:val="00EB5BC7"/>
    <w:rsid w:val="00EC0C75"/>
    <w:rsid w:val="00EC2126"/>
    <w:rsid w:val="00EC233B"/>
    <w:rsid w:val="00EC3D7B"/>
    <w:rsid w:val="00EC441F"/>
    <w:rsid w:val="00EC4755"/>
    <w:rsid w:val="00EC5E60"/>
    <w:rsid w:val="00EC7965"/>
    <w:rsid w:val="00ED0BC4"/>
    <w:rsid w:val="00ED447D"/>
    <w:rsid w:val="00EE4971"/>
    <w:rsid w:val="00EE6CB0"/>
    <w:rsid w:val="00EE6D41"/>
    <w:rsid w:val="00EE7983"/>
    <w:rsid w:val="00EF090E"/>
    <w:rsid w:val="00EF5572"/>
    <w:rsid w:val="00F033DA"/>
    <w:rsid w:val="00F054BB"/>
    <w:rsid w:val="00F13691"/>
    <w:rsid w:val="00F13FB1"/>
    <w:rsid w:val="00F27CD8"/>
    <w:rsid w:val="00F27ED4"/>
    <w:rsid w:val="00F30351"/>
    <w:rsid w:val="00F3323E"/>
    <w:rsid w:val="00F341F4"/>
    <w:rsid w:val="00F34F9D"/>
    <w:rsid w:val="00F35CCE"/>
    <w:rsid w:val="00F35DFC"/>
    <w:rsid w:val="00F45207"/>
    <w:rsid w:val="00F519A0"/>
    <w:rsid w:val="00F5524B"/>
    <w:rsid w:val="00F60538"/>
    <w:rsid w:val="00F61DD2"/>
    <w:rsid w:val="00F63C1E"/>
    <w:rsid w:val="00F65AB3"/>
    <w:rsid w:val="00F66AFF"/>
    <w:rsid w:val="00F66F36"/>
    <w:rsid w:val="00F71433"/>
    <w:rsid w:val="00F8541C"/>
    <w:rsid w:val="00F863D8"/>
    <w:rsid w:val="00F946AC"/>
    <w:rsid w:val="00F97C5B"/>
    <w:rsid w:val="00FA3D50"/>
    <w:rsid w:val="00FA4D42"/>
    <w:rsid w:val="00FA5E30"/>
    <w:rsid w:val="00FA7603"/>
    <w:rsid w:val="00FB02B0"/>
    <w:rsid w:val="00FB44D4"/>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37AC"/>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5938-FB03-9643-A9B1-00121788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15</Pages>
  <Words>6677</Words>
  <Characters>34192</Characters>
  <Application>Microsoft Office Word</Application>
  <DocSecurity>0</DocSecurity>
  <Lines>657</Lines>
  <Paragraphs>215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McSweeney</cp:lastModifiedBy>
  <cp:revision>10</cp:revision>
  <cp:lastPrinted>2020-06-08T04:09:00Z</cp:lastPrinted>
  <dcterms:created xsi:type="dcterms:W3CDTF">2022-07-11T11:50:00Z</dcterms:created>
  <dcterms:modified xsi:type="dcterms:W3CDTF">2022-07-21T16:17:00Z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