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327C6ECB" w:rsidR="004B23A2" w:rsidRDefault="00D34D4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5FE9FE5" wp14:editId="0448D53C">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74EF095" w14:textId="77777777" w:rsidR="0011473D" w:rsidRPr="00CC51EC" w:rsidRDefault="00C56B61"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64A2864" w14:textId="77777777" w:rsidR="002638B0" w:rsidRPr="00CC51EC" w:rsidRDefault="00A81B5E"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74DB0F91" w14:textId="77777777" w:rsidR="00D34D41" w:rsidRPr="00592F82" w:rsidRDefault="00D34D41" w:rsidP="00D34D4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2F11B86" w14:textId="77777777" w:rsidR="00D34D41" w:rsidRPr="00592F82" w:rsidRDefault="00D34D41" w:rsidP="00D34D41">
      <w:pPr>
        <w:jc w:val="both"/>
        <w:rPr>
          <w:rFonts w:ascii="Arial" w:hAnsi="Arial" w:cs="Arial"/>
          <w:sz w:val="22"/>
          <w:szCs w:val="22"/>
          <w:lang w:val="en-GB"/>
        </w:rPr>
      </w:pPr>
    </w:p>
    <w:p w14:paraId="46B9A23F" w14:textId="77777777" w:rsidR="00D34D41" w:rsidRDefault="00D34D41" w:rsidP="00D34D41">
      <w:pPr>
        <w:jc w:val="both"/>
        <w:rPr>
          <w:rFonts w:ascii="Arial" w:hAnsi="Arial" w:cs="Arial"/>
          <w:b/>
          <w:sz w:val="22"/>
          <w:szCs w:val="22"/>
          <w:lang w:val="en-GB"/>
        </w:rPr>
      </w:pPr>
    </w:p>
    <w:p w14:paraId="5A921810" w14:textId="77777777" w:rsidR="00D34D41" w:rsidRPr="001E23FD" w:rsidRDefault="00D34D41" w:rsidP="00D34D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1B1FB19" w14:textId="77777777" w:rsidR="00D34D41" w:rsidRPr="001E23FD" w:rsidRDefault="00D34D41" w:rsidP="00D34D41">
      <w:pPr>
        <w:jc w:val="both"/>
        <w:rPr>
          <w:rFonts w:ascii="Arial" w:hAnsi="Arial" w:cs="Arial"/>
          <w:b/>
          <w:sz w:val="22"/>
          <w:szCs w:val="22"/>
          <w:lang w:val="en-GB"/>
        </w:rPr>
      </w:pPr>
    </w:p>
    <w:p w14:paraId="13FACD65" w14:textId="77777777" w:rsidR="00D34D41" w:rsidRPr="001E23FD" w:rsidRDefault="00D34D41" w:rsidP="00D34D41">
      <w:pPr>
        <w:jc w:val="both"/>
        <w:rPr>
          <w:rFonts w:ascii="Arial" w:hAnsi="Arial" w:cs="Arial"/>
          <w:sz w:val="22"/>
          <w:szCs w:val="22"/>
          <w:lang w:val="en-GB"/>
        </w:rPr>
      </w:pPr>
    </w:p>
    <w:p w14:paraId="17A650F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27CF330" w14:textId="77777777" w:rsidR="00D34D41" w:rsidRPr="001E23FD" w:rsidRDefault="00D34D41" w:rsidP="00D34D41">
      <w:pPr>
        <w:ind w:left="720" w:hanging="720"/>
        <w:jc w:val="both"/>
        <w:rPr>
          <w:rFonts w:ascii="Arial" w:hAnsi="Arial" w:cs="Arial"/>
          <w:sz w:val="22"/>
          <w:szCs w:val="22"/>
          <w:lang w:val="en-GB"/>
        </w:rPr>
      </w:pPr>
    </w:p>
    <w:p w14:paraId="6E8A6202"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DDEE44E" w14:textId="77777777" w:rsidR="00D34D41" w:rsidRPr="001E23FD" w:rsidRDefault="00D34D41" w:rsidP="00D34D41">
      <w:pPr>
        <w:ind w:left="720" w:hanging="720"/>
        <w:jc w:val="both"/>
        <w:rPr>
          <w:rFonts w:ascii="Arial" w:hAnsi="Arial" w:cs="Arial"/>
          <w:sz w:val="22"/>
          <w:szCs w:val="22"/>
          <w:lang w:val="en-GB"/>
        </w:rPr>
      </w:pPr>
    </w:p>
    <w:p w14:paraId="7AE96EA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8471991" w14:textId="77777777" w:rsidR="00D34D41" w:rsidRPr="001E23FD" w:rsidRDefault="00D34D41" w:rsidP="00D34D41">
      <w:pPr>
        <w:ind w:left="720" w:hanging="720"/>
        <w:jc w:val="both"/>
        <w:rPr>
          <w:rFonts w:ascii="Arial" w:hAnsi="Arial" w:cs="Arial"/>
          <w:sz w:val="22"/>
          <w:szCs w:val="22"/>
          <w:lang w:val="en-GB"/>
        </w:rPr>
      </w:pPr>
    </w:p>
    <w:p w14:paraId="0AACB74E" w14:textId="0FDDD208"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00E6D5" w14:textId="77777777" w:rsidR="00D34D41" w:rsidRPr="001E23FD" w:rsidRDefault="00D34D41" w:rsidP="00D34D41">
      <w:pPr>
        <w:ind w:left="720" w:hanging="720"/>
        <w:jc w:val="both"/>
        <w:rPr>
          <w:rFonts w:ascii="Arial" w:hAnsi="Arial" w:cs="Arial"/>
          <w:sz w:val="22"/>
          <w:szCs w:val="22"/>
          <w:lang w:val="en-GB"/>
        </w:rPr>
      </w:pPr>
    </w:p>
    <w:p w14:paraId="00A43567"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A1507D" w14:textId="77777777" w:rsidR="00D34D41" w:rsidRPr="001E23FD" w:rsidRDefault="00D34D41" w:rsidP="00D34D41">
      <w:pPr>
        <w:ind w:left="720" w:hanging="720"/>
        <w:jc w:val="both"/>
        <w:rPr>
          <w:rFonts w:ascii="Arial" w:hAnsi="Arial" w:cs="Arial"/>
          <w:sz w:val="22"/>
          <w:szCs w:val="22"/>
          <w:lang w:val="en-GB"/>
        </w:rPr>
      </w:pPr>
    </w:p>
    <w:p w14:paraId="65999B5C"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E9F675" w14:textId="77777777" w:rsidR="00D34D41" w:rsidRPr="001E23FD" w:rsidRDefault="00D34D41" w:rsidP="00D34D41">
      <w:pPr>
        <w:ind w:left="720" w:hanging="720"/>
        <w:jc w:val="both"/>
        <w:rPr>
          <w:rFonts w:ascii="Arial" w:hAnsi="Arial" w:cs="Arial"/>
          <w:sz w:val="22"/>
          <w:szCs w:val="22"/>
          <w:lang w:val="en-GB"/>
        </w:rPr>
      </w:pPr>
    </w:p>
    <w:p w14:paraId="3AA0BEC5" w14:textId="77777777" w:rsidR="00D34D41" w:rsidRPr="00592F82"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C3645B" w14:textId="77777777" w:rsidR="00D34D41" w:rsidRPr="00592F82" w:rsidRDefault="00D34D41" w:rsidP="00D34D41">
      <w:pPr>
        <w:ind w:left="720" w:hanging="720"/>
        <w:jc w:val="both"/>
        <w:rPr>
          <w:rFonts w:ascii="Arial" w:hAnsi="Arial" w:cs="Arial"/>
          <w:sz w:val="22"/>
          <w:szCs w:val="22"/>
          <w:lang w:val="en-GB"/>
        </w:rPr>
      </w:pPr>
    </w:p>
    <w:p w14:paraId="39EDDA44" w14:textId="77777777" w:rsidR="00D34D41" w:rsidRPr="00592F82" w:rsidRDefault="00D34D41" w:rsidP="00D34D41">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332FD7FC"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w:t>
      </w:r>
      <w:r w:rsidR="00D34D41">
        <w:rPr>
          <w:rFonts w:ascii="Arial" w:hAnsi="Arial" w:cs="Arial"/>
          <w:sz w:val="22"/>
          <w:szCs w:val="22"/>
          <w:lang w:val="en-GB"/>
        </w:rPr>
        <w:t xml:space="preserve">JEP </w:t>
      </w:r>
      <w:r>
        <w:rPr>
          <w:rFonts w:ascii="Arial" w:hAnsi="Arial" w:cs="Arial"/>
          <w:sz w:val="22"/>
          <w:szCs w:val="22"/>
          <w:lang w:val="en-GB"/>
        </w:rPr>
        <w:t>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B9203E" w:rsidRDefault="00A81B5E">
      <w:pPr>
        <w:pStyle w:val="ListParagraph"/>
        <w:numPr>
          <w:ilvl w:val="0"/>
          <w:numId w:val="3"/>
        </w:numPr>
        <w:ind w:left="426"/>
        <w:jc w:val="both"/>
        <w:rPr>
          <w:rFonts w:ascii="Arial" w:hAnsi="Arial" w:cs="Arial"/>
          <w:sz w:val="22"/>
          <w:szCs w:val="22"/>
          <w:highlight w:val="yellow"/>
          <w:lang w:val="en-GB"/>
        </w:rPr>
      </w:pPr>
      <w:r w:rsidRPr="00B9203E">
        <w:rPr>
          <w:rFonts w:ascii="Arial" w:hAnsi="Arial" w:cs="Arial"/>
          <w:sz w:val="22"/>
          <w:szCs w:val="22"/>
          <w:highlight w:val="yellow"/>
          <w:lang w:val="en-GB"/>
        </w:rPr>
        <w:t>Petty Debts Court</w:t>
      </w:r>
      <w:r w:rsidR="001175DC" w:rsidRPr="00B9203E">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proofErr w:type="spellStart"/>
      <w:r w:rsidRPr="001175DC">
        <w:rPr>
          <w:rFonts w:ascii="Arial" w:hAnsi="Arial" w:cs="Arial"/>
          <w:i/>
          <w:iCs/>
          <w:sz w:val="22"/>
          <w:szCs w:val="22"/>
          <w:lang w:val="en-GB"/>
        </w:rPr>
        <w:t>Désastre</w:t>
      </w:r>
      <w:proofErr w:type="spellEnd"/>
      <w:r>
        <w:rPr>
          <w:rFonts w:ascii="Arial" w:hAnsi="Arial" w:cs="Arial"/>
          <w:sz w:val="22"/>
          <w:szCs w:val="22"/>
          <w:lang w:val="en-GB"/>
        </w:rPr>
        <w:t xml:space="preserve"> in Jersey under the </w:t>
      </w:r>
      <w:r w:rsidRPr="00471FDC">
        <w:rPr>
          <w:rFonts w:ascii="Arial" w:hAnsi="Arial" w:cs="Arial"/>
          <w:sz w:val="22"/>
          <w:szCs w:val="22"/>
          <w:lang w:val="en-GB"/>
        </w:rPr>
        <w:t>Bankruptcy (</w:t>
      </w:r>
      <w:proofErr w:type="spellStart"/>
      <w:r w:rsidRPr="001175DC">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proofErr w:type="gramStart"/>
      <w:r w:rsidR="0031661B" w:rsidRPr="006A645C">
        <w:rPr>
          <w:rFonts w:ascii="Arial" w:hAnsi="Arial" w:cs="Arial"/>
          <w:sz w:val="22"/>
          <w:szCs w:val="22"/>
          <w:lang w:val="en-GB"/>
        </w:rPr>
        <w:t>before</w:t>
      </w:r>
      <w:r w:rsidRPr="006A645C">
        <w:rPr>
          <w:rFonts w:ascii="Arial" w:hAnsi="Arial" w:cs="Arial"/>
          <w:sz w:val="22"/>
          <w:szCs w:val="22"/>
          <w:lang w:val="en-GB"/>
        </w:rPr>
        <w:t>, but</w:t>
      </w:r>
      <w:proofErr w:type="gramEnd"/>
      <w:r w:rsidRPr="006A645C">
        <w:rPr>
          <w:rFonts w:ascii="Arial" w:hAnsi="Arial" w:cs="Arial"/>
          <w:sz w:val="22"/>
          <w:szCs w:val="22"/>
          <w:lang w:val="en-GB"/>
        </w:rPr>
        <w:t xml:space="preserve">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 xml:space="preserve">An individual who has never been ordinarily resident in Jersey or carried on business in </w:t>
      </w:r>
      <w:proofErr w:type="gramStart"/>
      <w:r w:rsidRPr="006A645C">
        <w:rPr>
          <w:rFonts w:ascii="Arial" w:hAnsi="Arial" w:cs="Arial"/>
          <w:sz w:val="22"/>
          <w:szCs w:val="22"/>
          <w:lang w:val="en-GB"/>
        </w:rPr>
        <w:t>Jersey, but</w:t>
      </w:r>
      <w:proofErr w:type="gramEnd"/>
      <w:r w:rsidRPr="006A645C">
        <w:rPr>
          <w:rFonts w:ascii="Arial" w:hAnsi="Arial" w:cs="Arial"/>
          <w:sz w:val="22"/>
          <w:szCs w:val="22"/>
          <w:lang w:val="en-GB"/>
        </w:rPr>
        <w:t xml:space="preserve">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Pr="00B9203E" w:rsidRDefault="00FE7DF3">
      <w:pPr>
        <w:pStyle w:val="ListParagraph"/>
        <w:numPr>
          <w:ilvl w:val="0"/>
          <w:numId w:val="5"/>
        </w:numPr>
        <w:ind w:left="426"/>
        <w:jc w:val="both"/>
        <w:rPr>
          <w:rFonts w:ascii="Arial" w:hAnsi="Arial" w:cs="Arial"/>
          <w:sz w:val="22"/>
          <w:szCs w:val="22"/>
          <w:highlight w:val="yellow"/>
          <w:lang w:val="en-GB"/>
        </w:rPr>
      </w:pPr>
      <w:r w:rsidRPr="00B9203E">
        <w:rPr>
          <w:rFonts w:ascii="Arial" w:hAnsi="Arial" w:cs="Arial"/>
          <w:sz w:val="22"/>
          <w:szCs w:val="22"/>
          <w:highlight w:val="yellow"/>
          <w:lang w:val="en-GB"/>
        </w:rPr>
        <w:t>(</w:t>
      </w:r>
      <w:r w:rsidR="007856BA" w:rsidRPr="00B9203E">
        <w:rPr>
          <w:rFonts w:ascii="Arial" w:hAnsi="Arial" w:cs="Arial"/>
          <w:sz w:val="22"/>
          <w:szCs w:val="22"/>
          <w:highlight w:val="yellow"/>
          <w:lang w:val="en-GB"/>
        </w:rPr>
        <w:t>ii)</w:t>
      </w:r>
      <w:r w:rsidR="00A81B5E" w:rsidRPr="00B9203E">
        <w:rPr>
          <w:rFonts w:ascii="Arial" w:hAnsi="Arial" w:cs="Arial"/>
          <w:sz w:val="22"/>
          <w:szCs w:val="22"/>
          <w:highlight w:val="yellow"/>
          <w:lang w:val="en-GB"/>
        </w:rPr>
        <w:t xml:space="preserve"> and </w:t>
      </w:r>
      <w:r w:rsidRPr="00B9203E">
        <w:rPr>
          <w:rFonts w:ascii="Arial" w:hAnsi="Arial" w:cs="Arial"/>
          <w:sz w:val="22"/>
          <w:szCs w:val="22"/>
          <w:highlight w:val="yellow"/>
          <w:lang w:val="en-GB"/>
        </w:rPr>
        <w:t>(</w:t>
      </w:r>
      <w:r w:rsidR="007856BA" w:rsidRPr="00B9203E">
        <w:rPr>
          <w:rFonts w:ascii="Arial" w:hAnsi="Arial" w:cs="Arial"/>
          <w:sz w:val="22"/>
          <w:szCs w:val="22"/>
          <w:highlight w:val="yellow"/>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pPr>
        <w:pStyle w:val="ListParagraph"/>
        <w:numPr>
          <w:ilvl w:val="1"/>
          <w:numId w:val="6"/>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665227">
        <w:rPr>
          <w:rFonts w:ascii="Arial" w:hAnsi="Arial" w:cs="Arial"/>
          <w:sz w:val="22"/>
          <w:szCs w:val="22"/>
          <w:lang w:val="en-GB"/>
        </w:rPr>
        <w:t xml:space="preserve">and </w:t>
      </w:r>
      <w:r>
        <w:rPr>
          <w:rFonts w:ascii="Arial" w:hAnsi="Arial" w:cs="Arial"/>
          <w:sz w:val="22"/>
          <w:szCs w:val="22"/>
          <w:lang w:val="en-GB"/>
        </w:rPr>
        <w:t>(</w:t>
      </w:r>
      <w:r w:rsidR="007856BA" w:rsidRPr="00665227">
        <w:rPr>
          <w:rFonts w:ascii="Arial" w:hAnsi="Arial" w:cs="Arial"/>
          <w:sz w:val="22"/>
          <w:szCs w:val="22"/>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D34D41">
        <w:rPr>
          <w:rFonts w:ascii="Arial" w:hAnsi="Arial" w:cs="Arial"/>
          <w:b/>
          <w:bCs/>
          <w:sz w:val="22"/>
          <w:szCs w:val="22"/>
          <w:u w:val="single"/>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A075A8" w:rsidRDefault="00A81B5E">
      <w:pPr>
        <w:pStyle w:val="ListParagraph"/>
        <w:numPr>
          <w:ilvl w:val="0"/>
          <w:numId w:val="7"/>
        </w:numPr>
        <w:ind w:left="426"/>
        <w:jc w:val="both"/>
        <w:rPr>
          <w:rFonts w:ascii="Arial" w:hAnsi="Arial" w:cs="Arial"/>
          <w:sz w:val="22"/>
          <w:szCs w:val="22"/>
          <w:highlight w:val="yellow"/>
          <w:lang w:val="en-GB"/>
        </w:rPr>
      </w:pPr>
      <w:r w:rsidRPr="00A075A8">
        <w:rPr>
          <w:rFonts w:ascii="Arial" w:hAnsi="Arial" w:cs="Arial"/>
          <w:sz w:val="22"/>
          <w:szCs w:val="22"/>
          <w:highlight w:val="yellow"/>
          <w:lang w:val="en-GB"/>
        </w:rPr>
        <w:t>The Viscount</w:t>
      </w:r>
      <w:r w:rsidR="00A0613B" w:rsidRPr="00A075A8">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pPr>
        <w:pStyle w:val="ListParagraph"/>
        <w:numPr>
          <w:ilvl w:val="0"/>
          <w:numId w:val="8"/>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pPr>
        <w:pStyle w:val="ListParagraph"/>
        <w:numPr>
          <w:ilvl w:val="0"/>
          <w:numId w:val="8"/>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pPr>
        <w:pStyle w:val="ListParagraph"/>
        <w:numPr>
          <w:ilvl w:val="0"/>
          <w:numId w:val="8"/>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Default="00A81B5E">
      <w:pPr>
        <w:pStyle w:val="ListParagraph"/>
        <w:numPr>
          <w:ilvl w:val="0"/>
          <w:numId w:val="8"/>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Désastre</w:t>
      </w:r>
      <w:proofErr w:type="spellEnd"/>
      <w:r w:rsidR="005359C6" w:rsidRPr="00FE7DF3">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pPr>
        <w:pStyle w:val="ListParagraph"/>
        <w:numPr>
          <w:ilvl w:val="0"/>
          <w:numId w:val="8"/>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Dégrèvement</w:t>
      </w:r>
      <w:proofErr w:type="spellEnd"/>
      <w:r w:rsidRPr="00FE7DF3">
        <w:rPr>
          <w:rFonts w:ascii="Arial" w:hAnsi="Arial" w:cs="Arial"/>
          <w:sz w:val="22"/>
          <w:szCs w:val="22"/>
          <w:lang w:val="en-GB"/>
        </w:rPr>
        <w:t xml:space="preserve"> or Realisation</w:t>
      </w:r>
      <w:r w:rsidR="005359C6" w:rsidRPr="00FE7DF3">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pPr>
        <w:pStyle w:val="ListParagraph"/>
        <w:numPr>
          <w:ilvl w:val="0"/>
          <w:numId w:val="8"/>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pPr>
        <w:pStyle w:val="ListParagraph"/>
        <w:numPr>
          <w:ilvl w:val="0"/>
          <w:numId w:val="8"/>
        </w:numPr>
        <w:ind w:left="567" w:hanging="567"/>
        <w:jc w:val="both"/>
        <w:rPr>
          <w:rFonts w:ascii="Arial" w:hAnsi="Arial" w:cs="Arial"/>
          <w:i/>
          <w:iCs/>
          <w:sz w:val="22"/>
          <w:szCs w:val="22"/>
          <w:lang w:val="en-GB"/>
        </w:rPr>
      </w:pPr>
      <w:r w:rsidRPr="00FE7DF3">
        <w:rPr>
          <w:rFonts w:ascii="Arial" w:hAnsi="Arial" w:cs="Arial"/>
          <w:i/>
          <w:iCs/>
          <w:sz w:val="22"/>
          <w:szCs w:val="22"/>
          <w:lang w:val="en-GB"/>
        </w:rPr>
        <w:t xml:space="preserve">Remise de </w:t>
      </w:r>
      <w:proofErr w:type="spellStart"/>
      <w:r w:rsidRPr="00FE7DF3">
        <w:rPr>
          <w:rFonts w:ascii="Arial" w:hAnsi="Arial" w:cs="Arial"/>
          <w:i/>
          <w:iCs/>
          <w:sz w:val="22"/>
          <w:szCs w:val="22"/>
          <w:lang w:val="en-GB"/>
        </w:rPr>
        <w:t>Biens</w:t>
      </w:r>
      <w:proofErr w:type="spellEnd"/>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pPr>
        <w:pStyle w:val="ListParagraph"/>
        <w:numPr>
          <w:ilvl w:val="0"/>
          <w:numId w:val="8"/>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A075A8" w:rsidRDefault="000D2403">
      <w:pPr>
        <w:pStyle w:val="ListParagraph"/>
        <w:numPr>
          <w:ilvl w:val="0"/>
          <w:numId w:val="9"/>
        </w:numPr>
        <w:ind w:left="426"/>
        <w:jc w:val="both"/>
        <w:rPr>
          <w:rFonts w:ascii="Arial" w:hAnsi="Arial" w:cs="Arial"/>
          <w:sz w:val="22"/>
          <w:szCs w:val="22"/>
          <w:highlight w:val="yellow"/>
          <w:lang w:val="en-GB"/>
        </w:rPr>
      </w:pPr>
      <w:r w:rsidRPr="00A075A8">
        <w:rPr>
          <w:rFonts w:ascii="Arial" w:hAnsi="Arial" w:cs="Arial"/>
          <w:sz w:val="22"/>
          <w:szCs w:val="22"/>
          <w:highlight w:val="yellow"/>
          <w:lang w:val="en-GB"/>
        </w:rPr>
        <w:t>(</w:t>
      </w:r>
      <w:proofErr w:type="spellStart"/>
      <w:r w:rsidR="00937EB6" w:rsidRPr="00A075A8">
        <w:rPr>
          <w:rFonts w:ascii="Arial" w:hAnsi="Arial" w:cs="Arial"/>
          <w:sz w:val="22"/>
          <w:szCs w:val="22"/>
          <w:highlight w:val="yellow"/>
          <w:lang w:val="en-GB"/>
        </w:rPr>
        <w:t>i</w:t>
      </w:r>
      <w:proofErr w:type="spellEnd"/>
      <w:r w:rsidR="00937EB6" w:rsidRPr="00A075A8">
        <w:rPr>
          <w:rFonts w:ascii="Arial" w:hAnsi="Arial" w:cs="Arial"/>
          <w:sz w:val="22"/>
          <w:szCs w:val="22"/>
          <w:highlight w:val="yellow"/>
          <w:lang w:val="en-GB"/>
        </w:rPr>
        <w:t>)</w:t>
      </w:r>
      <w:r w:rsidR="00A81B5E" w:rsidRPr="00A075A8">
        <w:rPr>
          <w:rFonts w:ascii="Arial" w:hAnsi="Arial" w:cs="Arial"/>
          <w:sz w:val="22"/>
          <w:szCs w:val="22"/>
          <w:highlight w:val="yellow"/>
          <w:lang w:val="en-GB"/>
        </w:rPr>
        <w:t xml:space="preserve">, </w:t>
      </w:r>
      <w:r w:rsidRPr="00A075A8">
        <w:rPr>
          <w:rFonts w:ascii="Arial" w:hAnsi="Arial" w:cs="Arial"/>
          <w:sz w:val="22"/>
          <w:szCs w:val="22"/>
          <w:highlight w:val="yellow"/>
          <w:lang w:val="en-GB"/>
        </w:rPr>
        <w:t>(</w:t>
      </w:r>
      <w:r w:rsidR="00937EB6" w:rsidRPr="00A075A8">
        <w:rPr>
          <w:rFonts w:ascii="Arial" w:hAnsi="Arial" w:cs="Arial"/>
          <w:sz w:val="22"/>
          <w:szCs w:val="22"/>
          <w:highlight w:val="yellow"/>
          <w:lang w:val="en-GB"/>
        </w:rPr>
        <w:t>ii)</w:t>
      </w:r>
      <w:r w:rsidR="00A81B5E" w:rsidRPr="00A075A8">
        <w:rPr>
          <w:rFonts w:ascii="Arial" w:hAnsi="Arial" w:cs="Arial"/>
          <w:sz w:val="22"/>
          <w:szCs w:val="22"/>
          <w:highlight w:val="yellow"/>
          <w:lang w:val="en-GB"/>
        </w:rPr>
        <w:t xml:space="preserve">, </w:t>
      </w:r>
      <w:r w:rsidRPr="00A075A8">
        <w:rPr>
          <w:rFonts w:ascii="Arial" w:hAnsi="Arial" w:cs="Arial"/>
          <w:sz w:val="22"/>
          <w:szCs w:val="22"/>
          <w:highlight w:val="yellow"/>
          <w:lang w:val="en-GB"/>
        </w:rPr>
        <w:t>(</w:t>
      </w:r>
      <w:r w:rsidR="00937EB6" w:rsidRPr="00A075A8">
        <w:rPr>
          <w:rFonts w:ascii="Arial" w:hAnsi="Arial" w:cs="Arial"/>
          <w:sz w:val="22"/>
          <w:szCs w:val="22"/>
          <w:highlight w:val="yellow"/>
          <w:lang w:val="en-GB"/>
        </w:rPr>
        <w:t>iii)</w:t>
      </w:r>
      <w:r w:rsidR="00A81B5E" w:rsidRPr="00A075A8">
        <w:rPr>
          <w:rFonts w:ascii="Arial" w:hAnsi="Arial" w:cs="Arial"/>
          <w:sz w:val="22"/>
          <w:szCs w:val="22"/>
          <w:highlight w:val="yellow"/>
          <w:lang w:val="en-GB"/>
        </w:rPr>
        <w:t xml:space="preserve">, </w:t>
      </w:r>
      <w:r w:rsidRPr="00A075A8">
        <w:rPr>
          <w:rFonts w:ascii="Arial" w:hAnsi="Arial" w:cs="Arial"/>
          <w:sz w:val="22"/>
          <w:szCs w:val="22"/>
          <w:highlight w:val="yellow"/>
          <w:lang w:val="en-GB"/>
        </w:rPr>
        <w:t>(</w:t>
      </w:r>
      <w:r w:rsidR="00937EB6" w:rsidRPr="00A075A8">
        <w:rPr>
          <w:rFonts w:ascii="Arial" w:hAnsi="Arial" w:cs="Arial"/>
          <w:sz w:val="22"/>
          <w:szCs w:val="22"/>
          <w:highlight w:val="yellow"/>
          <w:lang w:val="en-GB"/>
        </w:rPr>
        <w:t>iv)</w:t>
      </w:r>
      <w:r w:rsidR="00A81B5E" w:rsidRPr="00A075A8">
        <w:rPr>
          <w:rFonts w:ascii="Arial" w:hAnsi="Arial" w:cs="Arial"/>
          <w:sz w:val="22"/>
          <w:szCs w:val="22"/>
          <w:highlight w:val="yellow"/>
          <w:lang w:val="en-GB"/>
        </w:rPr>
        <w:t xml:space="preserve">, </w:t>
      </w:r>
      <w:r w:rsidRPr="00A075A8">
        <w:rPr>
          <w:rFonts w:ascii="Arial" w:hAnsi="Arial" w:cs="Arial"/>
          <w:sz w:val="22"/>
          <w:szCs w:val="22"/>
          <w:highlight w:val="yellow"/>
          <w:lang w:val="en-GB"/>
        </w:rPr>
        <w:t>(</w:t>
      </w:r>
      <w:r w:rsidR="00937EB6" w:rsidRPr="00A075A8">
        <w:rPr>
          <w:rFonts w:ascii="Arial" w:hAnsi="Arial" w:cs="Arial"/>
          <w:sz w:val="22"/>
          <w:szCs w:val="22"/>
          <w:highlight w:val="yellow"/>
          <w:lang w:val="en-GB"/>
        </w:rPr>
        <w:t>vi)</w:t>
      </w:r>
      <w:r w:rsidR="00A81B5E" w:rsidRPr="00A075A8">
        <w:rPr>
          <w:rFonts w:ascii="Arial" w:hAnsi="Arial" w:cs="Arial"/>
          <w:sz w:val="22"/>
          <w:szCs w:val="22"/>
          <w:highlight w:val="yellow"/>
          <w:lang w:val="en-GB"/>
        </w:rPr>
        <w:t xml:space="preserve">, </w:t>
      </w:r>
      <w:r w:rsidRPr="00A075A8">
        <w:rPr>
          <w:rFonts w:ascii="Arial" w:hAnsi="Arial" w:cs="Arial"/>
          <w:sz w:val="22"/>
          <w:szCs w:val="22"/>
          <w:highlight w:val="yellow"/>
          <w:lang w:val="en-GB"/>
        </w:rPr>
        <w:t>(</w:t>
      </w:r>
      <w:r w:rsidR="00937EB6" w:rsidRPr="00A075A8">
        <w:rPr>
          <w:rFonts w:ascii="Arial" w:hAnsi="Arial" w:cs="Arial"/>
          <w:sz w:val="22"/>
          <w:szCs w:val="22"/>
          <w:highlight w:val="yellow"/>
          <w:lang w:val="en-GB"/>
        </w:rPr>
        <w:t>vii)</w:t>
      </w:r>
      <w:r w:rsidR="00A81B5E" w:rsidRPr="00A075A8">
        <w:rPr>
          <w:rFonts w:ascii="Arial" w:hAnsi="Arial" w:cs="Arial"/>
          <w:sz w:val="22"/>
          <w:szCs w:val="22"/>
          <w:highlight w:val="yellow"/>
          <w:lang w:val="en-GB"/>
        </w:rPr>
        <w:t xml:space="preserve"> and </w:t>
      </w:r>
      <w:r w:rsidRPr="00A075A8">
        <w:rPr>
          <w:rFonts w:ascii="Arial" w:hAnsi="Arial" w:cs="Arial"/>
          <w:sz w:val="22"/>
          <w:szCs w:val="22"/>
          <w:highlight w:val="yellow"/>
          <w:lang w:val="en-GB"/>
        </w:rPr>
        <w:t>(</w:t>
      </w:r>
      <w:r w:rsidR="00937EB6" w:rsidRPr="00A075A8">
        <w:rPr>
          <w:rFonts w:ascii="Arial" w:hAnsi="Arial" w:cs="Arial"/>
          <w:sz w:val="22"/>
          <w:szCs w:val="22"/>
          <w:highlight w:val="yellow"/>
          <w:lang w:val="en-GB"/>
        </w:rPr>
        <w:t>viii)</w:t>
      </w:r>
      <w:r w:rsidR="00147BFD" w:rsidRPr="00A075A8">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pPr>
        <w:pStyle w:val="ListParagraph"/>
        <w:numPr>
          <w:ilvl w:val="0"/>
          <w:numId w:val="9"/>
        </w:numPr>
        <w:ind w:left="426"/>
        <w:jc w:val="both"/>
        <w:rPr>
          <w:rFonts w:ascii="Arial" w:hAnsi="Arial" w:cs="Arial"/>
          <w:sz w:val="22"/>
          <w:szCs w:val="22"/>
          <w:lang w:val="en-GB"/>
        </w:rPr>
      </w:pPr>
      <w:proofErr w:type="gramStart"/>
      <w:r w:rsidRPr="000D2403">
        <w:rPr>
          <w:rFonts w:ascii="Arial" w:hAnsi="Arial" w:cs="Arial"/>
          <w:sz w:val="22"/>
          <w:szCs w:val="22"/>
          <w:lang w:val="en-GB"/>
        </w:rPr>
        <w:t>All of</w:t>
      </w:r>
      <w:proofErr w:type="gramEnd"/>
      <w:r w:rsidRPr="000D2403">
        <w:rPr>
          <w:rFonts w:ascii="Arial" w:hAnsi="Arial" w:cs="Arial"/>
          <w:sz w:val="22"/>
          <w:szCs w:val="22"/>
          <w:lang w:val="en-GB"/>
        </w:rPr>
        <w:t xml:space="preserve">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A075A8" w:rsidRDefault="00A81B5E">
      <w:pPr>
        <w:pStyle w:val="ListParagraph"/>
        <w:numPr>
          <w:ilvl w:val="0"/>
          <w:numId w:val="11"/>
        </w:numPr>
        <w:ind w:left="426"/>
        <w:jc w:val="both"/>
        <w:rPr>
          <w:rFonts w:ascii="Arial" w:hAnsi="Arial" w:cs="Arial"/>
          <w:sz w:val="22"/>
          <w:szCs w:val="22"/>
          <w:highlight w:val="yellow"/>
          <w:lang w:val="en-GB"/>
        </w:rPr>
      </w:pPr>
      <w:proofErr w:type="gramStart"/>
      <w:r w:rsidRPr="00A075A8">
        <w:rPr>
          <w:rFonts w:ascii="Arial" w:hAnsi="Arial" w:cs="Arial"/>
          <w:sz w:val="22"/>
          <w:szCs w:val="22"/>
          <w:highlight w:val="yellow"/>
          <w:lang w:val="en-GB"/>
        </w:rPr>
        <w:t>All of</w:t>
      </w:r>
      <w:proofErr w:type="gramEnd"/>
      <w:r w:rsidRPr="00A075A8">
        <w:rPr>
          <w:rFonts w:ascii="Arial" w:hAnsi="Arial" w:cs="Arial"/>
          <w:sz w:val="22"/>
          <w:szCs w:val="22"/>
          <w:highlight w:val="yellow"/>
          <w:lang w:val="en-GB"/>
        </w:rPr>
        <w:t xml:space="preserve"> the above</w:t>
      </w:r>
      <w:r w:rsidR="00E13608" w:rsidRPr="00A075A8">
        <w:rPr>
          <w:rFonts w:ascii="Arial" w:hAnsi="Arial" w:cs="Arial"/>
          <w:sz w:val="22"/>
          <w:szCs w:val="22"/>
          <w:highlight w:val="yellow"/>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D34D41">
        <w:rPr>
          <w:rFonts w:ascii="Arial" w:hAnsi="Arial" w:cs="Arial"/>
          <w:b/>
          <w:bCs/>
          <w:sz w:val="22"/>
          <w:szCs w:val="22"/>
          <w:u w:val="single"/>
          <w:lang w:val="en-GB"/>
        </w:rPr>
        <w:t>is correct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pPr>
        <w:pStyle w:val="ListParagraph"/>
        <w:numPr>
          <w:ilvl w:val="0"/>
          <w:numId w:val="12"/>
        </w:numPr>
        <w:ind w:left="426"/>
        <w:jc w:val="both"/>
        <w:rPr>
          <w:rFonts w:ascii="Arial" w:hAnsi="Arial" w:cs="Arial"/>
          <w:sz w:val="22"/>
          <w:szCs w:val="22"/>
          <w:lang w:val="en-GB"/>
        </w:rPr>
      </w:pPr>
      <w:r w:rsidRPr="00E13608">
        <w:rPr>
          <w:rFonts w:ascii="Arial" w:hAnsi="Arial" w:cs="Arial"/>
          <w:sz w:val="22"/>
          <w:szCs w:val="22"/>
          <w:lang w:val="en-GB"/>
        </w:rPr>
        <w:t xml:space="preserve">Jersey is part of Britain, the </w:t>
      </w:r>
      <w:proofErr w:type="gramStart"/>
      <w:r w:rsidRPr="00E13608">
        <w:rPr>
          <w:rFonts w:ascii="Arial" w:hAnsi="Arial" w:cs="Arial"/>
          <w:sz w:val="22"/>
          <w:szCs w:val="22"/>
          <w:lang w:val="en-GB"/>
        </w:rPr>
        <w:t>UK</w:t>
      </w:r>
      <w:proofErr w:type="gramEnd"/>
      <w:r w:rsidRPr="00E13608">
        <w:rPr>
          <w:rFonts w:ascii="Arial" w:hAnsi="Arial" w:cs="Arial"/>
          <w:sz w:val="22"/>
          <w:szCs w:val="22"/>
          <w:lang w:val="en-GB"/>
        </w:rPr>
        <w:t xml:space="preserve">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pPr>
        <w:pStyle w:val="ListParagraph"/>
        <w:numPr>
          <w:ilvl w:val="0"/>
          <w:numId w:val="12"/>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A075A8" w:rsidRDefault="00A81B5E">
      <w:pPr>
        <w:pStyle w:val="ListParagraph"/>
        <w:numPr>
          <w:ilvl w:val="0"/>
          <w:numId w:val="12"/>
        </w:numPr>
        <w:ind w:left="426"/>
        <w:jc w:val="both"/>
        <w:rPr>
          <w:rFonts w:ascii="Arial" w:hAnsi="Arial" w:cs="Arial"/>
          <w:sz w:val="22"/>
          <w:szCs w:val="22"/>
          <w:highlight w:val="yellow"/>
          <w:lang w:val="en-GB"/>
        </w:rPr>
      </w:pPr>
      <w:r w:rsidRPr="00A075A8">
        <w:rPr>
          <w:rFonts w:ascii="Arial" w:hAnsi="Arial" w:cs="Arial"/>
          <w:sz w:val="22"/>
          <w:szCs w:val="22"/>
          <w:highlight w:val="yellow"/>
          <w:lang w:val="en-GB"/>
        </w:rPr>
        <w:t>Jersey is part of Britain but not the UK and not the EU</w:t>
      </w:r>
      <w:r w:rsidR="000776FC" w:rsidRPr="00A075A8">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pPr>
        <w:pStyle w:val="ListParagraph"/>
        <w:numPr>
          <w:ilvl w:val="0"/>
          <w:numId w:val="12"/>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D34D41">
        <w:rPr>
          <w:rFonts w:ascii="Arial" w:hAnsi="Arial" w:cs="Arial"/>
          <w:b/>
          <w:bCs/>
          <w:sz w:val="22"/>
          <w:szCs w:val="22"/>
          <w:u w:val="single"/>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A075A8" w:rsidRDefault="00E13608">
      <w:pPr>
        <w:pStyle w:val="ListParagraph"/>
        <w:numPr>
          <w:ilvl w:val="0"/>
          <w:numId w:val="14"/>
        </w:numPr>
        <w:ind w:left="426"/>
        <w:jc w:val="both"/>
        <w:rPr>
          <w:rFonts w:ascii="Arial" w:hAnsi="Arial" w:cs="Arial"/>
          <w:sz w:val="22"/>
          <w:szCs w:val="22"/>
          <w:highlight w:val="yellow"/>
          <w:lang w:val="en-GB"/>
        </w:rPr>
      </w:pPr>
      <w:r w:rsidRPr="00A075A8">
        <w:rPr>
          <w:rFonts w:ascii="Arial" w:hAnsi="Arial" w:cs="Arial"/>
          <w:sz w:val="22"/>
          <w:szCs w:val="22"/>
          <w:highlight w:val="yellow"/>
          <w:lang w:val="en-GB"/>
        </w:rPr>
        <w:t>(</w:t>
      </w:r>
      <w:proofErr w:type="spellStart"/>
      <w:r w:rsidR="008B7296" w:rsidRPr="00A075A8">
        <w:rPr>
          <w:rFonts w:ascii="Arial" w:hAnsi="Arial" w:cs="Arial"/>
          <w:sz w:val="22"/>
          <w:szCs w:val="22"/>
          <w:highlight w:val="yellow"/>
          <w:lang w:val="en-GB"/>
        </w:rPr>
        <w:t>i</w:t>
      </w:r>
      <w:proofErr w:type="spellEnd"/>
      <w:r w:rsidR="008B7296" w:rsidRPr="00A075A8">
        <w:rPr>
          <w:rFonts w:ascii="Arial" w:hAnsi="Arial" w:cs="Arial"/>
          <w:sz w:val="22"/>
          <w:szCs w:val="22"/>
          <w:highlight w:val="yellow"/>
          <w:lang w:val="en-GB"/>
        </w:rPr>
        <w:t>)</w:t>
      </w:r>
      <w:r w:rsidR="00A81B5E" w:rsidRPr="00A075A8">
        <w:rPr>
          <w:rFonts w:ascii="Arial" w:hAnsi="Arial" w:cs="Arial"/>
          <w:sz w:val="22"/>
          <w:szCs w:val="22"/>
          <w:highlight w:val="yellow"/>
          <w:lang w:val="en-GB"/>
        </w:rPr>
        <w:t xml:space="preserve">, </w:t>
      </w:r>
      <w:r w:rsidRPr="00A075A8">
        <w:rPr>
          <w:rFonts w:ascii="Arial" w:hAnsi="Arial" w:cs="Arial"/>
          <w:sz w:val="22"/>
          <w:szCs w:val="22"/>
          <w:highlight w:val="yellow"/>
          <w:lang w:val="en-GB"/>
        </w:rPr>
        <w:t>(</w:t>
      </w:r>
      <w:r w:rsidR="008B7296" w:rsidRPr="00A075A8">
        <w:rPr>
          <w:rFonts w:ascii="Arial" w:hAnsi="Arial" w:cs="Arial"/>
          <w:sz w:val="22"/>
          <w:szCs w:val="22"/>
          <w:highlight w:val="yellow"/>
          <w:lang w:val="en-GB"/>
        </w:rPr>
        <w:t>ii)</w:t>
      </w:r>
      <w:r w:rsidR="00A81B5E" w:rsidRPr="00A075A8">
        <w:rPr>
          <w:rFonts w:ascii="Arial" w:hAnsi="Arial" w:cs="Arial"/>
          <w:sz w:val="22"/>
          <w:szCs w:val="22"/>
          <w:highlight w:val="yellow"/>
          <w:lang w:val="en-GB"/>
        </w:rPr>
        <w:t xml:space="preserve"> and </w:t>
      </w:r>
      <w:r w:rsidRPr="00A075A8">
        <w:rPr>
          <w:rFonts w:ascii="Arial" w:hAnsi="Arial" w:cs="Arial"/>
          <w:sz w:val="22"/>
          <w:szCs w:val="22"/>
          <w:highlight w:val="yellow"/>
          <w:lang w:val="en-GB"/>
        </w:rPr>
        <w:t>(</w:t>
      </w:r>
      <w:r w:rsidR="008B7296" w:rsidRPr="00A075A8">
        <w:rPr>
          <w:rFonts w:ascii="Arial" w:hAnsi="Arial" w:cs="Arial"/>
          <w:sz w:val="22"/>
          <w:szCs w:val="22"/>
          <w:highlight w:val="yellow"/>
          <w:lang w:val="en-GB"/>
        </w:rPr>
        <w:t>iv)</w:t>
      </w:r>
      <w:r w:rsidR="00750BA4" w:rsidRPr="00A075A8">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A075A8" w:rsidRDefault="00A81B5E">
      <w:pPr>
        <w:pStyle w:val="ListParagraph"/>
        <w:numPr>
          <w:ilvl w:val="0"/>
          <w:numId w:val="15"/>
        </w:numPr>
        <w:ind w:left="426"/>
        <w:jc w:val="both"/>
        <w:rPr>
          <w:rFonts w:ascii="Arial" w:hAnsi="Arial" w:cs="Arial"/>
          <w:sz w:val="22"/>
          <w:szCs w:val="22"/>
          <w:highlight w:val="yellow"/>
          <w:lang w:val="en-GB"/>
        </w:rPr>
      </w:pPr>
      <w:r w:rsidRPr="00A075A8">
        <w:rPr>
          <w:rFonts w:ascii="Arial" w:hAnsi="Arial" w:cs="Arial"/>
          <w:sz w:val="22"/>
          <w:szCs w:val="22"/>
          <w:highlight w:val="yellow"/>
          <w:lang w:val="en-GB"/>
        </w:rPr>
        <w:t>A judicial hypothec</w:t>
      </w:r>
      <w:r w:rsidR="003B16A4" w:rsidRPr="00A075A8">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pPr>
        <w:pStyle w:val="ListParagraph"/>
        <w:numPr>
          <w:ilvl w:val="0"/>
          <w:numId w:val="16"/>
        </w:numPr>
        <w:ind w:left="567" w:hanging="567"/>
        <w:jc w:val="both"/>
        <w:rPr>
          <w:rFonts w:ascii="Arial" w:hAnsi="Arial" w:cs="Arial"/>
          <w:i/>
          <w:iCs/>
          <w:sz w:val="22"/>
          <w:szCs w:val="22"/>
          <w:lang w:val="en-GB"/>
        </w:rPr>
      </w:pPr>
      <w:proofErr w:type="spellStart"/>
      <w:r w:rsidRPr="00E13608">
        <w:rPr>
          <w:rFonts w:ascii="Arial" w:hAnsi="Arial" w:cs="Arial"/>
          <w:i/>
          <w:iCs/>
          <w:sz w:val="22"/>
          <w:szCs w:val="22"/>
          <w:lang w:val="en-GB"/>
        </w:rPr>
        <w:t>Désastre</w:t>
      </w:r>
      <w:proofErr w:type="spellEnd"/>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pPr>
        <w:pStyle w:val="ListParagraph"/>
        <w:numPr>
          <w:ilvl w:val="0"/>
          <w:numId w:val="16"/>
        </w:numPr>
        <w:ind w:left="567" w:hanging="567"/>
        <w:jc w:val="both"/>
        <w:rPr>
          <w:rFonts w:ascii="Arial" w:hAnsi="Arial" w:cs="Arial"/>
          <w:sz w:val="22"/>
          <w:szCs w:val="22"/>
          <w:lang w:val="en-GB"/>
        </w:rPr>
      </w:pPr>
      <w:proofErr w:type="spellStart"/>
      <w:r w:rsidRPr="00E13608">
        <w:rPr>
          <w:rFonts w:ascii="Arial" w:hAnsi="Arial" w:cs="Arial"/>
          <w:i/>
          <w:iCs/>
          <w:sz w:val="22"/>
          <w:szCs w:val="22"/>
          <w:lang w:val="en-GB"/>
        </w:rPr>
        <w:t>Dégrèvement</w:t>
      </w:r>
      <w:proofErr w:type="spellEnd"/>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pPr>
        <w:pStyle w:val="ListParagraph"/>
        <w:numPr>
          <w:ilvl w:val="0"/>
          <w:numId w:val="16"/>
        </w:numPr>
        <w:ind w:left="567" w:hanging="567"/>
        <w:jc w:val="both"/>
        <w:rPr>
          <w:rFonts w:ascii="Arial" w:hAnsi="Arial" w:cs="Arial"/>
          <w:i/>
          <w:iCs/>
          <w:sz w:val="22"/>
          <w:szCs w:val="22"/>
          <w:lang w:val="en-GB"/>
        </w:rPr>
      </w:pPr>
      <w:r w:rsidRPr="00E13608">
        <w:rPr>
          <w:rFonts w:ascii="Arial" w:hAnsi="Arial" w:cs="Arial"/>
          <w:i/>
          <w:iCs/>
          <w:sz w:val="22"/>
          <w:szCs w:val="22"/>
          <w:lang w:val="en-GB"/>
        </w:rPr>
        <w:t xml:space="preserve">Remise de </w:t>
      </w:r>
      <w:proofErr w:type="spellStart"/>
      <w:r w:rsidRPr="00E13608">
        <w:rPr>
          <w:rFonts w:ascii="Arial" w:hAnsi="Arial" w:cs="Arial"/>
          <w:i/>
          <w:iCs/>
          <w:sz w:val="22"/>
          <w:szCs w:val="22"/>
          <w:lang w:val="en-GB"/>
        </w:rPr>
        <w:t>Biens</w:t>
      </w:r>
      <w:proofErr w:type="spellEnd"/>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Pr="003C28B8" w:rsidRDefault="00E13608">
      <w:pPr>
        <w:pStyle w:val="ListParagraph"/>
        <w:numPr>
          <w:ilvl w:val="0"/>
          <w:numId w:val="17"/>
        </w:numPr>
        <w:ind w:left="426"/>
        <w:jc w:val="both"/>
        <w:rPr>
          <w:rFonts w:ascii="Arial" w:hAnsi="Arial" w:cs="Arial"/>
          <w:sz w:val="22"/>
          <w:szCs w:val="22"/>
          <w:highlight w:val="yellow"/>
          <w:lang w:val="en-GB"/>
        </w:rPr>
      </w:pPr>
      <w:r w:rsidRPr="003C28B8">
        <w:rPr>
          <w:rFonts w:ascii="Arial" w:hAnsi="Arial" w:cs="Arial"/>
          <w:sz w:val="22"/>
          <w:szCs w:val="22"/>
          <w:highlight w:val="yellow"/>
          <w:lang w:val="en-GB"/>
        </w:rPr>
        <w:t>(</w:t>
      </w:r>
      <w:proofErr w:type="spellStart"/>
      <w:r w:rsidR="00455F28" w:rsidRPr="003C28B8">
        <w:rPr>
          <w:rFonts w:ascii="Arial" w:hAnsi="Arial" w:cs="Arial"/>
          <w:sz w:val="22"/>
          <w:szCs w:val="22"/>
          <w:highlight w:val="yellow"/>
          <w:lang w:val="en-GB"/>
        </w:rPr>
        <w:t>i</w:t>
      </w:r>
      <w:proofErr w:type="spellEnd"/>
      <w:r w:rsidR="00455F28" w:rsidRPr="003C28B8">
        <w:rPr>
          <w:rFonts w:ascii="Arial" w:hAnsi="Arial" w:cs="Arial"/>
          <w:sz w:val="22"/>
          <w:szCs w:val="22"/>
          <w:highlight w:val="yellow"/>
          <w:lang w:val="en-GB"/>
        </w:rPr>
        <w:t>)</w:t>
      </w:r>
      <w:r w:rsidR="00A67287" w:rsidRPr="003C28B8">
        <w:rPr>
          <w:rFonts w:ascii="Arial" w:hAnsi="Arial" w:cs="Arial"/>
          <w:sz w:val="22"/>
          <w:szCs w:val="22"/>
          <w:highlight w:val="yellow"/>
          <w:lang w:val="en-GB"/>
        </w:rPr>
        <w:t xml:space="preserve">, </w:t>
      </w:r>
      <w:r w:rsidRPr="003C28B8">
        <w:rPr>
          <w:rFonts w:ascii="Arial" w:hAnsi="Arial" w:cs="Arial"/>
          <w:sz w:val="22"/>
          <w:szCs w:val="22"/>
          <w:highlight w:val="yellow"/>
          <w:lang w:val="en-GB"/>
        </w:rPr>
        <w:t>(</w:t>
      </w:r>
      <w:r w:rsidR="00455F28" w:rsidRPr="003C28B8">
        <w:rPr>
          <w:rFonts w:ascii="Arial" w:hAnsi="Arial" w:cs="Arial"/>
          <w:sz w:val="22"/>
          <w:szCs w:val="22"/>
          <w:highlight w:val="yellow"/>
          <w:lang w:val="en-GB"/>
        </w:rPr>
        <w:t>ii)</w:t>
      </w:r>
      <w:r w:rsidR="00A67287" w:rsidRPr="003C28B8">
        <w:rPr>
          <w:rFonts w:ascii="Arial" w:hAnsi="Arial" w:cs="Arial"/>
          <w:sz w:val="22"/>
          <w:szCs w:val="22"/>
          <w:highlight w:val="yellow"/>
          <w:lang w:val="en-GB"/>
        </w:rPr>
        <w:t xml:space="preserve"> and </w:t>
      </w:r>
      <w:r w:rsidRPr="003C28B8">
        <w:rPr>
          <w:rFonts w:ascii="Arial" w:hAnsi="Arial" w:cs="Arial"/>
          <w:sz w:val="22"/>
          <w:szCs w:val="22"/>
          <w:highlight w:val="yellow"/>
          <w:lang w:val="en-GB"/>
        </w:rPr>
        <w:t>(</w:t>
      </w:r>
      <w:r w:rsidR="00455F28" w:rsidRPr="003C28B8">
        <w:rPr>
          <w:rFonts w:ascii="Arial" w:hAnsi="Arial" w:cs="Arial"/>
          <w:sz w:val="22"/>
          <w:szCs w:val="22"/>
          <w:highlight w:val="yellow"/>
          <w:lang w:val="en-GB"/>
        </w:rPr>
        <w:t>iii)</w:t>
      </w:r>
      <w:r w:rsidR="00750BA4" w:rsidRPr="003C28B8">
        <w:rPr>
          <w:rFonts w:ascii="Arial" w:hAnsi="Arial" w:cs="Arial"/>
          <w:sz w:val="22"/>
          <w:szCs w:val="22"/>
          <w:highlight w:val="yellow"/>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pPr>
        <w:pStyle w:val="ListParagraph"/>
        <w:numPr>
          <w:ilvl w:val="0"/>
          <w:numId w:val="17"/>
        </w:numPr>
        <w:ind w:left="426"/>
        <w:jc w:val="both"/>
        <w:rPr>
          <w:rFonts w:ascii="Arial" w:hAnsi="Arial" w:cs="Arial"/>
          <w:sz w:val="22"/>
          <w:szCs w:val="22"/>
          <w:lang w:val="en-GB"/>
        </w:rPr>
      </w:pPr>
      <w:proofErr w:type="gramStart"/>
      <w:r w:rsidRPr="00E13608">
        <w:rPr>
          <w:rFonts w:ascii="Arial" w:hAnsi="Arial" w:cs="Arial"/>
          <w:sz w:val="22"/>
          <w:szCs w:val="22"/>
          <w:lang w:val="en-GB"/>
        </w:rPr>
        <w:t>All of</w:t>
      </w:r>
      <w:proofErr w:type="gramEnd"/>
      <w:r w:rsidRPr="00E13608">
        <w:rPr>
          <w:rFonts w:ascii="Arial" w:hAnsi="Arial" w:cs="Arial"/>
          <w:sz w:val="22"/>
          <w:szCs w:val="22"/>
          <w:lang w:val="en-GB"/>
        </w:rPr>
        <w:t xml:space="preserve">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A075A8" w:rsidRDefault="00A67287">
      <w:pPr>
        <w:pStyle w:val="ListParagraph"/>
        <w:numPr>
          <w:ilvl w:val="0"/>
          <w:numId w:val="18"/>
        </w:numPr>
        <w:ind w:left="426"/>
        <w:jc w:val="both"/>
        <w:rPr>
          <w:rFonts w:ascii="Arial" w:hAnsi="Arial" w:cs="Arial"/>
          <w:sz w:val="22"/>
          <w:szCs w:val="22"/>
          <w:highlight w:val="yellow"/>
          <w:lang w:val="en-GB"/>
        </w:rPr>
      </w:pPr>
      <w:r w:rsidRPr="00A075A8">
        <w:rPr>
          <w:rFonts w:ascii="Arial" w:hAnsi="Arial" w:cs="Arial"/>
          <w:sz w:val="22"/>
          <w:szCs w:val="22"/>
          <w:highlight w:val="yellow"/>
          <w:lang w:val="en-GB"/>
        </w:rPr>
        <w:t>Coroner</w:t>
      </w:r>
      <w:r w:rsidR="00382978" w:rsidRPr="00A075A8">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proofErr w:type="spellStart"/>
      <w:r w:rsidRPr="000776FC">
        <w:rPr>
          <w:rFonts w:ascii="Arial" w:hAnsi="Arial" w:cs="Arial"/>
          <w:i/>
          <w:iCs/>
          <w:sz w:val="22"/>
          <w:szCs w:val="22"/>
          <w:lang w:val="en-GB"/>
        </w:rPr>
        <w:t>Désastre</w:t>
      </w:r>
      <w:proofErr w:type="spellEnd"/>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7ED136E7" w14:textId="77777777" w:rsidR="00431560" w:rsidRDefault="00431560" w:rsidP="00431560">
      <w:pPr>
        <w:jc w:val="both"/>
        <w:rPr>
          <w:rFonts w:ascii="Arial" w:hAnsi="Arial" w:cs="Arial"/>
          <w:iCs/>
          <w:color w:val="7B7B7B" w:themeColor="accent3" w:themeShade="BF"/>
          <w:sz w:val="22"/>
          <w:szCs w:val="22"/>
          <w:lang w:val="en-GB"/>
        </w:rPr>
      </w:pPr>
      <w:r>
        <w:rPr>
          <w:rFonts w:ascii="Arial" w:hAnsi="Arial" w:cs="Arial"/>
          <w:color w:val="7B7B7B" w:themeColor="accent3" w:themeShade="BF"/>
          <w:sz w:val="22"/>
          <w:szCs w:val="22"/>
          <w:lang w:val="en-GB"/>
        </w:rPr>
        <w:t>Upon the making of a declaration, the Bankruptcy (</w:t>
      </w:r>
      <w:proofErr w:type="spellStart"/>
      <w:r>
        <w:rPr>
          <w:rFonts w:ascii="Arial" w:hAnsi="Arial" w:cs="Arial"/>
          <w:i/>
          <w:color w:val="7B7B7B" w:themeColor="accent3" w:themeShade="BF"/>
          <w:sz w:val="22"/>
          <w:szCs w:val="22"/>
          <w:lang w:val="en-GB"/>
        </w:rPr>
        <w:t>D</w:t>
      </w:r>
      <w:r w:rsidRPr="006A0648">
        <w:rPr>
          <w:rFonts w:ascii="Arial" w:hAnsi="Arial" w:cs="Arial"/>
          <w:i/>
          <w:iCs/>
          <w:color w:val="7B7B7B" w:themeColor="accent3" w:themeShade="BF"/>
          <w:sz w:val="22"/>
          <w:szCs w:val="22"/>
          <w:lang w:val="en-GB"/>
        </w:rPr>
        <w:t>é</w:t>
      </w:r>
      <w:r>
        <w:rPr>
          <w:rFonts w:ascii="Arial" w:hAnsi="Arial" w:cs="Arial"/>
          <w:i/>
          <w:iCs/>
          <w:color w:val="7B7B7B" w:themeColor="accent3" w:themeShade="BF"/>
          <w:sz w:val="22"/>
          <w:szCs w:val="22"/>
          <w:lang w:val="en-GB"/>
        </w:rPr>
        <w:t>sastre</w:t>
      </w:r>
      <w:proofErr w:type="spellEnd"/>
      <w:r>
        <w:rPr>
          <w:rFonts w:ascii="Arial" w:hAnsi="Arial" w:cs="Arial"/>
          <w:iCs/>
          <w:color w:val="7B7B7B" w:themeColor="accent3" w:themeShade="BF"/>
          <w:sz w:val="22"/>
          <w:szCs w:val="22"/>
          <w:lang w:val="en-GB"/>
        </w:rPr>
        <w:t>) (Jersey) Law 1990 (</w:t>
      </w:r>
      <w:r>
        <w:rPr>
          <w:rFonts w:ascii="Arial" w:hAnsi="Arial" w:cs="Arial"/>
          <w:b/>
          <w:iCs/>
          <w:color w:val="7B7B7B" w:themeColor="accent3" w:themeShade="BF"/>
          <w:sz w:val="22"/>
          <w:szCs w:val="22"/>
          <w:lang w:val="en-GB"/>
        </w:rPr>
        <w:t>BL 1990</w:t>
      </w:r>
      <w:r>
        <w:rPr>
          <w:rFonts w:ascii="Arial" w:hAnsi="Arial" w:cs="Arial"/>
          <w:iCs/>
          <w:color w:val="7B7B7B" w:themeColor="accent3" w:themeShade="BF"/>
          <w:sz w:val="22"/>
          <w:szCs w:val="22"/>
          <w:lang w:val="en-GB"/>
        </w:rPr>
        <w:t>) confers statutory powers on the Viscount for the administration of the debtor's estate. These powers include:</w:t>
      </w:r>
    </w:p>
    <w:p w14:paraId="3B3443C3" w14:textId="77777777" w:rsidR="00431560" w:rsidRDefault="00431560" w:rsidP="00431560">
      <w:pPr>
        <w:pStyle w:val="ListParagraph"/>
        <w:jc w:val="both"/>
        <w:rPr>
          <w:rFonts w:ascii="Arial" w:hAnsi="Arial" w:cs="Arial"/>
          <w:iCs/>
          <w:color w:val="7B7B7B" w:themeColor="accent3" w:themeShade="BF"/>
          <w:sz w:val="22"/>
          <w:szCs w:val="22"/>
          <w:lang w:val="en-GB"/>
        </w:rPr>
      </w:pPr>
    </w:p>
    <w:p w14:paraId="5F1875D1"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Administrative powers pursuant to Article 26 of the BL 1990 including, but are not limited to: (</w:t>
      </w:r>
      <w:proofErr w:type="spellStart"/>
      <w:r>
        <w:rPr>
          <w:rFonts w:ascii="Arial" w:hAnsi="Arial" w:cs="Arial"/>
          <w:iCs/>
          <w:color w:val="7B7B7B" w:themeColor="accent3" w:themeShade="BF"/>
          <w:sz w:val="22"/>
          <w:szCs w:val="22"/>
          <w:lang w:val="en-GB"/>
        </w:rPr>
        <w:t>i</w:t>
      </w:r>
      <w:proofErr w:type="spellEnd"/>
      <w:r>
        <w:rPr>
          <w:rFonts w:ascii="Arial" w:hAnsi="Arial" w:cs="Arial"/>
          <w:iCs/>
          <w:color w:val="7B7B7B" w:themeColor="accent3" w:themeShade="BF"/>
          <w:sz w:val="22"/>
          <w:szCs w:val="22"/>
          <w:lang w:val="en-GB"/>
        </w:rPr>
        <w:t>) bring or defend an action against the debtor relating to his/her property</w:t>
      </w:r>
      <w:r>
        <w:rPr>
          <w:rStyle w:val="FootnoteReference"/>
          <w:rFonts w:ascii="Arial" w:hAnsi="Arial" w:cs="Arial"/>
          <w:iCs/>
          <w:color w:val="7B7B7B" w:themeColor="accent3" w:themeShade="BF"/>
          <w:sz w:val="22"/>
          <w:szCs w:val="22"/>
          <w:lang w:val="en-GB"/>
        </w:rPr>
        <w:footnoteReference w:id="1"/>
      </w:r>
      <w:r>
        <w:rPr>
          <w:rFonts w:ascii="Arial" w:hAnsi="Arial" w:cs="Arial"/>
          <w:iCs/>
          <w:color w:val="7B7B7B" w:themeColor="accent3" w:themeShade="BF"/>
          <w:sz w:val="22"/>
          <w:szCs w:val="22"/>
          <w:lang w:val="en-GB"/>
        </w:rPr>
        <w:t>; (ii) compromise any debt or claim secured on the property of the debtor</w:t>
      </w:r>
      <w:r>
        <w:rPr>
          <w:rStyle w:val="FootnoteReference"/>
          <w:rFonts w:ascii="Arial" w:hAnsi="Arial" w:cs="Arial"/>
          <w:iCs/>
          <w:color w:val="7B7B7B" w:themeColor="accent3" w:themeShade="BF"/>
          <w:sz w:val="22"/>
          <w:szCs w:val="22"/>
          <w:lang w:val="en-GB"/>
        </w:rPr>
        <w:footnoteReference w:id="2"/>
      </w:r>
      <w:r>
        <w:rPr>
          <w:rFonts w:ascii="Arial" w:hAnsi="Arial" w:cs="Arial"/>
          <w:iCs/>
          <w:color w:val="7B7B7B" w:themeColor="accent3" w:themeShade="BF"/>
          <w:sz w:val="22"/>
          <w:szCs w:val="22"/>
          <w:lang w:val="en-GB"/>
        </w:rPr>
        <w:t>; (iii) carry on the business of the debtor if necessary for the disposal of the same</w:t>
      </w:r>
      <w:r>
        <w:rPr>
          <w:rStyle w:val="FootnoteReference"/>
          <w:rFonts w:ascii="Arial" w:hAnsi="Arial" w:cs="Arial"/>
          <w:iCs/>
          <w:color w:val="7B7B7B" w:themeColor="accent3" w:themeShade="BF"/>
          <w:sz w:val="22"/>
          <w:szCs w:val="22"/>
          <w:lang w:val="en-GB"/>
        </w:rPr>
        <w:footnoteReference w:id="3"/>
      </w:r>
      <w:r>
        <w:rPr>
          <w:rFonts w:ascii="Arial" w:hAnsi="Arial" w:cs="Arial"/>
          <w:iCs/>
          <w:color w:val="7B7B7B" w:themeColor="accent3" w:themeShade="BF"/>
          <w:sz w:val="22"/>
          <w:szCs w:val="22"/>
          <w:lang w:val="en-GB"/>
        </w:rPr>
        <w:t>; (iv) exercise any voting rights on shares owned by the debtor</w:t>
      </w:r>
      <w:r>
        <w:rPr>
          <w:rStyle w:val="FootnoteReference"/>
          <w:rFonts w:ascii="Arial" w:hAnsi="Arial" w:cs="Arial"/>
          <w:iCs/>
          <w:color w:val="7B7B7B" w:themeColor="accent3" w:themeShade="BF"/>
          <w:sz w:val="22"/>
          <w:szCs w:val="22"/>
          <w:lang w:val="en-GB"/>
        </w:rPr>
        <w:footnoteReference w:id="4"/>
      </w:r>
      <w:r>
        <w:rPr>
          <w:rFonts w:ascii="Arial" w:hAnsi="Arial" w:cs="Arial"/>
          <w:iCs/>
          <w:color w:val="7B7B7B" w:themeColor="accent3" w:themeShade="BF"/>
          <w:sz w:val="22"/>
          <w:szCs w:val="22"/>
          <w:lang w:val="en-GB"/>
        </w:rPr>
        <w:t>; and (v) exercise any authority or power or the power to do any act concerning the debtor's property</w:t>
      </w:r>
      <w:r>
        <w:rPr>
          <w:rStyle w:val="FootnoteReference"/>
          <w:rFonts w:ascii="Arial" w:hAnsi="Arial" w:cs="Arial"/>
          <w:iCs/>
          <w:color w:val="7B7B7B" w:themeColor="accent3" w:themeShade="BF"/>
          <w:sz w:val="22"/>
          <w:szCs w:val="22"/>
          <w:lang w:val="en-GB"/>
        </w:rPr>
        <w:footnoteReference w:id="5"/>
      </w:r>
      <w:r>
        <w:rPr>
          <w:rFonts w:ascii="Arial" w:hAnsi="Arial" w:cs="Arial"/>
          <w:iCs/>
          <w:color w:val="7B7B7B" w:themeColor="accent3" w:themeShade="BF"/>
          <w:sz w:val="22"/>
          <w:szCs w:val="22"/>
          <w:lang w:val="en-GB"/>
        </w:rPr>
        <w:t>;</w:t>
      </w:r>
    </w:p>
    <w:p w14:paraId="486CB4EF" w14:textId="77777777" w:rsidR="00431560" w:rsidRDefault="00431560" w:rsidP="00431560">
      <w:pPr>
        <w:pStyle w:val="ListParagraph"/>
        <w:jc w:val="both"/>
        <w:rPr>
          <w:rFonts w:ascii="Arial" w:hAnsi="Arial" w:cs="Arial"/>
          <w:iCs/>
          <w:color w:val="7B7B7B" w:themeColor="accent3" w:themeShade="BF"/>
          <w:sz w:val="22"/>
          <w:szCs w:val="22"/>
          <w:lang w:val="en-GB"/>
        </w:rPr>
      </w:pPr>
    </w:p>
    <w:p w14:paraId="0D65FEC8"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power to sell all or part of the debtor's property</w:t>
      </w:r>
      <w:r>
        <w:rPr>
          <w:rStyle w:val="FootnoteReference"/>
          <w:rFonts w:ascii="Arial" w:hAnsi="Arial" w:cs="Arial"/>
          <w:iCs/>
          <w:color w:val="7B7B7B" w:themeColor="accent3" w:themeShade="BF"/>
          <w:sz w:val="22"/>
          <w:szCs w:val="22"/>
          <w:lang w:val="en-GB"/>
        </w:rPr>
        <w:footnoteReference w:id="6"/>
      </w:r>
      <w:r>
        <w:rPr>
          <w:rFonts w:ascii="Arial" w:hAnsi="Arial" w:cs="Arial"/>
          <w:iCs/>
          <w:color w:val="7B7B7B" w:themeColor="accent3" w:themeShade="BF"/>
          <w:sz w:val="22"/>
          <w:szCs w:val="22"/>
          <w:lang w:val="en-GB"/>
        </w:rPr>
        <w:t>;</w:t>
      </w:r>
    </w:p>
    <w:p w14:paraId="1CEBFCD9" w14:textId="77777777" w:rsidR="00431560" w:rsidRPr="00E8604E" w:rsidRDefault="00431560" w:rsidP="00431560">
      <w:pPr>
        <w:pStyle w:val="ListParagraph"/>
        <w:rPr>
          <w:rFonts w:ascii="Arial" w:hAnsi="Arial" w:cs="Arial"/>
          <w:iCs/>
          <w:color w:val="7B7B7B" w:themeColor="accent3" w:themeShade="BF"/>
          <w:sz w:val="22"/>
          <w:szCs w:val="22"/>
          <w:lang w:val="en-GB"/>
        </w:rPr>
      </w:pPr>
    </w:p>
    <w:p w14:paraId="244FE188"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power to prove the debts of the creditors</w:t>
      </w:r>
      <w:r>
        <w:rPr>
          <w:rStyle w:val="FootnoteReference"/>
          <w:rFonts w:ascii="Arial" w:hAnsi="Arial" w:cs="Arial"/>
          <w:iCs/>
          <w:color w:val="7B7B7B" w:themeColor="accent3" w:themeShade="BF"/>
          <w:sz w:val="22"/>
          <w:szCs w:val="22"/>
          <w:lang w:val="en-GB"/>
        </w:rPr>
        <w:footnoteReference w:id="7"/>
      </w:r>
      <w:r>
        <w:rPr>
          <w:rFonts w:ascii="Arial" w:hAnsi="Arial" w:cs="Arial"/>
          <w:iCs/>
          <w:color w:val="7B7B7B" w:themeColor="accent3" w:themeShade="BF"/>
          <w:sz w:val="22"/>
          <w:szCs w:val="22"/>
          <w:lang w:val="en-GB"/>
        </w:rPr>
        <w:t>;</w:t>
      </w:r>
    </w:p>
    <w:p w14:paraId="278BE9F0" w14:textId="77777777" w:rsidR="00431560" w:rsidRPr="009E3855" w:rsidRDefault="00431560" w:rsidP="00431560">
      <w:pPr>
        <w:pStyle w:val="ListParagraph"/>
        <w:rPr>
          <w:rFonts w:ascii="Arial" w:hAnsi="Arial" w:cs="Arial"/>
          <w:iCs/>
          <w:color w:val="7B7B7B" w:themeColor="accent3" w:themeShade="BF"/>
          <w:sz w:val="22"/>
          <w:szCs w:val="22"/>
          <w:lang w:val="en-GB"/>
        </w:rPr>
      </w:pPr>
    </w:p>
    <w:p w14:paraId="3D9A5343"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The power to compel the attendance of any party known or suspected to be in possession of the debtor's property or capable of giving information concerning the debtor's property, </w:t>
      </w:r>
      <w:proofErr w:type="gramStart"/>
      <w:r>
        <w:rPr>
          <w:rFonts w:ascii="Arial" w:hAnsi="Arial" w:cs="Arial"/>
          <w:iCs/>
          <w:color w:val="7B7B7B" w:themeColor="accent3" w:themeShade="BF"/>
          <w:sz w:val="22"/>
          <w:szCs w:val="22"/>
          <w:lang w:val="en-GB"/>
        </w:rPr>
        <w:t>dealings</w:t>
      </w:r>
      <w:proofErr w:type="gramEnd"/>
      <w:r>
        <w:rPr>
          <w:rFonts w:ascii="Arial" w:hAnsi="Arial" w:cs="Arial"/>
          <w:iCs/>
          <w:color w:val="7B7B7B" w:themeColor="accent3" w:themeShade="BF"/>
          <w:sz w:val="22"/>
          <w:szCs w:val="22"/>
          <w:lang w:val="en-GB"/>
        </w:rPr>
        <w:t xml:space="preserve"> or affairs, etc.</w:t>
      </w:r>
      <w:r>
        <w:rPr>
          <w:rStyle w:val="FootnoteReference"/>
          <w:rFonts w:ascii="Arial" w:hAnsi="Arial" w:cs="Arial"/>
          <w:iCs/>
          <w:color w:val="7B7B7B" w:themeColor="accent3" w:themeShade="BF"/>
          <w:sz w:val="22"/>
          <w:szCs w:val="22"/>
          <w:lang w:val="en-GB"/>
        </w:rPr>
        <w:footnoteReference w:id="8"/>
      </w:r>
      <w:r>
        <w:rPr>
          <w:rFonts w:ascii="Arial" w:hAnsi="Arial" w:cs="Arial"/>
          <w:iCs/>
          <w:color w:val="7B7B7B" w:themeColor="accent3" w:themeShade="BF"/>
          <w:sz w:val="22"/>
          <w:szCs w:val="22"/>
          <w:lang w:val="en-GB"/>
        </w:rPr>
        <w:t>; and/or</w:t>
      </w:r>
    </w:p>
    <w:p w14:paraId="6478F838" w14:textId="77777777" w:rsidR="00431560" w:rsidRPr="004A2123" w:rsidRDefault="00431560" w:rsidP="00431560">
      <w:pPr>
        <w:pStyle w:val="ListParagraph"/>
        <w:rPr>
          <w:rFonts w:ascii="Arial" w:hAnsi="Arial" w:cs="Arial"/>
          <w:iCs/>
          <w:color w:val="7B7B7B" w:themeColor="accent3" w:themeShade="BF"/>
          <w:sz w:val="22"/>
          <w:szCs w:val="22"/>
          <w:lang w:val="en-GB"/>
        </w:rPr>
      </w:pPr>
    </w:p>
    <w:p w14:paraId="0FD7761B"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power to investigate the debtor's affairs and take action to recover such property pursuant to Articles 16, 17, and 17A.</w:t>
      </w:r>
    </w:p>
    <w:p w14:paraId="57DAA3A7" w14:textId="77777777" w:rsidR="00431560" w:rsidRPr="004A2123" w:rsidRDefault="00431560" w:rsidP="00431560">
      <w:pPr>
        <w:pStyle w:val="ListParagraph"/>
        <w:rPr>
          <w:rFonts w:ascii="Arial" w:hAnsi="Arial" w:cs="Arial"/>
          <w:iCs/>
          <w:color w:val="7B7B7B" w:themeColor="accent3" w:themeShade="BF"/>
          <w:sz w:val="22"/>
          <w:szCs w:val="22"/>
          <w:lang w:val="en-GB"/>
        </w:rPr>
      </w:pPr>
    </w:p>
    <w:p w14:paraId="79C52032" w14:textId="77777777" w:rsidR="00431560" w:rsidRDefault="00431560" w:rsidP="00431560">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In summary, the powers conferred on the Viscount are to maximize the realization of the debtor's assets to facilitate a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w:t>
      </w:r>
      <w:r>
        <w:rPr>
          <w:rFonts w:ascii="Arial" w:hAnsi="Arial" w:cs="Arial"/>
          <w:iCs/>
          <w:color w:val="7B7B7B" w:themeColor="accent3" w:themeShade="BF"/>
          <w:sz w:val="22"/>
          <w:szCs w:val="22"/>
          <w:lang w:val="en-GB"/>
        </w:rPr>
        <w:t xml:space="preserve"> distribution of assets for the benefit of a debtor's creditors.</w:t>
      </w:r>
    </w:p>
    <w:p w14:paraId="1A7118E6" w14:textId="77777777" w:rsidR="00431560" w:rsidRDefault="00431560" w:rsidP="00431560">
      <w:pPr>
        <w:jc w:val="both"/>
        <w:rPr>
          <w:rFonts w:ascii="Arial" w:hAnsi="Arial" w:cs="Arial"/>
          <w:iCs/>
          <w:color w:val="7B7B7B" w:themeColor="accent3" w:themeShade="BF"/>
          <w:sz w:val="22"/>
          <w:szCs w:val="22"/>
          <w:lang w:val="en-GB"/>
        </w:rPr>
      </w:pPr>
    </w:p>
    <w:p w14:paraId="7FD4F768" w14:textId="77777777" w:rsidR="00431560" w:rsidRDefault="00431560" w:rsidP="00431560">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Similar to a Viscount, the Companies (Jersey) Law 1991 (</w:t>
      </w:r>
      <w:r>
        <w:rPr>
          <w:rFonts w:ascii="Arial" w:hAnsi="Arial" w:cs="Arial"/>
          <w:b/>
          <w:iCs/>
          <w:color w:val="7B7B7B" w:themeColor="accent3" w:themeShade="BF"/>
          <w:sz w:val="22"/>
          <w:szCs w:val="22"/>
          <w:lang w:val="en-GB"/>
        </w:rPr>
        <w:t>CL 1991</w:t>
      </w:r>
      <w:r>
        <w:rPr>
          <w:rFonts w:ascii="Arial" w:hAnsi="Arial" w:cs="Arial"/>
          <w:iCs/>
          <w:color w:val="7B7B7B" w:themeColor="accent3" w:themeShade="BF"/>
          <w:sz w:val="22"/>
          <w:szCs w:val="22"/>
          <w:lang w:val="en-GB"/>
        </w:rPr>
        <w:t xml:space="preserve">) also confers wide-ranging powers on a liquidator in a creditor's winding up to </w:t>
      </w:r>
      <w:proofErr w:type="gramStart"/>
      <w:r>
        <w:rPr>
          <w:rFonts w:ascii="Arial" w:hAnsi="Arial" w:cs="Arial"/>
          <w:iCs/>
          <w:color w:val="7B7B7B" w:themeColor="accent3" w:themeShade="BF"/>
          <w:sz w:val="22"/>
          <w:szCs w:val="22"/>
          <w:lang w:val="en-GB"/>
        </w:rPr>
        <w:t>effect</w:t>
      </w:r>
      <w:proofErr w:type="gramEnd"/>
      <w:r>
        <w:rPr>
          <w:rFonts w:ascii="Arial" w:hAnsi="Arial" w:cs="Arial"/>
          <w:iCs/>
          <w:color w:val="7B7B7B" w:themeColor="accent3" w:themeShade="BF"/>
          <w:sz w:val="22"/>
          <w:szCs w:val="22"/>
          <w:lang w:val="en-GB"/>
        </w:rPr>
        <w:t xml:space="preserve"> an orderly distribution of a debtor's assets for the benefit of its general body of creditors. Specifically, the general powers of a liquidator are set out in Articles 170 – 172 of the CL 1991, which include:</w:t>
      </w:r>
    </w:p>
    <w:p w14:paraId="28245867" w14:textId="77777777" w:rsidR="00431560" w:rsidRDefault="00431560" w:rsidP="00431560">
      <w:pPr>
        <w:jc w:val="both"/>
        <w:rPr>
          <w:rFonts w:ascii="Arial" w:hAnsi="Arial" w:cs="Arial"/>
          <w:iCs/>
          <w:color w:val="7B7B7B" w:themeColor="accent3" w:themeShade="BF"/>
          <w:sz w:val="22"/>
          <w:szCs w:val="22"/>
          <w:lang w:val="en-GB"/>
        </w:rPr>
      </w:pPr>
    </w:p>
    <w:p w14:paraId="15603891"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power to compromise any claim by or against the company</w:t>
      </w:r>
      <w:r>
        <w:rPr>
          <w:rStyle w:val="FootnoteReference"/>
          <w:rFonts w:ascii="Arial" w:hAnsi="Arial" w:cs="Arial"/>
          <w:iCs/>
          <w:color w:val="7B7B7B" w:themeColor="accent3" w:themeShade="BF"/>
          <w:sz w:val="22"/>
          <w:szCs w:val="22"/>
          <w:lang w:val="en-GB"/>
        </w:rPr>
        <w:footnoteReference w:id="9"/>
      </w:r>
      <w:r>
        <w:rPr>
          <w:rFonts w:ascii="Arial" w:hAnsi="Arial" w:cs="Arial"/>
          <w:iCs/>
          <w:color w:val="7B7B7B" w:themeColor="accent3" w:themeShade="BF"/>
          <w:sz w:val="22"/>
          <w:szCs w:val="22"/>
          <w:lang w:val="en-GB"/>
        </w:rPr>
        <w:t>;</w:t>
      </w:r>
    </w:p>
    <w:p w14:paraId="2766E1A7" w14:textId="77777777" w:rsidR="00431560" w:rsidRDefault="00431560" w:rsidP="00431560">
      <w:pPr>
        <w:pStyle w:val="ListParagraph"/>
        <w:jc w:val="both"/>
        <w:rPr>
          <w:rFonts w:ascii="Arial" w:hAnsi="Arial" w:cs="Arial"/>
          <w:iCs/>
          <w:color w:val="7B7B7B" w:themeColor="accent3" w:themeShade="BF"/>
          <w:sz w:val="22"/>
          <w:szCs w:val="22"/>
          <w:lang w:val="en-GB"/>
        </w:rPr>
      </w:pPr>
    </w:p>
    <w:p w14:paraId="30EB8861"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The power to exercise </w:t>
      </w:r>
      <w:proofErr w:type="gramStart"/>
      <w:r>
        <w:rPr>
          <w:rFonts w:ascii="Arial" w:hAnsi="Arial" w:cs="Arial"/>
          <w:iCs/>
          <w:color w:val="7B7B7B" w:themeColor="accent3" w:themeShade="BF"/>
          <w:sz w:val="22"/>
          <w:szCs w:val="22"/>
          <w:lang w:val="en-GB"/>
        </w:rPr>
        <w:t>all of</w:t>
      </w:r>
      <w:proofErr w:type="gramEnd"/>
      <w:r>
        <w:rPr>
          <w:rFonts w:ascii="Arial" w:hAnsi="Arial" w:cs="Arial"/>
          <w:iCs/>
          <w:color w:val="7B7B7B" w:themeColor="accent3" w:themeShade="BF"/>
          <w:sz w:val="22"/>
          <w:szCs w:val="22"/>
          <w:lang w:val="en-GB"/>
        </w:rPr>
        <w:t xml:space="preserve"> the powers of the company for a beneficial winding up of the company</w:t>
      </w:r>
      <w:r>
        <w:rPr>
          <w:rStyle w:val="FootnoteReference"/>
          <w:rFonts w:ascii="Arial" w:hAnsi="Arial" w:cs="Arial"/>
          <w:iCs/>
          <w:color w:val="7B7B7B" w:themeColor="accent3" w:themeShade="BF"/>
          <w:sz w:val="22"/>
          <w:szCs w:val="22"/>
          <w:lang w:val="en-GB"/>
        </w:rPr>
        <w:footnoteReference w:id="10"/>
      </w:r>
      <w:r>
        <w:rPr>
          <w:rFonts w:ascii="Arial" w:hAnsi="Arial" w:cs="Arial"/>
          <w:iCs/>
          <w:color w:val="7B7B7B" w:themeColor="accent3" w:themeShade="BF"/>
          <w:sz w:val="22"/>
          <w:szCs w:val="22"/>
          <w:lang w:val="en-GB"/>
        </w:rPr>
        <w:t>;</w:t>
      </w:r>
    </w:p>
    <w:p w14:paraId="56DBBA5E" w14:textId="77777777" w:rsidR="00431560" w:rsidRPr="00DC0524" w:rsidRDefault="00431560" w:rsidP="00431560">
      <w:pPr>
        <w:pStyle w:val="ListParagraph"/>
        <w:rPr>
          <w:rFonts w:ascii="Arial" w:hAnsi="Arial" w:cs="Arial"/>
          <w:iCs/>
          <w:color w:val="7B7B7B" w:themeColor="accent3" w:themeShade="BF"/>
          <w:sz w:val="22"/>
          <w:szCs w:val="22"/>
          <w:lang w:val="en-GB"/>
        </w:rPr>
      </w:pPr>
    </w:p>
    <w:p w14:paraId="46898CC7"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lastRenderedPageBreak/>
        <w:t>The power to pay the company's debts and adjust the rights of contributories</w:t>
      </w:r>
      <w:r>
        <w:rPr>
          <w:rStyle w:val="FootnoteReference"/>
          <w:rFonts w:ascii="Arial" w:hAnsi="Arial" w:cs="Arial"/>
          <w:iCs/>
          <w:color w:val="7B7B7B" w:themeColor="accent3" w:themeShade="BF"/>
          <w:sz w:val="22"/>
          <w:szCs w:val="22"/>
          <w:lang w:val="en-GB"/>
        </w:rPr>
        <w:footnoteReference w:id="11"/>
      </w:r>
      <w:r>
        <w:rPr>
          <w:rFonts w:ascii="Arial" w:hAnsi="Arial" w:cs="Arial"/>
          <w:iCs/>
          <w:color w:val="7B7B7B" w:themeColor="accent3" w:themeShade="BF"/>
          <w:sz w:val="22"/>
          <w:szCs w:val="22"/>
          <w:lang w:val="en-GB"/>
        </w:rPr>
        <w:t>; and</w:t>
      </w:r>
    </w:p>
    <w:p w14:paraId="25EA85F6" w14:textId="77777777" w:rsidR="00431560" w:rsidRPr="004E6F80" w:rsidRDefault="00431560" w:rsidP="00431560">
      <w:pPr>
        <w:pStyle w:val="ListParagraph"/>
        <w:rPr>
          <w:rFonts w:ascii="Arial" w:hAnsi="Arial" w:cs="Arial"/>
          <w:iCs/>
          <w:color w:val="7B7B7B" w:themeColor="accent3" w:themeShade="BF"/>
          <w:sz w:val="22"/>
          <w:szCs w:val="22"/>
          <w:lang w:val="en-GB"/>
        </w:rPr>
      </w:pPr>
    </w:p>
    <w:p w14:paraId="3121F5C6"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power to disclaim onerous property</w:t>
      </w:r>
      <w:r>
        <w:rPr>
          <w:rStyle w:val="FootnoteReference"/>
          <w:rFonts w:ascii="Arial" w:hAnsi="Arial" w:cs="Arial"/>
          <w:iCs/>
          <w:color w:val="7B7B7B" w:themeColor="accent3" w:themeShade="BF"/>
          <w:sz w:val="22"/>
          <w:szCs w:val="22"/>
          <w:lang w:val="en-GB"/>
        </w:rPr>
        <w:footnoteReference w:id="12"/>
      </w:r>
      <w:r>
        <w:rPr>
          <w:rFonts w:ascii="Arial" w:hAnsi="Arial" w:cs="Arial"/>
          <w:iCs/>
          <w:color w:val="7B7B7B" w:themeColor="accent3" w:themeShade="BF"/>
          <w:sz w:val="22"/>
          <w:szCs w:val="22"/>
          <w:lang w:val="en-GB"/>
        </w:rPr>
        <w:t>.</w:t>
      </w:r>
    </w:p>
    <w:p w14:paraId="7EDE8ABD" w14:textId="77777777" w:rsidR="00431560" w:rsidRPr="00A30850" w:rsidRDefault="00431560" w:rsidP="00431560">
      <w:pPr>
        <w:pStyle w:val="ListParagraph"/>
        <w:rPr>
          <w:rFonts w:ascii="Arial" w:hAnsi="Arial" w:cs="Arial"/>
          <w:iCs/>
          <w:color w:val="7B7B7B" w:themeColor="accent3" w:themeShade="BF"/>
          <w:sz w:val="22"/>
          <w:szCs w:val="22"/>
          <w:lang w:val="en-GB"/>
        </w:rPr>
      </w:pPr>
    </w:p>
    <w:p w14:paraId="3A7D5E62" w14:textId="77777777" w:rsidR="00431560" w:rsidRDefault="00431560" w:rsidP="00431560">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In addition to these powers, a liquidator also has the power to:</w:t>
      </w:r>
    </w:p>
    <w:p w14:paraId="769ABAD4" w14:textId="77777777" w:rsidR="00431560" w:rsidRDefault="00431560" w:rsidP="00431560">
      <w:pPr>
        <w:jc w:val="both"/>
        <w:rPr>
          <w:rFonts w:ascii="Arial" w:hAnsi="Arial" w:cs="Arial"/>
          <w:iCs/>
          <w:color w:val="7B7B7B" w:themeColor="accent3" w:themeShade="BF"/>
          <w:sz w:val="22"/>
          <w:szCs w:val="22"/>
          <w:lang w:val="en-GB"/>
        </w:rPr>
      </w:pPr>
    </w:p>
    <w:p w14:paraId="28FE4011" w14:textId="7AFA6CBA"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Investigate the affairs of a company to claw back property belonging to the company: </w:t>
      </w:r>
      <w:r>
        <w:rPr>
          <w:rFonts w:ascii="Arial" w:hAnsi="Arial" w:cs="Arial"/>
          <w:i/>
          <w:iCs/>
          <w:color w:val="7B7B7B" w:themeColor="accent3" w:themeShade="BF"/>
          <w:sz w:val="22"/>
          <w:szCs w:val="22"/>
          <w:lang w:val="en-GB"/>
        </w:rPr>
        <w:t>see</w:t>
      </w:r>
      <w:r>
        <w:rPr>
          <w:rFonts w:ascii="Arial" w:hAnsi="Arial" w:cs="Arial"/>
          <w:iCs/>
          <w:color w:val="7B7B7B" w:themeColor="accent3" w:themeShade="BF"/>
          <w:sz w:val="22"/>
          <w:szCs w:val="22"/>
          <w:lang w:val="en-GB"/>
        </w:rPr>
        <w:t xml:space="preserve"> Article 176A preference; Article 176 undervalue transaction; Article 177 wrongful trading; and Article 178 fraudulent trading; and </w:t>
      </w:r>
    </w:p>
    <w:p w14:paraId="3CEC9921" w14:textId="77777777" w:rsidR="00431560" w:rsidRDefault="00431560" w:rsidP="00431560">
      <w:pPr>
        <w:pStyle w:val="ListParagraph"/>
        <w:jc w:val="both"/>
        <w:rPr>
          <w:rFonts w:ascii="Arial" w:hAnsi="Arial" w:cs="Arial"/>
          <w:iCs/>
          <w:color w:val="7B7B7B" w:themeColor="accent3" w:themeShade="BF"/>
          <w:sz w:val="22"/>
          <w:szCs w:val="22"/>
          <w:lang w:val="en-GB"/>
        </w:rPr>
      </w:pPr>
    </w:p>
    <w:p w14:paraId="5BBB4F5E" w14:textId="77777777" w:rsidR="00431560" w:rsidRDefault="00431560">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power to distribute the assets of the company (Article 186).</w:t>
      </w:r>
    </w:p>
    <w:p w14:paraId="3BE0B4D2" w14:textId="77777777" w:rsidR="00431560" w:rsidRPr="00B37D3E" w:rsidRDefault="00431560" w:rsidP="00431560">
      <w:pPr>
        <w:pStyle w:val="ListParagraph"/>
        <w:rPr>
          <w:rFonts w:ascii="Arial" w:hAnsi="Arial" w:cs="Arial"/>
          <w:iCs/>
          <w:color w:val="7B7B7B" w:themeColor="accent3" w:themeShade="BF"/>
          <w:sz w:val="22"/>
          <w:szCs w:val="22"/>
          <w:lang w:val="en-GB"/>
        </w:rPr>
      </w:pPr>
    </w:p>
    <w:p w14:paraId="3685B6CE" w14:textId="77777777" w:rsidR="00431560" w:rsidRDefault="00431560" w:rsidP="00431560">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Again, these powers aim to maximize the potential return for the company's creditors and facilitate the orderly distribution of the debtor's assets. </w:t>
      </w:r>
    </w:p>
    <w:p w14:paraId="42C2C07F" w14:textId="77777777" w:rsidR="00431560" w:rsidRDefault="00431560" w:rsidP="00431560">
      <w:pPr>
        <w:jc w:val="both"/>
        <w:rPr>
          <w:rFonts w:ascii="Arial" w:hAnsi="Arial" w:cs="Arial"/>
          <w:iCs/>
          <w:color w:val="7B7B7B" w:themeColor="accent3" w:themeShade="BF"/>
          <w:sz w:val="22"/>
          <w:szCs w:val="22"/>
          <w:lang w:val="en-GB"/>
        </w:rPr>
      </w:pPr>
    </w:p>
    <w:p w14:paraId="445FA2CD" w14:textId="774286C0" w:rsidR="00431560" w:rsidRPr="00B37D3E" w:rsidRDefault="00431560" w:rsidP="00431560">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Notwithstanding the extensive powers of a liquidator in a company's winding up, the powers of a liquidator in a summary winding up or just and equitable winding up are more limited. As regards the former, a liquidator, upon appointment, his/her powers are limited to the powers exercised by the directors prior to the commencement of a summary winding up. As regards just and equitable winding up, the Court determines the </w:t>
      </w:r>
      <w:r w:rsidR="00D143AA">
        <w:rPr>
          <w:rFonts w:ascii="Arial" w:hAnsi="Arial" w:cs="Arial"/>
          <w:iCs/>
          <w:color w:val="7B7B7B" w:themeColor="accent3" w:themeShade="BF"/>
          <w:sz w:val="22"/>
          <w:szCs w:val="22"/>
          <w:lang w:val="en-GB"/>
        </w:rPr>
        <w:t xml:space="preserve">scope of the </w:t>
      </w:r>
      <w:r>
        <w:rPr>
          <w:rFonts w:ascii="Arial" w:hAnsi="Arial" w:cs="Arial"/>
          <w:iCs/>
          <w:color w:val="7B7B7B" w:themeColor="accent3" w:themeShade="BF"/>
          <w:sz w:val="22"/>
          <w:szCs w:val="22"/>
          <w:lang w:val="en-GB"/>
        </w:rPr>
        <w:t>liquidator's powers</w:t>
      </w:r>
      <w:r>
        <w:rPr>
          <w:rStyle w:val="FootnoteReference"/>
          <w:rFonts w:ascii="Arial" w:hAnsi="Arial" w:cs="Arial"/>
          <w:iCs/>
          <w:color w:val="7B7B7B" w:themeColor="accent3" w:themeShade="BF"/>
          <w:sz w:val="22"/>
          <w:szCs w:val="22"/>
          <w:lang w:val="en-GB"/>
        </w:rPr>
        <w:footnoteReference w:id="13"/>
      </w:r>
      <w:r>
        <w:rPr>
          <w:rFonts w:ascii="Arial" w:hAnsi="Arial" w:cs="Arial"/>
          <w:iCs/>
          <w:color w:val="7B7B7B" w:themeColor="accent3" w:themeShade="BF"/>
          <w:sz w:val="22"/>
          <w:szCs w:val="22"/>
          <w:lang w:val="en-GB"/>
        </w:rPr>
        <w:t>.</w:t>
      </w: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3EA7BB93" w14:textId="77777777" w:rsidR="00526A78" w:rsidRDefault="00526A78" w:rsidP="00526A7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Jersey law, there is no equivalent procedure to the UK Administration or US Chapter 11 corporate rescue procedures. This is because of (1) Jersey’s position as an international financial center and (2) the use of Jersey registered companies for finance or specific financial-related purposes rather than traditional trading companies. The primary purpose of the corporate rescue procedures is to provide a financially distressed company (generally, a trading company) breathing space with the view toward restructuring its debt to allow the company to continue as a going concern. Given the use of Jersey registered companies for finance or finance-related purposes, there is not as great of a need for a corporate rescue regime. This is demonstrated by the fact that the numbered of solvent-managed liquidations is high in Jersey</w:t>
      </w:r>
      <w:r>
        <w:rPr>
          <w:rStyle w:val="FootnoteReference"/>
          <w:rFonts w:ascii="Arial" w:hAnsi="Arial" w:cs="Arial"/>
          <w:color w:val="7B7B7B" w:themeColor="accent3" w:themeShade="BF"/>
          <w:sz w:val="22"/>
          <w:szCs w:val="22"/>
        </w:rPr>
        <w:footnoteReference w:id="14"/>
      </w:r>
      <w:r>
        <w:rPr>
          <w:rFonts w:ascii="Arial" w:hAnsi="Arial" w:cs="Arial"/>
          <w:color w:val="7B7B7B" w:themeColor="accent3" w:themeShade="BF"/>
          <w:sz w:val="22"/>
          <w:szCs w:val="22"/>
        </w:rPr>
        <w:t xml:space="preserve">. </w:t>
      </w:r>
    </w:p>
    <w:p w14:paraId="43D3C59A" w14:textId="77777777" w:rsidR="00526A78" w:rsidRDefault="00526A78" w:rsidP="00526A78">
      <w:pPr>
        <w:ind w:left="90"/>
        <w:jc w:val="both"/>
        <w:rPr>
          <w:rFonts w:ascii="Arial" w:hAnsi="Arial" w:cs="Arial"/>
          <w:color w:val="7B7B7B" w:themeColor="accent3" w:themeShade="BF"/>
          <w:sz w:val="22"/>
          <w:szCs w:val="22"/>
        </w:rPr>
      </w:pPr>
    </w:p>
    <w:p w14:paraId="2E507E90" w14:textId="77777777" w:rsidR="00526A78" w:rsidRDefault="00526A78" w:rsidP="00526A7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Notwithstanding Jersey’s lack of a statutory rescue procedure, the Jersey Court has adopted a pragmatic approach to dealing with domestic and cross-border insolvencies</w:t>
      </w:r>
      <w:r>
        <w:rPr>
          <w:rStyle w:val="FootnoteReference"/>
          <w:rFonts w:ascii="Arial" w:hAnsi="Arial" w:cs="Arial"/>
          <w:color w:val="7B7B7B" w:themeColor="accent3" w:themeShade="BF"/>
          <w:sz w:val="22"/>
          <w:szCs w:val="22"/>
        </w:rPr>
        <w:footnoteReference w:id="15"/>
      </w:r>
      <w:r>
        <w:rPr>
          <w:rFonts w:ascii="Arial" w:hAnsi="Arial" w:cs="Arial"/>
          <w:color w:val="7B7B7B" w:themeColor="accent3" w:themeShade="BF"/>
          <w:sz w:val="22"/>
          <w:szCs w:val="22"/>
        </w:rPr>
        <w:t>. In that regard, the Jersey Court has been willing to exercise its broad discretion under its just and equitable jurisdiction</w:t>
      </w:r>
      <w:r>
        <w:rPr>
          <w:rStyle w:val="FootnoteReference"/>
          <w:rFonts w:ascii="Arial" w:hAnsi="Arial" w:cs="Arial"/>
          <w:color w:val="7B7B7B" w:themeColor="accent3" w:themeShade="BF"/>
          <w:sz w:val="22"/>
          <w:szCs w:val="22"/>
        </w:rPr>
        <w:footnoteReference w:id="16"/>
      </w:r>
      <w:r>
        <w:rPr>
          <w:rFonts w:ascii="Arial" w:hAnsi="Arial" w:cs="Arial"/>
          <w:color w:val="7B7B7B" w:themeColor="accent3" w:themeShade="BF"/>
          <w:sz w:val="22"/>
          <w:szCs w:val="22"/>
        </w:rPr>
        <w:t>. The Jersey Court has used this ground to facilitate a ‘</w:t>
      </w:r>
      <w:proofErr w:type="spellStart"/>
      <w:proofErr w:type="gramStart"/>
      <w:r>
        <w:rPr>
          <w:rFonts w:ascii="Arial" w:hAnsi="Arial" w:cs="Arial"/>
          <w:color w:val="7B7B7B" w:themeColor="accent3" w:themeShade="BF"/>
          <w:sz w:val="22"/>
          <w:szCs w:val="22"/>
        </w:rPr>
        <w:t>pre packaged</w:t>
      </w:r>
      <w:proofErr w:type="spellEnd"/>
      <w:proofErr w:type="gramEnd"/>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lastRenderedPageBreak/>
        <w:t xml:space="preserve">sale of a Jersey company in the case of </w:t>
      </w:r>
      <w:r>
        <w:rPr>
          <w:rFonts w:ascii="Arial" w:hAnsi="Arial" w:cs="Arial"/>
          <w:i/>
          <w:iCs/>
          <w:color w:val="7B7B7B" w:themeColor="accent3" w:themeShade="BF"/>
          <w:sz w:val="22"/>
          <w:szCs w:val="22"/>
        </w:rPr>
        <w:t>Re Collections Group</w:t>
      </w:r>
      <w:r>
        <w:rPr>
          <w:rFonts w:ascii="Arial" w:hAnsi="Arial" w:cs="Arial"/>
          <w:color w:val="7B7B7B" w:themeColor="accent3" w:themeShade="BF"/>
          <w:sz w:val="22"/>
          <w:szCs w:val="22"/>
        </w:rPr>
        <w:t xml:space="preserve"> [2013] JRC 096. In the exercise of the Jersey Court’s discretion, the critical factor will be whether the winding up order will be in the best interests of the creditors. </w:t>
      </w:r>
    </w:p>
    <w:p w14:paraId="1492C47F" w14:textId="77777777" w:rsidR="00DD5716" w:rsidRPr="002A37BB" w:rsidRDefault="00DD5716" w:rsidP="00B7779B">
      <w:pPr>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2F140216" w14:textId="77777777" w:rsidR="004D05AC" w:rsidRDefault="004D05AC" w:rsidP="004D05AC">
      <w:pPr>
        <w:ind w:left="90"/>
        <w:jc w:val="both"/>
        <w:rPr>
          <w:rFonts w:ascii="Arial" w:hAnsi="Arial" w:cs="Arial"/>
          <w:iCs/>
          <w:color w:val="7B7B7B" w:themeColor="accent3" w:themeShade="BF"/>
          <w:sz w:val="22"/>
          <w:szCs w:val="22"/>
          <w:lang w:val="en-GB"/>
        </w:rPr>
      </w:pPr>
      <w:r>
        <w:rPr>
          <w:rFonts w:ascii="Arial" w:hAnsi="Arial" w:cs="Arial"/>
          <w:color w:val="7B7B7B" w:themeColor="accent3" w:themeShade="BF"/>
          <w:sz w:val="22"/>
          <w:szCs w:val="22"/>
          <w:lang w:val="en-GB"/>
        </w:rPr>
        <w:t xml:space="preserve">In Jersey, security may be taken over immovable property by </w:t>
      </w:r>
      <w:proofErr w:type="spellStart"/>
      <w:r>
        <w:rPr>
          <w:rFonts w:ascii="Arial" w:hAnsi="Arial" w:cs="Arial"/>
          <w:color w:val="7B7B7B" w:themeColor="accent3" w:themeShade="BF"/>
          <w:sz w:val="22"/>
          <w:szCs w:val="22"/>
          <w:lang w:val="en-GB"/>
        </w:rPr>
        <w:t>hypoth</w:t>
      </w:r>
      <w:r w:rsidRPr="00D27C1D">
        <w:rPr>
          <w:rFonts w:ascii="Arial" w:hAnsi="Arial" w:cs="Arial"/>
          <w:iCs/>
          <w:color w:val="7B7B7B" w:themeColor="accent3" w:themeShade="BF"/>
          <w:sz w:val="22"/>
          <w:szCs w:val="22"/>
          <w:lang w:val="en-GB"/>
        </w:rPr>
        <w:t>é</w:t>
      </w:r>
      <w:r>
        <w:rPr>
          <w:rFonts w:ascii="Arial" w:hAnsi="Arial" w:cs="Arial"/>
          <w:iCs/>
          <w:color w:val="7B7B7B" w:themeColor="accent3" w:themeShade="BF"/>
          <w:sz w:val="22"/>
          <w:szCs w:val="22"/>
          <w:lang w:val="en-GB"/>
        </w:rPr>
        <w:t>que</w:t>
      </w:r>
      <w:proofErr w:type="spellEnd"/>
      <w:r>
        <w:rPr>
          <w:rFonts w:ascii="Arial" w:hAnsi="Arial" w:cs="Arial"/>
          <w:iCs/>
          <w:color w:val="7B7B7B" w:themeColor="accent3" w:themeShade="BF"/>
          <w:sz w:val="22"/>
          <w:szCs w:val="22"/>
          <w:lang w:val="en-GB"/>
        </w:rPr>
        <w:t xml:space="preserve">. In that regard, there are three types of </w:t>
      </w:r>
      <w:proofErr w:type="spellStart"/>
      <w:r>
        <w:rPr>
          <w:rFonts w:ascii="Arial" w:hAnsi="Arial" w:cs="Arial"/>
          <w:color w:val="7B7B7B" w:themeColor="accent3" w:themeShade="BF"/>
          <w:sz w:val="22"/>
          <w:szCs w:val="22"/>
          <w:lang w:val="en-GB"/>
        </w:rPr>
        <w:t>hypoth</w:t>
      </w:r>
      <w:r w:rsidRPr="00D27C1D">
        <w:rPr>
          <w:rFonts w:ascii="Arial" w:hAnsi="Arial" w:cs="Arial"/>
          <w:iCs/>
          <w:color w:val="7B7B7B" w:themeColor="accent3" w:themeShade="BF"/>
          <w:sz w:val="22"/>
          <w:szCs w:val="22"/>
          <w:lang w:val="en-GB"/>
        </w:rPr>
        <w:t>é</w:t>
      </w:r>
      <w:r>
        <w:rPr>
          <w:rFonts w:ascii="Arial" w:hAnsi="Arial" w:cs="Arial"/>
          <w:iCs/>
          <w:color w:val="7B7B7B" w:themeColor="accent3" w:themeShade="BF"/>
          <w:sz w:val="22"/>
          <w:szCs w:val="22"/>
          <w:lang w:val="en-GB"/>
        </w:rPr>
        <w:t>que</w:t>
      </w:r>
      <w:proofErr w:type="spellEnd"/>
      <w:r>
        <w:rPr>
          <w:rFonts w:ascii="Arial" w:hAnsi="Arial" w:cs="Arial"/>
          <w:iCs/>
          <w:color w:val="7B7B7B" w:themeColor="accent3" w:themeShade="BF"/>
          <w:sz w:val="22"/>
          <w:szCs w:val="22"/>
          <w:lang w:val="en-GB"/>
        </w:rPr>
        <w:t>:</w:t>
      </w:r>
    </w:p>
    <w:p w14:paraId="2DA0C4DC" w14:textId="77777777" w:rsidR="004D05AC" w:rsidRDefault="004D05AC" w:rsidP="004D05AC">
      <w:pPr>
        <w:pStyle w:val="ListParagraph"/>
        <w:jc w:val="both"/>
        <w:rPr>
          <w:rFonts w:ascii="Arial" w:hAnsi="Arial" w:cs="Arial"/>
          <w:iCs/>
          <w:color w:val="7B7B7B" w:themeColor="accent3" w:themeShade="BF"/>
          <w:sz w:val="22"/>
          <w:szCs w:val="22"/>
          <w:lang w:val="en-GB"/>
        </w:rPr>
      </w:pPr>
    </w:p>
    <w:p w14:paraId="0BACEE9D" w14:textId="77777777" w:rsidR="004D05AC" w:rsidRDefault="004D05AC">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first type is a judicial hypothec (</w:t>
      </w:r>
      <w:proofErr w:type="spellStart"/>
      <w:r>
        <w:rPr>
          <w:rFonts w:ascii="Arial" w:hAnsi="Arial" w:cs="Arial"/>
          <w:color w:val="7B7B7B" w:themeColor="accent3" w:themeShade="BF"/>
          <w:sz w:val="22"/>
          <w:szCs w:val="22"/>
          <w:lang w:val="en-GB"/>
        </w:rPr>
        <w:t>hypoth</w:t>
      </w:r>
      <w:r w:rsidRPr="00D27C1D">
        <w:rPr>
          <w:rFonts w:ascii="Arial" w:hAnsi="Arial" w:cs="Arial"/>
          <w:iCs/>
          <w:color w:val="7B7B7B" w:themeColor="accent3" w:themeShade="BF"/>
          <w:sz w:val="22"/>
          <w:szCs w:val="22"/>
          <w:lang w:val="en-GB"/>
        </w:rPr>
        <w:t>é</w:t>
      </w:r>
      <w:r>
        <w:rPr>
          <w:rFonts w:ascii="Arial" w:hAnsi="Arial" w:cs="Arial"/>
          <w:iCs/>
          <w:color w:val="7B7B7B" w:themeColor="accent3" w:themeShade="BF"/>
          <w:sz w:val="22"/>
          <w:szCs w:val="22"/>
          <w:lang w:val="en-GB"/>
        </w:rPr>
        <w:t>que</w:t>
      </w:r>
      <w:proofErr w:type="spellEnd"/>
      <w:r>
        <w:rPr>
          <w:rFonts w:ascii="Arial" w:hAnsi="Arial" w:cs="Arial"/>
          <w:iCs/>
          <w:color w:val="7B7B7B" w:themeColor="accent3" w:themeShade="BF"/>
          <w:sz w:val="22"/>
          <w:szCs w:val="22"/>
          <w:lang w:val="en-GB"/>
        </w:rPr>
        <w:t xml:space="preserve"> </w:t>
      </w:r>
      <w:proofErr w:type="spellStart"/>
      <w:r>
        <w:rPr>
          <w:rFonts w:ascii="Arial" w:hAnsi="Arial" w:cs="Arial"/>
          <w:iCs/>
          <w:color w:val="7B7B7B" w:themeColor="accent3" w:themeShade="BF"/>
          <w:sz w:val="22"/>
          <w:szCs w:val="22"/>
          <w:lang w:val="en-GB"/>
        </w:rPr>
        <w:t>judiciare</w:t>
      </w:r>
      <w:proofErr w:type="spellEnd"/>
      <w:r>
        <w:rPr>
          <w:rFonts w:ascii="Arial" w:hAnsi="Arial" w:cs="Arial"/>
          <w:iCs/>
          <w:color w:val="7B7B7B" w:themeColor="accent3" w:themeShade="BF"/>
          <w:sz w:val="22"/>
          <w:szCs w:val="22"/>
          <w:lang w:val="en-GB"/>
        </w:rPr>
        <w:t xml:space="preserve">), created upon an acknowledgment of a debt or judgment of the court registered in the Public Jersey Registry. Lenders commonly use this form of </w:t>
      </w:r>
      <w:proofErr w:type="spellStart"/>
      <w:r>
        <w:rPr>
          <w:rFonts w:ascii="Arial" w:hAnsi="Arial" w:cs="Arial"/>
          <w:iCs/>
          <w:color w:val="7B7B7B" w:themeColor="accent3" w:themeShade="BF"/>
          <w:sz w:val="22"/>
          <w:szCs w:val="22"/>
          <w:lang w:val="en-GB"/>
        </w:rPr>
        <w:t>hypothéque</w:t>
      </w:r>
      <w:proofErr w:type="spellEnd"/>
      <w:r>
        <w:rPr>
          <w:rFonts w:ascii="Arial" w:hAnsi="Arial" w:cs="Arial"/>
          <w:iCs/>
          <w:color w:val="7B7B7B" w:themeColor="accent3" w:themeShade="BF"/>
          <w:sz w:val="22"/>
          <w:szCs w:val="22"/>
          <w:lang w:val="en-GB"/>
        </w:rPr>
        <w:t xml:space="preserve"> in providing a mortgage over immovable property (i.e., domestic property)</w:t>
      </w:r>
      <w:r>
        <w:rPr>
          <w:rStyle w:val="FootnoteReference"/>
          <w:rFonts w:ascii="Arial" w:hAnsi="Arial" w:cs="Arial"/>
          <w:iCs/>
          <w:color w:val="7B7B7B" w:themeColor="accent3" w:themeShade="BF"/>
          <w:sz w:val="22"/>
          <w:szCs w:val="22"/>
          <w:lang w:val="en-GB"/>
        </w:rPr>
        <w:footnoteReference w:id="17"/>
      </w:r>
      <w:r>
        <w:rPr>
          <w:rFonts w:ascii="Arial" w:hAnsi="Arial" w:cs="Arial"/>
          <w:iCs/>
          <w:color w:val="7B7B7B" w:themeColor="accent3" w:themeShade="BF"/>
          <w:sz w:val="22"/>
          <w:szCs w:val="22"/>
          <w:lang w:val="en-GB"/>
        </w:rPr>
        <w:t>;</w:t>
      </w:r>
    </w:p>
    <w:p w14:paraId="044AA37A" w14:textId="77777777" w:rsidR="004D05AC" w:rsidRDefault="004D05AC" w:rsidP="004D05AC">
      <w:pPr>
        <w:pStyle w:val="ListParagraph"/>
        <w:jc w:val="both"/>
        <w:rPr>
          <w:rFonts w:ascii="Arial" w:hAnsi="Arial" w:cs="Arial"/>
          <w:iCs/>
          <w:color w:val="7B7B7B" w:themeColor="accent3" w:themeShade="BF"/>
          <w:sz w:val="22"/>
          <w:szCs w:val="22"/>
          <w:lang w:val="en-GB"/>
        </w:rPr>
      </w:pPr>
    </w:p>
    <w:p w14:paraId="3E6E39C4" w14:textId="77777777" w:rsidR="004D05AC" w:rsidRDefault="004D05AC">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second type is a conventional hypothec (</w:t>
      </w:r>
      <w:proofErr w:type="spellStart"/>
      <w:r>
        <w:rPr>
          <w:rFonts w:ascii="Arial" w:hAnsi="Arial" w:cs="Arial"/>
          <w:color w:val="7B7B7B" w:themeColor="accent3" w:themeShade="BF"/>
          <w:sz w:val="22"/>
          <w:szCs w:val="22"/>
          <w:lang w:val="en-GB"/>
        </w:rPr>
        <w:t>hypoth</w:t>
      </w:r>
      <w:r w:rsidRPr="00D27C1D">
        <w:rPr>
          <w:rFonts w:ascii="Arial" w:hAnsi="Arial" w:cs="Arial"/>
          <w:iCs/>
          <w:color w:val="7B7B7B" w:themeColor="accent3" w:themeShade="BF"/>
          <w:sz w:val="22"/>
          <w:szCs w:val="22"/>
          <w:lang w:val="en-GB"/>
        </w:rPr>
        <w:t>é</w:t>
      </w:r>
      <w:r>
        <w:rPr>
          <w:rFonts w:ascii="Arial" w:hAnsi="Arial" w:cs="Arial"/>
          <w:iCs/>
          <w:color w:val="7B7B7B" w:themeColor="accent3" w:themeShade="BF"/>
          <w:sz w:val="22"/>
          <w:szCs w:val="22"/>
          <w:lang w:val="en-GB"/>
        </w:rPr>
        <w:t>que</w:t>
      </w:r>
      <w:proofErr w:type="spellEnd"/>
      <w:r>
        <w:rPr>
          <w:rFonts w:ascii="Arial" w:hAnsi="Arial" w:cs="Arial"/>
          <w:iCs/>
          <w:color w:val="7B7B7B" w:themeColor="accent3" w:themeShade="BF"/>
          <w:sz w:val="22"/>
          <w:szCs w:val="22"/>
          <w:lang w:val="en-GB"/>
        </w:rPr>
        <w:t xml:space="preserve"> </w:t>
      </w:r>
      <w:proofErr w:type="spellStart"/>
      <w:r>
        <w:rPr>
          <w:rFonts w:ascii="Arial" w:hAnsi="Arial" w:cs="Arial"/>
          <w:iCs/>
          <w:color w:val="7B7B7B" w:themeColor="accent3" w:themeShade="BF"/>
          <w:sz w:val="22"/>
          <w:szCs w:val="22"/>
          <w:lang w:val="en-GB"/>
        </w:rPr>
        <w:t>conventionelle</w:t>
      </w:r>
      <w:proofErr w:type="spellEnd"/>
      <w:r>
        <w:rPr>
          <w:rFonts w:ascii="Arial" w:hAnsi="Arial" w:cs="Arial"/>
          <w:iCs/>
          <w:color w:val="7B7B7B" w:themeColor="accent3" w:themeShade="BF"/>
          <w:sz w:val="22"/>
          <w:szCs w:val="22"/>
          <w:lang w:val="en-GB"/>
        </w:rPr>
        <w:t xml:space="preserve"> simple) created by parties agreeing to take and grant security over property. The contract which memorializes the parties' agreement is then presented to the court</w:t>
      </w:r>
      <w:r>
        <w:rPr>
          <w:rStyle w:val="FootnoteReference"/>
          <w:rFonts w:ascii="Arial" w:hAnsi="Arial" w:cs="Arial"/>
          <w:iCs/>
          <w:color w:val="7B7B7B" w:themeColor="accent3" w:themeShade="BF"/>
          <w:sz w:val="22"/>
          <w:szCs w:val="22"/>
          <w:lang w:val="en-GB"/>
        </w:rPr>
        <w:footnoteReference w:id="18"/>
      </w:r>
      <w:r>
        <w:rPr>
          <w:rFonts w:ascii="Arial" w:hAnsi="Arial" w:cs="Arial"/>
          <w:iCs/>
          <w:color w:val="7B7B7B" w:themeColor="accent3" w:themeShade="BF"/>
          <w:sz w:val="22"/>
          <w:szCs w:val="22"/>
          <w:lang w:val="en-GB"/>
        </w:rPr>
        <w:t>; and</w:t>
      </w:r>
    </w:p>
    <w:p w14:paraId="25AAE1C1" w14:textId="77777777" w:rsidR="004D05AC" w:rsidRPr="00D27C1D" w:rsidRDefault="004D05AC" w:rsidP="004D05AC">
      <w:pPr>
        <w:pStyle w:val="ListParagraph"/>
        <w:rPr>
          <w:rFonts w:ascii="Arial" w:hAnsi="Arial" w:cs="Arial"/>
          <w:iCs/>
          <w:color w:val="7B7B7B" w:themeColor="accent3" w:themeShade="BF"/>
          <w:sz w:val="22"/>
          <w:szCs w:val="22"/>
          <w:lang w:val="en-GB"/>
        </w:rPr>
      </w:pPr>
    </w:p>
    <w:p w14:paraId="27A382E1" w14:textId="77777777" w:rsidR="004D05AC" w:rsidRDefault="004D05AC">
      <w:pPr>
        <w:pStyle w:val="ListParagraph"/>
        <w:numPr>
          <w:ilvl w:val="0"/>
          <w:numId w:val="19"/>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Finally, the third type is a legal hypothec (</w:t>
      </w:r>
      <w:proofErr w:type="spellStart"/>
      <w:r>
        <w:rPr>
          <w:rFonts w:ascii="Arial" w:hAnsi="Arial" w:cs="Arial"/>
          <w:color w:val="7B7B7B" w:themeColor="accent3" w:themeShade="BF"/>
          <w:sz w:val="22"/>
          <w:szCs w:val="22"/>
          <w:lang w:val="en-GB"/>
        </w:rPr>
        <w:t>hypoth</w:t>
      </w:r>
      <w:r w:rsidRPr="00D27C1D">
        <w:rPr>
          <w:rFonts w:ascii="Arial" w:hAnsi="Arial" w:cs="Arial"/>
          <w:iCs/>
          <w:color w:val="7B7B7B" w:themeColor="accent3" w:themeShade="BF"/>
          <w:sz w:val="22"/>
          <w:szCs w:val="22"/>
          <w:lang w:val="en-GB"/>
        </w:rPr>
        <w:t>é</w:t>
      </w:r>
      <w:r>
        <w:rPr>
          <w:rFonts w:ascii="Arial" w:hAnsi="Arial" w:cs="Arial"/>
          <w:iCs/>
          <w:color w:val="7B7B7B" w:themeColor="accent3" w:themeShade="BF"/>
          <w:sz w:val="22"/>
          <w:szCs w:val="22"/>
          <w:lang w:val="en-GB"/>
        </w:rPr>
        <w:t>que</w:t>
      </w:r>
      <w:proofErr w:type="spellEnd"/>
      <w:r>
        <w:rPr>
          <w:rFonts w:ascii="Arial" w:hAnsi="Arial" w:cs="Arial"/>
          <w:iCs/>
          <w:color w:val="7B7B7B" w:themeColor="accent3" w:themeShade="BF"/>
          <w:sz w:val="22"/>
          <w:szCs w:val="22"/>
          <w:lang w:val="en-GB"/>
        </w:rPr>
        <w:t xml:space="preserve"> </w:t>
      </w:r>
      <w:proofErr w:type="spellStart"/>
      <w:r>
        <w:rPr>
          <w:rFonts w:ascii="Arial" w:hAnsi="Arial" w:cs="Arial"/>
          <w:iCs/>
          <w:color w:val="7B7B7B" w:themeColor="accent3" w:themeShade="BF"/>
          <w:sz w:val="22"/>
          <w:szCs w:val="22"/>
          <w:lang w:val="en-GB"/>
        </w:rPr>
        <w:t>legale</w:t>
      </w:r>
      <w:proofErr w:type="spellEnd"/>
      <w:r>
        <w:rPr>
          <w:rFonts w:ascii="Arial" w:hAnsi="Arial" w:cs="Arial"/>
          <w:iCs/>
          <w:color w:val="7B7B7B" w:themeColor="accent3" w:themeShade="BF"/>
          <w:sz w:val="22"/>
          <w:szCs w:val="22"/>
          <w:lang w:val="en-GB"/>
        </w:rPr>
        <w:t xml:space="preserve">) created by an operation of law by the </w:t>
      </w:r>
      <w:proofErr w:type="gramStart"/>
      <w:r>
        <w:rPr>
          <w:rFonts w:ascii="Arial" w:hAnsi="Arial" w:cs="Arial"/>
          <w:iCs/>
          <w:color w:val="7B7B7B" w:themeColor="accent3" w:themeShade="BF"/>
          <w:sz w:val="22"/>
          <w:szCs w:val="22"/>
          <w:lang w:val="en-GB"/>
        </w:rPr>
        <w:t>particular circumstances</w:t>
      </w:r>
      <w:proofErr w:type="gramEnd"/>
      <w:r>
        <w:rPr>
          <w:rFonts w:ascii="Arial" w:hAnsi="Arial" w:cs="Arial"/>
          <w:iCs/>
          <w:color w:val="7B7B7B" w:themeColor="accent3" w:themeShade="BF"/>
          <w:sz w:val="22"/>
          <w:szCs w:val="22"/>
          <w:lang w:val="en-GB"/>
        </w:rPr>
        <w:t xml:space="preserve"> proscribed by Jersey law</w:t>
      </w:r>
      <w:r>
        <w:rPr>
          <w:rStyle w:val="FootnoteReference"/>
          <w:rFonts w:ascii="Arial" w:hAnsi="Arial" w:cs="Arial"/>
          <w:iCs/>
          <w:color w:val="7B7B7B" w:themeColor="accent3" w:themeShade="BF"/>
          <w:sz w:val="22"/>
          <w:szCs w:val="22"/>
          <w:lang w:val="en-GB"/>
        </w:rPr>
        <w:footnoteReference w:id="19"/>
      </w:r>
      <w:r>
        <w:rPr>
          <w:rFonts w:ascii="Arial" w:hAnsi="Arial" w:cs="Arial"/>
          <w:iCs/>
          <w:color w:val="7B7B7B" w:themeColor="accent3" w:themeShade="BF"/>
          <w:sz w:val="22"/>
          <w:szCs w:val="22"/>
          <w:lang w:val="en-GB"/>
        </w:rPr>
        <w:t>.</w:t>
      </w:r>
    </w:p>
    <w:p w14:paraId="46E0BC71" w14:textId="77777777" w:rsidR="004D05AC" w:rsidRPr="000D36B2" w:rsidRDefault="004D05AC" w:rsidP="004D05AC">
      <w:pPr>
        <w:pStyle w:val="ListParagraph"/>
        <w:rPr>
          <w:rFonts w:ascii="Arial" w:hAnsi="Arial" w:cs="Arial"/>
          <w:iCs/>
          <w:color w:val="7B7B7B" w:themeColor="accent3" w:themeShade="BF"/>
          <w:sz w:val="22"/>
          <w:szCs w:val="22"/>
          <w:lang w:val="en-GB"/>
        </w:rPr>
      </w:pPr>
    </w:p>
    <w:p w14:paraId="36AA1890" w14:textId="77777777" w:rsidR="004D05AC" w:rsidRPr="000D36B2" w:rsidRDefault="004D05AC" w:rsidP="004D05AC">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Where there are more than one </w:t>
      </w:r>
      <w:proofErr w:type="gramStart"/>
      <w:r>
        <w:rPr>
          <w:rFonts w:ascii="Arial" w:hAnsi="Arial" w:cs="Arial"/>
          <w:iCs/>
          <w:color w:val="7B7B7B" w:themeColor="accent3" w:themeShade="BF"/>
          <w:sz w:val="22"/>
          <w:szCs w:val="22"/>
          <w:lang w:val="en-GB"/>
        </w:rPr>
        <w:t>hypothecs</w:t>
      </w:r>
      <w:proofErr w:type="gramEnd"/>
      <w:r>
        <w:rPr>
          <w:rFonts w:ascii="Arial" w:hAnsi="Arial" w:cs="Arial"/>
          <w:iCs/>
          <w:color w:val="7B7B7B" w:themeColor="accent3" w:themeShade="BF"/>
          <w:sz w:val="22"/>
          <w:szCs w:val="22"/>
          <w:lang w:val="en-GB"/>
        </w:rPr>
        <w:t xml:space="preserve"> registered over the property, priority is given to the hypothec registered first in time</w:t>
      </w:r>
      <w:r>
        <w:rPr>
          <w:rStyle w:val="FootnoteReference"/>
          <w:rFonts w:ascii="Arial" w:hAnsi="Arial" w:cs="Arial"/>
          <w:iCs/>
          <w:color w:val="7B7B7B" w:themeColor="accent3" w:themeShade="BF"/>
          <w:sz w:val="22"/>
          <w:szCs w:val="22"/>
          <w:lang w:val="en-GB"/>
        </w:rPr>
        <w:footnoteReference w:id="20"/>
      </w:r>
      <w:r>
        <w:rPr>
          <w:rFonts w:ascii="Arial" w:hAnsi="Arial" w:cs="Arial"/>
          <w:iCs/>
          <w:color w:val="7B7B7B" w:themeColor="accent3" w:themeShade="BF"/>
          <w:sz w:val="22"/>
          <w:szCs w:val="22"/>
          <w:lang w:val="en-GB"/>
        </w:rPr>
        <w:t>.</w:t>
      </w: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0CF8E752" w14:textId="77777777" w:rsidR="00CC6682" w:rsidRDefault="00CC6682" w:rsidP="00CC6682">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Remission (Individuals) (Jersey) Law 2016 (</w:t>
      </w:r>
      <w:r>
        <w:rPr>
          <w:rFonts w:ascii="Arial" w:hAnsi="Arial" w:cs="Arial"/>
          <w:b/>
          <w:color w:val="7B7B7B" w:themeColor="accent3" w:themeShade="BF"/>
          <w:sz w:val="22"/>
          <w:szCs w:val="22"/>
          <w:lang w:val="en-GB"/>
        </w:rPr>
        <w:t>DR 2016</w:t>
      </w:r>
      <w:r>
        <w:rPr>
          <w:rFonts w:ascii="Arial" w:hAnsi="Arial" w:cs="Arial"/>
          <w:color w:val="7B7B7B" w:themeColor="accent3" w:themeShade="BF"/>
          <w:sz w:val="22"/>
          <w:szCs w:val="22"/>
          <w:lang w:val="en-GB"/>
        </w:rPr>
        <w:t>) provides for a statutory out-of-court procedure for individuals who are unable to pay their debts. Under Article 4(1) of the DR 2016, such summary procedure is only available to individuals who meet the following requirements:</w:t>
      </w:r>
    </w:p>
    <w:p w14:paraId="43CEE5CB" w14:textId="77777777" w:rsidR="00CC6682" w:rsidRDefault="00CC6682" w:rsidP="00CC6682">
      <w:pPr>
        <w:pStyle w:val="ListParagraph"/>
        <w:jc w:val="both"/>
        <w:rPr>
          <w:rFonts w:ascii="Arial" w:hAnsi="Arial" w:cs="Arial"/>
          <w:color w:val="7B7B7B" w:themeColor="accent3" w:themeShade="BF"/>
          <w:sz w:val="22"/>
          <w:szCs w:val="22"/>
          <w:lang w:val="en-GB"/>
        </w:rPr>
      </w:pPr>
    </w:p>
    <w:p w14:paraId="73526EA4"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is at least 18 years of age at the date of the application</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w:t>
      </w:r>
    </w:p>
    <w:p w14:paraId="3C6B77E0" w14:textId="77777777" w:rsidR="00CC6682" w:rsidRDefault="00CC6682" w:rsidP="00CC6682">
      <w:pPr>
        <w:pStyle w:val="ListParagraph"/>
        <w:jc w:val="both"/>
        <w:rPr>
          <w:rFonts w:ascii="Arial" w:hAnsi="Arial" w:cs="Arial"/>
          <w:color w:val="7B7B7B" w:themeColor="accent3" w:themeShade="BF"/>
          <w:sz w:val="22"/>
          <w:szCs w:val="22"/>
          <w:lang w:val="en-GB"/>
        </w:rPr>
      </w:pPr>
    </w:p>
    <w:p w14:paraId="01E28E3E"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has been ordinarily resident in Jersey in the 5 years preceding the date the application is made</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w:t>
      </w:r>
    </w:p>
    <w:p w14:paraId="6B778709" w14:textId="77777777" w:rsidR="00CC6682" w:rsidRPr="00791F1E" w:rsidRDefault="00CC6682" w:rsidP="00CC6682">
      <w:pPr>
        <w:pStyle w:val="ListParagraph"/>
        <w:rPr>
          <w:rFonts w:ascii="Arial" w:hAnsi="Arial" w:cs="Arial"/>
          <w:color w:val="7B7B7B" w:themeColor="accent3" w:themeShade="BF"/>
          <w:sz w:val="22"/>
          <w:szCs w:val="22"/>
          <w:lang w:val="en-GB"/>
        </w:rPr>
      </w:pPr>
    </w:p>
    <w:p w14:paraId="63844C0C"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has not been subject to a debt remission order (</w:t>
      </w:r>
      <w:r>
        <w:rPr>
          <w:rFonts w:ascii="Arial" w:hAnsi="Arial" w:cs="Arial"/>
          <w:b/>
          <w:color w:val="7B7B7B" w:themeColor="accent3" w:themeShade="BF"/>
          <w:sz w:val="22"/>
          <w:szCs w:val="22"/>
          <w:lang w:val="en-GB"/>
        </w:rPr>
        <w:t>DRO</w:t>
      </w:r>
      <w:r>
        <w:rPr>
          <w:rFonts w:ascii="Arial" w:hAnsi="Arial" w:cs="Arial"/>
          <w:color w:val="7B7B7B" w:themeColor="accent3" w:themeShade="BF"/>
          <w:sz w:val="22"/>
          <w:szCs w:val="22"/>
          <w:lang w:val="en-GB"/>
        </w:rPr>
        <w:t xml:space="preserve">) within the 5 years preceding the date the application is </w:t>
      </w:r>
      <w:proofErr w:type="gramStart"/>
      <w:r>
        <w:rPr>
          <w:rFonts w:ascii="Arial" w:hAnsi="Arial" w:cs="Arial"/>
          <w:color w:val="7B7B7B" w:themeColor="accent3" w:themeShade="BF"/>
          <w:sz w:val="22"/>
          <w:szCs w:val="22"/>
          <w:lang w:val="en-GB"/>
        </w:rPr>
        <w:t>made;</w:t>
      </w:r>
      <w:proofErr w:type="gramEnd"/>
    </w:p>
    <w:p w14:paraId="656648CA" w14:textId="77777777" w:rsidR="00CC6682" w:rsidRPr="006104F8" w:rsidRDefault="00CC6682" w:rsidP="00CC6682">
      <w:pPr>
        <w:pStyle w:val="ListParagraph"/>
        <w:rPr>
          <w:rFonts w:ascii="Arial" w:hAnsi="Arial" w:cs="Arial"/>
          <w:color w:val="7B7B7B" w:themeColor="accent3" w:themeShade="BF"/>
          <w:sz w:val="22"/>
          <w:szCs w:val="22"/>
          <w:lang w:val="en-GB"/>
        </w:rPr>
      </w:pPr>
    </w:p>
    <w:p w14:paraId="200364D2"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the debtor’s assets does not exceed GBP 5,000</w:t>
      </w:r>
      <w:r>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 xml:space="preserve"> ;</w:t>
      </w:r>
    </w:p>
    <w:p w14:paraId="3D3F944C" w14:textId="77777777" w:rsidR="00CC6682" w:rsidRPr="0023169A" w:rsidRDefault="00CC6682" w:rsidP="00CC6682">
      <w:pPr>
        <w:pStyle w:val="ListParagraph"/>
        <w:rPr>
          <w:rFonts w:ascii="Arial" w:hAnsi="Arial" w:cs="Arial"/>
          <w:color w:val="7B7B7B" w:themeColor="accent3" w:themeShade="BF"/>
          <w:sz w:val="22"/>
          <w:szCs w:val="22"/>
          <w:lang w:val="en-GB"/>
        </w:rPr>
      </w:pPr>
    </w:p>
    <w:p w14:paraId="4B28F070"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the debtor owes is less than GBP 20,000</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w:t>
      </w:r>
    </w:p>
    <w:p w14:paraId="2A75B1FD" w14:textId="77777777" w:rsidR="00CC6682" w:rsidRDefault="00CC6682" w:rsidP="00CC6682">
      <w:pPr>
        <w:jc w:val="both"/>
        <w:rPr>
          <w:rFonts w:ascii="Arial" w:hAnsi="Arial" w:cs="Arial"/>
          <w:color w:val="7B7B7B" w:themeColor="accent3" w:themeShade="BF"/>
          <w:sz w:val="22"/>
          <w:szCs w:val="22"/>
          <w:lang w:val="en-GB"/>
        </w:rPr>
      </w:pPr>
    </w:p>
    <w:p w14:paraId="0039FCF9" w14:textId="77777777" w:rsidR="00CC6682" w:rsidRDefault="00CC6682" w:rsidP="00CC66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above requirements, the DR 2016 mandates that a DRO is only available to debtors who have acted in good faith</w:t>
      </w:r>
      <w:r>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The DR 2016 then goes on to set out a non-exhaustive list of conduct that is not considered to be in “good faith”:</w:t>
      </w:r>
    </w:p>
    <w:p w14:paraId="4BAA8990" w14:textId="77777777" w:rsidR="00CC6682" w:rsidRDefault="00CC6682" w:rsidP="00CC6682">
      <w:pPr>
        <w:jc w:val="both"/>
        <w:rPr>
          <w:rFonts w:ascii="Arial" w:hAnsi="Arial" w:cs="Arial"/>
          <w:color w:val="7B7B7B" w:themeColor="accent3" w:themeShade="BF"/>
          <w:sz w:val="22"/>
          <w:szCs w:val="22"/>
          <w:lang w:val="en-GB"/>
        </w:rPr>
      </w:pPr>
    </w:p>
    <w:p w14:paraId="686C407D"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Failing to keep or produce records relating to the loss of property or business by a debtor</w:t>
      </w:r>
      <w:r>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 xml:space="preserve"> or carrying out an undervalue transaction</w:t>
      </w:r>
      <w:r>
        <w:rPr>
          <w:rStyle w:val="FootnoteReference"/>
          <w:rFonts w:ascii="Arial" w:hAnsi="Arial" w:cs="Arial"/>
          <w:color w:val="7B7B7B" w:themeColor="accent3" w:themeShade="BF"/>
          <w:sz w:val="22"/>
          <w:szCs w:val="22"/>
          <w:lang w:val="en-GB"/>
        </w:rPr>
        <w:footnoteReference w:id="27"/>
      </w:r>
      <w:r>
        <w:rPr>
          <w:rFonts w:ascii="Arial" w:hAnsi="Arial" w:cs="Arial"/>
          <w:color w:val="7B7B7B" w:themeColor="accent3" w:themeShade="BF"/>
          <w:sz w:val="22"/>
          <w:szCs w:val="22"/>
          <w:lang w:val="en-GB"/>
        </w:rPr>
        <w:t xml:space="preserve"> within two years of the date of the </w:t>
      </w:r>
      <w:proofErr w:type="gramStart"/>
      <w:r>
        <w:rPr>
          <w:rFonts w:ascii="Arial" w:hAnsi="Arial" w:cs="Arial"/>
          <w:color w:val="7B7B7B" w:themeColor="accent3" w:themeShade="BF"/>
          <w:sz w:val="22"/>
          <w:szCs w:val="22"/>
          <w:lang w:val="en-GB"/>
        </w:rPr>
        <w:t>application;</w:t>
      </w:r>
      <w:proofErr w:type="gramEnd"/>
    </w:p>
    <w:p w14:paraId="1BF2E835" w14:textId="77777777" w:rsidR="00CC6682" w:rsidRDefault="00CC6682" w:rsidP="00CC6682">
      <w:pPr>
        <w:pStyle w:val="ListParagraph"/>
        <w:jc w:val="both"/>
        <w:rPr>
          <w:rFonts w:ascii="Arial" w:hAnsi="Arial" w:cs="Arial"/>
          <w:color w:val="7B7B7B" w:themeColor="accent3" w:themeShade="BF"/>
          <w:sz w:val="22"/>
          <w:szCs w:val="22"/>
          <w:lang w:val="en-GB"/>
        </w:rPr>
      </w:pPr>
    </w:p>
    <w:p w14:paraId="50C30934"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Giving a preference within one year of the date preceding the date of the application</w:t>
      </w:r>
      <w:r>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w:t>
      </w:r>
    </w:p>
    <w:p w14:paraId="6544E276" w14:textId="77777777" w:rsidR="00CC6682" w:rsidRPr="00B011DB" w:rsidRDefault="00CC6682" w:rsidP="00CC6682">
      <w:pPr>
        <w:pStyle w:val="ListParagraph"/>
        <w:rPr>
          <w:rFonts w:ascii="Arial" w:hAnsi="Arial" w:cs="Arial"/>
          <w:color w:val="7B7B7B" w:themeColor="accent3" w:themeShade="BF"/>
          <w:sz w:val="22"/>
          <w:szCs w:val="22"/>
          <w:lang w:val="en-GB"/>
        </w:rPr>
      </w:pPr>
    </w:p>
    <w:p w14:paraId="1EB0A927"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Incurring a debt that the debtor knows or recklessly incurs that the debtor knows he/she would be unable to pay</w:t>
      </w:r>
      <w:r>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w:t>
      </w:r>
    </w:p>
    <w:p w14:paraId="7A56004D" w14:textId="77777777" w:rsidR="00CC6682" w:rsidRPr="001C4C80" w:rsidRDefault="00CC6682" w:rsidP="00CC6682">
      <w:pPr>
        <w:pStyle w:val="ListParagraph"/>
        <w:rPr>
          <w:rFonts w:ascii="Arial" w:hAnsi="Arial" w:cs="Arial"/>
          <w:color w:val="7B7B7B" w:themeColor="accent3" w:themeShade="BF"/>
          <w:sz w:val="22"/>
          <w:szCs w:val="22"/>
          <w:lang w:val="en-GB"/>
        </w:rPr>
      </w:pPr>
    </w:p>
    <w:p w14:paraId="50568095"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Fraud or fraudulent breach of trust</w:t>
      </w:r>
      <w:r>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w:t>
      </w:r>
    </w:p>
    <w:p w14:paraId="218FC2A6" w14:textId="77777777" w:rsidR="00CC6682" w:rsidRPr="001C4C80" w:rsidRDefault="00CC6682" w:rsidP="00CC6682">
      <w:pPr>
        <w:pStyle w:val="ListParagraph"/>
        <w:rPr>
          <w:rFonts w:ascii="Arial" w:hAnsi="Arial" w:cs="Arial"/>
          <w:color w:val="7B7B7B" w:themeColor="accent3" w:themeShade="BF"/>
          <w:sz w:val="22"/>
          <w:szCs w:val="22"/>
          <w:lang w:val="en-GB"/>
        </w:rPr>
      </w:pPr>
    </w:p>
    <w:p w14:paraId="232B3113"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Failing to cooperate with the Viscount</w:t>
      </w:r>
      <w:r>
        <w:rPr>
          <w:rStyle w:val="FootnoteReference"/>
          <w:rFonts w:ascii="Arial" w:hAnsi="Arial" w:cs="Arial"/>
          <w:color w:val="7B7B7B" w:themeColor="accent3" w:themeShade="BF"/>
          <w:sz w:val="22"/>
          <w:szCs w:val="22"/>
          <w:lang w:val="en-GB"/>
        </w:rPr>
        <w:footnoteReference w:id="31"/>
      </w:r>
      <w:r>
        <w:rPr>
          <w:rFonts w:ascii="Arial" w:hAnsi="Arial" w:cs="Arial"/>
          <w:color w:val="7B7B7B" w:themeColor="accent3" w:themeShade="BF"/>
          <w:sz w:val="22"/>
          <w:szCs w:val="22"/>
          <w:lang w:val="en-GB"/>
        </w:rPr>
        <w:t>;</w:t>
      </w:r>
    </w:p>
    <w:p w14:paraId="4B06666A" w14:textId="77777777" w:rsidR="00CC6682" w:rsidRPr="001C4C80" w:rsidRDefault="00CC6682" w:rsidP="00CC6682">
      <w:pPr>
        <w:pStyle w:val="ListParagraph"/>
        <w:rPr>
          <w:rFonts w:ascii="Arial" w:hAnsi="Arial" w:cs="Arial"/>
          <w:color w:val="7B7B7B" w:themeColor="accent3" w:themeShade="BF"/>
          <w:sz w:val="22"/>
          <w:szCs w:val="22"/>
          <w:lang w:val="en-GB"/>
        </w:rPr>
      </w:pPr>
    </w:p>
    <w:p w14:paraId="4F93D968" w14:textId="77777777" w:rsidR="00CC6682"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Carrying on gambling which may materially contribute or increase the debtor’s ability to pay its debt</w:t>
      </w:r>
      <w:r>
        <w:rPr>
          <w:rStyle w:val="FootnoteReference"/>
          <w:rFonts w:ascii="Arial" w:hAnsi="Arial" w:cs="Arial"/>
          <w:color w:val="7B7B7B" w:themeColor="accent3" w:themeShade="BF"/>
          <w:sz w:val="22"/>
          <w:szCs w:val="22"/>
          <w:lang w:val="en-GB"/>
        </w:rPr>
        <w:footnoteReference w:id="32"/>
      </w:r>
      <w:r>
        <w:rPr>
          <w:rFonts w:ascii="Arial" w:hAnsi="Arial" w:cs="Arial"/>
          <w:color w:val="7B7B7B" w:themeColor="accent3" w:themeShade="BF"/>
          <w:sz w:val="22"/>
          <w:szCs w:val="22"/>
          <w:lang w:val="en-GB"/>
        </w:rPr>
        <w:t>;  or</w:t>
      </w:r>
    </w:p>
    <w:p w14:paraId="76085002" w14:textId="77777777" w:rsidR="00CC6682" w:rsidRPr="005846D4" w:rsidRDefault="00CC6682" w:rsidP="00CC6682">
      <w:pPr>
        <w:pStyle w:val="ListParagraph"/>
        <w:rPr>
          <w:rFonts w:ascii="Arial" w:hAnsi="Arial" w:cs="Arial"/>
          <w:color w:val="7B7B7B" w:themeColor="accent3" w:themeShade="BF"/>
          <w:sz w:val="22"/>
          <w:szCs w:val="22"/>
          <w:lang w:val="en-GB"/>
        </w:rPr>
      </w:pPr>
    </w:p>
    <w:p w14:paraId="37F245C7" w14:textId="77777777" w:rsidR="00CC6682" w:rsidRPr="00635BF9" w:rsidRDefault="00CC668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Failing to account satisfactorily for loss of property or insufficient property to meet the debtor’s debts</w:t>
      </w:r>
      <w:r>
        <w:rPr>
          <w:rStyle w:val="FootnoteReference"/>
          <w:rFonts w:ascii="Arial" w:hAnsi="Arial" w:cs="Arial"/>
          <w:color w:val="7B7B7B" w:themeColor="accent3" w:themeShade="BF"/>
          <w:sz w:val="22"/>
          <w:szCs w:val="22"/>
          <w:lang w:val="en-GB"/>
        </w:rPr>
        <w:footnoteReference w:id="33"/>
      </w:r>
      <w:r>
        <w:rPr>
          <w:rFonts w:ascii="Arial" w:hAnsi="Arial" w:cs="Arial"/>
          <w:color w:val="7B7B7B" w:themeColor="accent3" w:themeShade="BF"/>
          <w:sz w:val="22"/>
          <w:szCs w:val="22"/>
          <w:lang w:val="en-GB"/>
        </w:rPr>
        <w:t>.</w:t>
      </w: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proofErr w:type="spellStart"/>
      <w:r w:rsidRPr="00DD5716">
        <w:rPr>
          <w:rFonts w:ascii="Arial" w:hAnsi="Arial" w:cs="Arial"/>
          <w:i/>
          <w:iCs/>
          <w:sz w:val="22"/>
          <w:szCs w:val="22"/>
          <w:lang w:val="en-GB"/>
        </w:rPr>
        <w:t>Désastre</w:t>
      </w:r>
      <w:proofErr w:type="spellEnd"/>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proofErr w:type="spellStart"/>
      <w:r w:rsidRPr="00E13608">
        <w:rPr>
          <w:rFonts w:ascii="Arial" w:hAnsi="Arial" w:cs="Arial"/>
          <w:i/>
          <w:iCs/>
          <w:sz w:val="22"/>
          <w:szCs w:val="22"/>
          <w:lang w:val="en-GB"/>
        </w:rPr>
        <w:t>Désastre</w:t>
      </w:r>
      <w:proofErr w:type="spellEnd"/>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proofErr w:type="spellStart"/>
      <w:r w:rsidRPr="00E13608">
        <w:rPr>
          <w:rFonts w:ascii="Arial" w:hAnsi="Arial" w:cs="Arial"/>
          <w:i/>
          <w:iCs/>
          <w:sz w:val="22"/>
          <w:szCs w:val="22"/>
          <w:lang w:val="en-GB"/>
        </w:rPr>
        <w:t>Désastre</w:t>
      </w:r>
      <w:proofErr w:type="spellEnd"/>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proofErr w:type="spellStart"/>
      <w:r w:rsidRPr="00E13608">
        <w:rPr>
          <w:rFonts w:ascii="Arial" w:hAnsi="Arial" w:cs="Arial"/>
          <w:i/>
          <w:iCs/>
          <w:sz w:val="22"/>
          <w:szCs w:val="22"/>
          <w:lang w:val="en-GB"/>
        </w:rPr>
        <w:t>Désastre</w:t>
      </w:r>
      <w:proofErr w:type="spellEnd"/>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498E4110" w14:textId="77777777" w:rsidR="009A152B" w:rsidRPr="00AD6DD9" w:rsidRDefault="009A152B" w:rsidP="00AD6DD9">
      <w:pPr>
        <w:rPr>
          <w:rFonts w:ascii="Arial" w:hAnsi="Arial" w:cs="Arial"/>
          <w:sz w:val="22"/>
          <w:szCs w:val="22"/>
          <w:lang w:val="en-GB"/>
        </w:rPr>
      </w:pPr>
    </w:p>
    <w:p w14:paraId="6E612369" w14:textId="77777777" w:rsidR="00E13608" w:rsidRDefault="00A67287">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proofErr w:type="spellStart"/>
      <w:r w:rsidRPr="00E13608">
        <w:rPr>
          <w:rFonts w:ascii="Arial" w:hAnsi="Arial" w:cs="Arial"/>
          <w:i/>
          <w:iCs/>
          <w:sz w:val="22"/>
          <w:szCs w:val="22"/>
          <w:lang w:val="en-GB"/>
        </w:rPr>
        <w:t>Désastre</w:t>
      </w:r>
      <w:proofErr w:type="spellEnd"/>
    </w:p>
    <w:p w14:paraId="46E910E8" w14:textId="77777777" w:rsidR="00A67287" w:rsidRPr="002A37BB" w:rsidRDefault="00A67287" w:rsidP="002A37BB">
      <w:pPr>
        <w:jc w:val="both"/>
        <w:rPr>
          <w:rFonts w:ascii="Arial" w:hAnsi="Arial" w:cs="Arial"/>
          <w:sz w:val="22"/>
          <w:szCs w:val="22"/>
        </w:rPr>
      </w:pPr>
    </w:p>
    <w:p w14:paraId="49651F8C"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color w:val="7B7B7B" w:themeColor="accent3" w:themeShade="BF"/>
          <w:sz w:val="22"/>
          <w:szCs w:val="22"/>
          <w:lang w:val="en-GB"/>
        </w:rPr>
        <w:t xml:space="preserve">In Jersey, the most common method for a creditor to enforce its rights against a debt is by the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i/>
          <w:iCs/>
          <w:color w:val="7B7B7B" w:themeColor="accent3" w:themeShade="BF"/>
          <w:sz w:val="22"/>
          <w:szCs w:val="22"/>
          <w:lang w:val="en-GB"/>
        </w:rPr>
        <w:t xml:space="preserve"> </w:t>
      </w:r>
      <w:r>
        <w:rPr>
          <w:rFonts w:ascii="Arial" w:hAnsi="Arial" w:cs="Arial"/>
          <w:iCs/>
          <w:color w:val="7B7B7B" w:themeColor="accent3" w:themeShade="BF"/>
          <w:sz w:val="22"/>
          <w:szCs w:val="22"/>
          <w:lang w:val="en-GB"/>
        </w:rPr>
        <w:t>process under the BL 1990</w:t>
      </w:r>
      <w:r>
        <w:rPr>
          <w:rStyle w:val="FootnoteReference"/>
          <w:rFonts w:ascii="Arial" w:hAnsi="Arial" w:cs="Arial"/>
          <w:iCs/>
          <w:color w:val="7B7B7B" w:themeColor="accent3" w:themeShade="BF"/>
          <w:sz w:val="22"/>
          <w:szCs w:val="22"/>
          <w:lang w:val="en-GB"/>
        </w:rPr>
        <w:footnoteReference w:id="34"/>
      </w:r>
      <w:r>
        <w:rPr>
          <w:rFonts w:ascii="Arial" w:hAnsi="Arial" w:cs="Arial"/>
          <w:iCs/>
          <w:color w:val="7B7B7B" w:themeColor="accent3" w:themeShade="BF"/>
          <w:sz w:val="22"/>
          <w:szCs w:val="22"/>
          <w:lang w:val="en-GB"/>
        </w:rPr>
        <w:t xml:space="preserve">. </w:t>
      </w:r>
    </w:p>
    <w:p w14:paraId="47782CE7" w14:textId="77777777" w:rsidR="005D4BD9" w:rsidRDefault="005D4BD9" w:rsidP="005D4BD9">
      <w:pPr>
        <w:jc w:val="both"/>
        <w:rPr>
          <w:rFonts w:ascii="Arial" w:hAnsi="Arial" w:cs="Arial"/>
          <w:iCs/>
          <w:color w:val="7B7B7B" w:themeColor="accent3" w:themeShade="BF"/>
          <w:sz w:val="22"/>
          <w:szCs w:val="22"/>
          <w:lang w:val="en-GB"/>
        </w:rPr>
      </w:pPr>
    </w:p>
    <w:p w14:paraId="685F7B19"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Article 3(1) of the BL 1990 confers standing on certain person(s) to bring an application for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iCs/>
          <w:color w:val="7B7B7B" w:themeColor="accent3" w:themeShade="BF"/>
          <w:sz w:val="22"/>
          <w:szCs w:val="22"/>
          <w:lang w:val="en-GB"/>
        </w:rPr>
        <w:t>. Specifically, an application may be made by:</w:t>
      </w:r>
    </w:p>
    <w:p w14:paraId="32025E7A" w14:textId="77777777" w:rsidR="005D4BD9" w:rsidRDefault="005D4BD9" w:rsidP="005D4BD9">
      <w:pPr>
        <w:pStyle w:val="ListParagraph"/>
        <w:jc w:val="both"/>
        <w:rPr>
          <w:rFonts w:ascii="Arial" w:hAnsi="Arial" w:cs="Arial"/>
          <w:iCs/>
          <w:color w:val="7B7B7B" w:themeColor="accent3" w:themeShade="BF"/>
          <w:sz w:val="22"/>
          <w:szCs w:val="22"/>
          <w:lang w:val="en-GB"/>
        </w:rPr>
      </w:pPr>
    </w:p>
    <w:p w14:paraId="1FEF337B" w14:textId="77777777" w:rsidR="005D4BD9" w:rsidRDefault="005D4BD9">
      <w:pPr>
        <w:pStyle w:val="ListParagraph"/>
        <w:numPr>
          <w:ilvl w:val="0"/>
          <w:numId w:val="1"/>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A creditor of the debtor with a claim against the debtor not less than such liquidated sum</w:t>
      </w:r>
      <w:r>
        <w:rPr>
          <w:rStyle w:val="FootnoteReference"/>
          <w:rFonts w:ascii="Arial" w:hAnsi="Arial" w:cs="Arial"/>
          <w:iCs/>
          <w:color w:val="7B7B7B" w:themeColor="accent3" w:themeShade="BF"/>
          <w:sz w:val="22"/>
          <w:szCs w:val="22"/>
          <w:lang w:val="en-GB"/>
        </w:rPr>
        <w:footnoteReference w:id="35"/>
      </w:r>
      <w:r>
        <w:rPr>
          <w:rFonts w:ascii="Arial" w:hAnsi="Arial" w:cs="Arial"/>
          <w:iCs/>
          <w:color w:val="7B7B7B" w:themeColor="accent3" w:themeShade="BF"/>
          <w:sz w:val="22"/>
          <w:szCs w:val="22"/>
          <w:lang w:val="en-GB"/>
        </w:rPr>
        <w:t xml:space="preserve"> (being JEP$ 3,000</w:t>
      </w:r>
      <w:r>
        <w:rPr>
          <w:rStyle w:val="FootnoteReference"/>
          <w:rFonts w:ascii="Arial" w:hAnsi="Arial" w:cs="Arial"/>
          <w:iCs/>
          <w:color w:val="7B7B7B" w:themeColor="accent3" w:themeShade="BF"/>
          <w:sz w:val="22"/>
          <w:szCs w:val="22"/>
          <w:lang w:val="en-GB"/>
        </w:rPr>
        <w:footnoteReference w:id="36"/>
      </w:r>
      <w:proofErr w:type="gramStart"/>
      <w:r>
        <w:rPr>
          <w:rFonts w:ascii="Arial" w:hAnsi="Arial" w:cs="Arial"/>
          <w:iCs/>
          <w:color w:val="7B7B7B" w:themeColor="accent3" w:themeShade="BF"/>
          <w:sz w:val="22"/>
          <w:szCs w:val="22"/>
          <w:lang w:val="en-GB"/>
        </w:rPr>
        <w:t>);</w:t>
      </w:r>
      <w:proofErr w:type="gramEnd"/>
    </w:p>
    <w:p w14:paraId="3696C243" w14:textId="77777777" w:rsidR="005D4BD9" w:rsidRDefault="005D4BD9">
      <w:pPr>
        <w:pStyle w:val="ListParagraph"/>
        <w:numPr>
          <w:ilvl w:val="0"/>
          <w:numId w:val="1"/>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debtor</w:t>
      </w:r>
      <w:r>
        <w:rPr>
          <w:rStyle w:val="FootnoteReference"/>
          <w:rFonts w:ascii="Arial" w:hAnsi="Arial" w:cs="Arial"/>
          <w:iCs/>
          <w:color w:val="7B7B7B" w:themeColor="accent3" w:themeShade="BF"/>
          <w:sz w:val="22"/>
          <w:szCs w:val="22"/>
          <w:lang w:val="en-GB"/>
        </w:rPr>
        <w:footnoteReference w:id="37"/>
      </w:r>
      <w:r>
        <w:rPr>
          <w:rFonts w:ascii="Arial" w:hAnsi="Arial" w:cs="Arial"/>
          <w:iCs/>
          <w:color w:val="7B7B7B" w:themeColor="accent3" w:themeShade="BF"/>
          <w:sz w:val="22"/>
          <w:szCs w:val="22"/>
          <w:lang w:val="en-GB"/>
        </w:rPr>
        <w:t>; or</w:t>
      </w:r>
    </w:p>
    <w:p w14:paraId="50A7503E" w14:textId="77777777" w:rsidR="005D4BD9" w:rsidRDefault="005D4BD9">
      <w:pPr>
        <w:pStyle w:val="ListParagraph"/>
        <w:numPr>
          <w:ilvl w:val="0"/>
          <w:numId w:val="1"/>
        </w:num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The Jersey Financial Services Commission in respect of regulated business activities</w:t>
      </w:r>
      <w:r>
        <w:rPr>
          <w:rStyle w:val="FootnoteReference"/>
          <w:rFonts w:ascii="Arial" w:hAnsi="Arial" w:cs="Arial"/>
          <w:iCs/>
          <w:color w:val="7B7B7B" w:themeColor="accent3" w:themeShade="BF"/>
          <w:sz w:val="22"/>
          <w:szCs w:val="22"/>
          <w:lang w:val="en-GB"/>
        </w:rPr>
        <w:footnoteReference w:id="38"/>
      </w:r>
      <w:r>
        <w:rPr>
          <w:rFonts w:ascii="Arial" w:hAnsi="Arial" w:cs="Arial"/>
          <w:iCs/>
          <w:color w:val="7B7B7B" w:themeColor="accent3" w:themeShade="BF"/>
          <w:sz w:val="22"/>
          <w:szCs w:val="22"/>
          <w:lang w:val="en-GB"/>
        </w:rPr>
        <w:t>.</w:t>
      </w:r>
    </w:p>
    <w:p w14:paraId="3DBE3470" w14:textId="77777777" w:rsidR="005D4BD9" w:rsidRDefault="005D4BD9" w:rsidP="005D4BD9">
      <w:pPr>
        <w:jc w:val="both"/>
        <w:rPr>
          <w:rFonts w:ascii="Arial" w:hAnsi="Arial" w:cs="Arial"/>
          <w:iCs/>
          <w:color w:val="7B7B7B" w:themeColor="accent3" w:themeShade="BF"/>
          <w:sz w:val="22"/>
          <w:szCs w:val="22"/>
          <w:lang w:val="en-GB"/>
        </w:rPr>
      </w:pPr>
    </w:p>
    <w:p w14:paraId="44EE8554"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Article 4 of the BL 1990 then goes on to state the person(s) who may be subject to an application for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iCs/>
          <w:color w:val="7B7B7B" w:themeColor="accent3" w:themeShade="BF"/>
          <w:sz w:val="22"/>
          <w:szCs w:val="22"/>
          <w:lang w:val="en-GB"/>
        </w:rPr>
        <w:t xml:space="preserve">. The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iCs/>
          <w:color w:val="7B7B7B" w:themeColor="accent3" w:themeShade="BF"/>
          <w:sz w:val="22"/>
          <w:szCs w:val="22"/>
          <w:lang w:val="en-GB"/>
        </w:rPr>
        <w:t xml:space="preserve"> procedure applies to individuals and corporate entities, provided that the statutory requirements are satisfied. As regards individuals, said individual must be resident</w:t>
      </w:r>
      <w:r>
        <w:rPr>
          <w:rStyle w:val="FootnoteReference"/>
          <w:rFonts w:ascii="Arial" w:hAnsi="Arial" w:cs="Arial"/>
          <w:iCs/>
          <w:color w:val="7B7B7B" w:themeColor="accent3" w:themeShade="BF"/>
          <w:sz w:val="22"/>
          <w:szCs w:val="22"/>
          <w:lang w:val="en-GB"/>
        </w:rPr>
        <w:footnoteReference w:id="39"/>
      </w:r>
      <w:r>
        <w:rPr>
          <w:rFonts w:ascii="Arial" w:hAnsi="Arial" w:cs="Arial"/>
          <w:iCs/>
          <w:color w:val="7B7B7B" w:themeColor="accent3" w:themeShade="BF"/>
          <w:sz w:val="22"/>
          <w:szCs w:val="22"/>
          <w:lang w:val="en-GB"/>
        </w:rPr>
        <w:t xml:space="preserve"> or was resident in Jersey in 12 months ending with the date of the application</w:t>
      </w:r>
      <w:r>
        <w:rPr>
          <w:rStyle w:val="FootnoteReference"/>
          <w:rFonts w:ascii="Arial" w:hAnsi="Arial" w:cs="Arial"/>
          <w:iCs/>
          <w:color w:val="7B7B7B" w:themeColor="accent3" w:themeShade="BF"/>
          <w:sz w:val="22"/>
          <w:szCs w:val="22"/>
          <w:lang w:val="en-GB"/>
        </w:rPr>
        <w:footnoteReference w:id="40"/>
      </w:r>
      <w:r>
        <w:rPr>
          <w:rFonts w:ascii="Arial" w:hAnsi="Arial" w:cs="Arial"/>
          <w:iCs/>
          <w:color w:val="7B7B7B" w:themeColor="accent3" w:themeShade="BF"/>
          <w:sz w:val="22"/>
          <w:szCs w:val="22"/>
          <w:lang w:val="en-GB"/>
        </w:rPr>
        <w:t>; or carries on</w:t>
      </w:r>
      <w:r>
        <w:rPr>
          <w:rStyle w:val="FootnoteReference"/>
          <w:rFonts w:ascii="Arial" w:hAnsi="Arial" w:cs="Arial"/>
          <w:iCs/>
          <w:color w:val="7B7B7B" w:themeColor="accent3" w:themeShade="BF"/>
          <w:sz w:val="22"/>
          <w:szCs w:val="22"/>
          <w:lang w:val="en-GB"/>
        </w:rPr>
        <w:footnoteReference w:id="41"/>
      </w:r>
      <w:r>
        <w:rPr>
          <w:rFonts w:ascii="Arial" w:hAnsi="Arial" w:cs="Arial"/>
          <w:iCs/>
          <w:color w:val="7B7B7B" w:themeColor="accent3" w:themeShade="BF"/>
          <w:sz w:val="22"/>
          <w:szCs w:val="22"/>
          <w:lang w:val="en-GB"/>
        </w:rPr>
        <w:t xml:space="preserve"> or has carried on business in Jersey in 3 years ending with the date of the application</w:t>
      </w:r>
      <w:r>
        <w:rPr>
          <w:rStyle w:val="FootnoteReference"/>
          <w:rFonts w:ascii="Arial" w:hAnsi="Arial" w:cs="Arial"/>
          <w:iCs/>
          <w:color w:val="7B7B7B" w:themeColor="accent3" w:themeShade="BF"/>
          <w:sz w:val="22"/>
          <w:szCs w:val="22"/>
          <w:lang w:val="en-GB"/>
        </w:rPr>
        <w:footnoteReference w:id="42"/>
      </w:r>
      <w:r>
        <w:rPr>
          <w:rFonts w:ascii="Arial" w:hAnsi="Arial" w:cs="Arial"/>
          <w:iCs/>
          <w:color w:val="7B7B7B" w:themeColor="accent3" w:themeShade="BF"/>
          <w:sz w:val="22"/>
          <w:szCs w:val="22"/>
          <w:lang w:val="en-GB"/>
        </w:rPr>
        <w:t>. In addition to the above, an application may be made against (1) an individual who has moveable property in Jersey capable of realization at the time of the application</w:t>
      </w:r>
      <w:r>
        <w:rPr>
          <w:rStyle w:val="FootnoteReference"/>
          <w:rFonts w:ascii="Arial" w:hAnsi="Arial" w:cs="Arial"/>
          <w:iCs/>
          <w:color w:val="7B7B7B" w:themeColor="accent3" w:themeShade="BF"/>
          <w:sz w:val="22"/>
          <w:szCs w:val="22"/>
          <w:lang w:val="en-GB"/>
        </w:rPr>
        <w:footnoteReference w:id="43"/>
      </w:r>
      <w:r>
        <w:rPr>
          <w:rFonts w:ascii="Arial" w:hAnsi="Arial" w:cs="Arial"/>
          <w:iCs/>
          <w:color w:val="7B7B7B" w:themeColor="accent3" w:themeShade="BF"/>
          <w:sz w:val="22"/>
          <w:szCs w:val="22"/>
          <w:lang w:val="en-GB"/>
        </w:rPr>
        <w:t>; (2) a company registered under the laws of Jersey or has been dissolved under the CL 1991 or</w:t>
      </w:r>
      <w:r>
        <w:rPr>
          <w:rStyle w:val="FootnoteReference"/>
          <w:rFonts w:ascii="Arial" w:hAnsi="Arial" w:cs="Arial"/>
          <w:iCs/>
          <w:color w:val="7B7B7B" w:themeColor="accent3" w:themeShade="BF"/>
          <w:sz w:val="22"/>
          <w:szCs w:val="22"/>
          <w:lang w:val="en-GB"/>
        </w:rPr>
        <w:footnoteReference w:id="44"/>
      </w:r>
      <w:r>
        <w:rPr>
          <w:rFonts w:ascii="Arial" w:hAnsi="Arial" w:cs="Arial"/>
          <w:iCs/>
          <w:color w:val="7B7B7B" w:themeColor="accent3" w:themeShade="BF"/>
          <w:sz w:val="22"/>
          <w:szCs w:val="22"/>
          <w:lang w:val="en-GB"/>
        </w:rPr>
        <w:t>; an incorporated limited partnership</w:t>
      </w:r>
      <w:r>
        <w:rPr>
          <w:rStyle w:val="FootnoteReference"/>
          <w:rFonts w:ascii="Arial" w:hAnsi="Arial" w:cs="Arial"/>
          <w:iCs/>
          <w:color w:val="7B7B7B" w:themeColor="accent3" w:themeShade="BF"/>
          <w:sz w:val="22"/>
          <w:szCs w:val="22"/>
          <w:lang w:val="en-GB"/>
        </w:rPr>
        <w:footnoteReference w:id="45"/>
      </w:r>
      <w:r>
        <w:rPr>
          <w:rFonts w:ascii="Arial" w:hAnsi="Arial" w:cs="Arial"/>
          <w:iCs/>
          <w:color w:val="7B7B7B" w:themeColor="accent3" w:themeShade="BF"/>
          <w:sz w:val="22"/>
          <w:szCs w:val="22"/>
          <w:lang w:val="en-GB"/>
        </w:rPr>
        <w:t xml:space="preserve"> or limited liability partnership</w:t>
      </w:r>
      <w:r>
        <w:rPr>
          <w:rStyle w:val="FootnoteReference"/>
          <w:rFonts w:ascii="Arial" w:hAnsi="Arial" w:cs="Arial"/>
          <w:iCs/>
          <w:color w:val="7B7B7B" w:themeColor="accent3" w:themeShade="BF"/>
          <w:sz w:val="22"/>
          <w:szCs w:val="22"/>
          <w:lang w:val="en-GB"/>
        </w:rPr>
        <w:footnoteReference w:id="46"/>
      </w:r>
      <w:r>
        <w:rPr>
          <w:rFonts w:ascii="Arial" w:hAnsi="Arial" w:cs="Arial"/>
          <w:iCs/>
          <w:color w:val="7B7B7B" w:themeColor="accent3" w:themeShade="BF"/>
          <w:sz w:val="22"/>
          <w:szCs w:val="22"/>
          <w:lang w:val="en-GB"/>
        </w:rPr>
        <w:t>.</w:t>
      </w:r>
    </w:p>
    <w:p w14:paraId="0D7DBCCA" w14:textId="77777777" w:rsidR="005D4BD9" w:rsidRDefault="005D4BD9" w:rsidP="005D4BD9">
      <w:pPr>
        <w:jc w:val="both"/>
        <w:rPr>
          <w:rFonts w:ascii="Arial" w:hAnsi="Arial" w:cs="Arial"/>
          <w:iCs/>
          <w:color w:val="7B7B7B" w:themeColor="accent3" w:themeShade="BF"/>
          <w:sz w:val="22"/>
          <w:szCs w:val="22"/>
          <w:lang w:val="en-GB"/>
        </w:rPr>
      </w:pPr>
    </w:p>
    <w:p w14:paraId="2BC0399F"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The application is made by a creditor (as set out in Article 3(1)) by filing a </w:t>
      </w:r>
      <w:proofErr w:type="spellStart"/>
      <w:r>
        <w:rPr>
          <w:rFonts w:ascii="Arial" w:hAnsi="Arial" w:cs="Arial"/>
          <w:iCs/>
          <w:color w:val="7B7B7B" w:themeColor="accent3" w:themeShade="BF"/>
          <w:sz w:val="22"/>
          <w:szCs w:val="22"/>
          <w:lang w:val="en-GB"/>
        </w:rPr>
        <w:t>demande</w:t>
      </w:r>
      <w:proofErr w:type="spellEnd"/>
      <w:r>
        <w:rPr>
          <w:rFonts w:ascii="Arial" w:hAnsi="Arial" w:cs="Arial"/>
          <w:iCs/>
          <w:color w:val="7B7B7B" w:themeColor="accent3" w:themeShade="BF"/>
          <w:sz w:val="22"/>
          <w:szCs w:val="22"/>
          <w:lang w:val="en-GB"/>
        </w:rPr>
        <w:t xml:space="preserve">. The </w:t>
      </w:r>
      <w:proofErr w:type="spellStart"/>
      <w:r>
        <w:rPr>
          <w:rFonts w:ascii="Arial" w:hAnsi="Arial" w:cs="Arial"/>
          <w:iCs/>
          <w:color w:val="7B7B7B" w:themeColor="accent3" w:themeShade="BF"/>
          <w:sz w:val="22"/>
          <w:szCs w:val="22"/>
          <w:lang w:val="en-GB"/>
        </w:rPr>
        <w:t>demande</w:t>
      </w:r>
      <w:proofErr w:type="spellEnd"/>
      <w:r>
        <w:rPr>
          <w:rFonts w:ascii="Arial" w:hAnsi="Arial" w:cs="Arial"/>
          <w:iCs/>
          <w:color w:val="7B7B7B" w:themeColor="accent3" w:themeShade="BF"/>
          <w:sz w:val="22"/>
          <w:szCs w:val="22"/>
          <w:lang w:val="en-GB"/>
        </w:rPr>
        <w:t xml:space="preserve"> must be supported by an affidavit that sets out (1) the details of the debtor’s belief that the debtor is insolvent (on a cash flow basis); (2) the debtor has realizable assets; (3) that the requisite notice (i.e., 48 hours) of the intent to bring the application; and (4) where the applicant is a creditor, the full details of the debt which forms the subject matter of the application</w:t>
      </w:r>
      <w:r>
        <w:rPr>
          <w:rStyle w:val="FootnoteReference"/>
          <w:rFonts w:ascii="Arial" w:hAnsi="Arial" w:cs="Arial"/>
          <w:iCs/>
          <w:color w:val="7B7B7B" w:themeColor="accent3" w:themeShade="BF"/>
          <w:sz w:val="22"/>
          <w:szCs w:val="22"/>
          <w:lang w:val="en-GB"/>
        </w:rPr>
        <w:footnoteReference w:id="47"/>
      </w:r>
      <w:r>
        <w:rPr>
          <w:rFonts w:ascii="Arial" w:hAnsi="Arial" w:cs="Arial"/>
          <w:iCs/>
          <w:color w:val="7B7B7B" w:themeColor="accent3" w:themeShade="BF"/>
          <w:sz w:val="22"/>
          <w:szCs w:val="22"/>
          <w:lang w:val="en-GB"/>
        </w:rPr>
        <w:t xml:space="preserve">. This application may be made </w:t>
      </w:r>
      <w:r>
        <w:rPr>
          <w:rFonts w:ascii="Arial" w:hAnsi="Arial" w:cs="Arial"/>
          <w:i/>
          <w:iCs/>
          <w:color w:val="7B7B7B" w:themeColor="accent3" w:themeShade="BF"/>
          <w:sz w:val="22"/>
          <w:szCs w:val="22"/>
          <w:lang w:val="en-GB"/>
        </w:rPr>
        <w:t xml:space="preserve">ex </w:t>
      </w:r>
      <w:proofErr w:type="spellStart"/>
      <w:r>
        <w:rPr>
          <w:rFonts w:ascii="Arial" w:hAnsi="Arial" w:cs="Arial"/>
          <w:i/>
          <w:iCs/>
          <w:color w:val="7B7B7B" w:themeColor="accent3" w:themeShade="BF"/>
          <w:sz w:val="22"/>
          <w:szCs w:val="22"/>
          <w:lang w:val="en-GB"/>
        </w:rPr>
        <w:t>parte</w:t>
      </w:r>
      <w:proofErr w:type="spellEnd"/>
      <w:r>
        <w:rPr>
          <w:rFonts w:ascii="Arial" w:hAnsi="Arial" w:cs="Arial"/>
          <w:iCs/>
          <w:color w:val="7B7B7B" w:themeColor="accent3" w:themeShade="BF"/>
          <w:sz w:val="22"/>
          <w:szCs w:val="22"/>
          <w:lang w:val="en-GB"/>
        </w:rPr>
        <w:t xml:space="preserve">; however, consideration must be given to whether to proceed on an </w:t>
      </w:r>
      <w:r>
        <w:rPr>
          <w:rFonts w:ascii="Arial" w:hAnsi="Arial" w:cs="Arial"/>
          <w:i/>
          <w:iCs/>
          <w:color w:val="7B7B7B" w:themeColor="accent3" w:themeShade="BF"/>
          <w:sz w:val="22"/>
          <w:szCs w:val="22"/>
          <w:lang w:val="en-GB"/>
        </w:rPr>
        <w:t xml:space="preserve">ex </w:t>
      </w:r>
      <w:proofErr w:type="spellStart"/>
      <w:r>
        <w:rPr>
          <w:rFonts w:ascii="Arial" w:hAnsi="Arial" w:cs="Arial"/>
          <w:i/>
          <w:iCs/>
          <w:color w:val="7B7B7B" w:themeColor="accent3" w:themeShade="BF"/>
          <w:sz w:val="22"/>
          <w:szCs w:val="22"/>
          <w:lang w:val="en-GB"/>
        </w:rPr>
        <w:t>parte</w:t>
      </w:r>
      <w:proofErr w:type="spellEnd"/>
      <w:r>
        <w:rPr>
          <w:rFonts w:ascii="Arial" w:hAnsi="Arial" w:cs="Arial"/>
          <w:iCs/>
          <w:color w:val="7B7B7B" w:themeColor="accent3" w:themeShade="BF"/>
          <w:sz w:val="22"/>
          <w:szCs w:val="22"/>
          <w:lang w:val="en-GB"/>
        </w:rPr>
        <w:t xml:space="preserve"> basis, as the applicant is under a duty of full and frank disclosure. Moreover, the court may adjourn an </w:t>
      </w:r>
      <w:r>
        <w:rPr>
          <w:rFonts w:ascii="Arial" w:hAnsi="Arial" w:cs="Arial"/>
          <w:i/>
          <w:iCs/>
          <w:color w:val="7B7B7B" w:themeColor="accent3" w:themeShade="BF"/>
          <w:sz w:val="22"/>
          <w:szCs w:val="22"/>
          <w:lang w:val="en-GB"/>
        </w:rPr>
        <w:t xml:space="preserve">ex </w:t>
      </w:r>
      <w:proofErr w:type="spellStart"/>
      <w:r>
        <w:rPr>
          <w:rFonts w:ascii="Arial" w:hAnsi="Arial" w:cs="Arial"/>
          <w:i/>
          <w:iCs/>
          <w:color w:val="7B7B7B" w:themeColor="accent3" w:themeShade="BF"/>
          <w:sz w:val="22"/>
          <w:szCs w:val="22"/>
          <w:lang w:val="en-GB"/>
        </w:rPr>
        <w:t>parte</w:t>
      </w:r>
      <w:proofErr w:type="spellEnd"/>
      <w:r>
        <w:rPr>
          <w:rFonts w:ascii="Arial" w:hAnsi="Arial" w:cs="Arial"/>
          <w:iCs/>
          <w:color w:val="7B7B7B" w:themeColor="accent3" w:themeShade="BF"/>
          <w:sz w:val="22"/>
          <w:szCs w:val="22"/>
          <w:lang w:val="en-GB"/>
        </w:rPr>
        <w:t xml:space="preserve"> application to a later date to allow for an </w:t>
      </w:r>
      <w:r>
        <w:rPr>
          <w:rFonts w:ascii="Arial" w:hAnsi="Arial" w:cs="Arial"/>
          <w:i/>
          <w:iCs/>
          <w:color w:val="7B7B7B" w:themeColor="accent3" w:themeShade="BF"/>
          <w:sz w:val="22"/>
          <w:szCs w:val="22"/>
          <w:lang w:val="en-GB"/>
        </w:rPr>
        <w:t xml:space="preserve">inter </w:t>
      </w:r>
      <w:proofErr w:type="spellStart"/>
      <w:r>
        <w:rPr>
          <w:rFonts w:ascii="Arial" w:hAnsi="Arial" w:cs="Arial"/>
          <w:i/>
          <w:iCs/>
          <w:color w:val="7B7B7B" w:themeColor="accent3" w:themeShade="BF"/>
          <w:sz w:val="22"/>
          <w:szCs w:val="22"/>
          <w:lang w:val="en-GB"/>
        </w:rPr>
        <w:t>partes</w:t>
      </w:r>
      <w:proofErr w:type="spellEnd"/>
      <w:r>
        <w:rPr>
          <w:rFonts w:ascii="Arial" w:hAnsi="Arial" w:cs="Arial"/>
          <w:iCs/>
          <w:color w:val="7B7B7B" w:themeColor="accent3" w:themeShade="BF"/>
          <w:sz w:val="22"/>
          <w:szCs w:val="22"/>
          <w:lang w:val="en-GB"/>
        </w:rPr>
        <w:t xml:space="preserve"> hearing. Upon the court granting the applicant’s application, the debtor’s worldwide property (save for property held by an individual or company as trustee</w:t>
      </w:r>
      <w:r>
        <w:rPr>
          <w:rStyle w:val="FootnoteReference"/>
          <w:rFonts w:ascii="Arial" w:hAnsi="Arial" w:cs="Arial"/>
          <w:iCs/>
          <w:color w:val="7B7B7B" w:themeColor="accent3" w:themeShade="BF"/>
          <w:sz w:val="22"/>
          <w:szCs w:val="22"/>
          <w:lang w:val="en-GB"/>
        </w:rPr>
        <w:footnoteReference w:id="48"/>
      </w:r>
      <w:r>
        <w:rPr>
          <w:rFonts w:ascii="Arial" w:hAnsi="Arial" w:cs="Arial"/>
          <w:iCs/>
          <w:color w:val="7B7B7B" w:themeColor="accent3" w:themeShade="BF"/>
          <w:sz w:val="22"/>
          <w:szCs w:val="22"/>
          <w:lang w:val="en-GB"/>
        </w:rPr>
        <w:t xml:space="preserve">) vests in </w:t>
      </w:r>
      <w:r>
        <w:rPr>
          <w:rFonts w:ascii="Arial" w:hAnsi="Arial" w:cs="Arial"/>
          <w:iCs/>
          <w:color w:val="7B7B7B" w:themeColor="accent3" w:themeShade="BF"/>
          <w:sz w:val="22"/>
          <w:szCs w:val="22"/>
          <w:lang w:val="en-GB"/>
        </w:rPr>
        <w:lastRenderedPageBreak/>
        <w:t>the Viscount</w:t>
      </w:r>
      <w:r>
        <w:rPr>
          <w:rStyle w:val="FootnoteReference"/>
          <w:rFonts w:ascii="Arial" w:hAnsi="Arial" w:cs="Arial"/>
          <w:iCs/>
          <w:color w:val="7B7B7B" w:themeColor="accent3" w:themeShade="BF"/>
          <w:sz w:val="22"/>
          <w:szCs w:val="22"/>
          <w:lang w:val="en-GB"/>
        </w:rPr>
        <w:footnoteReference w:id="49"/>
      </w:r>
      <w:r>
        <w:rPr>
          <w:rFonts w:ascii="Arial" w:hAnsi="Arial" w:cs="Arial"/>
          <w:iCs/>
          <w:color w:val="7B7B7B" w:themeColor="accent3" w:themeShade="BF"/>
          <w:sz w:val="22"/>
          <w:szCs w:val="22"/>
          <w:lang w:val="en-GB"/>
        </w:rPr>
        <w:t xml:space="preserve">. In the case of a debtor’s immovable property, such property shall vest in the Viscount subject to all </w:t>
      </w:r>
      <w:proofErr w:type="spellStart"/>
      <w:r>
        <w:rPr>
          <w:rFonts w:ascii="Arial" w:hAnsi="Arial" w:cs="Arial"/>
          <w:iCs/>
          <w:color w:val="7B7B7B" w:themeColor="accent3" w:themeShade="BF"/>
          <w:sz w:val="22"/>
          <w:szCs w:val="22"/>
          <w:lang w:val="en-GB"/>
        </w:rPr>
        <w:t>hypothses</w:t>
      </w:r>
      <w:proofErr w:type="spellEnd"/>
      <w:r>
        <w:rPr>
          <w:rStyle w:val="FootnoteReference"/>
          <w:rFonts w:ascii="Arial" w:hAnsi="Arial" w:cs="Arial"/>
          <w:iCs/>
          <w:color w:val="7B7B7B" w:themeColor="accent3" w:themeShade="BF"/>
          <w:sz w:val="22"/>
          <w:szCs w:val="22"/>
          <w:lang w:val="en-GB"/>
        </w:rPr>
        <w:footnoteReference w:id="50"/>
      </w:r>
      <w:r>
        <w:rPr>
          <w:rFonts w:ascii="Arial" w:hAnsi="Arial" w:cs="Arial"/>
          <w:iCs/>
          <w:color w:val="7B7B7B" w:themeColor="accent3" w:themeShade="BF"/>
          <w:sz w:val="22"/>
          <w:szCs w:val="22"/>
          <w:lang w:val="en-GB"/>
        </w:rPr>
        <w:t xml:space="preserve">. The purpose of this is to allow for the orderly administration of the debtor’s estate to ensure, subject to any secured interests, that the assets of a debtor are distributed on a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w:t>
      </w:r>
      <w:r>
        <w:rPr>
          <w:rFonts w:ascii="Arial" w:hAnsi="Arial" w:cs="Arial"/>
          <w:iCs/>
          <w:color w:val="7B7B7B" w:themeColor="accent3" w:themeShade="BF"/>
          <w:sz w:val="22"/>
          <w:szCs w:val="22"/>
          <w:lang w:val="en-GB"/>
        </w:rPr>
        <w:t xml:space="preserve"> basis. </w:t>
      </w:r>
    </w:p>
    <w:p w14:paraId="086F50FF" w14:textId="77777777" w:rsidR="005D4BD9" w:rsidRDefault="005D4BD9" w:rsidP="005D4BD9">
      <w:pPr>
        <w:jc w:val="both"/>
        <w:rPr>
          <w:rFonts w:ascii="Arial" w:hAnsi="Arial" w:cs="Arial"/>
          <w:iCs/>
          <w:color w:val="7B7B7B" w:themeColor="accent3" w:themeShade="BF"/>
          <w:sz w:val="22"/>
          <w:szCs w:val="22"/>
          <w:lang w:val="en-GB"/>
        </w:rPr>
      </w:pPr>
    </w:p>
    <w:p w14:paraId="3182FE03"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In addition to securing a debtor's assets, the BL 1990 confers certain further statutory powers to the Viscount. These powers include, by way of example, the power to investigate the affairs of a debtor to seek the recovery of any property belonging to the debtor</w:t>
      </w:r>
      <w:r>
        <w:rPr>
          <w:rStyle w:val="FootnoteReference"/>
          <w:rFonts w:ascii="Arial" w:hAnsi="Arial" w:cs="Arial"/>
          <w:iCs/>
          <w:color w:val="7B7B7B" w:themeColor="accent3" w:themeShade="BF"/>
          <w:sz w:val="22"/>
          <w:szCs w:val="22"/>
          <w:lang w:val="en-GB"/>
        </w:rPr>
        <w:footnoteReference w:id="51"/>
      </w:r>
      <w:r>
        <w:rPr>
          <w:rFonts w:ascii="Arial" w:hAnsi="Arial" w:cs="Arial"/>
          <w:iCs/>
          <w:color w:val="7B7B7B" w:themeColor="accent3" w:themeShade="BF"/>
          <w:sz w:val="22"/>
          <w:szCs w:val="22"/>
          <w:lang w:val="en-GB"/>
        </w:rPr>
        <w:t>; the power to summons persons in possession of the property of the debtor (which includes records and accounts) or has or is suspected of having information concerning the debtor’s property or affairs</w:t>
      </w:r>
      <w:r>
        <w:rPr>
          <w:rStyle w:val="FootnoteReference"/>
          <w:rFonts w:ascii="Arial" w:hAnsi="Arial" w:cs="Arial"/>
          <w:iCs/>
          <w:color w:val="7B7B7B" w:themeColor="accent3" w:themeShade="BF"/>
          <w:sz w:val="22"/>
          <w:szCs w:val="22"/>
          <w:lang w:val="en-GB"/>
        </w:rPr>
        <w:footnoteReference w:id="52"/>
      </w:r>
      <w:r>
        <w:rPr>
          <w:rFonts w:ascii="Arial" w:hAnsi="Arial" w:cs="Arial"/>
          <w:iCs/>
          <w:color w:val="7B7B7B" w:themeColor="accent3" w:themeShade="BF"/>
          <w:sz w:val="22"/>
          <w:szCs w:val="22"/>
          <w:lang w:val="en-GB"/>
        </w:rPr>
        <w:t>; power to bring or defend claims</w:t>
      </w:r>
      <w:r>
        <w:rPr>
          <w:rStyle w:val="FootnoteReference"/>
          <w:rFonts w:ascii="Arial" w:hAnsi="Arial" w:cs="Arial"/>
          <w:iCs/>
          <w:color w:val="7B7B7B" w:themeColor="accent3" w:themeShade="BF"/>
          <w:sz w:val="22"/>
          <w:szCs w:val="22"/>
          <w:lang w:val="en-GB"/>
        </w:rPr>
        <w:footnoteReference w:id="53"/>
      </w:r>
      <w:r>
        <w:rPr>
          <w:rFonts w:ascii="Arial" w:hAnsi="Arial" w:cs="Arial"/>
          <w:iCs/>
          <w:color w:val="7B7B7B" w:themeColor="accent3" w:themeShade="BF"/>
          <w:sz w:val="22"/>
          <w:szCs w:val="22"/>
          <w:lang w:val="en-GB"/>
        </w:rPr>
        <w:t>; and the power to adjudicate creditors’ proofs of debt</w:t>
      </w:r>
      <w:r>
        <w:rPr>
          <w:rStyle w:val="FootnoteReference"/>
          <w:rFonts w:ascii="Arial" w:hAnsi="Arial" w:cs="Arial"/>
          <w:iCs/>
          <w:color w:val="7B7B7B" w:themeColor="accent3" w:themeShade="BF"/>
          <w:sz w:val="22"/>
          <w:szCs w:val="22"/>
          <w:lang w:val="en-GB"/>
        </w:rPr>
        <w:footnoteReference w:id="54"/>
      </w:r>
      <w:r>
        <w:rPr>
          <w:rFonts w:ascii="Arial" w:hAnsi="Arial" w:cs="Arial"/>
          <w:iCs/>
          <w:color w:val="7B7B7B" w:themeColor="accent3" w:themeShade="BF"/>
          <w:sz w:val="22"/>
          <w:szCs w:val="22"/>
          <w:lang w:val="en-GB"/>
        </w:rPr>
        <w:t>.</w:t>
      </w:r>
    </w:p>
    <w:p w14:paraId="0957757C" w14:textId="77777777" w:rsidR="005D4BD9" w:rsidRDefault="005D4BD9" w:rsidP="005D4BD9">
      <w:pPr>
        <w:jc w:val="both"/>
        <w:rPr>
          <w:rFonts w:ascii="Arial" w:hAnsi="Arial" w:cs="Arial"/>
          <w:iCs/>
          <w:color w:val="7B7B7B" w:themeColor="accent3" w:themeShade="BF"/>
          <w:sz w:val="22"/>
          <w:szCs w:val="22"/>
          <w:lang w:val="en-GB"/>
        </w:rPr>
      </w:pPr>
    </w:p>
    <w:p w14:paraId="7B42D8F4"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As regards a Viscount’s fees, Article 32(1)(a) provides that the reasonable costs and expenses properly incurred by the Viscount shall rank as a first charge. Such fees shall be paid in priority of all debts out of the debtor's assets. </w:t>
      </w:r>
    </w:p>
    <w:p w14:paraId="4E8A10B6" w14:textId="77777777" w:rsidR="005D4BD9" w:rsidRDefault="005D4BD9" w:rsidP="005D4BD9">
      <w:pPr>
        <w:jc w:val="both"/>
        <w:rPr>
          <w:rFonts w:ascii="Arial" w:hAnsi="Arial" w:cs="Arial"/>
          <w:iCs/>
          <w:color w:val="7B7B7B" w:themeColor="accent3" w:themeShade="BF"/>
          <w:sz w:val="22"/>
          <w:szCs w:val="22"/>
          <w:lang w:val="en-GB"/>
        </w:rPr>
      </w:pPr>
    </w:p>
    <w:p w14:paraId="21AFEA90"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Once a Viscount has realized </w:t>
      </w:r>
      <w:proofErr w:type="gramStart"/>
      <w:r>
        <w:rPr>
          <w:rFonts w:ascii="Arial" w:hAnsi="Arial" w:cs="Arial"/>
          <w:iCs/>
          <w:color w:val="7B7B7B" w:themeColor="accent3" w:themeShade="BF"/>
          <w:sz w:val="22"/>
          <w:szCs w:val="22"/>
          <w:lang w:val="en-GB"/>
        </w:rPr>
        <w:t>all of</w:t>
      </w:r>
      <w:proofErr w:type="gramEnd"/>
      <w:r>
        <w:rPr>
          <w:rFonts w:ascii="Arial" w:hAnsi="Arial" w:cs="Arial"/>
          <w:iCs/>
          <w:color w:val="7B7B7B" w:themeColor="accent3" w:themeShade="BF"/>
          <w:sz w:val="22"/>
          <w:szCs w:val="22"/>
          <w:lang w:val="en-GB"/>
        </w:rPr>
        <w:t xml:space="preserve"> the debtor’s property or as much of that can be realized</w:t>
      </w:r>
      <w:r>
        <w:rPr>
          <w:rStyle w:val="FootnoteReference"/>
          <w:rFonts w:ascii="Arial" w:hAnsi="Arial" w:cs="Arial"/>
          <w:iCs/>
          <w:color w:val="7B7B7B" w:themeColor="accent3" w:themeShade="BF"/>
          <w:sz w:val="22"/>
          <w:szCs w:val="22"/>
          <w:lang w:val="en-GB"/>
        </w:rPr>
        <w:footnoteReference w:id="55"/>
      </w:r>
      <w:r>
        <w:rPr>
          <w:rFonts w:ascii="Arial" w:hAnsi="Arial" w:cs="Arial"/>
          <w:iCs/>
          <w:color w:val="7B7B7B" w:themeColor="accent3" w:themeShade="BF"/>
          <w:sz w:val="22"/>
          <w:szCs w:val="22"/>
          <w:lang w:val="en-GB"/>
        </w:rPr>
        <w:t>, he/she must provide a final report</w:t>
      </w:r>
      <w:r>
        <w:rPr>
          <w:rStyle w:val="FootnoteReference"/>
          <w:rFonts w:ascii="Arial" w:hAnsi="Arial" w:cs="Arial"/>
          <w:iCs/>
          <w:color w:val="7B7B7B" w:themeColor="accent3" w:themeShade="BF"/>
          <w:sz w:val="22"/>
          <w:szCs w:val="22"/>
          <w:lang w:val="en-GB"/>
        </w:rPr>
        <w:footnoteReference w:id="56"/>
      </w:r>
      <w:r>
        <w:rPr>
          <w:rFonts w:ascii="Arial" w:hAnsi="Arial" w:cs="Arial"/>
          <w:iCs/>
          <w:color w:val="7B7B7B" w:themeColor="accent3" w:themeShade="BF"/>
          <w:sz w:val="22"/>
          <w:szCs w:val="22"/>
          <w:lang w:val="en-GB"/>
        </w:rPr>
        <w:t xml:space="preserve"> and pay the final dividend to the creditors</w:t>
      </w:r>
      <w:r>
        <w:rPr>
          <w:rStyle w:val="FootnoteReference"/>
          <w:rFonts w:ascii="Arial" w:hAnsi="Arial" w:cs="Arial"/>
          <w:iCs/>
          <w:color w:val="7B7B7B" w:themeColor="accent3" w:themeShade="BF"/>
          <w:sz w:val="22"/>
          <w:szCs w:val="22"/>
          <w:lang w:val="en-GB"/>
        </w:rPr>
        <w:footnoteReference w:id="57"/>
      </w:r>
      <w:r>
        <w:rPr>
          <w:rFonts w:ascii="Arial" w:hAnsi="Arial" w:cs="Arial"/>
          <w:iCs/>
          <w:color w:val="7B7B7B" w:themeColor="accent3" w:themeShade="BF"/>
          <w:sz w:val="22"/>
          <w:szCs w:val="22"/>
          <w:lang w:val="en-GB"/>
        </w:rPr>
        <w:t>. Where a debtor is not an individual, notice in writing must be given to the Registrar confirming the date of payment of the final dividend</w:t>
      </w:r>
      <w:r>
        <w:rPr>
          <w:rStyle w:val="FootnoteReference"/>
          <w:rFonts w:ascii="Arial" w:hAnsi="Arial" w:cs="Arial"/>
          <w:iCs/>
          <w:color w:val="7B7B7B" w:themeColor="accent3" w:themeShade="BF"/>
          <w:sz w:val="22"/>
          <w:szCs w:val="22"/>
          <w:lang w:val="en-GB"/>
        </w:rPr>
        <w:footnoteReference w:id="58"/>
      </w:r>
      <w:r>
        <w:rPr>
          <w:rFonts w:ascii="Arial" w:hAnsi="Arial" w:cs="Arial"/>
          <w:iCs/>
          <w:color w:val="7B7B7B" w:themeColor="accent3" w:themeShade="BF"/>
          <w:sz w:val="22"/>
          <w:szCs w:val="22"/>
          <w:lang w:val="en-GB"/>
        </w:rPr>
        <w:t>. The Viscount must also prepare a final account to be provided to both the creditors and the court. Upon payment of a final dividend, if the debtor’s debts have been fully satisfied, the surplus (if any) will be paid to the debtor, or if the debtor is a company to its contributories.</w:t>
      </w:r>
    </w:p>
    <w:p w14:paraId="74C664FC" w14:textId="77777777" w:rsidR="005D4BD9" w:rsidRDefault="005D4BD9" w:rsidP="005D4BD9">
      <w:pPr>
        <w:jc w:val="both"/>
        <w:rPr>
          <w:rFonts w:ascii="Arial" w:hAnsi="Arial" w:cs="Arial"/>
          <w:iCs/>
          <w:color w:val="7B7B7B" w:themeColor="accent3" w:themeShade="BF"/>
          <w:sz w:val="22"/>
          <w:szCs w:val="22"/>
          <w:lang w:val="en-GB"/>
        </w:rPr>
      </w:pPr>
    </w:p>
    <w:p w14:paraId="7A1D0D1B" w14:textId="77777777" w:rsidR="005D4BD9"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Following the distribution of the debtor’s assets, the debtor shall cease to be liable for any debts provable in the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iCs/>
          <w:color w:val="7B7B7B" w:themeColor="accent3" w:themeShade="BF"/>
          <w:sz w:val="22"/>
          <w:szCs w:val="22"/>
          <w:lang w:val="en-GB"/>
        </w:rPr>
        <w:t xml:space="preserve"> still owing and/or for the recovery of any debts incurred during the </w:t>
      </w:r>
      <w:proofErr w:type="spellStart"/>
      <w:r w:rsidRPr="00AD6DD9">
        <w:rPr>
          <w:rFonts w:ascii="Arial" w:hAnsi="Arial" w:cs="Arial"/>
          <w:i/>
          <w:iCs/>
          <w:color w:val="7B7B7B" w:themeColor="accent3" w:themeShade="BF"/>
          <w:sz w:val="22"/>
          <w:szCs w:val="22"/>
          <w:lang w:val="en-GB"/>
        </w:rPr>
        <w:t>Désastre</w:t>
      </w:r>
      <w:proofErr w:type="spellEnd"/>
      <w:r>
        <w:rPr>
          <w:rStyle w:val="FootnoteReference"/>
          <w:rFonts w:ascii="Arial" w:hAnsi="Arial" w:cs="Arial"/>
          <w:iCs/>
          <w:color w:val="7B7B7B" w:themeColor="accent3" w:themeShade="BF"/>
          <w:sz w:val="22"/>
          <w:szCs w:val="22"/>
          <w:lang w:val="en-GB"/>
        </w:rPr>
        <w:footnoteReference w:id="59"/>
      </w:r>
      <w:r>
        <w:rPr>
          <w:rFonts w:ascii="Arial" w:hAnsi="Arial" w:cs="Arial"/>
          <w:iCs/>
          <w:color w:val="7B7B7B" w:themeColor="accent3" w:themeShade="BF"/>
          <w:sz w:val="22"/>
          <w:szCs w:val="22"/>
          <w:lang w:val="en-GB"/>
        </w:rPr>
        <w:t>.</w:t>
      </w:r>
    </w:p>
    <w:p w14:paraId="478CC4DC" w14:textId="77777777" w:rsidR="005D4BD9" w:rsidRDefault="005D4BD9" w:rsidP="005D4BD9">
      <w:pPr>
        <w:jc w:val="both"/>
        <w:rPr>
          <w:rFonts w:ascii="Arial" w:hAnsi="Arial" w:cs="Arial"/>
          <w:iCs/>
          <w:color w:val="7B7B7B" w:themeColor="accent3" w:themeShade="BF"/>
          <w:sz w:val="22"/>
          <w:szCs w:val="22"/>
          <w:lang w:val="en-GB"/>
        </w:rPr>
      </w:pPr>
    </w:p>
    <w:p w14:paraId="7E691617" w14:textId="77777777" w:rsidR="005D4BD9" w:rsidRPr="00AF488C" w:rsidRDefault="005D4BD9" w:rsidP="005D4BD9">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Where a debtor is an individual, at the expiration of 4 years since the onset of the application, the Viscount shall apply to the court for a discharge order</w:t>
      </w:r>
      <w:r>
        <w:rPr>
          <w:rStyle w:val="FootnoteReference"/>
          <w:rFonts w:ascii="Arial" w:hAnsi="Arial" w:cs="Arial"/>
          <w:iCs/>
          <w:color w:val="7B7B7B" w:themeColor="accent3" w:themeShade="BF"/>
          <w:sz w:val="22"/>
          <w:szCs w:val="22"/>
          <w:lang w:val="en-GB"/>
        </w:rPr>
        <w:footnoteReference w:id="60"/>
      </w:r>
      <w:r>
        <w:rPr>
          <w:rFonts w:ascii="Arial" w:hAnsi="Arial" w:cs="Arial"/>
          <w:iCs/>
          <w:color w:val="7B7B7B" w:themeColor="accent3" w:themeShade="BF"/>
          <w:sz w:val="22"/>
          <w:szCs w:val="22"/>
          <w:lang w:val="en-GB"/>
        </w:rPr>
        <w:t>. It must be borne in mind that such period may be reduced or extended by the court upon the application of a creditor, debtor, or Viscount</w:t>
      </w:r>
      <w:r>
        <w:rPr>
          <w:rStyle w:val="FootnoteReference"/>
          <w:rFonts w:ascii="Arial" w:hAnsi="Arial" w:cs="Arial"/>
          <w:iCs/>
          <w:color w:val="7B7B7B" w:themeColor="accent3" w:themeShade="BF"/>
          <w:sz w:val="22"/>
          <w:szCs w:val="22"/>
          <w:lang w:val="en-GB"/>
        </w:rPr>
        <w:footnoteReference w:id="61"/>
      </w:r>
      <w:r>
        <w:rPr>
          <w:rFonts w:ascii="Arial" w:hAnsi="Arial" w:cs="Arial"/>
          <w:iCs/>
          <w:color w:val="7B7B7B" w:themeColor="accent3" w:themeShade="BF"/>
          <w:sz w:val="22"/>
          <w:szCs w:val="22"/>
          <w:lang w:val="en-GB"/>
        </w:rPr>
        <w:t>.</w:t>
      </w:r>
    </w:p>
    <w:p w14:paraId="65B6D27E" w14:textId="77777777" w:rsidR="00DD5716" w:rsidRDefault="00DD5716" w:rsidP="00CC6682">
      <w:pPr>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58BDE3E0" w:rsidR="00A67287" w:rsidRDefault="00A6728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07DBE956" w:rsid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lastRenderedPageBreak/>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1A933D5E" w:rsid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1DA610AC" w:rsid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0BD5B24A"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Until recent changes to the CL 1991, the procedure under Part 4, Chapter 21 of the CL 1991, creditors winding up proceedings were commenced when a company resolved to commence winding up by way of special resolution</w:t>
      </w:r>
      <w:r>
        <w:rPr>
          <w:rStyle w:val="FootnoteReference"/>
          <w:rFonts w:ascii="Arial" w:hAnsi="Arial" w:cs="Arial"/>
          <w:color w:val="7B7B7B" w:themeColor="accent3" w:themeShade="BF"/>
          <w:sz w:val="22"/>
          <w:szCs w:val="22"/>
          <w:lang w:val="en-GB"/>
        </w:rPr>
        <w:footnoteReference w:id="62"/>
      </w:r>
      <w:r>
        <w:rPr>
          <w:rFonts w:ascii="Arial" w:hAnsi="Arial" w:cs="Arial"/>
          <w:color w:val="7B7B7B" w:themeColor="accent3" w:themeShade="BF"/>
          <w:sz w:val="22"/>
          <w:szCs w:val="22"/>
          <w:lang w:val="en-GB"/>
        </w:rPr>
        <w:t>.</w:t>
      </w:r>
    </w:p>
    <w:p w14:paraId="20257629" w14:textId="77777777" w:rsidR="009546F4" w:rsidRDefault="009546F4" w:rsidP="009546F4">
      <w:pPr>
        <w:jc w:val="both"/>
        <w:rPr>
          <w:rFonts w:ascii="Arial" w:hAnsi="Arial" w:cs="Arial"/>
          <w:color w:val="7B7B7B" w:themeColor="accent3" w:themeShade="BF"/>
          <w:sz w:val="22"/>
          <w:szCs w:val="22"/>
          <w:lang w:val="en-GB"/>
        </w:rPr>
      </w:pPr>
    </w:p>
    <w:p w14:paraId="5832BBFD"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the changes to the CL 1991, it is now possible for a creditor to bring an application to commence a creditor winding up provided that:</w:t>
      </w:r>
    </w:p>
    <w:p w14:paraId="2D62C27C" w14:textId="77777777" w:rsidR="009546F4" w:rsidRDefault="009546F4" w:rsidP="009546F4">
      <w:pPr>
        <w:pStyle w:val="ListParagraph"/>
        <w:jc w:val="both"/>
        <w:rPr>
          <w:rFonts w:ascii="Arial" w:hAnsi="Arial" w:cs="Arial"/>
          <w:color w:val="7B7B7B" w:themeColor="accent3" w:themeShade="BF"/>
          <w:sz w:val="22"/>
          <w:szCs w:val="22"/>
          <w:lang w:val="en-GB"/>
        </w:rPr>
      </w:pPr>
    </w:p>
    <w:p w14:paraId="40CBE644"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has a debt not less than JEP 3,000</w:t>
      </w:r>
      <w:r>
        <w:rPr>
          <w:rStyle w:val="FootnoteReference"/>
          <w:rFonts w:ascii="Arial" w:hAnsi="Arial" w:cs="Arial"/>
          <w:color w:val="7B7B7B" w:themeColor="accent3" w:themeShade="BF"/>
          <w:sz w:val="22"/>
          <w:szCs w:val="22"/>
          <w:lang w:val="en-GB"/>
        </w:rPr>
        <w:footnoteReference w:id="63"/>
      </w:r>
      <w:r>
        <w:rPr>
          <w:rFonts w:ascii="Arial" w:hAnsi="Arial" w:cs="Arial"/>
          <w:color w:val="7B7B7B" w:themeColor="accent3" w:themeShade="BF"/>
          <w:sz w:val="22"/>
          <w:szCs w:val="22"/>
          <w:lang w:val="en-GB"/>
        </w:rPr>
        <w:t>;</w:t>
      </w:r>
    </w:p>
    <w:p w14:paraId="694D82A9"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unable to pay its debts</w:t>
      </w:r>
      <w:r>
        <w:rPr>
          <w:rStyle w:val="FootnoteReference"/>
          <w:rFonts w:ascii="Arial" w:hAnsi="Arial" w:cs="Arial"/>
          <w:color w:val="7B7B7B" w:themeColor="accent3" w:themeShade="BF"/>
          <w:sz w:val="22"/>
          <w:szCs w:val="22"/>
          <w:lang w:val="en-GB"/>
        </w:rPr>
        <w:footnoteReference w:id="64"/>
      </w:r>
      <w:r>
        <w:rPr>
          <w:rFonts w:ascii="Arial" w:hAnsi="Arial" w:cs="Arial"/>
          <w:color w:val="7B7B7B" w:themeColor="accent3" w:themeShade="BF"/>
          <w:sz w:val="22"/>
          <w:szCs w:val="22"/>
          <w:lang w:val="en-GB"/>
        </w:rPr>
        <w:t>; or</w:t>
      </w:r>
    </w:p>
    <w:p w14:paraId="5D9A83EE"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has evidence of the company’s insolvency</w:t>
      </w:r>
      <w:r>
        <w:rPr>
          <w:rStyle w:val="FootnoteReference"/>
          <w:rFonts w:ascii="Arial" w:hAnsi="Arial" w:cs="Arial"/>
          <w:color w:val="7B7B7B" w:themeColor="accent3" w:themeShade="BF"/>
          <w:sz w:val="22"/>
          <w:szCs w:val="22"/>
          <w:lang w:val="en-GB"/>
        </w:rPr>
        <w:footnoteReference w:id="65"/>
      </w:r>
      <w:r>
        <w:rPr>
          <w:rFonts w:ascii="Arial" w:hAnsi="Arial" w:cs="Arial"/>
          <w:color w:val="7B7B7B" w:themeColor="accent3" w:themeShade="BF"/>
          <w:sz w:val="22"/>
          <w:szCs w:val="22"/>
          <w:lang w:val="en-GB"/>
        </w:rPr>
        <w:t>; or</w:t>
      </w:r>
    </w:p>
    <w:p w14:paraId="0BC428F1"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has the consent of the company</w:t>
      </w:r>
      <w:r>
        <w:rPr>
          <w:rStyle w:val="FootnoteReference"/>
          <w:rFonts w:ascii="Arial" w:hAnsi="Arial" w:cs="Arial"/>
          <w:color w:val="7B7B7B" w:themeColor="accent3" w:themeShade="BF"/>
          <w:sz w:val="22"/>
          <w:szCs w:val="22"/>
          <w:lang w:val="en-GB"/>
        </w:rPr>
        <w:footnoteReference w:id="66"/>
      </w:r>
      <w:r>
        <w:rPr>
          <w:rFonts w:ascii="Arial" w:hAnsi="Arial" w:cs="Arial"/>
          <w:color w:val="7B7B7B" w:themeColor="accent3" w:themeShade="BF"/>
          <w:sz w:val="22"/>
          <w:szCs w:val="22"/>
          <w:lang w:val="en-GB"/>
        </w:rPr>
        <w:t>.</w:t>
      </w:r>
    </w:p>
    <w:p w14:paraId="7F63531B" w14:textId="77777777" w:rsidR="009546F4" w:rsidRDefault="009546F4" w:rsidP="009546F4">
      <w:pPr>
        <w:jc w:val="both"/>
        <w:rPr>
          <w:rFonts w:ascii="Arial" w:hAnsi="Arial" w:cs="Arial"/>
          <w:color w:val="7B7B7B" w:themeColor="accent3" w:themeShade="BF"/>
          <w:sz w:val="22"/>
          <w:szCs w:val="22"/>
          <w:lang w:val="en-GB"/>
        </w:rPr>
      </w:pPr>
    </w:p>
    <w:p w14:paraId="20781D6F" w14:textId="77777777" w:rsidR="009546F4" w:rsidRPr="000A5721"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purposes of this Article, a company shall be “deemed” unable to pay its debts when a debtor fails to satisfy the payment of a debt within 21 days after the service of a statutory demand</w:t>
      </w:r>
      <w:r>
        <w:rPr>
          <w:rStyle w:val="FootnoteReference"/>
          <w:rFonts w:ascii="Arial" w:hAnsi="Arial" w:cs="Arial"/>
          <w:color w:val="7B7B7B" w:themeColor="accent3" w:themeShade="BF"/>
          <w:sz w:val="22"/>
          <w:szCs w:val="22"/>
          <w:lang w:val="en-GB"/>
        </w:rPr>
        <w:footnoteReference w:id="67"/>
      </w:r>
    </w:p>
    <w:p w14:paraId="3B0DF115" w14:textId="77777777" w:rsidR="009546F4" w:rsidRDefault="009546F4" w:rsidP="009546F4">
      <w:pPr>
        <w:jc w:val="both"/>
        <w:rPr>
          <w:rFonts w:ascii="Arial" w:hAnsi="Arial" w:cs="Arial"/>
          <w:color w:val="7B7B7B" w:themeColor="accent3" w:themeShade="BF"/>
          <w:sz w:val="22"/>
          <w:szCs w:val="22"/>
          <w:lang w:val="en-GB"/>
        </w:rPr>
      </w:pPr>
    </w:p>
    <w:p w14:paraId="20E69097"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insolvency procedure should be familiar to both onshore and offshore practitioners (e.g., Onshore England &amp; Wales; Offshore Cayman Islands or Bermuda).</w:t>
      </w:r>
    </w:p>
    <w:p w14:paraId="4845C227" w14:textId="77777777" w:rsidR="009546F4" w:rsidRDefault="009546F4" w:rsidP="009546F4">
      <w:pPr>
        <w:jc w:val="both"/>
        <w:rPr>
          <w:rFonts w:ascii="Arial" w:hAnsi="Arial" w:cs="Arial"/>
          <w:color w:val="7B7B7B" w:themeColor="accent3" w:themeShade="BF"/>
          <w:sz w:val="22"/>
          <w:szCs w:val="22"/>
          <w:lang w:val="en-GB"/>
        </w:rPr>
      </w:pPr>
    </w:p>
    <w:p w14:paraId="37362F14"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CL 1991, a creditor must give the company 48 hours' notice of its intention to make the application</w:t>
      </w:r>
      <w:r>
        <w:rPr>
          <w:rStyle w:val="FootnoteReference"/>
          <w:rFonts w:ascii="Arial" w:hAnsi="Arial" w:cs="Arial"/>
          <w:color w:val="7B7B7B" w:themeColor="accent3" w:themeShade="BF"/>
          <w:sz w:val="22"/>
          <w:szCs w:val="22"/>
          <w:lang w:val="en-GB"/>
        </w:rPr>
        <w:footnoteReference w:id="68"/>
      </w:r>
      <w:r>
        <w:rPr>
          <w:rFonts w:ascii="Arial" w:hAnsi="Arial" w:cs="Arial"/>
          <w:color w:val="7B7B7B" w:themeColor="accent3" w:themeShade="BF"/>
          <w:sz w:val="22"/>
          <w:szCs w:val="22"/>
          <w:lang w:val="en-GB"/>
        </w:rPr>
        <w:t xml:space="preserve">. This notice requirement is, however, qualified by an exceptional </w:t>
      </w:r>
      <w:proofErr w:type="gramStart"/>
      <w:r>
        <w:rPr>
          <w:rFonts w:ascii="Arial" w:hAnsi="Arial" w:cs="Arial"/>
          <w:color w:val="7B7B7B" w:themeColor="accent3" w:themeShade="BF"/>
          <w:sz w:val="22"/>
          <w:szCs w:val="22"/>
          <w:lang w:val="en-GB"/>
        </w:rPr>
        <w:t>circumstances</w:t>
      </w:r>
      <w:proofErr w:type="gramEnd"/>
      <w:r>
        <w:rPr>
          <w:rFonts w:ascii="Arial" w:hAnsi="Arial" w:cs="Arial"/>
          <w:color w:val="7B7B7B" w:themeColor="accent3" w:themeShade="BF"/>
          <w:sz w:val="22"/>
          <w:szCs w:val="22"/>
          <w:lang w:val="en-GB"/>
        </w:rPr>
        <w:t xml:space="preserve"> exemption</w:t>
      </w:r>
      <w:r>
        <w:rPr>
          <w:rStyle w:val="FootnoteReference"/>
          <w:rFonts w:ascii="Arial" w:hAnsi="Arial" w:cs="Arial"/>
          <w:color w:val="7B7B7B" w:themeColor="accent3" w:themeShade="BF"/>
          <w:sz w:val="22"/>
          <w:szCs w:val="22"/>
          <w:lang w:val="en-GB"/>
        </w:rPr>
        <w:footnoteReference w:id="69"/>
      </w:r>
      <w:r>
        <w:rPr>
          <w:rFonts w:ascii="Arial" w:hAnsi="Arial" w:cs="Arial"/>
          <w:color w:val="7B7B7B" w:themeColor="accent3" w:themeShade="BF"/>
          <w:sz w:val="22"/>
          <w:szCs w:val="22"/>
          <w:lang w:val="en-GB"/>
        </w:rPr>
        <w:t>. Notice of a creditors’ application to wind up a company must be gazetted, in the Jersey Gazette, not less than 24 hours before such application is due to be heard by the Jersey Court.</w:t>
      </w:r>
    </w:p>
    <w:p w14:paraId="34B8F519" w14:textId="77777777" w:rsidR="009546F4" w:rsidRDefault="009546F4" w:rsidP="009546F4">
      <w:pPr>
        <w:jc w:val="both"/>
        <w:rPr>
          <w:rFonts w:ascii="Arial" w:hAnsi="Arial" w:cs="Arial"/>
          <w:color w:val="7B7B7B" w:themeColor="accent3" w:themeShade="BF"/>
          <w:sz w:val="22"/>
          <w:szCs w:val="22"/>
          <w:lang w:val="en-GB"/>
        </w:rPr>
      </w:pPr>
    </w:p>
    <w:p w14:paraId="369F89F6"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Court is satisfied that the requirements of Article 157A(1)(a)-(c) are met, the Jersey Court will make an order to wind up the company. At this time, the court will also appoint a liquidator. Further to Article 158(3), the liquidator is under a statutory duty to gazette notice of his/her appointment within 14 days of such order. Moreover, within 7 days of the liquidator’s appointment, notice must be given to all known creditors of the company of the creditors </w:t>
      </w:r>
      <w:r>
        <w:rPr>
          <w:rFonts w:ascii="Arial" w:hAnsi="Arial" w:cs="Arial"/>
          <w:color w:val="7B7B7B" w:themeColor="accent3" w:themeShade="BF"/>
          <w:sz w:val="22"/>
          <w:szCs w:val="22"/>
          <w:lang w:val="en-GB"/>
        </w:rPr>
        <w:lastRenderedPageBreak/>
        <w:t>meeting on a day following 21 days after the making of such order</w:t>
      </w:r>
      <w:r>
        <w:rPr>
          <w:rStyle w:val="FootnoteReference"/>
          <w:rFonts w:ascii="Arial" w:hAnsi="Arial" w:cs="Arial"/>
          <w:color w:val="7B7B7B" w:themeColor="accent3" w:themeShade="BF"/>
          <w:sz w:val="22"/>
          <w:szCs w:val="22"/>
          <w:lang w:val="en-GB"/>
        </w:rPr>
        <w:footnoteReference w:id="70"/>
      </w:r>
      <w:r>
        <w:rPr>
          <w:rFonts w:ascii="Arial" w:hAnsi="Arial" w:cs="Arial"/>
          <w:color w:val="7B7B7B" w:themeColor="accent3" w:themeShade="BF"/>
          <w:sz w:val="22"/>
          <w:szCs w:val="22"/>
          <w:lang w:val="en-GB"/>
        </w:rPr>
        <w:t>. Finally, not less than 10 days before the creditors’ meeting, notice of such meeting must be gazetted in the Jersey Gazette</w:t>
      </w:r>
      <w:r>
        <w:rPr>
          <w:rStyle w:val="FootnoteReference"/>
          <w:rFonts w:ascii="Arial" w:hAnsi="Arial" w:cs="Arial"/>
          <w:color w:val="7B7B7B" w:themeColor="accent3" w:themeShade="BF"/>
          <w:sz w:val="22"/>
          <w:szCs w:val="22"/>
          <w:lang w:val="en-GB"/>
        </w:rPr>
        <w:footnoteReference w:id="71"/>
      </w:r>
      <w:r>
        <w:rPr>
          <w:rFonts w:ascii="Arial" w:hAnsi="Arial" w:cs="Arial"/>
          <w:color w:val="7B7B7B" w:themeColor="accent3" w:themeShade="BF"/>
          <w:sz w:val="22"/>
          <w:szCs w:val="22"/>
          <w:lang w:val="en-GB"/>
        </w:rPr>
        <w:t>.</w:t>
      </w:r>
    </w:p>
    <w:p w14:paraId="217C7FF4" w14:textId="77777777" w:rsidR="009546F4" w:rsidRDefault="009546F4" w:rsidP="009546F4">
      <w:pPr>
        <w:jc w:val="both"/>
        <w:rPr>
          <w:rFonts w:ascii="Arial" w:hAnsi="Arial" w:cs="Arial"/>
          <w:color w:val="7B7B7B" w:themeColor="accent3" w:themeShade="BF"/>
          <w:sz w:val="22"/>
          <w:szCs w:val="22"/>
          <w:lang w:val="en-GB"/>
        </w:rPr>
      </w:pPr>
    </w:p>
    <w:p w14:paraId="40458876"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a company’s notice requirements, Article 160</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2) provides that a director or directors of the company are under a statutory obligation to provide a statement of the company’s affairs to be produced to the creditors at the first meeting.</w:t>
      </w:r>
    </w:p>
    <w:p w14:paraId="4690E205" w14:textId="77777777" w:rsidR="009546F4" w:rsidRDefault="009546F4" w:rsidP="009546F4">
      <w:pPr>
        <w:jc w:val="both"/>
        <w:rPr>
          <w:rFonts w:ascii="Arial" w:hAnsi="Arial" w:cs="Arial"/>
          <w:color w:val="7B7B7B" w:themeColor="accent3" w:themeShade="BF"/>
          <w:sz w:val="22"/>
          <w:szCs w:val="22"/>
          <w:lang w:val="en-GB"/>
        </w:rPr>
      </w:pPr>
    </w:p>
    <w:p w14:paraId="3F3BBAC6"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a creditors’ winding up commenced by special resolution, the CL 1991 mandates that the company, within 14 days of such resolution, must give notice of the same in the Jersey Gazette</w:t>
      </w:r>
      <w:r>
        <w:rPr>
          <w:rStyle w:val="FootnoteReference"/>
          <w:rFonts w:ascii="Arial" w:hAnsi="Arial" w:cs="Arial"/>
          <w:color w:val="7B7B7B" w:themeColor="accent3" w:themeShade="BF"/>
          <w:sz w:val="22"/>
          <w:szCs w:val="22"/>
          <w:lang w:val="en-GB"/>
        </w:rPr>
        <w:footnoteReference w:id="72"/>
      </w:r>
      <w:r>
        <w:rPr>
          <w:rFonts w:ascii="Arial" w:hAnsi="Arial" w:cs="Arial"/>
          <w:color w:val="7B7B7B" w:themeColor="accent3" w:themeShade="BF"/>
          <w:sz w:val="22"/>
          <w:szCs w:val="22"/>
          <w:lang w:val="en-GB"/>
        </w:rPr>
        <w:t>. The company also has a statutory duty to provide not less than 14 days' notice of the day the company intends to convene the first meeting of creditors</w:t>
      </w:r>
      <w:r>
        <w:rPr>
          <w:rStyle w:val="FootnoteReference"/>
          <w:rFonts w:ascii="Arial" w:hAnsi="Arial" w:cs="Arial"/>
          <w:color w:val="7B7B7B" w:themeColor="accent3" w:themeShade="BF"/>
          <w:sz w:val="22"/>
          <w:szCs w:val="22"/>
          <w:lang w:val="en-GB"/>
        </w:rPr>
        <w:footnoteReference w:id="73"/>
      </w:r>
      <w:r>
        <w:rPr>
          <w:rFonts w:ascii="Arial" w:hAnsi="Arial" w:cs="Arial"/>
          <w:color w:val="7B7B7B" w:themeColor="accent3" w:themeShade="BF"/>
          <w:sz w:val="22"/>
          <w:szCs w:val="22"/>
          <w:lang w:val="en-GB"/>
        </w:rPr>
        <w:t xml:space="preserve"> . The company must also lodge a copy of the special resolution passed by the company within 14 days to the Registrar of Companies</w:t>
      </w:r>
      <w:r>
        <w:rPr>
          <w:rStyle w:val="FootnoteReference"/>
          <w:rFonts w:ascii="Arial" w:hAnsi="Arial" w:cs="Arial"/>
          <w:color w:val="7B7B7B" w:themeColor="accent3" w:themeShade="BF"/>
          <w:sz w:val="22"/>
          <w:szCs w:val="22"/>
          <w:lang w:val="en-GB"/>
        </w:rPr>
        <w:footnoteReference w:id="74"/>
      </w:r>
      <w:r>
        <w:rPr>
          <w:rFonts w:ascii="Arial" w:hAnsi="Arial" w:cs="Arial"/>
          <w:color w:val="7B7B7B" w:themeColor="accent3" w:themeShade="BF"/>
          <w:sz w:val="22"/>
          <w:szCs w:val="22"/>
          <w:lang w:val="en-GB"/>
        </w:rPr>
        <w:t>.</w:t>
      </w:r>
    </w:p>
    <w:p w14:paraId="7179196A" w14:textId="77777777" w:rsidR="009546F4" w:rsidRDefault="009546F4" w:rsidP="009546F4">
      <w:pPr>
        <w:jc w:val="both"/>
        <w:rPr>
          <w:rFonts w:ascii="Arial" w:hAnsi="Arial" w:cs="Arial"/>
          <w:color w:val="7B7B7B" w:themeColor="accent3" w:themeShade="BF"/>
          <w:sz w:val="22"/>
          <w:szCs w:val="22"/>
          <w:lang w:val="en-GB"/>
        </w:rPr>
      </w:pPr>
    </w:p>
    <w:p w14:paraId="4DD0EF64"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company’s notice requirements, a director or directors of the company must prepare a statement of affairs verified by affidavit to be laid before the creditors at the first meeting</w:t>
      </w:r>
      <w:r>
        <w:rPr>
          <w:rStyle w:val="FootnoteReference"/>
          <w:rFonts w:ascii="Arial" w:hAnsi="Arial" w:cs="Arial"/>
          <w:color w:val="7B7B7B" w:themeColor="accent3" w:themeShade="BF"/>
          <w:sz w:val="22"/>
          <w:szCs w:val="22"/>
          <w:lang w:val="en-GB"/>
        </w:rPr>
        <w:footnoteReference w:id="75"/>
      </w:r>
      <w:r>
        <w:rPr>
          <w:rFonts w:ascii="Arial" w:hAnsi="Arial" w:cs="Arial"/>
          <w:color w:val="7B7B7B" w:themeColor="accent3" w:themeShade="BF"/>
          <w:sz w:val="22"/>
          <w:szCs w:val="22"/>
          <w:lang w:val="en-GB"/>
        </w:rPr>
        <w:t>.</w:t>
      </w:r>
    </w:p>
    <w:p w14:paraId="637CC124" w14:textId="77777777" w:rsidR="009546F4" w:rsidRDefault="009546F4" w:rsidP="009546F4">
      <w:pPr>
        <w:jc w:val="both"/>
        <w:rPr>
          <w:rFonts w:ascii="Arial" w:hAnsi="Arial" w:cs="Arial"/>
          <w:color w:val="7B7B7B" w:themeColor="accent3" w:themeShade="BF"/>
          <w:sz w:val="22"/>
          <w:szCs w:val="22"/>
          <w:lang w:val="en-GB"/>
        </w:rPr>
      </w:pPr>
    </w:p>
    <w:p w14:paraId="440A7EE9"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the debts provable in a creditors’ winding up, Article 166 of the CL 1991 expressly provides that the rules under the BL 1990 concerning “</w:t>
      </w:r>
      <w:r>
        <w:rPr>
          <w:rFonts w:ascii="Arial" w:hAnsi="Arial" w:cs="Arial"/>
          <w:i/>
          <w:color w:val="7B7B7B" w:themeColor="accent3" w:themeShade="BF"/>
          <w:sz w:val="22"/>
          <w:szCs w:val="22"/>
          <w:lang w:val="en-GB"/>
        </w:rPr>
        <w:t>debts provable, the time and manner of proving debts, admission and rejection of proofs of debts, and the order of priority”</w:t>
      </w:r>
      <w:r>
        <w:rPr>
          <w:rFonts w:ascii="Arial" w:hAnsi="Arial" w:cs="Arial"/>
          <w:color w:val="7B7B7B" w:themeColor="accent3" w:themeShade="BF"/>
          <w:sz w:val="22"/>
          <w:szCs w:val="22"/>
          <w:lang w:val="en-GB"/>
        </w:rPr>
        <w:t xml:space="preserve"> shall apply to a winding up under the CL 1991.</w:t>
      </w:r>
    </w:p>
    <w:p w14:paraId="61B37BA5" w14:textId="77777777" w:rsidR="009546F4" w:rsidRDefault="009546F4" w:rsidP="009546F4">
      <w:pPr>
        <w:jc w:val="both"/>
        <w:rPr>
          <w:rFonts w:ascii="Arial" w:hAnsi="Arial" w:cs="Arial"/>
          <w:color w:val="7B7B7B" w:themeColor="accent3" w:themeShade="BF"/>
          <w:sz w:val="22"/>
          <w:szCs w:val="22"/>
          <w:lang w:val="en-GB"/>
        </w:rPr>
      </w:pPr>
    </w:p>
    <w:p w14:paraId="3D9B6253"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to Article 29 of the BL 1990, all debts of a debtor, whether present or future, or contingent, which the debtor is subject to at the date of the winding up or the debtor becomes subject to prior to the final distribution of the estate are provable</w:t>
      </w:r>
      <w:r>
        <w:rPr>
          <w:rStyle w:val="FootnoteReference"/>
          <w:rFonts w:ascii="Arial" w:hAnsi="Arial" w:cs="Arial"/>
          <w:color w:val="7B7B7B" w:themeColor="accent3" w:themeShade="BF"/>
          <w:sz w:val="22"/>
          <w:szCs w:val="22"/>
          <w:lang w:val="en-GB"/>
        </w:rPr>
        <w:footnoteReference w:id="76"/>
      </w:r>
      <w:r>
        <w:rPr>
          <w:rFonts w:ascii="Arial" w:hAnsi="Arial" w:cs="Arial"/>
          <w:color w:val="7B7B7B" w:themeColor="accent3" w:themeShade="BF"/>
          <w:sz w:val="22"/>
          <w:szCs w:val="22"/>
          <w:lang w:val="en-GB"/>
        </w:rPr>
        <w:t>. The priority of such debts is governed by Article 32 of the BL 1990 as follows:</w:t>
      </w:r>
    </w:p>
    <w:p w14:paraId="0D17EDE3" w14:textId="77777777" w:rsidR="009546F4" w:rsidRDefault="009546F4" w:rsidP="009546F4">
      <w:pPr>
        <w:jc w:val="both"/>
        <w:rPr>
          <w:rFonts w:ascii="Arial" w:hAnsi="Arial" w:cs="Arial"/>
          <w:color w:val="7B7B7B" w:themeColor="accent3" w:themeShade="BF"/>
          <w:sz w:val="22"/>
          <w:szCs w:val="22"/>
          <w:lang w:val="en-GB"/>
        </w:rPr>
      </w:pPr>
    </w:p>
    <w:p w14:paraId="6A0DC7DF"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 of a liquidator’s reasonable fees and costs properly incurred in the liquidation</w:t>
      </w:r>
      <w:r>
        <w:rPr>
          <w:rStyle w:val="FootnoteReference"/>
          <w:rFonts w:ascii="Arial" w:hAnsi="Arial" w:cs="Arial"/>
          <w:color w:val="7B7B7B" w:themeColor="accent3" w:themeShade="BF"/>
          <w:sz w:val="22"/>
          <w:szCs w:val="22"/>
          <w:lang w:val="en-GB"/>
        </w:rPr>
        <w:footnoteReference w:id="77"/>
      </w:r>
      <w:r>
        <w:rPr>
          <w:rFonts w:ascii="Arial" w:hAnsi="Arial" w:cs="Arial"/>
          <w:color w:val="7B7B7B" w:themeColor="accent3" w:themeShade="BF"/>
          <w:sz w:val="22"/>
          <w:szCs w:val="22"/>
          <w:lang w:val="en-GB"/>
        </w:rPr>
        <w:t>;</w:t>
      </w:r>
    </w:p>
    <w:p w14:paraId="2DB9AEDF"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Payments owing to employees at the date of the winding up relating to wages or salary for services rendered during the six months preceding the winding up</w:t>
      </w:r>
      <w:r>
        <w:rPr>
          <w:rStyle w:val="FootnoteReference"/>
          <w:rFonts w:ascii="Arial" w:hAnsi="Arial" w:cs="Arial"/>
          <w:color w:val="7B7B7B" w:themeColor="accent3" w:themeShade="BF"/>
          <w:sz w:val="22"/>
          <w:szCs w:val="22"/>
          <w:lang w:val="en-GB"/>
        </w:rPr>
        <w:footnoteReference w:id="78"/>
      </w:r>
      <w:r>
        <w:rPr>
          <w:rFonts w:ascii="Arial" w:hAnsi="Arial" w:cs="Arial"/>
          <w:color w:val="7B7B7B" w:themeColor="accent3" w:themeShade="BF"/>
          <w:sz w:val="22"/>
          <w:szCs w:val="22"/>
          <w:lang w:val="en-GB"/>
        </w:rPr>
        <w:t xml:space="preserve"> and any outstanding holiday pay or bonuses</w:t>
      </w:r>
      <w:r>
        <w:rPr>
          <w:rStyle w:val="FootnoteReference"/>
          <w:rFonts w:ascii="Arial" w:hAnsi="Arial" w:cs="Arial"/>
          <w:color w:val="7B7B7B" w:themeColor="accent3" w:themeShade="BF"/>
          <w:sz w:val="22"/>
          <w:szCs w:val="22"/>
          <w:lang w:val="en-GB"/>
        </w:rPr>
        <w:footnoteReference w:id="79"/>
      </w:r>
      <w:r>
        <w:rPr>
          <w:rFonts w:ascii="Arial" w:hAnsi="Arial" w:cs="Arial"/>
          <w:color w:val="7B7B7B" w:themeColor="accent3" w:themeShade="BF"/>
          <w:sz w:val="22"/>
          <w:szCs w:val="22"/>
          <w:lang w:val="en-GB"/>
        </w:rPr>
        <w:t>;</w:t>
      </w:r>
    </w:p>
    <w:p w14:paraId="47767A53"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Payments of sums owing to the Health Insurance Fund pursuant to Health Insurance (Jersey) Law 1967</w:t>
      </w:r>
      <w:r>
        <w:rPr>
          <w:rStyle w:val="FootnoteReference"/>
          <w:rFonts w:ascii="Arial" w:hAnsi="Arial" w:cs="Arial"/>
          <w:color w:val="7B7B7B" w:themeColor="accent3" w:themeShade="BF"/>
          <w:sz w:val="22"/>
          <w:szCs w:val="22"/>
          <w:lang w:val="en-GB"/>
        </w:rPr>
        <w:footnoteReference w:id="80"/>
      </w:r>
      <w:r>
        <w:rPr>
          <w:rFonts w:ascii="Arial" w:hAnsi="Arial" w:cs="Arial"/>
          <w:color w:val="7B7B7B" w:themeColor="accent3" w:themeShade="BF"/>
          <w:sz w:val="22"/>
          <w:szCs w:val="22"/>
          <w:lang w:val="en-GB"/>
        </w:rPr>
        <w:t xml:space="preserve"> and Social Security Fund further to the Social Security (Jersey) Law 2007</w:t>
      </w:r>
      <w:r>
        <w:rPr>
          <w:rStyle w:val="FootnoteReference"/>
          <w:rFonts w:ascii="Arial" w:hAnsi="Arial" w:cs="Arial"/>
          <w:color w:val="7B7B7B" w:themeColor="accent3" w:themeShade="BF"/>
          <w:sz w:val="22"/>
          <w:szCs w:val="22"/>
          <w:lang w:val="en-GB"/>
        </w:rPr>
        <w:footnoteReference w:id="81"/>
      </w:r>
      <w:r>
        <w:rPr>
          <w:rFonts w:ascii="Arial" w:hAnsi="Arial" w:cs="Arial"/>
          <w:color w:val="7B7B7B" w:themeColor="accent3" w:themeShade="BF"/>
          <w:sz w:val="22"/>
          <w:szCs w:val="22"/>
          <w:lang w:val="en-GB"/>
        </w:rPr>
        <w:t>; all amounts due under the Income Tax (Jersey) Law 1961</w:t>
      </w:r>
      <w:r>
        <w:rPr>
          <w:rStyle w:val="FootnoteReference"/>
          <w:rFonts w:ascii="Arial" w:hAnsi="Arial" w:cs="Arial"/>
          <w:color w:val="7B7B7B" w:themeColor="accent3" w:themeShade="BF"/>
          <w:sz w:val="22"/>
          <w:szCs w:val="22"/>
          <w:lang w:val="en-GB"/>
        </w:rPr>
        <w:footnoteReference w:id="82"/>
      </w:r>
      <w:r>
        <w:rPr>
          <w:rFonts w:ascii="Arial" w:hAnsi="Arial" w:cs="Arial"/>
          <w:color w:val="7B7B7B" w:themeColor="accent3" w:themeShade="BF"/>
          <w:sz w:val="22"/>
          <w:szCs w:val="22"/>
          <w:lang w:val="en-GB"/>
        </w:rPr>
        <w:t>, as well as amounts due and owing under the Goods and Services Tax (Jersey) 2007</w:t>
      </w:r>
      <w:r>
        <w:rPr>
          <w:rStyle w:val="FootnoteReference"/>
          <w:rFonts w:ascii="Arial" w:hAnsi="Arial" w:cs="Arial"/>
          <w:color w:val="7B7B7B" w:themeColor="accent3" w:themeShade="BF"/>
          <w:sz w:val="22"/>
          <w:szCs w:val="22"/>
          <w:lang w:val="en-GB"/>
        </w:rPr>
        <w:footnoteReference w:id="83"/>
      </w:r>
      <w:r>
        <w:rPr>
          <w:rFonts w:ascii="Arial" w:hAnsi="Arial" w:cs="Arial"/>
          <w:color w:val="7B7B7B" w:themeColor="accent3" w:themeShade="BF"/>
          <w:sz w:val="22"/>
          <w:szCs w:val="22"/>
          <w:lang w:val="en-GB"/>
        </w:rPr>
        <w:t xml:space="preserve">; an amount due to a debtor’s landlord provided that it qualifies as a preference under </w:t>
      </w:r>
      <w:r>
        <w:rPr>
          <w:rFonts w:ascii="Arial" w:hAnsi="Arial" w:cs="Arial"/>
          <w:color w:val="7B7B7B" w:themeColor="accent3" w:themeShade="BF"/>
          <w:sz w:val="22"/>
          <w:szCs w:val="22"/>
          <w:lang w:val="en-GB"/>
        </w:rPr>
        <w:lastRenderedPageBreak/>
        <w:t>customary law</w:t>
      </w:r>
      <w:r>
        <w:rPr>
          <w:rStyle w:val="FootnoteReference"/>
          <w:rFonts w:ascii="Arial" w:hAnsi="Arial" w:cs="Arial"/>
          <w:color w:val="7B7B7B" w:themeColor="accent3" w:themeShade="BF"/>
          <w:sz w:val="22"/>
          <w:szCs w:val="22"/>
          <w:lang w:val="en-GB"/>
        </w:rPr>
        <w:footnoteReference w:id="84"/>
      </w:r>
      <w:r>
        <w:rPr>
          <w:rFonts w:ascii="Arial" w:hAnsi="Arial" w:cs="Arial"/>
          <w:color w:val="7B7B7B" w:themeColor="accent3" w:themeShade="BF"/>
          <w:sz w:val="22"/>
          <w:szCs w:val="22"/>
          <w:lang w:val="en-GB"/>
        </w:rPr>
        <w:t xml:space="preserve"> and parochial rates due not exceeding 2 years from the date of the liquidation</w:t>
      </w:r>
      <w:r>
        <w:rPr>
          <w:rStyle w:val="FootnoteReference"/>
          <w:rFonts w:ascii="Arial" w:hAnsi="Arial" w:cs="Arial"/>
          <w:color w:val="7B7B7B" w:themeColor="accent3" w:themeShade="BF"/>
          <w:sz w:val="22"/>
          <w:szCs w:val="22"/>
          <w:lang w:val="en-GB"/>
        </w:rPr>
        <w:footnoteReference w:id="85"/>
      </w:r>
      <w:r>
        <w:rPr>
          <w:rFonts w:ascii="Arial" w:hAnsi="Arial" w:cs="Arial"/>
          <w:color w:val="7B7B7B" w:themeColor="accent3" w:themeShade="BF"/>
          <w:sz w:val="22"/>
          <w:szCs w:val="22"/>
          <w:lang w:val="en-GB"/>
        </w:rPr>
        <w:t xml:space="preserve">; and </w:t>
      </w:r>
    </w:p>
    <w:p w14:paraId="273FAFC6"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other debts of the unsecured creditors provable in liquidation</w:t>
      </w:r>
      <w:r>
        <w:rPr>
          <w:rStyle w:val="FootnoteReference"/>
          <w:rFonts w:ascii="Arial" w:hAnsi="Arial" w:cs="Arial"/>
          <w:color w:val="7B7B7B" w:themeColor="accent3" w:themeShade="BF"/>
          <w:sz w:val="22"/>
          <w:szCs w:val="22"/>
          <w:lang w:val="en-GB"/>
        </w:rPr>
        <w:footnoteReference w:id="86"/>
      </w:r>
      <w:r>
        <w:rPr>
          <w:rFonts w:ascii="Arial" w:hAnsi="Arial" w:cs="Arial"/>
          <w:color w:val="7B7B7B" w:themeColor="accent3" w:themeShade="BF"/>
          <w:sz w:val="22"/>
          <w:szCs w:val="22"/>
          <w:lang w:val="en-GB"/>
        </w:rPr>
        <w:t>.</w:t>
      </w:r>
    </w:p>
    <w:p w14:paraId="51470ECD" w14:textId="77777777" w:rsidR="009546F4" w:rsidRDefault="009546F4" w:rsidP="009546F4">
      <w:pPr>
        <w:jc w:val="both"/>
        <w:rPr>
          <w:rFonts w:ascii="Arial" w:hAnsi="Arial" w:cs="Arial"/>
          <w:color w:val="7B7B7B" w:themeColor="accent3" w:themeShade="BF"/>
          <w:sz w:val="22"/>
          <w:szCs w:val="22"/>
          <w:lang w:val="en-GB"/>
        </w:rPr>
      </w:pPr>
    </w:p>
    <w:p w14:paraId="2E0FC071"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interest, any interest payable on the winding up is provable as a debt in the liquidation</w:t>
      </w:r>
      <w:r>
        <w:rPr>
          <w:rStyle w:val="FootnoteReference"/>
          <w:rFonts w:ascii="Arial" w:hAnsi="Arial" w:cs="Arial"/>
          <w:color w:val="7B7B7B" w:themeColor="accent3" w:themeShade="BF"/>
          <w:sz w:val="22"/>
          <w:szCs w:val="22"/>
          <w:lang w:val="en-GB"/>
        </w:rPr>
        <w:footnoteReference w:id="87"/>
      </w:r>
      <w:r>
        <w:rPr>
          <w:rFonts w:ascii="Arial" w:hAnsi="Arial" w:cs="Arial"/>
          <w:color w:val="7B7B7B" w:themeColor="accent3" w:themeShade="BF"/>
          <w:sz w:val="22"/>
          <w:szCs w:val="22"/>
          <w:lang w:val="en-GB"/>
        </w:rPr>
        <w:t>. This is subject to the proviso that any interest payable on a debt secured by a hypothec or security interest may be payable out of the proceeds of sale of the secured asset</w:t>
      </w:r>
      <w:r>
        <w:rPr>
          <w:rStyle w:val="FootnoteReference"/>
          <w:rFonts w:ascii="Arial" w:hAnsi="Arial" w:cs="Arial"/>
          <w:color w:val="7B7B7B" w:themeColor="accent3" w:themeShade="BF"/>
          <w:sz w:val="22"/>
          <w:szCs w:val="22"/>
          <w:lang w:val="en-GB"/>
        </w:rPr>
        <w:footnoteReference w:id="88"/>
      </w:r>
      <w:r>
        <w:rPr>
          <w:rFonts w:ascii="Arial" w:hAnsi="Arial" w:cs="Arial"/>
          <w:color w:val="7B7B7B" w:themeColor="accent3" w:themeShade="BF"/>
          <w:sz w:val="22"/>
          <w:szCs w:val="22"/>
          <w:lang w:val="en-GB"/>
        </w:rPr>
        <w:t>.</w:t>
      </w:r>
    </w:p>
    <w:p w14:paraId="2D566D18" w14:textId="77777777" w:rsidR="009546F4" w:rsidRDefault="009546F4" w:rsidP="009546F4">
      <w:pPr>
        <w:jc w:val="both"/>
        <w:rPr>
          <w:rFonts w:ascii="Arial" w:hAnsi="Arial" w:cs="Arial"/>
          <w:color w:val="7B7B7B" w:themeColor="accent3" w:themeShade="BF"/>
          <w:sz w:val="22"/>
          <w:szCs w:val="22"/>
          <w:lang w:val="en-GB"/>
        </w:rPr>
      </w:pPr>
    </w:p>
    <w:p w14:paraId="67A3F47A"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Jersey Court shall prescribe the procedure for a creditor to prove their debt in the liquidation</w:t>
      </w:r>
      <w:r>
        <w:rPr>
          <w:rStyle w:val="FootnoteReference"/>
          <w:rFonts w:ascii="Arial" w:hAnsi="Arial" w:cs="Arial"/>
          <w:color w:val="7B7B7B" w:themeColor="accent3" w:themeShade="BF"/>
          <w:sz w:val="22"/>
          <w:szCs w:val="22"/>
          <w:lang w:val="en-GB"/>
        </w:rPr>
        <w:footnoteReference w:id="89"/>
      </w:r>
      <w:r>
        <w:rPr>
          <w:rFonts w:ascii="Arial" w:hAnsi="Arial" w:cs="Arial"/>
          <w:color w:val="7B7B7B" w:themeColor="accent3" w:themeShade="BF"/>
          <w:sz w:val="22"/>
          <w:szCs w:val="22"/>
          <w:lang w:val="en-GB"/>
        </w:rPr>
        <w:t>. The BL 1990 expressly provides that the costs incidental to and occasioned by the creditor in proving its debts are payable by the creditor, not out of the assets of the insolvency estate</w:t>
      </w:r>
      <w:r>
        <w:rPr>
          <w:rStyle w:val="FootnoteReference"/>
          <w:rFonts w:ascii="Arial" w:hAnsi="Arial" w:cs="Arial"/>
          <w:color w:val="7B7B7B" w:themeColor="accent3" w:themeShade="BF"/>
          <w:sz w:val="22"/>
          <w:szCs w:val="22"/>
          <w:lang w:val="en-GB"/>
        </w:rPr>
        <w:footnoteReference w:id="90"/>
      </w:r>
      <w:r>
        <w:rPr>
          <w:rFonts w:ascii="Arial" w:hAnsi="Arial" w:cs="Arial"/>
          <w:color w:val="7B7B7B" w:themeColor="accent3" w:themeShade="BF"/>
          <w:sz w:val="22"/>
          <w:szCs w:val="22"/>
          <w:lang w:val="en-GB"/>
        </w:rPr>
        <w:t>. Furthermore, the BL 1990 confers the power on each creditor of the company to inspect and examine the proofs of debt submitted by the company’s other creditors at a time to be fixed by the liquidator</w:t>
      </w:r>
      <w:r>
        <w:rPr>
          <w:rStyle w:val="FootnoteReference"/>
          <w:rFonts w:ascii="Arial" w:hAnsi="Arial" w:cs="Arial"/>
          <w:color w:val="7B7B7B" w:themeColor="accent3" w:themeShade="BF"/>
          <w:sz w:val="22"/>
          <w:szCs w:val="22"/>
          <w:lang w:val="en-GB"/>
        </w:rPr>
        <w:footnoteReference w:id="91"/>
      </w:r>
      <w:r>
        <w:rPr>
          <w:rFonts w:ascii="Arial" w:hAnsi="Arial" w:cs="Arial"/>
          <w:color w:val="7B7B7B" w:themeColor="accent3" w:themeShade="BF"/>
          <w:sz w:val="22"/>
          <w:szCs w:val="22"/>
          <w:lang w:val="en-GB"/>
        </w:rPr>
        <w:t>.</w:t>
      </w:r>
    </w:p>
    <w:p w14:paraId="17E6E675" w14:textId="77777777" w:rsidR="009546F4" w:rsidRDefault="009546F4" w:rsidP="009546F4">
      <w:pPr>
        <w:jc w:val="both"/>
        <w:rPr>
          <w:rFonts w:ascii="Arial" w:hAnsi="Arial" w:cs="Arial"/>
          <w:color w:val="7B7B7B" w:themeColor="accent3" w:themeShade="BF"/>
          <w:sz w:val="22"/>
          <w:szCs w:val="22"/>
          <w:lang w:val="en-GB"/>
        </w:rPr>
      </w:pPr>
    </w:p>
    <w:p w14:paraId="1023CCD5"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31 of the BL 1990 then goes on to provide the process by which a debt is to be admitted or rejected by a liquidator. As a preliminary point, Article 31(1) expressly permits a liquidator to admit or reject a proof in whole or part. This this procedure it may be summarized as follows:</w:t>
      </w:r>
    </w:p>
    <w:p w14:paraId="4875AEF1" w14:textId="77777777" w:rsidR="009546F4" w:rsidRDefault="009546F4" w:rsidP="009546F4">
      <w:pPr>
        <w:jc w:val="both"/>
        <w:rPr>
          <w:rFonts w:ascii="Arial" w:hAnsi="Arial" w:cs="Arial"/>
          <w:color w:val="7B7B7B" w:themeColor="accent3" w:themeShade="BF"/>
          <w:sz w:val="22"/>
          <w:szCs w:val="22"/>
          <w:lang w:val="en-GB"/>
        </w:rPr>
      </w:pPr>
    </w:p>
    <w:p w14:paraId="65C529CB"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the liquidator must examine each proof and have regard to any statement filed in opposition to the admission of such debt: </w:t>
      </w:r>
      <w:r>
        <w:rPr>
          <w:rFonts w:ascii="Arial" w:hAnsi="Arial" w:cs="Arial"/>
          <w:i/>
          <w:color w:val="7B7B7B" w:themeColor="accent3" w:themeShade="BF"/>
          <w:sz w:val="22"/>
          <w:szCs w:val="22"/>
          <w:lang w:val="en-GB"/>
        </w:rPr>
        <w:t xml:space="preserve">see Article 31(2) BL </w:t>
      </w:r>
      <w:proofErr w:type="gramStart"/>
      <w:r>
        <w:rPr>
          <w:rFonts w:ascii="Arial" w:hAnsi="Arial" w:cs="Arial"/>
          <w:i/>
          <w:color w:val="7B7B7B" w:themeColor="accent3" w:themeShade="BF"/>
          <w:sz w:val="22"/>
          <w:szCs w:val="22"/>
          <w:lang w:val="en-GB"/>
        </w:rPr>
        <w:t>1990</w:t>
      </w:r>
      <w:r>
        <w:rPr>
          <w:rFonts w:ascii="Arial" w:hAnsi="Arial" w:cs="Arial"/>
          <w:color w:val="7B7B7B" w:themeColor="accent3" w:themeShade="BF"/>
          <w:sz w:val="22"/>
          <w:szCs w:val="22"/>
          <w:lang w:val="en-GB"/>
        </w:rPr>
        <w:t>;</w:t>
      </w:r>
      <w:proofErr w:type="gramEnd"/>
    </w:p>
    <w:p w14:paraId="57E12D35" w14:textId="77777777" w:rsidR="009546F4" w:rsidRDefault="009546F4" w:rsidP="009546F4">
      <w:pPr>
        <w:pStyle w:val="ListParagraph"/>
        <w:jc w:val="both"/>
        <w:rPr>
          <w:rFonts w:ascii="Arial" w:hAnsi="Arial" w:cs="Arial"/>
          <w:color w:val="7B7B7B" w:themeColor="accent3" w:themeShade="BF"/>
          <w:sz w:val="22"/>
          <w:szCs w:val="22"/>
          <w:lang w:val="en-GB"/>
        </w:rPr>
      </w:pPr>
    </w:p>
    <w:p w14:paraId="749029A2"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admitting or rejecting a debt, if necessary, a liquidator may require further information in support of admission of such debt: </w:t>
      </w:r>
      <w:r>
        <w:rPr>
          <w:rFonts w:ascii="Arial" w:hAnsi="Arial" w:cs="Arial"/>
          <w:i/>
          <w:color w:val="7B7B7B" w:themeColor="accent3" w:themeShade="BF"/>
          <w:sz w:val="22"/>
          <w:szCs w:val="22"/>
          <w:lang w:val="en-GB"/>
        </w:rPr>
        <w:t xml:space="preserve">see Article 31(3) BL </w:t>
      </w:r>
      <w:proofErr w:type="gramStart"/>
      <w:r>
        <w:rPr>
          <w:rFonts w:ascii="Arial" w:hAnsi="Arial" w:cs="Arial"/>
          <w:i/>
          <w:color w:val="7B7B7B" w:themeColor="accent3" w:themeShade="BF"/>
          <w:sz w:val="22"/>
          <w:szCs w:val="22"/>
          <w:lang w:val="en-GB"/>
        </w:rPr>
        <w:t>1990</w:t>
      </w:r>
      <w:r>
        <w:rPr>
          <w:rFonts w:ascii="Arial" w:hAnsi="Arial" w:cs="Arial"/>
          <w:color w:val="7B7B7B" w:themeColor="accent3" w:themeShade="BF"/>
          <w:sz w:val="22"/>
          <w:szCs w:val="22"/>
          <w:lang w:val="en-GB"/>
        </w:rPr>
        <w:t>;</w:t>
      </w:r>
      <w:proofErr w:type="gramEnd"/>
    </w:p>
    <w:p w14:paraId="599A34D2" w14:textId="77777777" w:rsidR="009546F4" w:rsidRPr="00870CAE" w:rsidRDefault="009546F4" w:rsidP="009546F4">
      <w:pPr>
        <w:pStyle w:val="ListParagraph"/>
        <w:rPr>
          <w:rFonts w:ascii="Arial" w:hAnsi="Arial" w:cs="Arial"/>
          <w:color w:val="7B7B7B" w:themeColor="accent3" w:themeShade="BF"/>
          <w:sz w:val="22"/>
          <w:szCs w:val="22"/>
          <w:lang w:val="en-GB"/>
        </w:rPr>
      </w:pPr>
    </w:p>
    <w:p w14:paraId="0BE937A1"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liquidator rejects a proof of debt in whole or in part, the liquidator must give notice of such rejection in the manner prescribed by the Court: </w:t>
      </w:r>
      <w:r>
        <w:rPr>
          <w:rFonts w:ascii="Arial" w:hAnsi="Arial" w:cs="Arial"/>
          <w:i/>
          <w:color w:val="7B7B7B" w:themeColor="accent3" w:themeShade="BF"/>
          <w:sz w:val="22"/>
          <w:szCs w:val="22"/>
          <w:lang w:val="en-GB"/>
        </w:rPr>
        <w:t xml:space="preserve">see Article 31(5) BL </w:t>
      </w:r>
      <w:proofErr w:type="gramStart"/>
      <w:r>
        <w:rPr>
          <w:rFonts w:ascii="Arial" w:hAnsi="Arial" w:cs="Arial"/>
          <w:i/>
          <w:color w:val="7B7B7B" w:themeColor="accent3" w:themeShade="BF"/>
          <w:sz w:val="22"/>
          <w:szCs w:val="22"/>
          <w:lang w:val="en-GB"/>
        </w:rPr>
        <w:t>1990</w:t>
      </w:r>
      <w:r>
        <w:rPr>
          <w:rFonts w:ascii="Arial" w:hAnsi="Arial" w:cs="Arial"/>
          <w:color w:val="7B7B7B" w:themeColor="accent3" w:themeShade="BF"/>
          <w:sz w:val="22"/>
          <w:szCs w:val="22"/>
          <w:lang w:val="en-GB"/>
        </w:rPr>
        <w:t>;</w:t>
      </w:r>
      <w:proofErr w:type="gramEnd"/>
    </w:p>
    <w:p w14:paraId="0D07DF14" w14:textId="77777777" w:rsidR="009546F4" w:rsidRPr="00870CAE" w:rsidRDefault="009546F4" w:rsidP="009546F4">
      <w:pPr>
        <w:pStyle w:val="ListParagraph"/>
        <w:rPr>
          <w:rFonts w:ascii="Arial" w:hAnsi="Arial" w:cs="Arial"/>
          <w:color w:val="7B7B7B" w:themeColor="accent3" w:themeShade="BF"/>
          <w:sz w:val="22"/>
          <w:szCs w:val="22"/>
          <w:lang w:val="en-GB"/>
        </w:rPr>
      </w:pPr>
    </w:p>
    <w:p w14:paraId="0205AF9A" w14:textId="77777777" w:rsidR="009546F4" w:rsidRDefault="009546F4">
      <w:pPr>
        <w:pStyle w:val="ListParagraph"/>
        <w:numPr>
          <w:ilvl w:val="0"/>
          <w:numId w:val="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where a liquidator rejects a statement filed in opposition to the admission of a debt, the liquidator must give notice to the said person in the manner prescribed by the court: </w:t>
      </w:r>
      <w:r>
        <w:rPr>
          <w:rFonts w:ascii="Arial" w:hAnsi="Arial" w:cs="Arial"/>
          <w:i/>
          <w:color w:val="7B7B7B" w:themeColor="accent3" w:themeShade="BF"/>
          <w:sz w:val="22"/>
          <w:szCs w:val="22"/>
          <w:lang w:val="en-GB"/>
        </w:rPr>
        <w:t>see Article 31(6) BL 1990</w:t>
      </w:r>
      <w:r>
        <w:rPr>
          <w:rFonts w:ascii="Arial" w:hAnsi="Arial" w:cs="Arial"/>
          <w:color w:val="7B7B7B" w:themeColor="accent3" w:themeShade="BF"/>
          <w:sz w:val="22"/>
          <w:szCs w:val="22"/>
          <w:lang w:val="en-GB"/>
        </w:rPr>
        <w:t>.</w:t>
      </w:r>
    </w:p>
    <w:p w14:paraId="2F2E564D" w14:textId="77777777" w:rsidR="009546F4" w:rsidRPr="00076E89" w:rsidRDefault="009546F4" w:rsidP="009546F4">
      <w:pPr>
        <w:pStyle w:val="ListParagraph"/>
        <w:rPr>
          <w:rFonts w:ascii="Arial" w:hAnsi="Arial" w:cs="Arial"/>
          <w:color w:val="7B7B7B" w:themeColor="accent3" w:themeShade="BF"/>
          <w:sz w:val="22"/>
          <w:szCs w:val="22"/>
          <w:lang w:val="en-GB"/>
        </w:rPr>
      </w:pPr>
    </w:p>
    <w:p w14:paraId="1FB19A06" w14:textId="77777777" w:rsidR="009546F4"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aggrieved party (i.e., a party whose debt or statement in opposition has been rejected) may apply for court review of the liquidator’s decision within the </w:t>
      </w:r>
      <w:proofErr w:type="gramStart"/>
      <w:r>
        <w:rPr>
          <w:rFonts w:ascii="Arial" w:hAnsi="Arial" w:cs="Arial"/>
          <w:color w:val="7B7B7B" w:themeColor="accent3" w:themeShade="BF"/>
          <w:sz w:val="22"/>
          <w:szCs w:val="22"/>
          <w:lang w:val="en-GB"/>
        </w:rPr>
        <w:t>time period</w:t>
      </w:r>
      <w:proofErr w:type="gramEnd"/>
      <w:r>
        <w:rPr>
          <w:rFonts w:ascii="Arial" w:hAnsi="Arial" w:cs="Arial"/>
          <w:color w:val="7B7B7B" w:themeColor="accent3" w:themeShade="BF"/>
          <w:sz w:val="22"/>
          <w:szCs w:val="22"/>
          <w:lang w:val="en-GB"/>
        </w:rPr>
        <w:t xml:space="preserve"> prescribed by the court: </w:t>
      </w:r>
      <w:r>
        <w:rPr>
          <w:rFonts w:ascii="Arial" w:hAnsi="Arial" w:cs="Arial"/>
          <w:i/>
          <w:color w:val="7B7B7B" w:themeColor="accent3" w:themeShade="BF"/>
          <w:sz w:val="22"/>
          <w:szCs w:val="22"/>
          <w:lang w:val="en-GB"/>
        </w:rPr>
        <w:t>See Article 31(7) BL 1990</w:t>
      </w:r>
      <w:r>
        <w:rPr>
          <w:rFonts w:ascii="Arial" w:hAnsi="Arial" w:cs="Arial"/>
          <w:color w:val="7B7B7B" w:themeColor="accent3" w:themeShade="BF"/>
          <w:sz w:val="22"/>
          <w:szCs w:val="22"/>
          <w:lang w:val="en-GB"/>
        </w:rPr>
        <w:t>.</w:t>
      </w:r>
    </w:p>
    <w:p w14:paraId="7B6E9EAF" w14:textId="77777777" w:rsidR="009546F4" w:rsidRDefault="009546F4" w:rsidP="009546F4">
      <w:pPr>
        <w:jc w:val="both"/>
        <w:rPr>
          <w:rFonts w:ascii="Arial" w:hAnsi="Arial" w:cs="Arial"/>
          <w:color w:val="7B7B7B" w:themeColor="accent3" w:themeShade="BF"/>
          <w:sz w:val="22"/>
          <w:szCs w:val="22"/>
          <w:lang w:val="en-GB"/>
        </w:rPr>
      </w:pPr>
    </w:p>
    <w:p w14:paraId="5DCA9CDA" w14:textId="77777777" w:rsidR="009546F4" w:rsidRPr="005A06C7" w:rsidRDefault="009546F4" w:rsidP="00954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admission or rejection of a debt, a liquidator has the statutory power to reject in whole or in part any interest on such debt if the liquidator believes such interest is extortionate</w:t>
      </w:r>
      <w:r>
        <w:rPr>
          <w:rStyle w:val="FootnoteReference"/>
          <w:rFonts w:ascii="Arial" w:hAnsi="Arial" w:cs="Arial"/>
          <w:color w:val="7B7B7B" w:themeColor="accent3" w:themeShade="BF"/>
          <w:sz w:val="22"/>
          <w:szCs w:val="22"/>
          <w:lang w:val="en-GB"/>
        </w:rPr>
        <w:footnoteReference w:id="92"/>
      </w:r>
      <w:r>
        <w:rPr>
          <w:rFonts w:ascii="Arial" w:hAnsi="Arial" w:cs="Arial"/>
          <w:color w:val="7B7B7B" w:themeColor="accent3" w:themeShade="BF"/>
          <w:sz w:val="22"/>
          <w:szCs w:val="22"/>
          <w:lang w:val="en-GB"/>
        </w:rPr>
        <w:t xml:space="preserve">. </w:t>
      </w:r>
    </w:p>
    <w:p w14:paraId="08AEEA9E" w14:textId="77777777" w:rsidR="00962045" w:rsidRPr="002A37BB" w:rsidRDefault="00962045" w:rsidP="002A37BB">
      <w:pPr>
        <w:jc w:val="both"/>
        <w:rPr>
          <w:rFonts w:ascii="Arial" w:hAnsi="Arial" w:cs="Arial"/>
          <w:sz w:val="22"/>
          <w:szCs w:val="22"/>
          <w:shd w:val="clear" w:color="auto" w:fill="FFFFFF"/>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lastRenderedPageBreak/>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28367661" w:rsidR="00A67287" w:rsidRPr="002A37BB" w:rsidRDefault="00A67287" w:rsidP="00087F21">
      <w:pPr>
        <w:jc w:val="both"/>
        <w:rPr>
          <w:rFonts w:ascii="Arial" w:hAnsi="Arial" w:cs="Arial"/>
          <w:sz w:val="22"/>
          <w:szCs w:val="22"/>
          <w:lang w:val="en-GB"/>
        </w:rPr>
      </w:pPr>
      <w:r>
        <w:rPr>
          <w:rFonts w:ascii="Arial" w:hAnsi="Arial" w:cs="Arial"/>
          <w:sz w:val="22"/>
          <w:szCs w:val="22"/>
          <w:lang w:val="en-GB"/>
        </w:rPr>
        <w:t xml:space="preserve">In December 2018, Big Bank confirmed that it would no longer continue to provide financial support and would not allow a further extension of facilities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meet the rental payments which were due on 25 December.</w:t>
      </w:r>
      <w:r w:rsidR="003C28B8">
        <w:rPr>
          <w:rFonts w:ascii="Arial" w:hAnsi="Arial" w:cs="Arial"/>
          <w:sz w:val="22"/>
          <w:szCs w:val="22"/>
          <w:lang w:val="en-GB"/>
        </w:rPr>
        <w:t xml:space="preserve"> </w:t>
      </w:r>
    </w:p>
    <w:p w14:paraId="3E74A953" w14:textId="77777777" w:rsidR="00087F21" w:rsidRDefault="00087F21" w:rsidP="00087F21">
      <w:pPr>
        <w:jc w:val="both"/>
        <w:rPr>
          <w:rFonts w:ascii="Arial" w:hAnsi="Arial" w:cs="Arial"/>
          <w:sz w:val="22"/>
          <w:szCs w:val="22"/>
          <w:lang w:val="en-GB"/>
        </w:rPr>
      </w:pPr>
      <w:bookmarkStart w:id="0"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1A1E61C9" w14:textId="77777777" w:rsidR="0056390A" w:rsidRDefault="0056390A" w:rsidP="001A007A">
      <w:pPr>
        <w:autoSpaceDE w:val="0"/>
        <w:autoSpaceDN w:val="0"/>
        <w:adjustRightInd w:val="0"/>
        <w:jc w:val="both"/>
        <w:rPr>
          <w:rFonts w:ascii="Arial" w:hAnsi="Arial" w:cs="Arial"/>
          <w:color w:val="7B7B7B" w:themeColor="accent3" w:themeShade="BF"/>
          <w:sz w:val="22"/>
          <w:szCs w:val="22"/>
          <w:lang w:val="en-GB"/>
        </w:rPr>
      </w:pPr>
    </w:p>
    <w:p w14:paraId="67E9ECFA"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Jersey, Big Bank Plc (</w:t>
      </w:r>
      <w:r>
        <w:rPr>
          <w:rFonts w:ascii="Arial" w:hAnsi="Arial" w:cs="Arial"/>
          <w:b/>
          <w:color w:val="7B7B7B" w:themeColor="accent3" w:themeShade="BF"/>
          <w:sz w:val="22"/>
          <w:szCs w:val="22"/>
          <w:lang w:val="en-GB"/>
        </w:rPr>
        <w:t>Big Bank</w:t>
      </w:r>
      <w:r>
        <w:rPr>
          <w:rFonts w:ascii="Arial" w:hAnsi="Arial" w:cs="Arial"/>
          <w:color w:val="7B7B7B" w:themeColor="accent3" w:themeShade="BF"/>
          <w:sz w:val="22"/>
          <w:szCs w:val="22"/>
          <w:lang w:val="en-GB"/>
        </w:rPr>
        <w:t>), as a secured creditor of XYZ Limited (</w:t>
      </w:r>
      <w:r>
        <w:rPr>
          <w:rFonts w:ascii="Arial" w:hAnsi="Arial" w:cs="Arial"/>
          <w:b/>
          <w:color w:val="7B7B7B" w:themeColor="accent3" w:themeShade="BF"/>
          <w:sz w:val="22"/>
          <w:szCs w:val="22"/>
          <w:lang w:val="en-GB"/>
        </w:rPr>
        <w:t>XYZ</w:t>
      </w:r>
      <w:r>
        <w:rPr>
          <w:rFonts w:ascii="Arial" w:hAnsi="Arial" w:cs="Arial"/>
          <w:color w:val="7B7B7B" w:themeColor="accent3" w:themeShade="BF"/>
          <w:sz w:val="22"/>
          <w:szCs w:val="22"/>
          <w:lang w:val="en-GB"/>
        </w:rPr>
        <w:t>), will rank ahead of all other creditors. This, of course, is subject to the caveat that such interest would be subordinate to any prior ranking interest over the asset</w:t>
      </w:r>
      <w:r>
        <w:rPr>
          <w:rStyle w:val="FootnoteReference"/>
          <w:rFonts w:ascii="Arial" w:hAnsi="Arial" w:cs="Arial"/>
          <w:color w:val="7B7B7B" w:themeColor="accent3" w:themeShade="BF"/>
          <w:sz w:val="22"/>
          <w:szCs w:val="22"/>
          <w:lang w:val="en-GB"/>
        </w:rPr>
        <w:footnoteReference w:id="93"/>
      </w:r>
      <w:r>
        <w:rPr>
          <w:rFonts w:ascii="Arial" w:hAnsi="Arial" w:cs="Arial"/>
          <w:color w:val="7B7B7B" w:themeColor="accent3" w:themeShade="BF"/>
          <w:sz w:val="22"/>
          <w:szCs w:val="22"/>
          <w:lang w:val="en-GB"/>
        </w:rPr>
        <w:t xml:space="preserve">. As the holder of a secured interest, Big Bank may enforce its rights in accordance with the terms of the security instrument. </w:t>
      </w:r>
      <w:proofErr w:type="gramStart"/>
      <w:r>
        <w:rPr>
          <w:rFonts w:ascii="Arial" w:hAnsi="Arial" w:cs="Arial"/>
          <w:color w:val="7B7B7B" w:themeColor="accent3" w:themeShade="BF"/>
          <w:sz w:val="22"/>
          <w:szCs w:val="22"/>
          <w:lang w:val="en-GB"/>
        </w:rPr>
        <w:t>Generally speaking, a</w:t>
      </w:r>
      <w:proofErr w:type="gramEnd"/>
      <w:r>
        <w:rPr>
          <w:rFonts w:ascii="Arial" w:hAnsi="Arial" w:cs="Arial"/>
          <w:color w:val="7B7B7B" w:themeColor="accent3" w:themeShade="BF"/>
          <w:sz w:val="22"/>
          <w:szCs w:val="22"/>
          <w:lang w:val="en-GB"/>
        </w:rPr>
        <w:t xml:space="preserve"> secured creditor’s right to enforcement will be triggered by the occurrence of an event of default, which is expressly provided for in the instrument itself</w:t>
      </w:r>
      <w:r>
        <w:rPr>
          <w:rStyle w:val="FootnoteReference"/>
          <w:rFonts w:ascii="Arial" w:hAnsi="Arial" w:cs="Arial"/>
          <w:color w:val="7B7B7B" w:themeColor="accent3" w:themeShade="BF"/>
          <w:sz w:val="22"/>
          <w:szCs w:val="22"/>
          <w:lang w:val="en-GB"/>
        </w:rPr>
        <w:footnoteReference w:id="94"/>
      </w:r>
      <w:r>
        <w:rPr>
          <w:rFonts w:ascii="Arial" w:hAnsi="Arial" w:cs="Arial"/>
          <w:color w:val="7B7B7B" w:themeColor="accent3" w:themeShade="BF"/>
          <w:sz w:val="22"/>
          <w:szCs w:val="22"/>
          <w:lang w:val="en-GB"/>
        </w:rPr>
        <w:t xml:space="preserve">. </w:t>
      </w:r>
    </w:p>
    <w:p w14:paraId="1435174D"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p>
    <w:p w14:paraId="53CBAEB4"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security is held over foreign property of XYZ, such security may be capable of enforcement in Jersey in accordance with the foreign law</w:t>
      </w:r>
      <w:r>
        <w:rPr>
          <w:rStyle w:val="FootnoteReference"/>
          <w:rFonts w:ascii="Arial" w:hAnsi="Arial" w:cs="Arial"/>
          <w:color w:val="7B7B7B" w:themeColor="accent3" w:themeShade="BF"/>
          <w:sz w:val="22"/>
          <w:szCs w:val="22"/>
          <w:lang w:val="en-GB"/>
        </w:rPr>
        <w:footnoteReference w:id="95"/>
      </w:r>
      <w:r>
        <w:rPr>
          <w:rFonts w:ascii="Arial" w:hAnsi="Arial" w:cs="Arial"/>
          <w:color w:val="7B7B7B" w:themeColor="accent3" w:themeShade="BF"/>
          <w:sz w:val="22"/>
          <w:szCs w:val="22"/>
          <w:lang w:val="en-GB"/>
        </w:rPr>
        <w:t>. Where the security interest is governed by Jersey law, Article 43 of the SI 2012 provides that the power of enforcement shall arise when (1) an event of default has occurred</w:t>
      </w:r>
      <w:r>
        <w:rPr>
          <w:rStyle w:val="FootnoteReference"/>
          <w:rFonts w:ascii="Arial" w:hAnsi="Arial" w:cs="Arial"/>
          <w:color w:val="7B7B7B" w:themeColor="accent3" w:themeShade="BF"/>
          <w:sz w:val="22"/>
          <w:szCs w:val="22"/>
          <w:lang w:val="en-GB"/>
        </w:rPr>
        <w:footnoteReference w:id="96"/>
      </w:r>
      <w:r>
        <w:rPr>
          <w:rFonts w:ascii="Arial" w:hAnsi="Arial" w:cs="Arial"/>
          <w:color w:val="7B7B7B" w:themeColor="accent3" w:themeShade="BF"/>
          <w:sz w:val="22"/>
          <w:szCs w:val="22"/>
          <w:lang w:val="en-GB"/>
        </w:rPr>
        <w:t>; and (2) Big Bank has given written notice of the event of default</w:t>
      </w:r>
      <w:r>
        <w:rPr>
          <w:rStyle w:val="FootnoteReference"/>
          <w:rFonts w:ascii="Arial" w:hAnsi="Arial" w:cs="Arial"/>
          <w:color w:val="7B7B7B" w:themeColor="accent3" w:themeShade="BF"/>
          <w:sz w:val="22"/>
          <w:szCs w:val="22"/>
          <w:lang w:val="en-GB"/>
        </w:rPr>
        <w:footnoteReference w:id="97"/>
      </w:r>
      <w:r>
        <w:rPr>
          <w:rFonts w:ascii="Arial" w:hAnsi="Arial" w:cs="Arial"/>
          <w:color w:val="7B7B7B" w:themeColor="accent3" w:themeShade="BF"/>
          <w:sz w:val="22"/>
          <w:szCs w:val="22"/>
          <w:lang w:val="en-GB"/>
        </w:rPr>
        <w:t>.</w:t>
      </w:r>
    </w:p>
    <w:p w14:paraId="47F9FF0A"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p>
    <w:p w14:paraId="5CB9FFB1"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SI 2012, any of the following methods of enforcement would be open to Big Bank:</w:t>
      </w:r>
    </w:p>
    <w:p w14:paraId="66931A11" w14:textId="77777777" w:rsidR="00966E52" w:rsidRDefault="00966E52" w:rsidP="00966E52">
      <w:pPr>
        <w:pStyle w:val="ListParagraph"/>
        <w:autoSpaceDE w:val="0"/>
        <w:autoSpaceDN w:val="0"/>
        <w:adjustRightInd w:val="0"/>
        <w:jc w:val="both"/>
        <w:rPr>
          <w:rFonts w:ascii="Arial" w:hAnsi="Arial" w:cs="Arial"/>
          <w:color w:val="7B7B7B" w:themeColor="accent3" w:themeShade="BF"/>
          <w:sz w:val="22"/>
          <w:szCs w:val="22"/>
          <w:lang w:val="en-GB"/>
        </w:rPr>
      </w:pPr>
    </w:p>
    <w:p w14:paraId="345BE62D" w14:textId="77777777" w:rsidR="00966E52" w:rsidRDefault="00966E52">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Appropriate the collateral or proceeds of the collateral: </w:t>
      </w:r>
      <w:r>
        <w:rPr>
          <w:rFonts w:ascii="Arial" w:hAnsi="Arial" w:cs="Arial"/>
          <w:i/>
          <w:color w:val="7B7B7B" w:themeColor="accent3" w:themeShade="BF"/>
          <w:sz w:val="22"/>
          <w:szCs w:val="22"/>
          <w:lang w:val="en-GB"/>
        </w:rPr>
        <w:t xml:space="preserve">Article 43(2)(a) SI </w:t>
      </w:r>
      <w:proofErr w:type="gramStart"/>
      <w:r>
        <w:rPr>
          <w:rFonts w:ascii="Arial" w:hAnsi="Arial" w:cs="Arial"/>
          <w:i/>
          <w:color w:val="7B7B7B" w:themeColor="accent3" w:themeShade="BF"/>
          <w:sz w:val="22"/>
          <w:szCs w:val="22"/>
          <w:lang w:val="en-GB"/>
        </w:rPr>
        <w:t>2012</w:t>
      </w:r>
      <w:r>
        <w:rPr>
          <w:rFonts w:ascii="Arial" w:hAnsi="Arial" w:cs="Arial"/>
          <w:color w:val="7B7B7B" w:themeColor="accent3" w:themeShade="BF"/>
          <w:sz w:val="22"/>
          <w:szCs w:val="22"/>
          <w:lang w:val="en-GB"/>
        </w:rPr>
        <w:t>;</w:t>
      </w:r>
      <w:proofErr w:type="gramEnd"/>
    </w:p>
    <w:p w14:paraId="449A2AAF" w14:textId="77777777" w:rsidR="00966E52" w:rsidRDefault="00966E52" w:rsidP="00966E52">
      <w:pPr>
        <w:pStyle w:val="ListParagraph"/>
        <w:autoSpaceDE w:val="0"/>
        <w:autoSpaceDN w:val="0"/>
        <w:adjustRightInd w:val="0"/>
        <w:jc w:val="both"/>
        <w:rPr>
          <w:rFonts w:ascii="Arial" w:hAnsi="Arial" w:cs="Arial"/>
          <w:color w:val="7B7B7B" w:themeColor="accent3" w:themeShade="BF"/>
          <w:sz w:val="22"/>
          <w:szCs w:val="22"/>
          <w:lang w:val="en-GB"/>
        </w:rPr>
      </w:pPr>
    </w:p>
    <w:p w14:paraId="69644959" w14:textId="77777777" w:rsidR="00966E52" w:rsidRDefault="00966E52">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Sell the collateral or proceeds: </w:t>
      </w:r>
      <w:r>
        <w:rPr>
          <w:rFonts w:ascii="Arial" w:hAnsi="Arial" w:cs="Arial"/>
          <w:i/>
          <w:color w:val="7B7B7B" w:themeColor="accent3" w:themeShade="BF"/>
          <w:sz w:val="22"/>
          <w:szCs w:val="22"/>
          <w:lang w:val="en-GB"/>
        </w:rPr>
        <w:t xml:space="preserve">Article 43(2)(b) SI </w:t>
      </w:r>
      <w:proofErr w:type="gramStart"/>
      <w:r>
        <w:rPr>
          <w:rFonts w:ascii="Arial" w:hAnsi="Arial" w:cs="Arial"/>
          <w:i/>
          <w:color w:val="7B7B7B" w:themeColor="accent3" w:themeShade="BF"/>
          <w:sz w:val="22"/>
          <w:szCs w:val="22"/>
          <w:lang w:val="en-GB"/>
        </w:rPr>
        <w:t>2012</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475ECA00" w14:textId="77777777" w:rsidR="00966E52" w:rsidRPr="00C80465" w:rsidRDefault="00966E52" w:rsidP="00966E52">
      <w:pPr>
        <w:pStyle w:val="ListParagraph"/>
        <w:rPr>
          <w:rFonts w:ascii="Arial" w:hAnsi="Arial" w:cs="Arial"/>
          <w:color w:val="7B7B7B" w:themeColor="accent3" w:themeShade="BF"/>
          <w:sz w:val="22"/>
          <w:szCs w:val="22"/>
          <w:lang w:val="en-GB"/>
        </w:rPr>
      </w:pPr>
    </w:p>
    <w:p w14:paraId="1A7846B5" w14:textId="77777777" w:rsidR="00966E52" w:rsidRDefault="00966E52">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Take control or possession of the collateral: </w:t>
      </w:r>
      <w:r>
        <w:rPr>
          <w:rFonts w:ascii="Arial" w:hAnsi="Arial" w:cs="Arial"/>
          <w:i/>
          <w:color w:val="7B7B7B" w:themeColor="accent3" w:themeShade="BF"/>
          <w:sz w:val="22"/>
          <w:szCs w:val="22"/>
          <w:lang w:val="en-GB"/>
        </w:rPr>
        <w:t>Article 43(2)(c)(</w:t>
      </w:r>
      <w:proofErr w:type="spellStart"/>
      <w:r>
        <w:rPr>
          <w:rFonts w:ascii="Arial" w:hAnsi="Arial" w:cs="Arial"/>
          <w:i/>
          <w:color w:val="7B7B7B" w:themeColor="accent3" w:themeShade="BF"/>
          <w:sz w:val="22"/>
          <w:szCs w:val="22"/>
          <w:lang w:val="en-GB"/>
        </w:rPr>
        <w:t>i</w:t>
      </w:r>
      <w:proofErr w:type="spellEnd"/>
      <w:r>
        <w:rPr>
          <w:rFonts w:ascii="Arial" w:hAnsi="Arial" w:cs="Arial"/>
          <w:i/>
          <w:color w:val="7B7B7B" w:themeColor="accent3" w:themeShade="BF"/>
          <w:sz w:val="22"/>
          <w:szCs w:val="22"/>
          <w:lang w:val="en-GB"/>
        </w:rPr>
        <w:t xml:space="preserve">) SI </w:t>
      </w:r>
      <w:proofErr w:type="gramStart"/>
      <w:r>
        <w:rPr>
          <w:rFonts w:ascii="Arial" w:hAnsi="Arial" w:cs="Arial"/>
          <w:i/>
          <w:color w:val="7B7B7B" w:themeColor="accent3" w:themeShade="BF"/>
          <w:sz w:val="22"/>
          <w:szCs w:val="22"/>
          <w:lang w:val="en-GB"/>
        </w:rPr>
        <w:t>2012</w:t>
      </w:r>
      <w:r>
        <w:rPr>
          <w:rFonts w:ascii="Arial" w:hAnsi="Arial" w:cs="Arial"/>
          <w:color w:val="7B7B7B" w:themeColor="accent3" w:themeShade="BF"/>
          <w:sz w:val="22"/>
          <w:szCs w:val="22"/>
          <w:lang w:val="en-GB"/>
        </w:rPr>
        <w:t>;</w:t>
      </w:r>
      <w:proofErr w:type="gramEnd"/>
    </w:p>
    <w:p w14:paraId="133D4607" w14:textId="77777777" w:rsidR="00966E52" w:rsidRPr="00C80465" w:rsidRDefault="00966E52" w:rsidP="00966E52">
      <w:pPr>
        <w:pStyle w:val="ListParagraph"/>
        <w:rPr>
          <w:rFonts w:ascii="Arial" w:hAnsi="Arial" w:cs="Arial"/>
          <w:color w:val="7B7B7B" w:themeColor="accent3" w:themeShade="BF"/>
          <w:sz w:val="22"/>
          <w:szCs w:val="22"/>
          <w:lang w:val="en-GB"/>
        </w:rPr>
      </w:pPr>
    </w:p>
    <w:p w14:paraId="30B43DD4" w14:textId="77777777" w:rsidR="00966E52" w:rsidRDefault="00966E52">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Exercise any rights of the grantor in relation to the collateral: </w:t>
      </w:r>
      <w:r>
        <w:rPr>
          <w:rFonts w:ascii="Arial" w:hAnsi="Arial" w:cs="Arial"/>
          <w:i/>
          <w:color w:val="7B7B7B" w:themeColor="accent3" w:themeShade="BF"/>
          <w:sz w:val="22"/>
          <w:szCs w:val="22"/>
          <w:lang w:val="en-GB"/>
        </w:rPr>
        <w:t xml:space="preserve">Article 43(c)(ii) SI </w:t>
      </w:r>
      <w:proofErr w:type="gramStart"/>
      <w:r>
        <w:rPr>
          <w:rFonts w:ascii="Arial" w:hAnsi="Arial" w:cs="Arial"/>
          <w:i/>
          <w:color w:val="7B7B7B" w:themeColor="accent3" w:themeShade="BF"/>
          <w:sz w:val="22"/>
          <w:szCs w:val="22"/>
          <w:lang w:val="en-GB"/>
        </w:rPr>
        <w:t>2012</w:t>
      </w:r>
      <w:r>
        <w:rPr>
          <w:rFonts w:ascii="Arial" w:hAnsi="Arial" w:cs="Arial"/>
          <w:color w:val="7B7B7B" w:themeColor="accent3" w:themeShade="BF"/>
          <w:sz w:val="22"/>
          <w:szCs w:val="22"/>
          <w:lang w:val="en-GB"/>
        </w:rPr>
        <w:t>;</w:t>
      </w:r>
      <w:proofErr w:type="gramEnd"/>
    </w:p>
    <w:p w14:paraId="0DB4CC34" w14:textId="77777777" w:rsidR="00966E52" w:rsidRPr="00C80465" w:rsidRDefault="00966E52" w:rsidP="00966E52">
      <w:pPr>
        <w:pStyle w:val="ListParagraph"/>
        <w:rPr>
          <w:rFonts w:ascii="Arial" w:hAnsi="Arial" w:cs="Arial"/>
          <w:color w:val="7B7B7B" w:themeColor="accent3" w:themeShade="BF"/>
          <w:sz w:val="22"/>
          <w:szCs w:val="22"/>
          <w:lang w:val="en-GB"/>
        </w:rPr>
      </w:pPr>
    </w:p>
    <w:p w14:paraId="6C0AA6BA" w14:textId="77777777" w:rsidR="00966E52" w:rsidRDefault="00966E52">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Instruct any person who has an obligation to carry out such obligation for the benefit of the secured creditor: </w:t>
      </w:r>
      <w:r>
        <w:rPr>
          <w:rFonts w:ascii="Arial" w:hAnsi="Arial" w:cs="Arial"/>
          <w:i/>
          <w:color w:val="7B7B7B" w:themeColor="accent3" w:themeShade="BF"/>
          <w:sz w:val="22"/>
          <w:szCs w:val="22"/>
          <w:lang w:val="en-GB"/>
        </w:rPr>
        <w:t>see Article 43(2)(c)(iii) SI 2012</w:t>
      </w:r>
      <w:r>
        <w:rPr>
          <w:rFonts w:ascii="Arial" w:hAnsi="Arial" w:cs="Arial"/>
          <w:color w:val="7B7B7B" w:themeColor="accent3" w:themeShade="BF"/>
          <w:sz w:val="22"/>
          <w:szCs w:val="22"/>
          <w:lang w:val="en-GB"/>
        </w:rPr>
        <w:t>; or</w:t>
      </w:r>
    </w:p>
    <w:p w14:paraId="6FAB247B" w14:textId="77777777" w:rsidR="00966E52" w:rsidRPr="00991932" w:rsidRDefault="00966E52" w:rsidP="00966E52">
      <w:pPr>
        <w:pStyle w:val="ListParagraph"/>
        <w:rPr>
          <w:rFonts w:ascii="Arial" w:hAnsi="Arial" w:cs="Arial"/>
          <w:color w:val="7B7B7B" w:themeColor="accent3" w:themeShade="BF"/>
          <w:sz w:val="22"/>
          <w:szCs w:val="22"/>
          <w:lang w:val="en-GB"/>
        </w:rPr>
      </w:pPr>
    </w:p>
    <w:p w14:paraId="13A366B7" w14:textId="77777777" w:rsidR="00966E52" w:rsidRDefault="00966E52">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remedy of enforcement provided by the express terms of the security instrument provided that such method does not conflict with the SI 2012: </w:t>
      </w:r>
      <w:r>
        <w:rPr>
          <w:rFonts w:ascii="Arial" w:hAnsi="Arial" w:cs="Arial"/>
          <w:i/>
          <w:color w:val="7B7B7B" w:themeColor="accent3" w:themeShade="BF"/>
          <w:sz w:val="22"/>
          <w:szCs w:val="22"/>
          <w:lang w:val="en-GB"/>
        </w:rPr>
        <w:t>Article 43(2)(d) SI 2012</w:t>
      </w:r>
      <w:r>
        <w:rPr>
          <w:rFonts w:ascii="Arial" w:hAnsi="Arial" w:cs="Arial"/>
          <w:color w:val="7B7B7B" w:themeColor="accent3" w:themeShade="BF"/>
          <w:sz w:val="22"/>
          <w:szCs w:val="22"/>
          <w:lang w:val="en-GB"/>
        </w:rPr>
        <w:t>.</w:t>
      </w:r>
    </w:p>
    <w:p w14:paraId="7EA840D6" w14:textId="77777777" w:rsidR="00966E52" w:rsidRPr="002F037A" w:rsidRDefault="00966E52" w:rsidP="00966E52">
      <w:pPr>
        <w:pStyle w:val="ListParagraph"/>
        <w:rPr>
          <w:rFonts w:ascii="Arial" w:hAnsi="Arial" w:cs="Arial"/>
          <w:color w:val="7B7B7B" w:themeColor="accent3" w:themeShade="BF"/>
          <w:sz w:val="22"/>
          <w:szCs w:val="22"/>
          <w:lang w:val="en-GB"/>
        </w:rPr>
      </w:pPr>
    </w:p>
    <w:p w14:paraId="17CC4117"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an appropriation or sale of the collateral, the SI 2012 provides certain further requirements on a secured creditor. As regards appropriation, the secured party must give not less than 14 days' notice before the creditor appropriates the collateral to (1) the grantor; (2) any party who has registered a security interest in the same 21 days before the appropriation; or (3) any other person who has an interest in the collateral</w:t>
      </w:r>
      <w:r>
        <w:rPr>
          <w:rStyle w:val="FootnoteReference"/>
          <w:rFonts w:ascii="Arial" w:hAnsi="Arial" w:cs="Arial"/>
          <w:color w:val="7B7B7B" w:themeColor="accent3" w:themeShade="BF"/>
          <w:sz w:val="22"/>
          <w:szCs w:val="22"/>
          <w:lang w:val="en-GB"/>
        </w:rPr>
        <w:footnoteReference w:id="98"/>
      </w:r>
      <w:r>
        <w:rPr>
          <w:rFonts w:ascii="Arial" w:hAnsi="Arial" w:cs="Arial"/>
          <w:color w:val="7B7B7B" w:themeColor="accent3" w:themeShade="BF"/>
          <w:sz w:val="22"/>
          <w:szCs w:val="22"/>
          <w:lang w:val="en-GB"/>
        </w:rPr>
        <w:t>. Similar notice requirements apply to a secured creditor who intends to enforce its security by power of sale</w:t>
      </w:r>
      <w:r>
        <w:rPr>
          <w:rStyle w:val="FootnoteReference"/>
          <w:rFonts w:ascii="Arial" w:hAnsi="Arial" w:cs="Arial"/>
          <w:color w:val="7B7B7B" w:themeColor="accent3" w:themeShade="BF"/>
          <w:sz w:val="22"/>
          <w:szCs w:val="22"/>
          <w:lang w:val="en-GB"/>
        </w:rPr>
        <w:footnoteReference w:id="99"/>
      </w:r>
      <w:r>
        <w:rPr>
          <w:rFonts w:ascii="Arial" w:hAnsi="Arial" w:cs="Arial"/>
          <w:color w:val="7B7B7B" w:themeColor="accent3" w:themeShade="BF"/>
          <w:sz w:val="22"/>
          <w:szCs w:val="22"/>
          <w:lang w:val="en-GB"/>
        </w:rPr>
        <w:t>.</w:t>
      </w:r>
    </w:p>
    <w:p w14:paraId="11E9BFD6" w14:textId="77777777" w:rsidR="00966E52" w:rsidRDefault="00966E52" w:rsidP="00966E52">
      <w:pPr>
        <w:autoSpaceDE w:val="0"/>
        <w:autoSpaceDN w:val="0"/>
        <w:adjustRightInd w:val="0"/>
        <w:jc w:val="both"/>
        <w:rPr>
          <w:rFonts w:ascii="Arial" w:hAnsi="Arial" w:cs="Arial"/>
          <w:color w:val="7B7B7B" w:themeColor="accent3" w:themeShade="BF"/>
          <w:sz w:val="22"/>
          <w:szCs w:val="22"/>
          <w:lang w:val="en-GB"/>
        </w:rPr>
      </w:pPr>
    </w:p>
    <w:p w14:paraId="4F713C39" w14:textId="77777777" w:rsidR="00966E52" w:rsidRPr="00F96515" w:rsidRDefault="00966E52" w:rsidP="00966E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 must also be mindful of its statutory duty to obtain fair market value for the collateral</w:t>
      </w:r>
      <w:r>
        <w:rPr>
          <w:rStyle w:val="FootnoteReference"/>
          <w:rFonts w:ascii="Arial" w:hAnsi="Arial" w:cs="Arial"/>
          <w:color w:val="7B7B7B" w:themeColor="accent3" w:themeShade="BF"/>
          <w:sz w:val="22"/>
          <w:szCs w:val="22"/>
          <w:lang w:val="en-GB"/>
        </w:rPr>
        <w:footnoteReference w:id="100"/>
      </w:r>
      <w:r>
        <w:rPr>
          <w:rFonts w:ascii="Arial" w:hAnsi="Arial" w:cs="Arial"/>
          <w:color w:val="7B7B7B" w:themeColor="accent3" w:themeShade="BF"/>
          <w:sz w:val="22"/>
          <w:szCs w:val="22"/>
          <w:lang w:val="en-GB"/>
        </w:rPr>
        <w:t xml:space="preserve"> . In addition to the above, if the collateral is sold or appropriated, a secured creditor has a duty to provide a statement of account in respect of (1) the gross proceeds of sale; (2) the amount of reasonable costs incurred; (3) amount of reasonable costs of enforcing the security; (4) net value of any collateral; and any surplus: </w:t>
      </w:r>
      <w:r>
        <w:rPr>
          <w:rFonts w:ascii="Arial" w:hAnsi="Arial" w:cs="Arial"/>
          <w:i/>
          <w:color w:val="7B7B7B" w:themeColor="accent3" w:themeShade="BF"/>
          <w:sz w:val="22"/>
          <w:szCs w:val="22"/>
          <w:lang w:val="en-GB"/>
        </w:rPr>
        <w:t>see Article 48 SI 2012.</w:t>
      </w:r>
      <w:r>
        <w:rPr>
          <w:rFonts w:ascii="Arial" w:hAnsi="Arial" w:cs="Arial"/>
          <w:color w:val="7B7B7B" w:themeColor="accent3" w:themeShade="BF"/>
          <w:sz w:val="22"/>
          <w:szCs w:val="22"/>
          <w:lang w:val="en-GB"/>
        </w:rPr>
        <w:t xml:space="preserve"> In the event of such surplus, this may be paid to the Jersey Court: </w:t>
      </w:r>
      <w:r>
        <w:rPr>
          <w:rFonts w:ascii="Arial" w:hAnsi="Arial" w:cs="Arial"/>
          <w:i/>
          <w:color w:val="7B7B7B" w:themeColor="accent3" w:themeShade="BF"/>
          <w:sz w:val="22"/>
          <w:szCs w:val="22"/>
          <w:lang w:val="en-GB"/>
        </w:rPr>
        <w:t>see Article 50</w:t>
      </w:r>
      <w:r>
        <w:rPr>
          <w:rFonts w:ascii="Arial" w:hAnsi="Arial" w:cs="Arial"/>
          <w:color w:val="7B7B7B" w:themeColor="accent3" w:themeShade="BF"/>
          <w:sz w:val="22"/>
          <w:szCs w:val="22"/>
          <w:lang w:val="en-GB"/>
        </w:rPr>
        <w:t xml:space="preserve"> </w:t>
      </w:r>
      <w:r>
        <w:rPr>
          <w:rFonts w:ascii="Arial" w:hAnsi="Arial" w:cs="Arial"/>
          <w:i/>
          <w:color w:val="7B7B7B" w:themeColor="accent3" w:themeShade="BF"/>
          <w:sz w:val="22"/>
          <w:szCs w:val="22"/>
          <w:lang w:val="en-GB"/>
        </w:rPr>
        <w:t>SI 2012.</w:t>
      </w: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proofErr w:type="gramStart"/>
      <w:r>
        <w:rPr>
          <w:rFonts w:ascii="Arial" w:hAnsi="Arial" w:cs="Arial"/>
          <w:sz w:val="22"/>
          <w:szCs w:val="22"/>
          <w:lang w:val="en-GB"/>
        </w:rPr>
        <w:t>is considered to be</w:t>
      </w:r>
      <w:proofErr w:type="gramEnd"/>
      <w:r>
        <w:rPr>
          <w:rFonts w:ascii="Arial" w:hAnsi="Arial" w:cs="Arial"/>
          <w:sz w:val="22"/>
          <w:szCs w:val="22"/>
          <w:lang w:val="en-GB"/>
        </w:rPr>
        <w:t xml:space="preserv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77777777" w:rsidR="00A67287" w:rsidRPr="002A37BB" w:rsidRDefault="00A67287" w:rsidP="00087F21">
      <w:pPr>
        <w:autoSpaceDE w:val="0"/>
        <w:autoSpaceDN w:val="0"/>
        <w:adjustRightInd w:val="0"/>
        <w:jc w:val="both"/>
        <w:rPr>
          <w:rFonts w:ascii="Arial" w:hAnsi="Arial" w:cs="Arial"/>
          <w:sz w:val="22"/>
          <w:szCs w:val="22"/>
          <w:lang w:val="en-GB"/>
        </w:rPr>
      </w:pPr>
    </w:p>
    <w:p w14:paraId="77F6EDC4" w14:textId="77777777" w:rsidR="00D57619" w:rsidRDefault="00D57619" w:rsidP="00D57619">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the above facts, the date upon which the directors are seeking their advice is not entirely clear. If the facts which give rise to this fact pattern occurred before 31 December 2020, the Regulation (EU) 2015/848 (</w:t>
      </w:r>
      <w:r>
        <w:rPr>
          <w:rFonts w:ascii="Arial" w:hAnsi="Arial" w:cs="Arial"/>
          <w:b/>
          <w:color w:val="7B7B7B" w:themeColor="accent3" w:themeShade="BF"/>
          <w:sz w:val="22"/>
          <w:szCs w:val="22"/>
          <w:lang w:val="en-GB"/>
        </w:rPr>
        <w:t>EIR Recast</w:t>
      </w:r>
      <w:r>
        <w:rPr>
          <w:rFonts w:ascii="Arial" w:hAnsi="Arial" w:cs="Arial"/>
          <w:color w:val="7B7B7B" w:themeColor="accent3" w:themeShade="BF"/>
          <w:sz w:val="22"/>
          <w:szCs w:val="22"/>
          <w:lang w:val="en-GB"/>
        </w:rPr>
        <w:t>) applied to the United Kingdom. Following 31 December 2020, the EIR Recast no longer applied to the UK as it left the European Union. Thus, if the facts occurred post exit date, it would be impossible to engage the EIR Recast in the UK.</w:t>
      </w:r>
    </w:p>
    <w:p w14:paraId="570C6D8A" w14:textId="77777777" w:rsidR="00D57619" w:rsidRDefault="00D57619" w:rsidP="00D57619">
      <w:pPr>
        <w:autoSpaceDE w:val="0"/>
        <w:autoSpaceDN w:val="0"/>
        <w:adjustRightInd w:val="0"/>
        <w:jc w:val="both"/>
        <w:rPr>
          <w:rFonts w:ascii="Arial" w:hAnsi="Arial" w:cs="Arial"/>
          <w:color w:val="7B7B7B" w:themeColor="accent3" w:themeShade="BF"/>
          <w:sz w:val="22"/>
          <w:szCs w:val="22"/>
          <w:lang w:val="en-GB"/>
        </w:rPr>
      </w:pPr>
    </w:p>
    <w:p w14:paraId="12D3325C" w14:textId="77777777" w:rsidR="00D57619" w:rsidRDefault="00D57619" w:rsidP="00D576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basis that the advice was sought before 31 December 2020, it will be necessary to consider whether the English court would have jurisdiction over ABC Limited (</w:t>
      </w:r>
      <w:r>
        <w:rPr>
          <w:rFonts w:ascii="Arial" w:hAnsi="Arial" w:cs="Arial"/>
          <w:b/>
          <w:color w:val="7B7B7B" w:themeColor="accent3" w:themeShade="BF"/>
          <w:sz w:val="22"/>
          <w:szCs w:val="22"/>
          <w:lang w:val="en-GB"/>
        </w:rPr>
        <w:t>ABC</w:t>
      </w:r>
      <w:r>
        <w:rPr>
          <w:rFonts w:ascii="Arial" w:hAnsi="Arial" w:cs="Arial"/>
          <w:color w:val="7B7B7B" w:themeColor="accent3" w:themeShade="BF"/>
          <w:sz w:val="22"/>
          <w:szCs w:val="22"/>
          <w:lang w:val="en-GB"/>
        </w:rPr>
        <w:t>), whose COMI is in England. Article 3 of the EIR Recast provides that “</w:t>
      </w:r>
      <w:r>
        <w:rPr>
          <w:rFonts w:ascii="Arial" w:hAnsi="Arial" w:cs="Arial"/>
          <w:i/>
          <w:color w:val="7B7B7B" w:themeColor="accent3" w:themeShade="BF"/>
          <w:sz w:val="22"/>
          <w:szCs w:val="22"/>
          <w:lang w:val="en-GB"/>
        </w:rPr>
        <w:t>the courts of a member state within the territory of which the centre of main interest shall have jurisdiction to open insolvency proceedings (main insolvency proceedings)</w:t>
      </w:r>
      <w:r>
        <w:rPr>
          <w:rStyle w:val="FootnoteReference"/>
          <w:rFonts w:ascii="Arial" w:hAnsi="Arial" w:cs="Arial"/>
          <w:i/>
          <w:color w:val="7B7B7B" w:themeColor="accent3" w:themeShade="BF"/>
          <w:sz w:val="22"/>
          <w:szCs w:val="22"/>
          <w:lang w:val="en-GB"/>
        </w:rPr>
        <w:footnoteReference w:id="101"/>
      </w:r>
      <w:r>
        <w:rPr>
          <w:rFonts w:ascii="Arial" w:hAnsi="Arial" w:cs="Arial"/>
          <w:color w:val="7B7B7B" w:themeColor="accent3" w:themeShade="BF"/>
          <w:sz w:val="22"/>
          <w:szCs w:val="22"/>
          <w:lang w:val="en-GB"/>
        </w:rPr>
        <w:t>. While it appears that it may be possible to engage the English court’s jurisdiction, it must be borne in mind that Jersey is not a member of the EU. The effect of this is two-fold. First, the benefits of recognition and relief available under the EIR Recast would not be automatically recognized in Jersey, as it is not a member of the EU. Second, to the extent that ABC’s assets are located outside of the UK, recognition would need to be obtained in Jersey for the UK office holder to deal with the assets of ABC.</w:t>
      </w:r>
    </w:p>
    <w:p w14:paraId="4B3FA420" w14:textId="77777777" w:rsidR="00D57619" w:rsidRDefault="00D57619" w:rsidP="00D57619">
      <w:pPr>
        <w:autoSpaceDE w:val="0"/>
        <w:autoSpaceDN w:val="0"/>
        <w:adjustRightInd w:val="0"/>
        <w:jc w:val="both"/>
        <w:rPr>
          <w:rFonts w:ascii="Arial" w:hAnsi="Arial" w:cs="Arial"/>
          <w:color w:val="7B7B7B" w:themeColor="accent3" w:themeShade="BF"/>
          <w:sz w:val="22"/>
          <w:szCs w:val="22"/>
          <w:lang w:val="en-GB"/>
        </w:rPr>
      </w:pPr>
    </w:p>
    <w:p w14:paraId="63883C02" w14:textId="77777777" w:rsidR="00D57619" w:rsidRPr="00191948" w:rsidRDefault="00D57619" w:rsidP="00D576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directors wish to engage the English Court’s jurisdiction for Administration, since ABC’s COMI </w:t>
      </w:r>
      <w:proofErr w:type="gramStart"/>
      <w:r>
        <w:rPr>
          <w:rFonts w:ascii="Arial" w:hAnsi="Arial" w:cs="Arial"/>
          <w:color w:val="7B7B7B" w:themeColor="accent3" w:themeShade="BF"/>
          <w:sz w:val="22"/>
          <w:szCs w:val="22"/>
          <w:lang w:val="en-GB"/>
        </w:rPr>
        <w:t>is located in</w:t>
      </w:r>
      <w:proofErr w:type="gramEnd"/>
      <w:r>
        <w:rPr>
          <w:rFonts w:ascii="Arial" w:hAnsi="Arial" w:cs="Arial"/>
          <w:color w:val="7B7B7B" w:themeColor="accent3" w:themeShade="BF"/>
          <w:sz w:val="22"/>
          <w:szCs w:val="22"/>
          <w:lang w:val="en-GB"/>
        </w:rPr>
        <w:t xml:space="preserve"> England, it still may be possible to place ABC into UK Administration </w:t>
      </w:r>
      <w:r>
        <w:rPr>
          <w:rFonts w:ascii="Arial" w:hAnsi="Arial" w:cs="Arial"/>
          <w:color w:val="7B7B7B" w:themeColor="accent3" w:themeShade="BF"/>
          <w:sz w:val="22"/>
          <w:szCs w:val="22"/>
          <w:lang w:val="en-GB"/>
        </w:rPr>
        <w:lastRenderedPageBreak/>
        <w:t>pursuant to the Insolvency Act 1986, provided that the requirements under the Insolvency Act 1986 are met.</w:t>
      </w: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3BEDA49F" w14:textId="77777777" w:rsidR="000F264C" w:rsidRDefault="000F264C" w:rsidP="000F264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there is no statutory equivalent in Jersey to the UK Administration or US Chapter 11 procedure, due to Jersey being an international financial centre, the Jersey Courts have applied their broad discretion under Article 155 of the CL 1991. Under this jurisdiction, the court must be satisfied that it is “just and equitable” and “expedient” to wind up the company.</w:t>
      </w:r>
    </w:p>
    <w:p w14:paraId="26D13C95" w14:textId="77777777" w:rsidR="000F264C" w:rsidRDefault="000F264C" w:rsidP="000F264C">
      <w:pPr>
        <w:autoSpaceDE w:val="0"/>
        <w:autoSpaceDN w:val="0"/>
        <w:adjustRightInd w:val="0"/>
        <w:jc w:val="both"/>
        <w:rPr>
          <w:rFonts w:ascii="Arial" w:hAnsi="Arial" w:cs="Arial"/>
          <w:color w:val="7B7B7B" w:themeColor="accent3" w:themeShade="BF"/>
          <w:sz w:val="22"/>
          <w:szCs w:val="22"/>
          <w:lang w:val="en-GB"/>
        </w:rPr>
      </w:pPr>
    </w:p>
    <w:p w14:paraId="440DEB48" w14:textId="77777777" w:rsidR="000F264C" w:rsidRDefault="000F264C" w:rsidP="000F264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Indeed, an example of the Jersey Court facilitating a pre-package sale under its “just and equitable jurisdiction” is the case of </w:t>
      </w:r>
      <w:r>
        <w:rPr>
          <w:rFonts w:ascii="Arial" w:hAnsi="Arial" w:cs="Arial"/>
          <w:b/>
          <w:i/>
          <w:color w:val="7B7B7B" w:themeColor="accent3" w:themeShade="BF"/>
          <w:sz w:val="22"/>
          <w:szCs w:val="22"/>
          <w:lang w:val="en-GB"/>
        </w:rPr>
        <w:t>Re Collections Group</w:t>
      </w:r>
      <w:r>
        <w:rPr>
          <w:rFonts w:ascii="Arial" w:hAnsi="Arial" w:cs="Arial"/>
          <w:b/>
          <w:color w:val="7B7B7B" w:themeColor="accent3" w:themeShade="BF"/>
          <w:sz w:val="22"/>
          <w:szCs w:val="22"/>
          <w:lang w:val="en-GB"/>
        </w:rPr>
        <w:t xml:space="preserve"> [2013] JRC 096</w:t>
      </w:r>
      <w:r>
        <w:rPr>
          <w:rFonts w:ascii="Arial" w:hAnsi="Arial" w:cs="Arial"/>
          <w:color w:val="7B7B7B" w:themeColor="accent3" w:themeShade="BF"/>
          <w:sz w:val="22"/>
          <w:szCs w:val="22"/>
          <w:lang w:val="en-GB"/>
        </w:rPr>
        <w:t>. In this case, the court first ordered that the company be wound up under Article 155 of the CL 1991, then went on to authorize the company's liquidators to enter into an agreement of sale of the company</w:t>
      </w:r>
      <w:r>
        <w:rPr>
          <w:rStyle w:val="FootnoteReference"/>
          <w:rFonts w:ascii="Arial" w:hAnsi="Arial" w:cs="Arial"/>
          <w:color w:val="7B7B7B" w:themeColor="accent3" w:themeShade="BF"/>
          <w:sz w:val="22"/>
          <w:szCs w:val="22"/>
          <w:lang w:val="en-GB"/>
        </w:rPr>
        <w:footnoteReference w:id="102"/>
      </w:r>
      <w:r>
        <w:rPr>
          <w:rFonts w:ascii="Arial" w:hAnsi="Arial" w:cs="Arial"/>
          <w:color w:val="7B7B7B" w:themeColor="accent3" w:themeShade="BF"/>
          <w:sz w:val="22"/>
          <w:szCs w:val="22"/>
          <w:lang w:val="en-GB"/>
        </w:rPr>
        <w:t>.</w:t>
      </w:r>
    </w:p>
    <w:p w14:paraId="65080A1D" w14:textId="77777777" w:rsidR="000F264C" w:rsidRDefault="000F264C" w:rsidP="000F264C">
      <w:pPr>
        <w:autoSpaceDE w:val="0"/>
        <w:autoSpaceDN w:val="0"/>
        <w:adjustRightInd w:val="0"/>
        <w:jc w:val="both"/>
        <w:rPr>
          <w:rFonts w:ascii="Arial" w:hAnsi="Arial" w:cs="Arial"/>
          <w:color w:val="7B7B7B" w:themeColor="accent3" w:themeShade="BF"/>
          <w:sz w:val="22"/>
          <w:szCs w:val="22"/>
          <w:lang w:val="en-GB"/>
        </w:rPr>
      </w:pPr>
    </w:p>
    <w:p w14:paraId="0078D607" w14:textId="77777777" w:rsidR="000F264C" w:rsidRDefault="000F264C" w:rsidP="000F264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considering whether it was ‘just and equitable to wind up the company, the court was satisfied that it was in the best interests of the company’s general body of creditors on the grounds that:</w:t>
      </w:r>
    </w:p>
    <w:p w14:paraId="36B775B4" w14:textId="77777777" w:rsidR="000F264C" w:rsidRDefault="000F264C" w:rsidP="000F264C">
      <w:pPr>
        <w:pStyle w:val="ListParagraph"/>
        <w:autoSpaceDE w:val="0"/>
        <w:autoSpaceDN w:val="0"/>
        <w:adjustRightInd w:val="0"/>
        <w:jc w:val="both"/>
        <w:rPr>
          <w:rFonts w:ascii="Arial" w:hAnsi="Arial" w:cs="Arial"/>
          <w:color w:val="7B7B7B" w:themeColor="accent3" w:themeShade="BF"/>
          <w:sz w:val="22"/>
          <w:szCs w:val="22"/>
          <w:lang w:val="en-GB"/>
        </w:rPr>
      </w:pPr>
    </w:p>
    <w:p w14:paraId="372B45D8" w14:textId="77777777" w:rsidR="000F264C" w:rsidRDefault="000F264C">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hopelessly </w:t>
      </w:r>
      <w:proofErr w:type="gramStart"/>
      <w:r>
        <w:rPr>
          <w:rFonts w:ascii="Arial" w:hAnsi="Arial" w:cs="Arial"/>
          <w:color w:val="7B7B7B" w:themeColor="accent3" w:themeShade="BF"/>
          <w:sz w:val="22"/>
          <w:szCs w:val="22"/>
          <w:lang w:val="en-GB"/>
        </w:rPr>
        <w:t>insolvent;</w:t>
      </w:r>
      <w:proofErr w:type="gramEnd"/>
    </w:p>
    <w:p w14:paraId="12235167" w14:textId="77777777" w:rsidR="000F264C" w:rsidRDefault="000F264C">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Failing the court’s approval of the pre-pack sale, there</w:t>
      </w:r>
      <w:proofErr w:type="gramEnd"/>
      <w:r>
        <w:rPr>
          <w:rFonts w:ascii="Arial" w:hAnsi="Arial" w:cs="Arial"/>
          <w:color w:val="7B7B7B" w:themeColor="accent3" w:themeShade="BF"/>
          <w:sz w:val="22"/>
          <w:szCs w:val="22"/>
          <w:lang w:val="en-GB"/>
        </w:rPr>
        <w:t xml:space="preserve"> would have been a loss of 40 jobs and no realistic possibility of the creditors receiving a distribution in a liquidation scenario; and</w:t>
      </w:r>
    </w:p>
    <w:p w14:paraId="6FF69F67" w14:textId="77777777" w:rsidR="000F264C" w:rsidRDefault="000F264C">
      <w:pPr>
        <w:pStyle w:val="ListParagraph"/>
        <w:numPr>
          <w:ilvl w:val="0"/>
          <w:numId w:val="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procedures available under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or creditor’s winding up would not achieve the sale </w:t>
      </w:r>
      <w:proofErr w:type="gramStart"/>
      <w:r>
        <w:rPr>
          <w:rFonts w:ascii="Arial" w:hAnsi="Arial" w:cs="Arial"/>
          <w:color w:val="7B7B7B" w:themeColor="accent3" w:themeShade="BF"/>
          <w:sz w:val="22"/>
          <w:szCs w:val="22"/>
          <w:lang w:val="en-GB"/>
        </w:rPr>
        <w:t>due to the fact that</w:t>
      </w:r>
      <w:proofErr w:type="gramEnd"/>
      <w:r>
        <w:rPr>
          <w:rFonts w:ascii="Arial" w:hAnsi="Arial" w:cs="Arial"/>
          <w:color w:val="7B7B7B" w:themeColor="accent3" w:themeShade="BF"/>
          <w:sz w:val="22"/>
          <w:szCs w:val="22"/>
          <w:lang w:val="en-GB"/>
        </w:rPr>
        <w:t xml:space="preserve"> the company would cease trading before such a sale would occur</w:t>
      </w:r>
      <w:r>
        <w:rPr>
          <w:rStyle w:val="FootnoteReference"/>
          <w:rFonts w:ascii="Arial" w:hAnsi="Arial" w:cs="Arial"/>
          <w:color w:val="7B7B7B" w:themeColor="accent3" w:themeShade="BF"/>
          <w:sz w:val="22"/>
          <w:szCs w:val="22"/>
          <w:lang w:val="en-GB"/>
        </w:rPr>
        <w:footnoteReference w:id="103"/>
      </w:r>
      <w:r>
        <w:rPr>
          <w:rFonts w:ascii="Arial" w:hAnsi="Arial" w:cs="Arial"/>
          <w:color w:val="7B7B7B" w:themeColor="accent3" w:themeShade="BF"/>
          <w:sz w:val="22"/>
          <w:szCs w:val="22"/>
          <w:lang w:val="en-GB"/>
        </w:rPr>
        <w:t>.</w:t>
      </w:r>
    </w:p>
    <w:p w14:paraId="634E1B17" w14:textId="77777777" w:rsidR="000F264C" w:rsidRDefault="000F264C" w:rsidP="000F264C">
      <w:pPr>
        <w:autoSpaceDE w:val="0"/>
        <w:autoSpaceDN w:val="0"/>
        <w:adjustRightInd w:val="0"/>
        <w:jc w:val="both"/>
        <w:rPr>
          <w:rFonts w:ascii="Arial" w:hAnsi="Arial" w:cs="Arial"/>
          <w:color w:val="7B7B7B" w:themeColor="accent3" w:themeShade="BF"/>
          <w:sz w:val="22"/>
          <w:szCs w:val="22"/>
          <w:lang w:val="en-GB"/>
        </w:rPr>
      </w:pPr>
    </w:p>
    <w:p w14:paraId="4672381E" w14:textId="77777777" w:rsidR="000F264C" w:rsidRPr="000C4BE7" w:rsidRDefault="000F264C" w:rsidP="000F264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facts underlying this case are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those in </w:t>
      </w:r>
      <w:r>
        <w:rPr>
          <w:rFonts w:ascii="Arial" w:hAnsi="Arial" w:cs="Arial"/>
          <w:i/>
          <w:color w:val="7B7B7B" w:themeColor="accent3" w:themeShade="BF"/>
          <w:sz w:val="22"/>
          <w:szCs w:val="22"/>
          <w:lang w:val="en-GB"/>
        </w:rPr>
        <w:t>Re Collections Group</w:t>
      </w:r>
      <w:r>
        <w:rPr>
          <w:rFonts w:ascii="Arial" w:hAnsi="Arial" w:cs="Arial"/>
          <w:color w:val="7B7B7B" w:themeColor="accent3" w:themeShade="BF"/>
          <w:sz w:val="22"/>
          <w:szCs w:val="22"/>
          <w:lang w:val="en-GB"/>
        </w:rPr>
        <w:t xml:space="preserve">, the directors have reasonable prospects of achieving the pre-packaged sale under the Jersey insolvency process. However, if the Court is unwilling to engage this jurisdiction, the only procedures available to ABC in Jersey would be under </w:t>
      </w:r>
      <w:proofErr w:type="spellStart"/>
      <w:r w:rsidRPr="00AD6DD9">
        <w:rPr>
          <w:rFonts w:ascii="Arial" w:hAnsi="Arial" w:cs="Arial"/>
          <w:i/>
          <w:iCs/>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or creditor’s winding up. In both cases, the problem highlighted in </w:t>
      </w:r>
      <w:r>
        <w:rPr>
          <w:rFonts w:ascii="Arial" w:hAnsi="Arial" w:cs="Arial"/>
          <w:i/>
          <w:color w:val="7B7B7B" w:themeColor="accent3" w:themeShade="BF"/>
          <w:sz w:val="22"/>
          <w:szCs w:val="22"/>
          <w:lang w:val="en-GB"/>
        </w:rPr>
        <w:t>Re Collections Group</w:t>
      </w:r>
      <w:r>
        <w:rPr>
          <w:rFonts w:ascii="Arial" w:hAnsi="Arial" w:cs="Arial"/>
          <w:color w:val="7B7B7B" w:themeColor="accent3" w:themeShade="BF"/>
          <w:sz w:val="22"/>
          <w:szCs w:val="22"/>
          <w:lang w:val="en-GB"/>
        </w:rPr>
        <w:t xml:space="preserve"> would be present (i.e., the company would cease trading; thus, the likelihood of a sale as a going concern will be significantly impacted, if not impossible.</w:t>
      </w: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20FD167C" w14:textId="77777777" w:rsidR="00134B70" w:rsidRDefault="00134B70" w:rsidP="00134B7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49 of the BL 1990 confers a discretionary jurisdiction to the courts of Jersey to assist foreign courts in cross-border insolvency proceedings. Specifically, Article 49 provides that: </w:t>
      </w:r>
    </w:p>
    <w:p w14:paraId="2854579C" w14:textId="77777777" w:rsidR="00134B70" w:rsidRDefault="00134B70" w:rsidP="00134B70">
      <w:pPr>
        <w:autoSpaceDE w:val="0"/>
        <w:autoSpaceDN w:val="0"/>
        <w:adjustRightInd w:val="0"/>
        <w:jc w:val="both"/>
        <w:rPr>
          <w:rFonts w:ascii="Arial" w:hAnsi="Arial" w:cs="Arial"/>
          <w:color w:val="7B7B7B" w:themeColor="accent3" w:themeShade="BF"/>
          <w:sz w:val="22"/>
          <w:szCs w:val="22"/>
          <w:lang w:val="en-GB"/>
        </w:rPr>
      </w:pPr>
    </w:p>
    <w:p w14:paraId="46B1B6DD" w14:textId="77777777" w:rsidR="00134B70" w:rsidRDefault="00134B70" w:rsidP="00134B70">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 xml:space="preserve">"(1) The Court may, to the extent that it thinks fit, assist the courts of a </w:t>
      </w:r>
      <w:r>
        <w:rPr>
          <w:rFonts w:ascii="Arial" w:hAnsi="Arial" w:cs="Arial"/>
          <w:i/>
          <w:color w:val="7B7B7B" w:themeColor="accent3" w:themeShade="BF"/>
          <w:sz w:val="22"/>
          <w:szCs w:val="22"/>
          <w:u w:val="single"/>
          <w:lang w:val="en-GB"/>
        </w:rPr>
        <w:t xml:space="preserve">relevant country or territory </w:t>
      </w:r>
      <w:r>
        <w:rPr>
          <w:rFonts w:ascii="Arial" w:hAnsi="Arial" w:cs="Arial"/>
          <w:i/>
          <w:color w:val="7B7B7B" w:themeColor="accent3" w:themeShade="BF"/>
          <w:sz w:val="22"/>
          <w:szCs w:val="22"/>
          <w:lang w:val="en-GB"/>
        </w:rPr>
        <w:t xml:space="preserve">in </w:t>
      </w:r>
      <w:r w:rsidRPr="00780D2F">
        <w:rPr>
          <w:rFonts w:ascii="Arial" w:hAnsi="Arial" w:cs="Arial"/>
          <w:i/>
          <w:color w:val="7B7B7B" w:themeColor="accent3" w:themeShade="BF"/>
          <w:sz w:val="22"/>
          <w:szCs w:val="22"/>
          <w:u w:val="single"/>
          <w:lang w:val="en-GB"/>
        </w:rPr>
        <w:t>all matters</w:t>
      </w:r>
      <w:r>
        <w:rPr>
          <w:rFonts w:ascii="Arial" w:hAnsi="Arial" w:cs="Arial"/>
          <w:i/>
          <w:color w:val="7B7B7B" w:themeColor="accent3" w:themeShade="BF"/>
          <w:sz w:val="22"/>
          <w:szCs w:val="22"/>
          <w:lang w:val="en-GB"/>
        </w:rPr>
        <w:t xml:space="preserve"> relating to insolvency… and when doing so </w:t>
      </w:r>
      <w:r>
        <w:rPr>
          <w:rFonts w:ascii="Arial" w:hAnsi="Arial" w:cs="Arial"/>
          <w:i/>
          <w:color w:val="7B7B7B" w:themeColor="accent3" w:themeShade="BF"/>
          <w:sz w:val="22"/>
          <w:szCs w:val="22"/>
          <w:u w:val="single"/>
          <w:lang w:val="en-GB"/>
        </w:rPr>
        <w:t>may</w:t>
      </w:r>
      <w:r>
        <w:rPr>
          <w:rFonts w:ascii="Arial" w:hAnsi="Arial" w:cs="Arial"/>
          <w:i/>
          <w:color w:val="7B7B7B" w:themeColor="accent3" w:themeShade="BF"/>
          <w:sz w:val="22"/>
          <w:szCs w:val="22"/>
          <w:lang w:val="en-GB"/>
        </w:rPr>
        <w:t xml:space="preserve"> have </w:t>
      </w:r>
      <w:r>
        <w:rPr>
          <w:rFonts w:ascii="Arial" w:hAnsi="Arial" w:cs="Arial"/>
          <w:i/>
          <w:color w:val="7B7B7B" w:themeColor="accent3" w:themeShade="BF"/>
          <w:sz w:val="22"/>
          <w:szCs w:val="22"/>
          <w:u w:val="single"/>
          <w:lang w:val="en-GB"/>
        </w:rPr>
        <w:t>regard</w:t>
      </w:r>
      <w:r>
        <w:rPr>
          <w:rFonts w:ascii="Arial" w:hAnsi="Arial" w:cs="Arial"/>
          <w:i/>
          <w:color w:val="7B7B7B" w:themeColor="accent3" w:themeShade="BF"/>
          <w:sz w:val="22"/>
          <w:szCs w:val="22"/>
          <w:lang w:val="en-GB"/>
        </w:rPr>
        <w:t xml:space="preserve"> to the extent it considers appropriate to the </w:t>
      </w:r>
      <w:r>
        <w:rPr>
          <w:rFonts w:ascii="Arial" w:hAnsi="Arial" w:cs="Arial"/>
          <w:i/>
          <w:color w:val="7B7B7B" w:themeColor="accent3" w:themeShade="BF"/>
          <w:sz w:val="22"/>
          <w:szCs w:val="22"/>
          <w:u w:val="single"/>
          <w:lang w:val="en-GB"/>
        </w:rPr>
        <w:t>provisions</w:t>
      </w:r>
      <w:r>
        <w:rPr>
          <w:rFonts w:ascii="Arial" w:hAnsi="Arial" w:cs="Arial"/>
          <w:i/>
          <w:color w:val="7B7B7B" w:themeColor="accent3" w:themeShade="BF"/>
          <w:sz w:val="22"/>
          <w:szCs w:val="22"/>
          <w:lang w:val="en-GB"/>
        </w:rPr>
        <w:t xml:space="preserve"> of any </w:t>
      </w:r>
      <w:r>
        <w:rPr>
          <w:rFonts w:ascii="Arial" w:hAnsi="Arial" w:cs="Arial"/>
          <w:i/>
          <w:color w:val="7B7B7B" w:themeColor="accent3" w:themeShade="BF"/>
          <w:sz w:val="22"/>
          <w:szCs w:val="22"/>
          <w:u w:val="single"/>
          <w:lang w:val="en-GB"/>
        </w:rPr>
        <w:t>model law</w:t>
      </w:r>
      <w:r>
        <w:rPr>
          <w:rFonts w:ascii="Arial" w:hAnsi="Arial" w:cs="Arial"/>
          <w:i/>
          <w:color w:val="7B7B7B" w:themeColor="accent3" w:themeShade="BF"/>
          <w:sz w:val="22"/>
          <w:szCs w:val="22"/>
          <w:lang w:val="en-GB"/>
        </w:rPr>
        <w:t xml:space="preserve"> on cross border insolvency."</w:t>
      </w:r>
    </w:p>
    <w:p w14:paraId="2AC12928" w14:textId="77777777" w:rsidR="00134B70" w:rsidRDefault="00134B70" w:rsidP="00134B70">
      <w:pPr>
        <w:autoSpaceDE w:val="0"/>
        <w:autoSpaceDN w:val="0"/>
        <w:adjustRightInd w:val="0"/>
        <w:jc w:val="both"/>
        <w:rPr>
          <w:rFonts w:ascii="Arial" w:hAnsi="Arial" w:cs="Arial"/>
          <w:color w:val="7B7B7B" w:themeColor="accent3" w:themeShade="BF"/>
          <w:sz w:val="22"/>
          <w:szCs w:val="22"/>
          <w:lang w:val="en-GB"/>
        </w:rPr>
      </w:pPr>
    </w:p>
    <w:p w14:paraId="4F54BA73" w14:textId="77777777" w:rsidR="00134B70" w:rsidRDefault="00134B70" w:rsidP="00134B7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Therefore, to engage Article 49 of the BL 1990, foreign insolvency proceedings must be commenced in a </w:t>
      </w:r>
      <w:proofErr w:type="gramStart"/>
      <w:r>
        <w:rPr>
          <w:rFonts w:ascii="Arial" w:hAnsi="Arial" w:cs="Arial"/>
          <w:color w:val="7B7B7B" w:themeColor="accent3" w:themeShade="BF"/>
          <w:sz w:val="22"/>
          <w:szCs w:val="22"/>
          <w:lang w:val="en-GB"/>
        </w:rPr>
        <w:t>'relevant country' courts</w:t>
      </w:r>
      <w:proofErr w:type="gramEnd"/>
      <w:r>
        <w:rPr>
          <w:rFonts w:ascii="Arial" w:hAnsi="Arial" w:cs="Arial"/>
          <w:color w:val="7B7B7B" w:themeColor="accent3" w:themeShade="BF"/>
          <w:sz w:val="22"/>
          <w:szCs w:val="22"/>
          <w:lang w:val="en-GB"/>
        </w:rPr>
        <w:t xml:space="preserve">. Suppose the answer to that question is yes. In that case, the Jersey Courts, in the exercise of its discretion, may have regard to the Model law principle of 'universalism,' which promotes cooperation between foreign courts in insolvency matters for the efficient administration of cross-border insolvencies. </w:t>
      </w:r>
    </w:p>
    <w:p w14:paraId="00819C3B" w14:textId="77777777" w:rsidR="00134B70" w:rsidRDefault="00134B70" w:rsidP="00134B70">
      <w:pPr>
        <w:autoSpaceDE w:val="0"/>
        <w:autoSpaceDN w:val="0"/>
        <w:adjustRightInd w:val="0"/>
        <w:jc w:val="both"/>
        <w:rPr>
          <w:rFonts w:ascii="Arial" w:hAnsi="Arial" w:cs="Arial"/>
          <w:color w:val="7B7B7B" w:themeColor="accent3" w:themeShade="BF"/>
          <w:sz w:val="22"/>
          <w:szCs w:val="22"/>
          <w:lang w:val="en-GB"/>
        </w:rPr>
      </w:pPr>
    </w:p>
    <w:p w14:paraId="07533DBB" w14:textId="77777777" w:rsidR="00134B70" w:rsidRPr="00780D2F" w:rsidRDefault="00134B70" w:rsidP="00134B7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Jersey Court will have the discretion under Article 49, as insolvency proceedings are afoot in the United Kingdom, the English courts are considered a 'relevant country' for the purposes of the BL 1990. To engage this jurisdiction, the foreign office holders will be required to make an application to the Jersey Court for recognition under Article 49. This is done by the requesting court (i.e., the foreign court where the foreign insolvency office holder was appointed) issuing a letter to the Jersey Court seeking assistance. Such application may not be presented to the Court unless the Applicant has consulted with the Viscount to ensure that the proposed order's terms comply with Jersey Law and public policy</w:t>
      </w:r>
      <w:r>
        <w:rPr>
          <w:rStyle w:val="FootnoteReference"/>
          <w:rFonts w:ascii="Arial" w:hAnsi="Arial" w:cs="Arial"/>
          <w:color w:val="7B7B7B" w:themeColor="accent3" w:themeShade="BF"/>
          <w:sz w:val="22"/>
          <w:szCs w:val="22"/>
          <w:lang w:val="en-GB"/>
        </w:rPr>
        <w:footnoteReference w:id="104"/>
      </w:r>
      <w:r>
        <w:rPr>
          <w:rFonts w:ascii="Arial" w:hAnsi="Arial" w:cs="Arial"/>
          <w:color w:val="7B7B7B" w:themeColor="accent3" w:themeShade="BF"/>
          <w:sz w:val="22"/>
          <w:szCs w:val="22"/>
          <w:lang w:val="en-GB"/>
        </w:rPr>
        <w:t xml:space="preserve">. Upon the application, if the Court is satisfied that recognition and assistance in appropriate, the Jersey Court will exercise its discretion and grant the order in the terms set out in the letter of request. </w:t>
      </w:r>
    </w:p>
    <w:p w14:paraId="1F73EE8D" w14:textId="77777777" w:rsidR="00134B70" w:rsidRDefault="00134B70" w:rsidP="00134B70"/>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19401B78" w14:textId="77777777" w:rsidR="0017523A" w:rsidRDefault="0017523A" w:rsidP="0017523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short, no. Jersey presently is not a signatory to the UNICTRAL Model Law on Cross-Border Insolvency </w:t>
      </w:r>
      <w:r>
        <w:rPr>
          <w:rFonts w:ascii="Arial" w:hAnsi="Arial" w:cs="Arial"/>
          <w:b/>
          <w:color w:val="7B7B7B" w:themeColor="accent3" w:themeShade="BF"/>
          <w:sz w:val="22"/>
          <w:szCs w:val="22"/>
          <w:lang w:val="en-GB"/>
        </w:rPr>
        <w:t>(Model Law</w:t>
      </w:r>
      <w:r>
        <w:rPr>
          <w:rFonts w:ascii="Arial" w:hAnsi="Arial" w:cs="Arial"/>
          <w:color w:val="7B7B7B" w:themeColor="accent3" w:themeShade="BF"/>
          <w:sz w:val="22"/>
          <w:szCs w:val="22"/>
          <w:lang w:val="en-GB"/>
        </w:rPr>
        <w:t>) or a member of the European Union</w:t>
      </w:r>
      <w:r>
        <w:rPr>
          <w:rStyle w:val="FootnoteReference"/>
          <w:rFonts w:ascii="Arial" w:hAnsi="Arial" w:cs="Arial"/>
          <w:color w:val="7B7B7B" w:themeColor="accent3" w:themeShade="BF"/>
          <w:sz w:val="22"/>
          <w:szCs w:val="22"/>
          <w:lang w:val="en-GB"/>
        </w:rPr>
        <w:footnoteReference w:id="105"/>
      </w:r>
      <w:r>
        <w:rPr>
          <w:rFonts w:ascii="Arial" w:hAnsi="Arial" w:cs="Arial"/>
          <w:color w:val="7B7B7B" w:themeColor="accent3" w:themeShade="BF"/>
          <w:sz w:val="22"/>
          <w:szCs w:val="22"/>
          <w:lang w:val="en-GB"/>
        </w:rPr>
        <w:t xml:space="preserve">. Consequently, neither the Model Law nor the EIR Recast would be available to XYZ in respect of recognition of foreign insolvency proceedings in Jersey. However, a foreign insolvency office holder may still be </w:t>
      </w:r>
      <w:proofErr w:type="gramStart"/>
      <w:r>
        <w:rPr>
          <w:rFonts w:ascii="Arial" w:hAnsi="Arial" w:cs="Arial"/>
          <w:color w:val="7B7B7B" w:themeColor="accent3" w:themeShade="BF"/>
          <w:sz w:val="22"/>
          <w:szCs w:val="22"/>
          <w:lang w:val="en-GB"/>
        </w:rPr>
        <w:t>in a position</w:t>
      </w:r>
      <w:proofErr w:type="gramEnd"/>
      <w:r>
        <w:rPr>
          <w:rFonts w:ascii="Arial" w:hAnsi="Arial" w:cs="Arial"/>
          <w:color w:val="7B7B7B" w:themeColor="accent3" w:themeShade="BF"/>
          <w:sz w:val="22"/>
          <w:szCs w:val="22"/>
          <w:lang w:val="en-GB"/>
        </w:rPr>
        <w:t xml:space="preserve"> to receive the assistance of the Jersey Court either under Article 49 of the BL 1990 or under common law principles of comity. </w:t>
      </w:r>
    </w:p>
    <w:p w14:paraId="4B6A815E" w14:textId="77777777" w:rsidR="0017523A" w:rsidRDefault="0017523A" w:rsidP="0017523A">
      <w:pPr>
        <w:autoSpaceDE w:val="0"/>
        <w:autoSpaceDN w:val="0"/>
        <w:adjustRightInd w:val="0"/>
        <w:jc w:val="both"/>
        <w:rPr>
          <w:rFonts w:ascii="Arial" w:hAnsi="Arial" w:cs="Arial"/>
          <w:color w:val="7B7B7B" w:themeColor="accent3" w:themeShade="BF"/>
          <w:sz w:val="22"/>
          <w:szCs w:val="22"/>
          <w:lang w:val="en-GB"/>
        </w:rPr>
      </w:pPr>
    </w:p>
    <w:p w14:paraId="4FF1C485" w14:textId="77777777" w:rsidR="0017523A" w:rsidRPr="00165192" w:rsidRDefault="0017523A" w:rsidP="0017523A">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Based on the fact that</w:t>
      </w:r>
      <w:proofErr w:type="gramEnd"/>
      <w:r>
        <w:rPr>
          <w:rFonts w:ascii="Arial" w:hAnsi="Arial" w:cs="Arial"/>
          <w:color w:val="7B7B7B" w:themeColor="accent3" w:themeShade="BF"/>
          <w:sz w:val="22"/>
          <w:szCs w:val="22"/>
          <w:lang w:val="en-GB"/>
        </w:rPr>
        <w:t xml:space="preserve"> XYZ Limited is a Polish registered company, Article 49 is not applicable. This is because, under Article 49 of the BL 1990, assistance to foreign courts is limited to “relevant countries and territories” and at the present time only extends to Australia, Isle of Man, Finland, Gibraltar, Guernsey, and the UK</w:t>
      </w:r>
      <w:r>
        <w:rPr>
          <w:rStyle w:val="FootnoteReference"/>
          <w:rFonts w:ascii="Arial" w:hAnsi="Arial" w:cs="Arial"/>
          <w:color w:val="7B7B7B" w:themeColor="accent3" w:themeShade="BF"/>
          <w:sz w:val="22"/>
          <w:szCs w:val="22"/>
          <w:lang w:val="en-GB"/>
        </w:rPr>
        <w:footnoteReference w:id="106"/>
      </w:r>
      <w:r>
        <w:rPr>
          <w:rFonts w:ascii="Arial" w:hAnsi="Arial" w:cs="Arial"/>
          <w:color w:val="7B7B7B" w:themeColor="accent3" w:themeShade="BF"/>
          <w:sz w:val="22"/>
          <w:szCs w:val="22"/>
          <w:lang w:val="en-GB"/>
        </w:rPr>
        <w:t xml:space="preserve"> . As such, assistance would only be available to XYZ Limited under common law principles of comity.</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6C1B" w14:textId="77777777" w:rsidR="0091783D" w:rsidRDefault="0091783D" w:rsidP="00241B44">
      <w:r>
        <w:separator/>
      </w:r>
    </w:p>
  </w:endnote>
  <w:endnote w:type="continuationSeparator" w:id="0">
    <w:p w14:paraId="3BF0D995" w14:textId="77777777" w:rsidR="0091783D" w:rsidRDefault="0091783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56390A" w:rsidRPr="00FC7B47" w:rsidRDefault="0056390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56390A" w:rsidRPr="00FC7B47" w:rsidRDefault="0056390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56390A" w:rsidRPr="009B4976" w:rsidRDefault="0056390A" w:rsidP="000E2C12">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61FA0CE2" w:rsidR="0056390A" w:rsidRPr="009B4976" w:rsidRDefault="0056390A" w:rsidP="009B4976">
    <w:pPr>
      <w:pStyle w:val="Footer"/>
      <w:ind w:right="360"/>
      <w:rPr>
        <w:rFonts w:ascii="Arial" w:hAnsi="Arial" w:cs="Arial"/>
        <w:sz w:val="18"/>
        <w:szCs w:val="18"/>
        <w:lang w:val="en-GB"/>
      </w:rPr>
    </w:pPr>
    <w:r>
      <w:rPr>
        <w:rFonts w:ascii="Arial" w:hAnsi="Arial" w:cs="Arial"/>
        <w:sz w:val="18"/>
        <w:szCs w:val="18"/>
        <w:lang w:val="en-GB"/>
      </w:rPr>
      <w:t>202122-544.assessment5E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4F12" w14:textId="77777777" w:rsidR="0091783D" w:rsidRDefault="0091783D" w:rsidP="00241B44">
      <w:r>
        <w:separator/>
      </w:r>
    </w:p>
  </w:footnote>
  <w:footnote w:type="continuationSeparator" w:id="0">
    <w:p w14:paraId="11554825" w14:textId="77777777" w:rsidR="0091783D" w:rsidRDefault="0091783D" w:rsidP="00241B44">
      <w:r>
        <w:continuationSeparator/>
      </w:r>
    </w:p>
  </w:footnote>
  <w:footnote w:id="1">
    <w:p w14:paraId="23F56412" w14:textId="77777777" w:rsidR="00431560" w:rsidRDefault="00431560" w:rsidP="00431560">
      <w:pPr>
        <w:pStyle w:val="FootnoteText"/>
      </w:pPr>
      <w:r>
        <w:rPr>
          <w:rStyle w:val="FootnoteReference"/>
        </w:rPr>
        <w:footnoteRef/>
      </w:r>
      <w:r>
        <w:t xml:space="preserve"> Article 26(b) BL 1990</w:t>
      </w:r>
    </w:p>
  </w:footnote>
  <w:footnote w:id="2">
    <w:p w14:paraId="180CD8F7" w14:textId="77777777" w:rsidR="00431560" w:rsidRDefault="00431560" w:rsidP="00431560">
      <w:pPr>
        <w:pStyle w:val="FootnoteText"/>
      </w:pPr>
      <w:r>
        <w:rPr>
          <w:rStyle w:val="FootnoteReference"/>
        </w:rPr>
        <w:footnoteRef/>
      </w:r>
      <w:r>
        <w:t xml:space="preserve"> Article 26(d) BL 1990</w:t>
      </w:r>
    </w:p>
  </w:footnote>
  <w:footnote w:id="3">
    <w:p w14:paraId="3FEC27B7" w14:textId="77777777" w:rsidR="00431560" w:rsidRDefault="00431560" w:rsidP="00431560">
      <w:pPr>
        <w:pStyle w:val="FootnoteText"/>
      </w:pPr>
      <w:r>
        <w:rPr>
          <w:rStyle w:val="FootnoteReference"/>
        </w:rPr>
        <w:footnoteRef/>
      </w:r>
      <w:r>
        <w:t xml:space="preserve"> Article 26(h) BL 1990</w:t>
      </w:r>
    </w:p>
  </w:footnote>
  <w:footnote w:id="4">
    <w:p w14:paraId="61BC62DB" w14:textId="77777777" w:rsidR="00431560" w:rsidRDefault="00431560" w:rsidP="00431560">
      <w:pPr>
        <w:pStyle w:val="FootnoteText"/>
      </w:pPr>
      <w:r>
        <w:rPr>
          <w:rStyle w:val="FootnoteReference"/>
        </w:rPr>
        <w:footnoteRef/>
      </w:r>
      <w:r>
        <w:t xml:space="preserve"> Article 26(o) BL 1990</w:t>
      </w:r>
    </w:p>
  </w:footnote>
  <w:footnote w:id="5">
    <w:p w14:paraId="1329616D" w14:textId="77777777" w:rsidR="00431560" w:rsidRDefault="00431560" w:rsidP="00431560">
      <w:pPr>
        <w:pStyle w:val="FootnoteText"/>
      </w:pPr>
      <w:r>
        <w:rPr>
          <w:rStyle w:val="FootnoteReference"/>
        </w:rPr>
        <w:footnoteRef/>
      </w:r>
      <w:r>
        <w:t xml:space="preserve"> Article 26(p) BL 1990</w:t>
      </w:r>
    </w:p>
  </w:footnote>
  <w:footnote w:id="6">
    <w:p w14:paraId="358B3B5C" w14:textId="77777777" w:rsidR="00431560" w:rsidRDefault="00431560" w:rsidP="00431560">
      <w:pPr>
        <w:pStyle w:val="FootnoteText"/>
      </w:pPr>
      <w:r>
        <w:rPr>
          <w:rStyle w:val="FootnoteReference"/>
        </w:rPr>
        <w:footnoteRef/>
      </w:r>
      <w:r>
        <w:t xml:space="preserve"> Article 27(1) BL 1990</w:t>
      </w:r>
    </w:p>
  </w:footnote>
  <w:footnote w:id="7">
    <w:p w14:paraId="39710B12" w14:textId="77777777" w:rsidR="00431560" w:rsidRDefault="00431560" w:rsidP="00431560">
      <w:pPr>
        <w:pStyle w:val="FootnoteText"/>
      </w:pPr>
      <w:r>
        <w:rPr>
          <w:rStyle w:val="FootnoteReference"/>
        </w:rPr>
        <w:footnoteRef/>
      </w:r>
      <w:r>
        <w:t xml:space="preserve"> Article 31(1) BL 1990</w:t>
      </w:r>
    </w:p>
  </w:footnote>
  <w:footnote w:id="8">
    <w:p w14:paraId="40C2726D" w14:textId="77777777" w:rsidR="00431560" w:rsidRDefault="00431560" w:rsidP="00431560">
      <w:pPr>
        <w:pStyle w:val="FootnoteText"/>
      </w:pPr>
      <w:r>
        <w:rPr>
          <w:rStyle w:val="FootnoteReference"/>
        </w:rPr>
        <w:footnoteRef/>
      </w:r>
      <w:r>
        <w:t xml:space="preserve"> Article 20(1)(c) BL 1990</w:t>
      </w:r>
    </w:p>
  </w:footnote>
  <w:footnote w:id="9">
    <w:p w14:paraId="7EACA4F9" w14:textId="77777777" w:rsidR="00431560" w:rsidRDefault="00431560" w:rsidP="00431560">
      <w:pPr>
        <w:pStyle w:val="FootnoteText"/>
      </w:pPr>
      <w:r>
        <w:rPr>
          <w:rStyle w:val="FootnoteReference"/>
        </w:rPr>
        <w:footnoteRef/>
      </w:r>
      <w:r>
        <w:t xml:space="preserve"> Article 170(1)(b) CL 1991</w:t>
      </w:r>
    </w:p>
  </w:footnote>
  <w:footnote w:id="10">
    <w:p w14:paraId="4041DB72" w14:textId="77777777" w:rsidR="00431560" w:rsidRDefault="00431560" w:rsidP="00431560">
      <w:pPr>
        <w:pStyle w:val="FootnoteText"/>
      </w:pPr>
      <w:r>
        <w:rPr>
          <w:rStyle w:val="FootnoteReference"/>
        </w:rPr>
        <w:footnoteRef/>
      </w:r>
      <w:r>
        <w:t xml:space="preserve"> Article 170(2) CL 1991</w:t>
      </w:r>
    </w:p>
  </w:footnote>
  <w:footnote w:id="11">
    <w:p w14:paraId="398C68F9" w14:textId="77777777" w:rsidR="00431560" w:rsidRDefault="00431560" w:rsidP="00431560">
      <w:pPr>
        <w:pStyle w:val="FootnoteText"/>
      </w:pPr>
      <w:r>
        <w:rPr>
          <w:rStyle w:val="FootnoteReference"/>
        </w:rPr>
        <w:footnoteRef/>
      </w:r>
      <w:r>
        <w:t xml:space="preserve"> Article 170(4) CL 1991</w:t>
      </w:r>
    </w:p>
  </w:footnote>
  <w:footnote w:id="12">
    <w:p w14:paraId="5AA3FA03" w14:textId="77777777" w:rsidR="00431560" w:rsidRDefault="00431560" w:rsidP="00431560">
      <w:pPr>
        <w:pStyle w:val="FootnoteText"/>
      </w:pPr>
      <w:r>
        <w:rPr>
          <w:rStyle w:val="FootnoteReference"/>
        </w:rPr>
        <w:footnoteRef/>
      </w:r>
      <w:r>
        <w:t xml:space="preserve"> Article 171 CL 1991</w:t>
      </w:r>
    </w:p>
  </w:footnote>
  <w:footnote w:id="13">
    <w:p w14:paraId="5FBB31F6" w14:textId="77777777" w:rsidR="00431560" w:rsidRDefault="00431560" w:rsidP="00431560">
      <w:pPr>
        <w:pStyle w:val="FootnoteText"/>
      </w:pPr>
      <w:r>
        <w:rPr>
          <w:rStyle w:val="FootnoteReference"/>
        </w:rPr>
        <w:footnoteRef/>
      </w:r>
      <w:r>
        <w:t xml:space="preserve"> Module at [6.3.6].</w:t>
      </w:r>
    </w:p>
  </w:footnote>
  <w:footnote w:id="14">
    <w:p w14:paraId="61141714" w14:textId="77777777" w:rsidR="00526A78" w:rsidRDefault="00526A78" w:rsidP="00526A78">
      <w:pPr>
        <w:pStyle w:val="FootnoteText"/>
      </w:pPr>
      <w:r>
        <w:rPr>
          <w:rStyle w:val="FootnoteReference"/>
        </w:rPr>
        <w:footnoteRef/>
      </w:r>
      <w:r>
        <w:t xml:space="preserve"> Module at [6.51]</w:t>
      </w:r>
    </w:p>
  </w:footnote>
  <w:footnote w:id="15">
    <w:p w14:paraId="5AC64004" w14:textId="77777777" w:rsidR="00526A78" w:rsidRDefault="00526A78" w:rsidP="00526A78">
      <w:pPr>
        <w:pStyle w:val="FootnoteText"/>
      </w:pPr>
      <w:r>
        <w:rPr>
          <w:rStyle w:val="FootnoteReference"/>
        </w:rPr>
        <w:footnoteRef/>
      </w:r>
      <w:r>
        <w:t xml:space="preserve"> Module at [6.51]</w:t>
      </w:r>
    </w:p>
  </w:footnote>
  <w:footnote w:id="16">
    <w:p w14:paraId="0292CCEC" w14:textId="77777777" w:rsidR="00526A78" w:rsidRDefault="00526A78" w:rsidP="00526A78">
      <w:pPr>
        <w:pStyle w:val="FootnoteText"/>
      </w:pPr>
      <w:r>
        <w:rPr>
          <w:rStyle w:val="FootnoteReference"/>
        </w:rPr>
        <w:footnoteRef/>
      </w:r>
      <w:r>
        <w:t xml:space="preserve"> Article 155 CL 1991</w:t>
      </w:r>
    </w:p>
    <w:p w14:paraId="54CC29B0" w14:textId="77777777" w:rsidR="00526A78" w:rsidRDefault="00526A78" w:rsidP="00526A78">
      <w:pPr>
        <w:pStyle w:val="FootnoteText"/>
        <w:rPr>
          <w:i/>
          <w:iCs/>
          <w:lang w:val="en-GB"/>
        </w:rPr>
      </w:pPr>
      <w:r>
        <w:t>“</w:t>
      </w:r>
      <w:r>
        <w:rPr>
          <w:i/>
          <w:iCs/>
        </w:rPr>
        <w:t xml:space="preserve">(1) A company, not being a company in respect of which a declaration has been made (and not re-called) under the </w:t>
      </w:r>
      <w:proofErr w:type="spellStart"/>
      <w:r w:rsidRPr="00777367">
        <w:rPr>
          <w:i/>
          <w:iCs/>
          <w:lang w:val="en-GB"/>
        </w:rPr>
        <w:t>Désastre</w:t>
      </w:r>
      <w:proofErr w:type="spellEnd"/>
      <w:r>
        <w:rPr>
          <w:i/>
          <w:iCs/>
          <w:lang w:val="en-GB"/>
        </w:rPr>
        <w:t xml:space="preserve"> Law, may be wound up by the court if the court is of the opinion that – </w:t>
      </w:r>
    </w:p>
    <w:p w14:paraId="3768285F" w14:textId="77777777" w:rsidR="00526A78" w:rsidRPr="00777367" w:rsidRDefault="00526A78">
      <w:pPr>
        <w:pStyle w:val="FootnoteText"/>
        <w:numPr>
          <w:ilvl w:val="0"/>
          <w:numId w:val="20"/>
        </w:numPr>
        <w:rPr>
          <w:i/>
          <w:iCs/>
        </w:rPr>
      </w:pPr>
      <w:r>
        <w:rPr>
          <w:i/>
          <w:iCs/>
          <w:lang w:val="en-GB"/>
        </w:rPr>
        <w:t xml:space="preserve">It is just and equitable to do so; or </w:t>
      </w:r>
    </w:p>
    <w:p w14:paraId="31E1906A" w14:textId="77777777" w:rsidR="00526A78" w:rsidRPr="00777367" w:rsidRDefault="00526A78">
      <w:pPr>
        <w:pStyle w:val="FootnoteText"/>
        <w:numPr>
          <w:ilvl w:val="0"/>
          <w:numId w:val="20"/>
        </w:numPr>
        <w:rPr>
          <w:i/>
          <w:iCs/>
        </w:rPr>
      </w:pPr>
      <w:r>
        <w:rPr>
          <w:i/>
          <w:iCs/>
          <w:lang w:val="en-GB"/>
        </w:rPr>
        <w:t>It is expedient to do so.</w:t>
      </w:r>
    </w:p>
    <w:p w14:paraId="356E0C6C" w14:textId="77777777" w:rsidR="00526A78" w:rsidRDefault="00526A78" w:rsidP="00526A78">
      <w:pPr>
        <w:pStyle w:val="FootnoteText"/>
        <w:rPr>
          <w:i/>
          <w:iCs/>
          <w:lang w:val="en-GB"/>
        </w:rPr>
      </w:pPr>
      <w:r>
        <w:rPr>
          <w:i/>
          <w:iCs/>
          <w:lang w:val="en-GB"/>
        </w:rPr>
        <w:t>[…]</w:t>
      </w:r>
    </w:p>
    <w:p w14:paraId="59DF63E0" w14:textId="77777777" w:rsidR="00526A78" w:rsidRDefault="00526A78" w:rsidP="00526A78">
      <w:pPr>
        <w:pStyle w:val="FootnoteText"/>
        <w:rPr>
          <w:i/>
          <w:iCs/>
          <w:lang w:val="en-GB"/>
        </w:rPr>
      </w:pPr>
      <w:r>
        <w:rPr>
          <w:i/>
          <w:iCs/>
          <w:lang w:val="en-GB"/>
        </w:rPr>
        <w:t xml:space="preserve">(4) If the court orders a company to be wound up under this Article it may – </w:t>
      </w:r>
    </w:p>
    <w:p w14:paraId="6A075DA4" w14:textId="77777777" w:rsidR="00526A78" w:rsidRDefault="00526A78">
      <w:pPr>
        <w:pStyle w:val="FootnoteText"/>
        <w:numPr>
          <w:ilvl w:val="0"/>
          <w:numId w:val="21"/>
        </w:numPr>
        <w:rPr>
          <w:i/>
          <w:iCs/>
          <w:lang w:val="en-GB"/>
        </w:rPr>
      </w:pPr>
      <w:r>
        <w:rPr>
          <w:i/>
          <w:iCs/>
          <w:lang w:val="en-GB"/>
        </w:rPr>
        <w:t xml:space="preserve">Appoint a </w:t>
      </w:r>
      <w:proofErr w:type="gramStart"/>
      <w:r>
        <w:rPr>
          <w:i/>
          <w:iCs/>
          <w:lang w:val="en-GB"/>
        </w:rPr>
        <w:t>liquidator;</w:t>
      </w:r>
      <w:proofErr w:type="gramEnd"/>
    </w:p>
    <w:p w14:paraId="37A0518B" w14:textId="77777777" w:rsidR="00526A78" w:rsidRDefault="00526A78">
      <w:pPr>
        <w:pStyle w:val="FootnoteText"/>
        <w:numPr>
          <w:ilvl w:val="0"/>
          <w:numId w:val="21"/>
        </w:numPr>
        <w:rPr>
          <w:i/>
          <w:iCs/>
          <w:lang w:val="en-GB"/>
        </w:rPr>
      </w:pPr>
      <w:r>
        <w:rPr>
          <w:i/>
          <w:iCs/>
          <w:lang w:val="en-GB"/>
        </w:rPr>
        <w:t xml:space="preserve">Direct the </w:t>
      </w:r>
      <w:proofErr w:type="gramStart"/>
      <w:r>
        <w:rPr>
          <w:i/>
          <w:iCs/>
          <w:lang w:val="en-GB"/>
        </w:rPr>
        <w:t>manner in which</w:t>
      </w:r>
      <w:proofErr w:type="gramEnd"/>
      <w:r>
        <w:rPr>
          <w:i/>
          <w:iCs/>
          <w:lang w:val="en-GB"/>
        </w:rPr>
        <w:t xml:space="preserve"> the winding-up is to be conducted; and</w:t>
      </w:r>
    </w:p>
    <w:p w14:paraId="1EEC4D18" w14:textId="2149C9A3" w:rsidR="00526A78" w:rsidRPr="004D05AC" w:rsidRDefault="00526A78">
      <w:pPr>
        <w:pStyle w:val="FootnoteText"/>
        <w:numPr>
          <w:ilvl w:val="0"/>
          <w:numId w:val="21"/>
        </w:numPr>
        <w:rPr>
          <w:i/>
          <w:iCs/>
          <w:lang w:val="en-GB"/>
        </w:rPr>
      </w:pPr>
      <w:r>
        <w:rPr>
          <w:i/>
          <w:iCs/>
          <w:lang w:val="en-GB"/>
        </w:rPr>
        <w:t xml:space="preserve">Make such orders as it sees fit to ensure the winding up is conducted in an orderly manner. </w:t>
      </w:r>
    </w:p>
  </w:footnote>
  <w:footnote w:id="17">
    <w:p w14:paraId="367D1A2A" w14:textId="77777777" w:rsidR="004D05AC" w:rsidRDefault="004D05AC" w:rsidP="004D05AC">
      <w:pPr>
        <w:pStyle w:val="FootnoteText"/>
      </w:pPr>
      <w:r>
        <w:rPr>
          <w:rStyle w:val="FootnoteReference"/>
        </w:rPr>
        <w:footnoteRef/>
      </w:r>
      <w:r>
        <w:t xml:space="preserve"> Module at [5.1.1]</w:t>
      </w:r>
    </w:p>
  </w:footnote>
  <w:footnote w:id="18">
    <w:p w14:paraId="78618C87" w14:textId="77777777" w:rsidR="004D05AC" w:rsidRDefault="004D05AC" w:rsidP="004D05AC">
      <w:pPr>
        <w:pStyle w:val="FootnoteText"/>
      </w:pPr>
      <w:r>
        <w:rPr>
          <w:rStyle w:val="FootnoteReference"/>
        </w:rPr>
        <w:footnoteRef/>
      </w:r>
      <w:r>
        <w:t xml:space="preserve"> Ibid.</w:t>
      </w:r>
    </w:p>
  </w:footnote>
  <w:footnote w:id="19">
    <w:p w14:paraId="51591DFD" w14:textId="77777777" w:rsidR="004D05AC" w:rsidRDefault="004D05AC" w:rsidP="004D05AC">
      <w:pPr>
        <w:pStyle w:val="FootnoteText"/>
      </w:pPr>
      <w:r>
        <w:rPr>
          <w:rStyle w:val="FootnoteReference"/>
        </w:rPr>
        <w:footnoteRef/>
      </w:r>
      <w:r>
        <w:t xml:space="preserve"> Ibid.</w:t>
      </w:r>
    </w:p>
  </w:footnote>
  <w:footnote w:id="20">
    <w:p w14:paraId="62E051FE" w14:textId="77777777" w:rsidR="004D05AC" w:rsidRDefault="004D05AC" w:rsidP="004D05AC">
      <w:pPr>
        <w:pStyle w:val="FootnoteText"/>
      </w:pPr>
      <w:r>
        <w:rPr>
          <w:rStyle w:val="FootnoteReference"/>
        </w:rPr>
        <w:footnoteRef/>
      </w:r>
      <w:r>
        <w:t xml:space="preserve"> Ibid.</w:t>
      </w:r>
    </w:p>
  </w:footnote>
  <w:footnote w:id="21">
    <w:p w14:paraId="646BB03E" w14:textId="77777777" w:rsidR="00CC6682" w:rsidRDefault="00CC6682" w:rsidP="00CC6682">
      <w:pPr>
        <w:pStyle w:val="FootnoteText"/>
      </w:pPr>
      <w:r>
        <w:rPr>
          <w:rStyle w:val="FootnoteReference"/>
        </w:rPr>
        <w:footnoteRef/>
      </w:r>
      <w:r>
        <w:t xml:space="preserve"> Article 4(1)(a) DR 2016</w:t>
      </w:r>
    </w:p>
  </w:footnote>
  <w:footnote w:id="22">
    <w:p w14:paraId="12552945" w14:textId="77777777" w:rsidR="00CC6682" w:rsidRDefault="00CC6682" w:rsidP="00CC6682">
      <w:pPr>
        <w:pStyle w:val="FootnoteText"/>
      </w:pPr>
      <w:r>
        <w:rPr>
          <w:rStyle w:val="FootnoteReference"/>
        </w:rPr>
        <w:footnoteRef/>
      </w:r>
      <w:r>
        <w:t xml:space="preserve"> Article 4(1)(b) DR 2016</w:t>
      </w:r>
    </w:p>
  </w:footnote>
  <w:footnote w:id="23">
    <w:p w14:paraId="681D015F" w14:textId="77777777" w:rsidR="00CC6682" w:rsidRDefault="00CC6682" w:rsidP="00CC6682">
      <w:pPr>
        <w:pStyle w:val="FootnoteText"/>
      </w:pPr>
      <w:r>
        <w:rPr>
          <w:rStyle w:val="FootnoteReference"/>
        </w:rPr>
        <w:footnoteRef/>
      </w:r>
      <w:r>
        <w:t xml:space="preserve"> Article 4(1)(f) DR 2016</w:t>
      </w:r>
    </w:p>
  </w:footnote>
  <w:footnote w:id="24">
    <w:p w14:paraId="3BCA9A64" w14:textId="77777777" w:rsidR="00CC6682" w:rsidRDefault="00CC6682" w:rsidP="00CC6682">
      <w:pPr>
        <w:pStyle w:val="FootnoteText"/>
      </w:pPr>
      <w:r>
        <w:rPr>
          <w:rStyle w:val="FootnoteReference"/>
        </w:rPr>
        <w:footnoteRef/>
      </w:r>
      <w:r>
        <w:t xml:space="preserve"> Article 4(1)(e) DR 2016</w:t>
      </w:r>
    </w:p>
  </w:footnote>
  <w:footnote w:id="25">
    <w:p w14:paraId="6691B1FD" w14:textId="77777777" w:rsidR="00CC6682" w:rsidRDefault="00CC6682" w:rsidP="00CC6682">
      <w:pPr>
        <w:pStyle w:val="FootnoteText"/>
      </w:pPr>
      <w:r>
        <w:rPr>
          <w:rStyle w:val="FootnoteReference"/>
        </w:rPr>
        <w:footnoteRef/>
      </w:r>
      <w:r>
        <w:t xml:space="preserve"> Article 4(2) DR 2016</w:t>
      </w:r>
    </w:p>
  </w:footnote>
  <w:footnote w:id="26">
    <w:p w14:paraId="7E661192" w14:textId="77777777" w:rsidR="00CC6682" w:rsidRDefault="00CC6682" w:rsidP="00CC6682">
      <w:pPr>
        <w:pStyle w:val="FootnoteText"/>
      </w:pPr>
      <w:r>
        <w:rPr>
          <w:rStyle w:val="FootnoteReference"/>
        </w:rPr>
        <w:footnoteRef/>
      </w:r>
      <w:r>
        <w:t xml:space="preserve"> Article 4(3)(a)(</w:t>
      </w:r>
      <w:proofErr w:type="spellStart"/>
      <w:r>
        <w:t>i</w:t>
      </w:r>
      <w:proofErr w:type="spellEnd"/>
      <w:r>
        <w:t>) DR 2016</w:t>
      </w:r>
    </w:p>
  </w:footnote>
  <w:footnote w:id="27">
    <w:p w14:paraId="2CBD0600" w14:textId="77777777" w:rsidR="00CC6682" w:rsidRDefault="00CC6682" w:rsidP="00CC6682">
      <w:pPr>
        <w:pStyle w:val="FootnoteText"/>
      </w:pPr>
      <w:r>
        <w:rPr>
          <w:rStyle w:val="FootnoteReference"/>
        </w:rPr>
        <w:footnoteRef/>
      </w:r>
      <w:r>
        <w:t xml:space="preserve"> Article 4(3)(a)(ii) DR 2016</w:t>
      </w:r>
    </w:p>
  </w:footnote>
  <w:footnote w:id="28">
    <w:p w14:paraId="6A9C007E" w14:textId="77777777" w:rsidR="00CC6682" w:rsidRDefault="00CC6682" w:rsidP="00CC6682">
      <w:pPr>
        <w:pStyle w:val="FootnoteText"/>
      </w:pPr>
      <w:r>
        <w:rPr>
          <w:rStyle w:val="FootnoteReference"/>
        </w:rPr>
        <w:footnoteRef/>
      </w:r>
      <w:r>
        <w:t xml:space="preserve"> Article 4(3)(b) DR 2016</w:t>
      </w:r>
    </w:p>
  </w:footnote>
  <w:footnote w:id="29">
    <w:p w14:paraId="7DCBE173" w14:textId="77777777" w:rsidR="00CC6682" w:rsidRDefault="00CC6682" w:rsidP="00CC6682">
      <w:pPr>
        <w:pStyle w:val="FootnoteText"/>
      </w:pPr>
      <w:r>
        <w:rPr>
          <w:rStyle w:val="FootnoteReference"/>
        </w:rPr>
        <w:footnoteRef/>
      </w:r>
      <w:r>
        <w:t xml:space="preserve"> Article 4(3)(c) DR 2016</w:t>
      </w:r>
    </w:p>
  </w:footnote>
  <w:footnote w:id="30">
    <w:p w14:paraId="1194E667" w14:textId="77777777" w:rsidR="00CC6682" w:rsidRDefault="00CC6682" w:rsidP="00CC6682">
      <w:pPr>
        <w:pStyle w:val="FootnoteText"/>
      </w:pPr>
      <w:r>
        <w:rPr>
          <w:rStyle w:val="FootnoteReference"/>
        </w:rPr>
        <w:footnoteRef/>
      </w:r>
      <w:r>
        <w:t xml:space="preserve"> Article 4(3)(g) DR 2016</w:t>
      </w:r>
    </w:p>
  </w:footnote>
  <w:footnote w:id="31">
    <w:p w14:paraId="1857A702" w14:textId="77777777" w:rsidR="00CC6682" w:rsidRDefault="00CC6682" w:rsidP="00CC6682">
      <w:pPr>
        <w:pStyle w:val="FootnoteText"/>
      </w:pPr>
      <w:r>
        <w:rPr>
          <w:rStyle w:val="FootnoteReference"/>
        </w:rPr>
        <w:footnoteRef/>
      </w:r>
      <w:r>
        <w:t xml:space="preserve"> Article 4(3)(h) DR 2016</w:t>
      </w:r>
    </w:p>
  </w:footnote>
  <w:footnote w:id="32">
    <w:p w14:paraId="75AEA3EE" w14:textId="77777777" w:rsidR="00CC6682" w:rsidRDefault="00CC6682" w:rsidP="00CC6682">
      <w:pPr>
        <w:pStyle w:val="FootnoteText"/>
      </w:pPr>
      <w:r>
        <w:rPr>
          <w:rStyle w:val="FootnoteReference"/>
        </w:rPr>
        <w:footnoteRef/>
      </w:r>
      <w:r>
        <w:t xml:space="preserve"> Article 4(3)(e) DR 2016</w:t>
      </w:r>
    </w:p>
  </w:footnote>
  <w:footnote w:id="33">
    <w:p w14:paraId="47D3E81B" w14:textId="77777777" w:rsidR="00CC6682" w:rsidRDefault="00CC6682" w:rsidP="00CC6682">
      <w:pPr>
        <w:pStyle w:val="FootnoteText"/>
      </w:pPr>
      <w:r>
        <w:rPr>
          <w:rStyle w:val="FootnoteReference"/>
        </w:rPr>
        <w:footnoteRef/>
      </w:r>
      <w:r>
        <w:t xml:space="preserve"> Article 4(3)(d) DR 2016</w:t>
      </w:r>
    </w:p>
  </w:footnote>
  <w:footnote w:id="34">
    <w:p w14:paraId="20817F52" w14:textId="77777777" w:rsidR="005D4BD9" w:rsidRDefault="005D4BD9" w:rsidP="005D4BD9">
      <w:pPr>
        <w:pStyle w:val="FootnoteText"/>
      </w:pPr>
      <w:r>
        <w:rPr>
          <w:rStyle w:val="FootnoteReference"/>
        </w:rPr>
        <w:footnoteRef/>
      </w:r>
      <w:r>
        <w:t xml:space="preserve"> Module at [4.2.3].</w:t>
      </w:r>
    </w:p>
  </w:footnote>
  <w:footnote w:id="35">
    <w:p w14:paraId="22FE3625" w14:textId="77777777" w:rsidR="005D4BD9" w:rsidRDefault="005D4BD9" w:rsidP="005D4BD9">
      <w:pPr>
        <w:pStyle w:val="FootnoteText"/>
      </w:pPr>
      <w:r>
        <w:rPr>
          <w:rStyle w:val="FootnoteReference"/>
        </w:rPr>
        <w:footnoteRef/>
      </w:r>
      <w:r>
        <w:t xml:space="preserve"> Article 3(1)(a) BL 1990</w:t>
      </w:r>
    </w:p>
  </w:footnote>
  <w:footnote w:id="36">
    <w:p w14:paraId="0D6FFC9D" w14:textId="77777777" w:rsidR="005D4BD9" w:rsidRDefault="005D4BD9" w:rsidP="005D4BD9">
      <w:pPr>
        <w:pStyle w:val="FootnoteText"/>
      </w:pPr>
      <w:r>
        <w:rPr>
          <w:rStyle w:val="FootnoteReference"/>
        </w:rPr>
        <w:footnoteRef/>
      </w:r>
      <w:r>
        <w:t xml:space="preserve"> Module at [4.2.3]</w:t>
      </w:r>
    </w:p>
  </w:footnote>
  <w:footnote w:id="37">
    <w:p w14:paraId="1C3ADE57" w14:textId="77777777" w:rsidR="005D4BD9" w:rsidRDefault="005D4BD9" w:rsidP="005D4BD9">
      <w:pPr>
        <w:pStyle w:val="FootnoteText"/>
      </w:pPr>
      <w:r>
        <w:rPr>
          <w:rStyle w:val="FootnoteReference"/>
        </w:rPr>
        <w:footnoteRef/>
      </w:r>
      <w:r>
        <w:t xml:space="preserve"> Article 3(1)(b) BL 1990</w:t>
      </w:r>
    </w:p>
  </w:footnote>
  <w:footnote w:id="38">
    <w:p w14:paraId="19707824" w14:textId="77777777" w:rsidR="005D4BD9" w:rsidRDefault="005D4BD9" w:rsidP="005D4BD9">
      <w:pPr>
        <w:pStyle w:val="FootnoteText"/>
      </w:pPr>
      <w:r>
        <w:rPr>
          <w:rStyle w:val="FootnoteReference"/>
        </w:rPr>
        <w:footnoteRef/>
      </w:r>
      <w:r>
        <w:t xml:space="preserve"> Article 3(1)(c); see also Module FN.6</w:t>
      </w:r>
    </w:p>
  </w:footnote>
  <w:footnote w:id="39">
    <w:p w14:paraId="0ABDA9F7" w14:textId="77777777" w:rsidR="005D4BD9" w:rsidRDefault="005D4BD9" w:rsidP="005D4BD9">
      <w:pPr>
        <w:pStyle w:val="FootnoteText"/>
      </w:pPr>
      <w:r>
        <w:rPr>
          <w:rStyle w:val="FootnoteReference"/>
        </w:rPr>
        <w:footnoteRef/>
      </w:r>
      <w:r>
        <w:t xml:space="preserve"> Article 4(1)(a)(</w:t>
      </w:r>
      <w:proofErr w:type="spellStart"/>
      <w:r>
        <w:t>i</w:t>
      </w:r>
      <w:proofErr w:type="spellEnd"/>
      <w:r>
        <w:t>) BL 1990</w:t>
      </w:r>
    </w:p>
  </w:footnote>
  <w:footnote w:id="40">
    <w:p w14:paraId="292E14A4" w14:textId="77777777" w:rsidR="005D4BD9" w:rsidRDefault="005D4BD9" w:rsidP="005D4BD9">
      <w:pPr>
        <w:pStyle w:val="FootnoteText"/>
      </w:pPr>
      <w:r>
        <w:rPr>
          <w:rStyle w:val="FootnoteReference"/>
        </w:rPr>
        <w:footnoteRef/>
      </w:r>
      <w:r>
        <w:t xml:space="preserve"> Article 4(1)(a)(ii) BL 1990</w:t>
      </w:r>
    </w:p>
  </w:footnote>
  <w:footnote w:id="41">
    <w:p w14:paraId="67DA9BFC" w14:textId="77777777" w:rsidR="005D4BD9" w:rsidRDefault="005D4BD9" w:rsidP="005D4BD9">
      <w:pPr>
        <w:pStyle w:val="FootnoteText"/>
      </w:pPr>
      <w:r>
        <w:rPr>
          <w:rStyle w:val="FootnoteReference"/>
        </w:rPr>
        <w:footnoteRef/>
      </w:r>
      <w:r>
        <w:t xml:space="preserve"> Article 4(1)(b)(</w:t>
      </w:r>
      <w:proofErr w:type="spellStart"/>
      <w:r>
        <w:t>i</w:t>
      </w:r>
      <w:proofErr w:type="spellEnd"/>
      <w:r>
        <w:t>) BL 1990</w:t>
      </w:r>
    </w:p>
  </w:footnote>
  <w:footnote w:id="42">
    <w:p w14:paraId="489F0C88" w14:textId="77777777" w:rsidR="005D4BD9" w:rsidRDefault="005D4BD9" w:rsidP="005D4BD9">
      <w:pPr>
        <w:pStyle w:val="FootnoteText"/>
      </w:pPr>
      <w:r>
        <w:rPr>
          <w:rStyle w:val="FootnoteReference"/>
        </w:rPr>
        <w:footnoteRef/>
      </w:r>
      <w:r>
        <w:t xml:space="preserve"> Article 4(1)(b)(ii) BL 1990</w:t>
      </w:r>
    </w:p>
  </w:footnote>
  <w:footnote w:id="43">
    <w:p w14:paraId="18B08C29" w14:textId="77777777" w:rsidR="005D4BD9" w:rsidRDefault="005D4BD9" w:rsidP="005D4BD9">
      <w:pPr>
        <w:pStyle w:val="FootnoteText"/>
      </w:pPr>
      <w:r>
        <w:rPr>
          <w:rStyle w:val="FootnoteReference"/>
        </w:rPr>
        <w:footnoteRef/>
      </w:r>
      <w:r>
        <w:t xml:space="preserve"> Article 4(1)(c) BL 1990</w:t>
      </w:r>
    </w:p>
  </w:footnote>
  <w:footnote w:id="44">
    <w:p w14:paraId="47FDB0B3" w14:textId="77777777" w:rsidR="005D4BD9" w:rsidRDefault="005D4BD9" w:rsidP="005D4BD9">
      <w:pPr>
        <w:pStyle w:val="FootnoteText"/>
      </w:pPr>
      <w:r>
        <w:rPr>
          <w:rStyle w:val="FootnoteReference"/>
        </w:rPr>
        <w:footnoteRef/>
      </w:r>
      <w:r>
        <w:t xml:space="preserve"> Article 4(1)(d) BL 1990</w:t>
      </w:r>
    </w:p>
  </w:footnote>
  <w:footnote w:id="45">
    <w:p w14:paraId="6A709885" w14:textId="77777777" w:rsidR="005D4BD9" w:rsidRDefault="005D4BD9" w:rsidP="005D4BD9">
      <w:pPr>
        <w:pStyle w:val="FootnoteText"/>
      </w:pPr>
      <w:r>
        <w:rPr>
          <w:rStyle w:val="FootnoteReference"/>
        </w:rPr>
        <w:footnoteRef/>
      </w:r>
      <w:r>
        <w:t xml:space="preserve"> Article 4(1)(da) BL 1990</w:t>
      </w:r>
    </w:p>
  </w:footnote>
  <w:footnote w:id="46">
    <w:p w14:paraId="7C9809D1" w14:textId="77777777" w:rsidR="005D4BD9" w:rsidRDefault="005D4BD9" w:rsidP="005D4BD9">
      <w:pPr>
        <w:pStyle w:val="FootnoteText"/>
      </w:pPr>
      <w:r>
        <w:rPr>
          <w:rStyle w:val="FootnoteReference"/>
        </w:rPr>
        <w:footnoteRef/>
      </w:r>
      <w:r>
        <w:t xml:space="preserve"> Article 4(1)(e) BL 1990</w:t>
      </w:r>
    </w:p>
  </w:footnote>
  <w:footnote w:id="47">
    <w:p w14:paraId="6FBD9F84" w14:textId="77777777" w:rsidR="005D4BD9" w:rsidRDefault="005D4BD9" w:rsidP="005D4BD9">
      <w:pPr>
        <w:pStyle w:val="FootnoteText"/>
      </w:pPr>
      <w:r>
        <w:rPr>
          <w:rStyle w:val="FootnoteReference"/>
        </w:rPr>
        <w:footnoteRef/>
      </w:r>
      <w:r>
        <w:t xml:space="preserve"> See Mourant.com/file-library/media—2017/2017-guidelines/obtaining-a-declaration-en-desastre.pdf</w:t>
      </w:r>
    </w:p>
  </w:footnote>
  <w:footnote w:id="48">
    <w:p w14:paraId="589D9040" w14:textId="77777777" w:rsidR="005D4BD9" w:rsidRDefault="005D4BD9" w:rsidP="005D4BD9">
      <w:pPr>
        <w:pStyle w:val="FootnoteText"/>
      </w:pPr>
      <w:r>
        <w:rPr>
          <w:rStyle w:val="FootnoteReference"/>
        </w:rPr>
        <w:footnoteRef/>
      </w:r>
      <w:r>
        <w:t xml:space="preserve"> Article 8(3) BL 1990</w:t>
      </w:r>
    </w:p>
  </w:footnote>
  <w:footnote w:id="49">
    <w:p w14:paraId="2FB3C67C" w14:textId="77777777" w:rsidR="005D4BD9" w:rsidRDefault="005D4BD9" w:rsidP="005D4BD9">
      <w:pPr>
        <w:pStyle w:val="FootnoteText"/>
      </w:pPr>
      <w:r>
        <w:rPr>
          <w:rStyle w:val="FootnoteReference"/>
        </w:rPr>
        <w:footnoteRef/>
      </w:r>
      <w:r>
        <w:t xml:space="preserve"> Article 8(1) BL 1990</w:t>
      </w:r>
    </w:p>
  </w:footnote>
  <w:footnote w:id="50">
    <w:p w14:paraId="1ED257B8" w14:textId="77777777" w:rsidR="005D4BD9" w:rsidRDefault="005D4BD9" w:rsidP="005D4BD9">
      <w:pPr>
        <w:pStyle w:val="FootnoteText"/>
      </w:pPr>
      <w:r>
        <w:rPr>
          <w:rStyle w:val="FootnoteReference"/>
        </w:rPr>
        <w:footnoteRef/>
      </w:r>
      <w:r>
        <w:t xml:space="preserve"> Article 11(1) BL 1990</w:t>
      </w:r>
    </w:p>
  </w:footnote>
  <w:footnote w:id="51">
    <w:p w14:paraId="067BEB10" w14:textId="77777777" w:rsidR="005D4BD9" w:rsidRDefault="005D4BD9" w:rsidP="005D4BD9">
      <w:pPr>
        <w:pStyle w:val="FootnoteText"/>
      </w:pPr>
      <w:r>
        <w:rPr>
          <w:rStyle w:val="FootnoteReference"/>
        </w:rPr>
        <w:footnoteRef/>
      </w:r>
      <w:r>
        <w:t xml:space="preserve"> See Article 17 Undervalue Transactions; and Article 17A preferences</w:t>
      </w:r>
    </w:p>
  </w:footnote>
  <w:footnote w:id="52">
    <w:p w14:paraId="5AF587A6" w14:textId="77777777" w:rsidR="005D4BD9" w:rsidRDefault="005D4BD9" w:rsidP="005D4BD9">
      <w:pPr>
        <w:pStyle w:val="FootnoteText"/>
      </w:pPr>
      <w:r>
        <w:rPr>
          <w:rStyle w:val="FootnoteReference"/>
        </w:rPr>
        <w:footnoteRef/>
      </w:r>
      <w:r>
        <w:t xml:space="preserve"> Article 20 BL 1990</w:t>
      </w:r>
    </w:p>
  </w:footnote>
  <w:footnote w:id="53">
    <w:p w14:paraId="1861C60C" w14:textId="77777777" w:rsidR="005D4BD9" w:rsidRDefault="005D4BD9" w:rsidP="005D4BD9">
      <w:pPr>
        <w:pStyle w:val="FootnoteText"/>
      </w:pPr>
      <w:r>
        <w:rPr>
          <w:rStyle w:val="FootnoteReference"/>
        </w:rPr>
        <w:footnoteRef/>
      </w:r>
      <w:r>
        <w:t xml:space="preserve"> Article 26(d) BL 1990</w:t>
      </w:r>
    </w:p>
  </w:footnote>
  <w:footnote w:id="54">
    <w:p w14:paraId="79F76C8F" w14:textId="77777777" w:rsidR="005D4BD9" w:rsidRDefault="005D4BD9" w:rsidP="005D4BD9">
      <w:pPr>
        <w:pStyle w:val="FootnoteText"/>
      </w:pPr>
      <w:r>
        <w:rPr>
          <w:rStyle w:val="FootnoteReference"/>
        </w:rPr>
        <w:footnoteRef/>
      </w:r>
      <w:r>
        <w:t xml:space="preserve"> Article 31 BL 1990</w:t>
      </w:r>
    </w:p>
  </w:footnote>
  <w:footnote w:id="55">
    <w:p w14:paraId="240C9E9D" w14:textId="77777777" w:rsidR="005D4BD9" w:rsidRDefault="005D4BD9" w:rsidP="005D4BD9">
      <w:pPr>
        <w:pStyle w:val="FootnoteText"/>
      </w:pPr>
      <w:r>
        <w:rPr>
          <w:rStyle w:val="FootnoteReference"/>
        </w:rPr>
        <w:footnoteRef/>
      </w:r>
      <w:r>
        <w:t xml:space="preserve"> Article 36(1) BL 1990</w:t>
      </w:r>
    </w:p>
  </w:footnote>
  <w:footnote w:id="56">
    <w:p w14:paraId="132DBFD5" w14:textId="77777777" w:rsidR="005D4BD9" w:rsidRDefault="005D4BD9" w:rsidP="005D4BD9">
      <w:pPr>
        <w:pStyle w:val="FootnoteText"/>
      </w:pPr>
      <w:r>
        <w:rPr>
          <w:rStyle w:val="FootnoteReference"/>
        </w:rPr>
        <w:footnoteRef/>
      </w:r>
      <w:r>
        <w:t xml:space="preserve"> Article 36(1)(a) BL 1990</w:t>
      </w:r>
    </w:p>
  </w:footnote>
  <w:footnote w:id="57">
    <w:p w14:paraId="5D251D34" w14:textId="77777777" w:rsidR="005D4BD9" w:rsidRDefault="005D4BD9" w:rsidP="005D4BD9">
      <w:pPr>
        <w:pStyle w:val="FootnoteText"/>
      </w:pPr>
      <w:r>
        <w:rPr>
          <w:rStyle w:val="FootnoteReference"/>
        </w:rPr>
        <w:footnoteRef/>
      </w:r>
      <w:r>
        <w:t xml:space="preserve"> Article 36(1)(b) BL 1990</w:t>
      </w:r>
    </w:p>
  </w:footnote>
  <w:footnote w:id="58">
    <w:p w14:paraId="73DE3106" w14:textId="77777777" w:rsidR="005D4BD9" w:rsidRDefault="005D4BD9" w:rsidP="005D4BD9">
      <w:pPr>
        <w:pStyle w:val="FootnoteText"/>
      </w:pPr>
      <w:r>
        <w:rPr>
          <w:rStyle w:val="FootnoteReference"/>
        </w:rPr>
        <w:footnoteRef/>
      </w:r>
      <w:r>
        <w:t xml:space="preserve"> Article 36(2), (2A) and (3) BL 1990</w:t>
      </w:r>
    </w:p>
  </w:footnote>
  <w:footnote w:id="59">
    <w:p w14:paraId="2E0BAAEB" w14:textId="77777777" w:rsidR="005D4BD9" w:rsidRDefault="005D4BD9" w:rsidP="005D4BD9">
      <w:pPr>
        <w:pStyle w:val="FootnoteText"/>
      </w:pPr>
      <w:r>
        <w:rPr>
          <w:rStyle w:val="FootnoteReference"/>
        </w:rPr>
        <w:footnoteRef/>
      </w:r>
      <w:r>
        <w:t xml:space="preserve"> Article 38(1)(a)-(b) BL 1990</w:t>
      </w:r>
    </w:p>
  </w:footnote>
  <w:footnote w:id="60">
    <w:p w14:paraId="10A8B70A" w14:textId="77777777" w:rsidR="005D4BD9" w:rsidRDefault="005D4BD9" w:rsidP="005D4BD9">
      <w:pPr>
        <w:pStyle w:val="FootnoteText"/>
      </w:pPr>
      <w:r>
        <w:rPr>
          <w:rStyle w:val="FootnoteReference"/>
        </w:rPr>
        <w:footnoteRef/>
      </w:r>
      <w:r>
        <w:t xml:space="preserve"> Article 40(1) BL 1990</w:t>
      </w:r>
    </w:p>
  </w:footnote>
  <w:footnote w:id="61">
    <w:p w14:paraId="3382C0EB" w14:textId="77777777" w:rsidR="005D4BD9" w:rsidRDefault="005D4BD9" w:rsidP="005D4BD9">
      <w:pPr>
        <w:pStyle w:val="FootnoteText"/>
      </w:pPr>
      <w:r>
        <w:rPr>
          <w:rStyle w:val="FootnoteReference"/>
        </w:rPr>
        <w:footnoteRef/>
      </w:r>
      <w:r>
        <w:t xml:space="preserve"> Article 40(2) BL 1990</w:t>
      </w:r>
    </w:p>
  </w:footnote>
  <w:footnote w:id="62">
    <w:p w14:paraId="40F04C02" w14:textId="77777777" w:rsidR="009546F4" w:rsidRDefault="009546F4" w:rsidP="009546F4">
      <w:pPr>
        <w:pStyle w:val="FootnoteText"/>
      </w:pPr>
      <w:r>
        <w:rPr>
          <w:rStyle w:val="FootnoteReference"/>
        </w:rPr>
        <w:footnoteRef/>
      </w:r>
      <w:r>
        <w:t xml:space="preserve"> Article 157(a) CL 1991</w:t>
      </w:r>
    </w:p>
  </w:footnote>
  <w:footnote w:id="63">
    <w:p w14:paraId="5DA0C962" w14:textId="77777777" w:rsidR="009546F4" w:rsidRDefault="009546F4" w:rsidP="009546F4">
      <w:pPr>
        <w:pStyle w:val="FootnoteText"/>
      </w:pPr>
      <w:r>
        <w:rPr>
          <w:rStyle w:val="FootnoteReference"/>
        </w:rPr>
        <w:footnoteRef/>
      </w:r>
      <w:r>
        <w:t xml:space="preserve"> Article 157A(1) CL 1991</w:t>
      </w:r>
    </w:p>
  </w:footnote>
  <w:footnote w:id="64">
    <w:p w14:paraId="7C5A9A93" w14:textId="77777777" w:rsidR="009546F4" w:rsidRDefault="009546F4" w:rsidP="009546F4">
      <w:pPr>
        <w:pStyle w:val="FootnoteText"/>
      </w:pPr>
      <w:r>
        <w:rPr>
          <w:rStyle w:val="FootnoteReference"/>
        </w:rPr>
        <w:footnoteRef/>
      </w:r>
      <w:r>
        <w:t xml:space="preserve"> Article 157A(1)(a) CL 1991</w:t>
      </w:r>
    </w:p>
  </w:footnote>
  <w:footnote w:id="65">
    <w:p w14:paraId="3AE901C6" w14:textId="77777777" w:rsidR="009546F4" w:rsidRDefault="009546F4" w:rsidP="009546F4">
      <w:pPr>
        <w:pStyle w:val="FootnoteText"/>
      </w:pPr>
      <w:r>
        <w:rPr>
          <w:rStyle w:val="FootnoteReference"/>
        </w:rPr>
        <w:footnoteRef/>
      </w:r>
      <w:r>
        <w:t xml:space="preserve"> Article 157A(1)(b) CL 1991</w:t>
      </w:r>
    </w:p>
  </w:footnote>
  <w:footnote w:id="66">
    <w:p w14:paraId="17F5D2E3" w14:textId="77777777" w:rsidR="009546F4" w:rsidRDefault="009546F4" w:rsidP="009546F4">
      <w:pPr>
        <w:pStyle w:val="FootnoteText"/>
      </w:pPr>
      <w:r>
        <w:rPr>
          <w:rStyle w:val="FootnoteReference"/>
        </w:rPr>
        <w:footnoteRef/>
      </w:r>
      <w:r>
        <w:t xml:space="preserve"> Article 157A(1)(c) CL 1991</w:t>
      </w:r>
    </w:p>
  </w:footnote>
  <w:footnote w:id="67">
    <w:p w14:paraId="4CA80CA8" w14:textId="77777777" w:rsidR="009546F4" w:rsidRDefault="009546F4" w:rsidP="009546F4">
      <w:pPr>
        <w:pStyle w:val="FootnoteText"/>
      </w:pPr>
      <w:r>
        <w:rPr>
          <w:rStyle w:val="FootnoteReference"/>
        </w:rPr>
        <w:footnoteRef/>
      </w:r>
      <w:r>
        <w:t xml:space="preserve"> Article 157A(2)(a)-(b) CL 1991</w:t>
      </w:r>
    </w:p>
  </w:footnote>
  <w:footnote w:id="68">
    <w:p w14:paraId="65FA59BA" w14:textId="77777777" w:rsidR="009546F4" w:rsidRDefault="009546F4" w:rsidP="009546F4">
      <w:pPr>
        <w:pStyle w:val="FootnoteText"/>
      </w:pPr>
      <w:r>
        <w:rPr>
          <w:rStyle w:val="FootnoteReference"/>
        </w:rPr>
        <w:footnoteRef/>
      </w:r>
      <w:r>
        <w:t xml:space="preserve"> Article 157A(3) CL 1991</w:t>
      </w:r>
    </w:p>
  </w:footnote>
  <w:footnote w:id="69">
    <w:p w14:paraId="50512676" w14:textId="77777777" w:rsidR="009546F4" w:rsidRDefault="009546F4" w:rsidP="009546F4">
      <w:pPr>
        <w:pStyle w:val="FootnoteText"/>
      </w:pPr>
      <w:r>
        <w:rPr>
          <w:rStyle w:val="FootnoteReference"/>
        </w:rPr>
        <w:footnoteRef/>
      </w:r>
      <w:r>
        <w:t xml:space="preserve"> Ibid.</w:t>
      </w:r>
    </w:p>
  </w:footnote>
  <w:footnote w:id="70">
    <w:p w14:paraId="543D5A4D" w14:textId="77777777" w:rsidR="009546F4" w:rsidRDefault="009546F4" w:rsidP="009546F4">
      <w:pPr>
        <w:pStyle w:val="FootnoteText"/>
      </w:pPr>
      <w:r>
        <w:rPr>
          <w:rStyle w:val="FootnoteReference"/>
        </w:rPr>
        <w:footnoteRef/>
      </w:r>
      <w:r>
        <w:t xml:space="preserve"> Article 160A(1)(a) CL 1991</w:t>
      </w:r>
    </w:p>
  </w:footnote>
  <w:footnote w:id="71">
    <w:p w14:paraId="50BE2938" w14:textId="77777777" w:rsidR="009546F4" w:rsidRDefault="009546F4" w:rsidP="009546F4">
      <w:pPr>
        <w:pStyle w:val="FootnoteText"/>
      </w:pPr>
      <w:r>
        <w:rPr>
          <w:rStyle w:val="FootnoteReference"/>
        </w:rPr>
        <w:footnoteRef/>
      </w:r>
      <w:r>
        <w:t xml:space="preserve"> Article 160A(1)(b) CL 1991</w:t>
      </w:r>
    </w:p>
  </w:footnote>
  <w:footnote w:id="72">
    <w:p w14:paraId="2A401CBE" w14:textId="77777777" w:rsidR="009546F4" w:rsidRDefault="009546F4" w:rsidP="009546F4">
      <w:pPr>
        <w:pStyle w:val="FootnoteText"/>
      </w:pPr>
      <w:r>
        <w:rPr>
          <w:rStyle w:val="FootnoteReference"/>
        </w:rPr>
        <w:footnoteRef/>
      </w:r>
      <w:r>
        <w:t xml:space="preserve"> Article 158(1) CL 1991</w:t>
      </w:r>
    </w:p>
  </w:footnote>
  <w:footnote w:id="73">
    <w:p w14:paraId="789B5EDD" w14:textId="77777777" w:rsidR="009546F4" w:rsidRDefault="009546F4" w:rsidP="009546F4">
      <w:pPr>
        <w:pStyle w:val="FootnoteText"/>
      </w:pPr>
      <w:r>
        <w:rPr>
          <w:rStyle w:val="FootnoteReference"/>
        </w:rPr>
        <w:footnoteRef/>
      </w:r>
      <w:r>
        <w:t xml:space="preserve"> Article 160(1) CL 1991</w:t>
      </w:r>
    </w:p>
  </w:footnote>
  <w:footnote w:id="74">
    <w:p w14:paraId="7B934D2D" w14:textId="77777777" w:rsidR="009546F4" w:rsidRDefault="009546F4" w:rsidP="009546F4">
      <w:pPr>
        <w:pStyle w:val="FootnoteText"/>
      </w:pPr>
      <w:r>
        <w:rPr>
          <w:rStyle w:val="FootnoteReference"/>
        </w:rPr>
        <w:footnoteRef/>
      </w:r>
      <w:r>
        <w:t xml:space="preserve"> See Module at p. 15</w:t>
      </w:r>
    </w:p>
  </w:footnote>
  <w:footnote w:id="75">
    <w:p w14:paraId="5D04B227" w14:textId="77777777" w:rsidR="009546F4" w:rsidRDefault="009546F4" w:rsidP="009546F4">
      <w:pPr>
        <w:pStyle w:val="FootnoteText"/>
      </w:pPr>
      <w:r>
        <w:rPr>
          <w:rStyle w:val="FootnoteReference"/>
        </w:rPr>
        <w:footnoteRef/>
      </w:r>
      <w:r>
        <w:t xml:space="preserve"> Article 160(2) CL 1991</w:t>
      </w:r>
    </w:p>
  </w:footnote>
  <w:footnote w:id="76">
    <w:p w14:paraId="18337749" w14:textId="77777777" w:rsidR="009546F4" w:rsidRDefault="009546F4" w:rsidP="009546F4">
      <w:pPr>
        <w:pStyle w:val="FootnoteText"/>
      </w:pPr>
      <w:r>
        <w:rPr>
          <w:rStyle w:val="FootnoteReference"/>
        </w:rPr>
        <w:footnoteRef/>
      </w:r>
      <w:r>
        <w:t xml:space="preserve"> Article 29(1) BL 1990.</w:t>
      </w:r>
    </w:p>
  </w:footnote>
  <w:footnote w:id="77">
    <w:p w14:paraId="0973DB54" w14:textId="77777777" w:rsidR="009546F4" w:rsidRDefault="009546F4" w:rsidP="009546F4">
      <w:pPr>
        <w:pStyle w:val="FootnoteText"/>
      </w:pPr>
      <w:r>
        <w:rPr>
          <w:rStyle w:val="FootnoteReference"/>
        </w:rPr>
        <w:footnoteRef/>
      </w:r>
      <w:r>
        <w:t xml:space="preserve"> Article 31(1)(a) BL 1990.</w:t>
      </w:r>
    </w:p>
  </w:footnote>
  <w:footnote w:id="78">
    <w:p w14:paraId="3CB1D4A5" w14:textId="77777777" w:rsidR="009546F4" w:rsidRDefault="009546F4" w:rsidP="009546F4">
      <w:pPr>
        <w:pStyle w:val="FootnoteText"/>
      </w:pPr>
      <w:r>
        <w:rPr>
          <w:rStyle w:val="FootnoteReference"/>
        </w:rPr>
        <w:footnoteRef/>
      </w:r>
      <w:r>
        <w:t xml:space="preserve"> Article 32(1)(b)(</w:t>
      </w:r>
      <w:proofErr w:type="spellStart"/>
      <w:r>
        <w:t>i</w:t>
      </w:r>
      <w:proofErr w:type="spellEnd"/>
      <w:r>
        <w:t>) BL 1990</w:t>
      </w:r>
    </w:p>
  </w:footnote>
  <w:footnote w:id="79">
    <w:p w14:paraId="0D37A173" w14:textId="77777777" w:rsidR="009546F4" w:rsidRDefault="009546F4" w:rsidP="009546F4">
      <w:pPr>
        <w:pStyle w:val="FootnoteText"/>
      </w:pPr>
      <w:r>
        <w:rPr>
          <w:rStyle w:val="FootnoteReference"/>
        </w:rPr>
        <w:footnoteRef/>
      </w:r>
      <w:r>
        <w:t xml:space="preserve"> Article 32(1)(b)(ii) BL 1990</w:t>
      </w:r>
    </w:p>
  </w:footnote>
  <w:footnote w:id="80">
    <w:p w14:paraId="2A3974A6" w14:textId="77777777" w:rsidR="009546F4" w:rsidRDefault="009546F4" w:rsidP="009546F4">
      <w:pPr>
        <w:pStyle w:val="FootnoteText"/>
      </w:pPr>
      <w:r>
        <w:rPr>
          <w:rStyle w:val="FootnoteReference"/>
        </w:rPr>
        <w:footnoteRef/>
      </w:r>
      <w:r>
        <w:t xml:space="preserve"> Article 32(1)(c)(</w:t>
      </w:r>
      <w:proofErr w:type="spellStart"/>
      <w:r>
        <w:t>i</w:t>
      </w:r>
      <w:proofErr w:type="spellEnd"/>
      <w:r>
        <w:t>) BL 1990</w:t>
      </w:r>
    </w:p>
  </w:footnote>
  <w:footnote w:id="81">
    <w:p w14:paraId="793CBCCC" w14:textId="77777777" w:rsidR="009546F4" w:rsidRDefault="009546F4" w:rsidP="009546F4">
      <w:pPr>
        <w:pStyle w:val="FootnoteText"/>
      </w:pPr>
      <w:r>
        <w:rPr>
          <w:rStyle w:val="FootnoteReference"/>
        </w:rPr>
        <w:footnoteRef/>
      </w:r>
      <w:r>
        <w:t xml:space="preserve"> Ibid</w:t>
      </w:r>
    </w:p>
  </w:footnote>
  <w:footnote w:id="82">
    <w:p w14:paraId="2A23DCAA" w14:textId="77777777" w:rsidR="009546F4" w:rsidRDefault="009546F4" w:rsidP="009546F4">
      <w:pPr>
        <w:pStyle w:val="FootnoteText"/>
      </w:pPr>
      <w:r>
        <w:rPr>
          <w:rStyle w:val="FootnoteReference"/>
        </w:rPr>
        <w:footnoteRef/>
      </w:r>
      <w:r>
        <w:t xml:space="preserve"> Article 32(1)(c)(</w:t>
      </w:r>
      <w:proofErr w:type="spellStart"/>
      <w:r>
        <w:t>ia</w:t>
      </w:r>
      <w:proofErr w:type="spellEnd"/>
      <w:r>
        <w:t>) BL 1990</w:t>
      </w:r>
    </w:p>
  </w:footnote>
  <w:footnote w:id="83">
    <w:p w14:paraId="3CD537A8" w14:textId="77777777" w:rsidR="009546F4" w:rsidRDefault="009546F4" w:rsidP="009546F4">
      <w:pPr>
        <w:pStyle w:val="FootnoteText"/>
      </w:pPr>
      <w:r>
        <w:rPr>
          <w:rStyle w:val="FootnoteReference"/>
        </w:rPr>
        <w:footnoteRef/>
      </w:r>
      <w:r>
        <w:t xml:space="preserve"> Ibid</w:t>
      </w:r>
    </w:p>
  </w:footnote>
  <w:footnote w:id="84">
    <w:p w14:paraId="5AC4EFF6" w14:textId="77777777" w:rsidR="009546F4" w:rsidRDefault="009546F4" w:rsidP="009546F4">
      <w:pPr>
        <w:pStyle w:val="FootnoteText"/>
      </w:pPr>
      <w:r>
        <w:rPr>
          <w:rStyle w:val="FootnoteReference"/>
        </w:rPr>
        <w:footnoteRef/>
      </w:r>
      <w:r>
        <w:t xml:space="preserve"> Article 32(1)(c)(ii) BL 1990</w:t>
      </w:r>
    </w:p>
  </w:footnote>
  <w:footnote w:id="85">
    <w:p w14:paraId="50369897" w14:textId="77777777" w:rsidR="009546F4" w:rsidRDefault="009546F4" w:rsidP="009546F4">
      <w:pPr>
        <w:pStyle w:val="FootnoteText"/>
      </w:pPr>
      <w:r>
        <w:rPr>
          <w:rStyle w:val="FootnoteReference"/>
        </w:rPr>
        <w:footnoteRef/>
      </w:r>
      <w:r>
        <w:t xml:space="preserve"> Article 32(1)(c)(iii) BL 1990</w:t>
      </w:r>
    </w:p>
  </w:footnote>
  <w:footnote w:id="86">
    <w:p w14:paraId="5988CC18" w14:textId="77777777" w:rsidR="009546F4" w:rsidRDefault="009546F4" w:rsidP="009546F4">
      <w:pPr>
        <w:pStyle w:val="FootnoteText"/>
      </w:pPr>
      <w:r>
        <w:rPr>
          <w:rStyle w:val="FootnoteReference"/>
        </w:rPr>
        <w:footnoteRef/>
      </w:r>
      <w:r>
        <w:t xml:space="preserve"> Article 32(1)(d) BL 1990.</w:t>
      </w:r>
    </w:p>
  </w:footnote>
  <w:footnote w:id="87">
    <w:p w14:paraId="700A9C7E" w14:textId="77777777" w:rsidR="009546F4" w:rsidRDefault="009546F4" w:rsidP="009546F4">
      <w:pPr>
        <w:pStyle w:val="FootnoteText"/>
      </w:pPr>
      <w:r>
        <w:rPr>
          <w:rStyle w:val="FootnoteReference"/>
        </w:rPr>
        <w:footnoteRef/>
      </w:r>
      <w:r>
        <w:t xml:space="preserve"> Article 29(2) BL 1990.</w:t>
      </w:r>
    </w:p>
  </w:footnote>
  <w:footnote w:id="88">
    <w:p w14:paraId="62227D91" w14:textId="77777777" w:rsidR="009546F4" w:rsidRDefault="009546F4" w:rsidP="009546F4">
      <w:pPr>
        <w:pStyle w:val="FootnoteText"/>
      </w:pPr>
      <w:r>
        <w:rPr>
          <w:rStyle w:val="FootnoteReference"/>
        </w:rPr>
        <w:footnoteRef/>
      </w:r>
      <w:r>
        <w:t xml:space="preserve"> Ibid.</w:t>
      </w:r>
    </w:p>
  </w:footnote>
  <w:footnote w:id="89">
    <w:p w14:paraId="6037FDD0" w14:textId="77777777" w:rsidR="009546F4" w:rsidRDefault="009546F4" w:rsidP="009546F4">
      <w:pPr>
        <w:pStyle w:val="FootnoteText"/>
      </w:pPr>
      <w:r>
        <w:rPr>
          <w:rStyle w:val="FootnoteReference"/>
        </w:rPr>
        <w:footnoteRef/>
      </w:r>
      <w:r>
        <w:t xml:space="preserve"> Article 30(1) BL 1990.</w:t>
      </w:r>
    </w:p>
  </w:footnote>
  <w:footnote w:id="90">
    <w:p w14:paraId="5F11021B" w14:textId="77777777" w:rsidR="009546F4" w:rsidRDefault="009546F4" w:rsidP="009546F4">
      <w:pPr>
        <w:pStyle w:val="FootnoteText"/>
      </w:pPr>
      <w:r>
        <w:rPr>
          <w:rStyle w:val="FootnoteReference"/>
        </w:rPr>
        <w:footnoteRef/>
      </w:r>
      <w:r>
        <w:t xml:space="preserve"> Article 30(2) BL 1990.</w:t>
      </w:r>
    </w:p>
  </w:footnote>
  <w:footnote w:id="91">
    <w:p w14:paraId="2A8AB514" w14:textId="77777777" w:rsidR="009546F4" w:rsidRDefault="009546F4" w:rsidP="009546F4">
      <w:pPr>
        <w:pStyle w:val="FootnoteText"/>
      </w:pPr>
      <w:r>
        <w:rPr>
          <w:rStyle w:val="FootnoteReference"/>
        </w:rPr>
        <w:footnoteRef/>
      </w:r>
      <w:r>
        <w:t xml:space="preserve"> Article 30(3) BL 1990.</w:t>
      </w:r>
    </w:p>
  </w:footnote>
  <w:footnote w:id="92">
    <w:p w14:paraId="26518FFE" w14:textId="77777777" w:rsidR="009546F4" w:rsidRDefault="009546F4" w:rsidP="009546F4">
      <w:pPr>
        <w:pStyle w:val="FootnoteText"/>
      </w:pPr>
      <w:r>
        <w:rPr>
          <w:rStyle w:val="FootnoteReference"/>
        </w:rPr>
        <w:footnoteRef/>
      </w:r>
      <w:r>
        <w:t xml:space="preserve"> Article 31(4) BL 1990.</w:t>
      </w:r>
    </w:p>
  </w:footnote>
  <w:footnote w:id="93">
    <w:p w14:paraId="46203B7C" w14:textId="77777777" w:rsidR="00966E52" w:rsidRDefault="00966E52" w:rsidP="00966E52">
      <w:pPr>
        <w:pStyle w:val="FootnoteText"/>
      </w:pPr>
      <w:r>
        <w:rPr>
          <w:rStyle w:val="FootnoteReference"/>
        </w:rPr>
        <w:footnoteRef/>
      </w:r>
      <w:r>
        <w:t xml:space="preserve"> This does not appear to be the case on the available facts.</w:t>
      </w:r>
    </w:p>
  </w:footnote>
  <w:footnote w:id="94">
    <w:p w14:paraId="5D96E9A6" w14:textId="77777777" w:rsidR="00966E52" w:rsidRDefault="00966E52" w:rsidP="00966E52">
      <w:pPr>
        <w:pStyle w:val="FootnoteText"/>
      </w:pPr>
      <w:r>
        <w:rPr>
          <w:rStyle w:val="FootnoteReference"/>
        </w:rPr>
        <w:footnoteRef/>
      </w:r>
      <w:r>
        <w:t xml:space="preserve"> Article 43 of the Security Interests (Jersey) Law 2012 (</w:t>
      </w:r>
      <w:r>
        <w:rPr>
          <w:b/>
        </w:rPr>
        <w:t>SI 2012</w:t>
      </w:r>
      <w:r>
        <w:t>)</w:t>
      </w:r>
    </w:p>
  </w:footnote>
  <w:footnote w:id="95">
    <w:p w14:paraId="018E6AD6" w14:textId="77777777" w:rsidR="00966E52" w:rsidRPr="00C16FEA" w:rsidRDefault="00966E52" w:rsidP="00966E52">
      <w:pPr>
        <w:pStyle w:val="FootnoteText"/>
      </w:pPr>
      <w:r>
        <w:rPr>
          <w:rStyle w:val="FootnoteReference"/>
        </w:rPr>
        <w:footnoteRef/>
      </w:r>
      <w:r>
        <w:t xml:space="preserve"> Module at [5.1.2]; and Article 13  SI 2012</w:t>
      </w:r>
    </w:p>
  </w:footnote>
  <w:footnote w:id="96">
    <w:p w14:paraId="4FA54BF0" w14:textId="77777777" w:rsidR="00966E52" w:rsidRDefault="00966E52" w:rsidP="00966E52">
      <w:pPr>
        <w:pStyle w:val="FootnoteText"/>
      </w:pPr>
      <w:r>
        <w:rPr>
          <w:rStyle w:val="FootnoteReference"/>
        </w:rPr>
        <w:footnoteRef/>
      </w:r>
      <w:r>
        <w:t xml:space="preserve"> Article 43(1)(a) SI 2012</w:t>
      </w:r>
    </w:p>
  </w:footnote>
  <w:footnote w:id="97">
    <w:p w14:paraId="135F18DF" w14:textId="77777777" w:rsidR="00966E52" w:rsidRDefault="00966E52" w:rsidP="00966E52">
      <w:pPr>
        <w:pStyle w:val="FootnoteText"/>
      </w:pPr>
      <w:r>
        <w:rPr>
          <w:rStyle w:val="FootnoteReference"/>
        </w:rPr>
        <w:footnoteRef/>
      </w:r>
      <w:r>
        <w:t xml:space="preserve"> Article 43(1)(b) SI 2012</w:t>
      </w:r>
    </w:p>
  </w:footnote>
  <w:footnote w:id="98">
    <w:p w14:paraId="4249EA6B" w14:textId="77777777" w:rsidR="00966E52" w:rsidRDefault="00966E52" w:rsidP="00966E52">
      <w:pPr>
        <w:pStyle w:val="FootnoteText"/>
      </w:pPr>
      <w:r>
        <w:rPr>
          <w:rStyle w:val="FootnoteReference"/>
        </w:rPr>
        <w:footnoteRef/>
      </w:r>
      <w:r>
        <w:t xml:space="preserve"> Article 44(1)(a)-(c) SI 2012</w:t>
      </w:r>
    </w:p>
  </w:footnote>
  <w:footnote w:id="99">
    <w:p w14:paraId="28B2E8AF" w14:textId="77777777" w:rsidR="00966E52" w:rsidRDefault="00966E52" w:rsidP="00966E52">
      <w:pPr>
        <w:pStyle w:val="FootnoteText"/>
      </w:pPr>
      <w:r>
        <w:rPr>
          <w:rStyle w:val="FootnoteReference"/>
        </w:rPr>
        <w:footnoteRef/>
      </w:r>
      <w:r>
        <w:t xml:space="preserve"> Article 44(2)(a)-(c) SI 2012</w:t>
      </w:r>
    </w:p>
  </w:footnote>
  <w:footnote w:id="100">
    <w:p w14:paraId="729544EF" w14:textId="77777777" w:rsidR="00966E52" w:rsidRDefault="00966E52" w:rsidP="00966E52">
      <w:pPr>
        <w:pStyle w:val="FootnoteText"/>
      </w:pPr>
      <w:r>
        <w:rPr>
          <w:rStyle w:val="FootnoteReference"/>
        </w:rPr>
        <w:footnoteRef/>
      </w:r>
      <w:r>
        <w:t xml:space="preserve"> Article 46 SI 2012.</w:t>
      </w:r>
    </w:p>
  </w:footnote>
  <w:footnote w:id="101">
    <w:p w14:paraId="7C731780" w14:textId="77777777" w:rsidR="00D57619" w:rsidRDefault="00D57619" w:rsidP="00D57619">
      <w:pPr>
        <w:pStyle w:val="FootnoteText"/>
      </w:pPr>
      <w:r>
        <w:rPr>
          <w:rStyle w:val="FootnoteReference"/>
        </w:rPr>
        <w:footnoteRef/>
      </w:r>
      <w:r>
        <w:t xml:space="preserve"> Article 3(1) of the EIR Recast</w:t>
      </w:r>
    </w:p>
  </w:footnote>
  <w:footnote w:id="102">
    <w:p w14:paraId="26DFACEB" w14:textId="77777777" w:rsidR="000F264C" w:rsidRPr="00403AB2" w:rsidRDefault="000F264C" w:rsidP="000F264C">
      <w:pPr>
        <w:pStyle w:val="FootnoteText"/>
      </w:pPr>
      <w:r>
        <w:rPr>
          <w:rStyle w:val="FootnoteReference"/>
        </w:rPr>
        <w:footnoteRef/>
      </w:r>
      <w:r>
        <w:t xml:space="preserve"> </w:t>
      </w:r>
      <w:r>
        <w:rPr>
          <w:i/>
        </w:rPr>
        <w:t>See Re Collections Group</w:t>
      </w:r>
      <w:r>
        <w:t xml:space="preserve"> at [1].</w:t>
      </w:r>
    </w:p>
  </w:footnote>
  <w:footnote w:id="103">
    <w:p w14:paraId="6DF97AED" w14:textId="77777777" w:rsidR="000F264C" w:rsidRPr="00130093" w:rsidRDefault="000F264C" w:rsidP="000F264C">
      <w:pPr>
        <w:pStyle w:val="FootnoteText"/>
      </w:pPr>
      <w:r>
        <w:rPr>
          <w:rStyle w:val="FootnoteReference"/>
        </w:rPr>
        <w:footnoteRef/>
      </w:r>
      <w:r>
        <w:t xml:space="preserve"> </w:t>
      </w:r>
      <w:r>
        <w:rPr>
          <w:i/>
        </w:rPr>
        <w:t>See Re Collections Group</w:t>
      </w:r>
      <w:r>
        <w:t xml:space="preserve"> at [22]-[23]</w:t>
      </w:r>
    </w:p>
  </w:footnote>
  <w:footnote w:id="104">
    <w:p w14:paraId="3D935E5E" w14:textId="77777777" w:rsidR="00134B70" w:rsidRDefault="00134B70" w:rsidP="00134B70">
      <w:pPr>
        <w:pStyle w:val="FootnoteText"/>
      </w:pPr>
      <w:r>
        <w:rPr>
          <w:rStyle w:val="FootnoteReference"/>
        </w:rPr>
        <w:footnoteRef/>
      </w:r>
      <w:r>
        <w:t xml:space="preserve"> RC 05/17 – Practice Direction – Applications for Aid in Bankruptcy and Insolvency Matters</w:t>
      </w:r>
    </w:p>
  </w:footnote>
  <w:footnote w:id="105">
    <w:p w14:paraId="090D0633" w14:textId="77777777" w:rsidR="0017523A" w:rsidRDefault="0017523A" w:rsidP="0017523A">
      <w:pPr>
        <w:pStyle w:val="FootnoteText"/>
      </w:pPr>
      <w:r>
        <w:rPr>
          <w:rStyle w:val="FootnoteReference"/>
        </w:rPr>
        <w:footnoteRef/>
      </w:r>
      <w:r>
        <w:t xml:space="preserve"> See Module at [7.2.1]</w:t>
      </w:r>
    </w:p>
  </w:footnote>
  <w:footnote w:id="106">
    <w:p w14:paraId="53B38ADF" w14:textId="77777777" w:rsidR="0017523A" w:rsidRDefault="0017523A" w:rsidP="0017523A">
      <w:pPr>
        <w:pStyle w:val="FootnoteText"/>
      </w:pPr>
      <w:r>
        <w:rPr>
          <w:rStyle w:val="FootnoteReference"/>
        </w:rPr>
        <w:footnoteRef/>
      </w:r>
      <w:r>
        <w:t xml:space="preserve"> See FN 36 of the Module.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4FC586C"/>
    <w:multiLevelType w:val="hybridMultilevel"/>
    <w:tmpl w:val="B6D6B7E8"/>
    <w:lvl w:ilvl="0" w:tplc="41ACF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08B3EE3"/>
    <w:multiLevelType w:val="hybridMultilevel"/>
    <w:tmpl w:val="05BA09F8"/>
    <w:lvl w:ilvl="0" w:tplc="ECDE8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B6651CB"/>
    <w:multiLevelType w:val="hybridMultilevel"/>
    <w:tmpl w:val="4188687E"/>
    <w:lvl w:ilvl="0" w:tplc="BB7641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310585">
    <w:abstractNumId w:val="9"/>
  </w:num>
  <w:num w:numId="2" w16cid:durableId="139932910">
    <w:abstractNumId w:val="8"/>
  </w:num>
  <w:num w:numId="3" w16cid:durableId="1327437147">
    <w:abstractNumId w:val="14"/>
  </w:num>
  <w:num w:numId="4" w16cid:durableId="1458257931">
    <w:abstractNumId w:val="0"/>
  </w:num>
  <w:num w:numId="5" w16cid:durableId="169028869">
    <w:abstractNumId w:val="18"/>
  </w:num>
  <w:num w:numId="6" w16cid:durableId="1670794092">
    <w:abstractNumId w:val="2"/>
  </w:num>
  <w:num w:numId="7" w16cid:durableId="2075737391">
    <w:abstractNumId w:val="12"/>
  </w:num>
  <w:num w:numId="8" w16cid:durableId="1236236038">
    <w:abstractNumId w:val="6"/>
  </w:num>
  <w:num w:numId="9" w16cid:durableId="1207597408">
    <w:abstractNumId w:val="15"/>
  </w:num>
  <w:num w:numId="10" w16cid:durableId="260843302">
    <w:abstractNumId w:val="19"/>
  </w:num>
  <w:num w:numId="11" w16cid:durableId="1477647935">
    <w:abstractNumId w:val="4"/>
  </w:num>
  <w:num w:numId="12" w16cid:durableId="1682120987">
    <w:abstractNumId w:val="3"/>
  </w:num>
  <w:num w:numId="13" w16cid:durableId="744305836">
    <w:abstractNumId w:val="13"/>
  </w:num>
  <w:num w:numId="14" w16cid:durableId="1850942479">
    <w:abstractNumId w:val="17"/>
  </w:num>
  <w:num w:numId="15" w16cid:durableId="1329751015">
    <w:abstractNumId w:val="16"/>
  </w:num>
  <w:num w:numId="16" w16cid:durableId="2120755018">
    <w:abstractNumId w:val="5"/>
  </w:num>
  <w:num w:numId="17" w16cid:durableId="1655526512">
    <w:abstractNumId w:val="11"/>
  </w:num>
  <w:num w:numId="18" w16cid:durableId="2142964843">
    <w:abstractNumId w:val="10"/>
  </w:num>
  <w:num w:numId="19" w16cid:durableId="54205200">
    <w:abstractNumId w:val="20"/>
  </w:num>
  <w:num w:numId="20" w16cid:durableId="2038845185">
    <w:abstractNumId w:val="1"/>
  </w:num>
  <w:num w:numId="21" w16cid:durableId="80054104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6973"/>
    <w:rsid w:val="00037621"/>
    <w:rsid w:val="00041D45"/>
    <w:rsid w:val="00044A45"/>
    <w:rsid w:val="00044D46"/>
    <w:rsid w:val="00045088"/>
    <w:rsid w:val="00045904"/>
    <w:rsid w:val="000502FD"/>
    <w:rsid w:val="00057580"/>
    <w:rsid w:val="000578DB"/>
    <w:rsid w:val="00060F12"/>
    <w:rsid w:val="00065166"/>
    <w:rsid w:val="00076E89"/>
    <w:rsid w:val="000776FC"/>
    <w:rsid w:val="00077789"/>
    <w:rsid w:val="00082609"/>
    <w:rsid w:val="000851CC"/>
    <w:rsid w:val="00087F21"/>
    <w:rsid w:val="00093BE8"/>
    <w:rsid w:val="00096E8C"/>
    <w:rsid w:val="000A05D1"/>
    <w:rsid w:val="000A407B"/>
    <w:rsid w:val="000A5721"/>
    <w:rsid w:val="000A68ED"/>
    <w:rsid w:val="000B5FF1"/>
    <w:rsid w:val="000B609F"/>
    <w:rsid w:val="000C4BE7"/>
    <w:rsid w:val="000C512A"/>
    <w:rsid w:val="000D2403"/>
    <w:rsid w:val="000D36B2"/>
    <w:rsid w:val="000D4FCA"/>
    <w:rsid w:val="000D55A8"/>
    <w:rsid w:val="000E2372"/>
    <w:rsid w:val="000E2C12"/>
    <w:rsid w:val="000E4841"/>
    <w:rsid w:val="000F0563"/>
    <w:rsid w:val="000F0C64"/>
    <w:rsid w:val="000F1677"/>
    <w:rsid w:val="000F264C"/>
    <w:rsid w:val="000F3D6C"/>
    <w:rsid w:val="00100D12"/>
    <w:rsid w:val="00101707"/>
    <w:rsid w:val="00102CC9"/>
    <w:rsid w:val="0010593A"/>
    <w:rsid w:val="001141B4"/>
    <w:rsid w:val="0011473D"/>
    <w:rsid w:val="00115C85"/>
    <w:rsid w:val="001175DC"/>
    <w:rsid w:val="00117702"/>
    <w:rsid w:val="00122953"/>
    <w:rsid w:val="00123855"/>
    <w:rsid w:val="0012409F"/>
    <w:rsid w:val="00126A4D"/>
    <w:rsid w:val="00130093"/>
    <w:rsid w:val="00134B70"/>
    <w:rsid w:val="001358DE"/>
    <w:rsid w:val="0014171F"/>
    <w:rsid w:val="00144D1A"/>
    <w:rsid w:val="0014622C"/>
    <w:rsid w:val="00147BFD"/>
    <w:rsid w:val="00152348"/>
    <w:rsid w:val="0015456D"/>
    <w:rsid w:val="00154D7B"/>
    <w:rsid w:val="00155FA2"/>
    <w:rsid w:val="00161F1B"/>
    <w:rsid w:val="00162829"/>
    <w:rsid w:val="00165192"/>
    <w:rsid w:val="0017523A"/>
    <w:rsid w:val="00180548"/>
    <w:rsid w:val="00180AC4"/>
    <w:rsid w:val="00180CCE"/>
    <w:rsid w:val="0018267A"/>
    <w:rsid w:val="00182779"/>
    <w:rsid w:val="001830DF"/>
    <w:rsid w:val="00186917"/>
    <w:rsid w:val="00191948"/>
    <w:rsid w:val="001966D9"/>
    <w:rsid w:val="001A007A"/>
    <w:rsid w:val="001A7E9A"/>
    <w:rsid w:val="001B0F70"/>
    <w:rsid w:val="001B5016"/>
    <w:rsid w:val="001C45FC"/>
    <w:rsid w:val="001C4C80"/>
    <w:rsid w:val="001D0469"/>
    <w:rsid w:val="001D29C0"/>
    <w:rsid w:val="001D365C"/>
    <w:rsid w:val="001D4862"/>
    <w:rsid w:val="001E25B9"/>
    <w:rsid w:val="001E49E0"/>
    <w:rsid w:val="001E73DA"/>
    <w:rsid w:val="001E7B5A"/>
    <w:rsid w:val="001F6FEC"/>
    <w:rsid w:val="001F7412"/>
    <w:rsid w:val="0020090A"/>
    <w:rsid w:val="00202DFE"/>
    <w:rsid w:val="0020725B"/>
    <w:rsid w:val="002110F1"/>
    <w:rsid w:val="0023169A"/>
    <w:rsid w:val="00233594"/>
    <w:rsid w:val="002356EA"/>
    <w:rsid w:val="00235FC2"/>
    <w:rsid w:val="0024116D"/>
    <w:rsid w:val="00241B44"/>
    <w:rsid w:val="00241FA3"/>
    <w:rsid w:val="00245EFB"/>
    <w:rsid w:val="0025386E"/>
    <w:rsid w:val="00261390"/>
    <w:rsid w:val="002638B0"/>
    <w:rsid w:val="0026647A"/>
    <w:rsid w:val="002668D3"/>
    <w:rsid w:val="0027299F"/>
    <w:rsid w:val="00284EBE"/>
    <w:rsid w:val="002903A7"/>
    <w:rsid w:val="0029433F"/>
    <w:rsid w:val="00294829"/>
    <w:rsid w:val="0029690F"/>
    <w:rsid w:val="00297C8A"/>
    <w:rsid w:val="002A2A60"/>
    <w:rsid w:val="002A37BB"/>
    <w:rsid w:val="002A4186"/>
    <w:rsid w:val="002B1C45"/>
    <w:rsid w:val="002B2138"/>
    <w:rsid w:val="002B6F35"/>
    <w:rsid w:val="002C0B6C"/>
    <w:rsid w:val="002C13C8"/>
    <w:rsid w:val="002C3361"/>
    <w:rsid w:val="002C3547"/>
    <w:rsid w:val="002D0021"/>
    <w:rsid w:val="002D299D"/>
    <w:rsid w:val="002D3473"/>
    <w:rsid w:val="002F037A"/>
    <w:rsid w:val="002F1956"/>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57AD1"/>
    <w:rsid w:val="00361A0A"/>
    <w:rsid w:val="00364836"/>
    <w:rsid w:val="0036565C"/>
    <w:rsid w:val="0036625E"/>
    <w:rsid w:val="0037383B"/>
    <w:rsid w:val="0037465A"/>
    <w:rsid w:val="00380949"/>
    <w:rsid w:val="00382978"/>
    <w:rsid w:val="00382C98"/>
    <w:rsid w:val="0038533C"/>
    <w:rsid w:val="00386568"/>
    <w:rsid w:val="00390B57"/>
    <w:rsid w:val="003948D5"/>
    <w:rsid w:val="00395B64"/>
    <w:rsid w:val="00396821"/>
    <w:rsid w:val="00397D3A"/>
    <w:rsid w:val="003A051E"/>
    <w:rsid w:val="003B16A4"/>
    <w:rsid w:val="003B170F"/>
    <w:rsid w:val="003B3C5F"/>
    <w:rsid w:val="003C28B8"/>
    <w:rsid w:val="003C4471"/>
    <w:rsid w:val="003D0A6D"/>
    <w:rsid w:val="003D52A4"/>
    <w:rsid w:val="003D53C3"/>
    <w:rsid w:val="003E0B16"/>
    <w:rsid w:val="003E433E"/>
    <w:rsid w:val="003E67D1"/>
    <w:rsid w:val="00403AB2"/>
    <w:rsid w:val="00404329"/>
    <w:rsid w:val="00405DC1"/>
    <w:rsid w:val="0041066A"/>
    <w:rsid w:val="00415F1F"/>
    <w:rsid w:val="0042108F"/>
    <w:rsid w:val="00430FED"/>
    <w:rsid w:val="00431560"/>
    <w:rsid w:val="00434A8C"/>
    <w:rsid w:val="00437297"/>
    <w:rsid w:val="004441F8"/>
    <w:rsid w:val="00444284"/>
    <w:rsid w:val="00445CE6"/>
    <w:rsid w:val="004505D3"/>
    <w:rsid w:val="0045061D"/>
    <w:rsid w:val="004534C2"/>
    <w:rsid w:val="0045446F"/>
    <w:rsid w:val="00455F28"/>
    <w:rsid w:val="0045683E"/>
    <w:rsid w:val="00472939"/>
    <w:rsid w:val="0047403B"/>
    <w:rsid w:val="00477C72"/>
    <w:rsid w:val="00491675"/>
    <w:rsid w:val="00493855"/>
    <w:rsid w:val="004959B5"/>
    <w:rsid w:val="00495E79"/>
    <w:rsid w:val="00497F8D"/>
    <w:rsid w:val="004A2123"/>
    <w:rsid w:val="004A2D83"/>
    <w:rsid w:val="004A57DD"/>
    <w:rsid w:val="004A7B51"/>
    <w:rsid w:val="004A7D71"/>
    <w:rsid w:val="004A7EF3"/>
    <w:rsid w:val="004B11FD"/>
    <w:rsid w:val="004B23A2"/>
    <w:rsid w:val="004D05AC"/>
    <w:rsid w:val="004D1133"/>
    <w:rsid w:val="004D1A5A"/>
    <w:rsid w:val="004D1D27"/>
    <w:rsid w:val="004D2FFF"/>
    <w:rsid w:val="004D3721"/>
    <w:rsid w:val="004D64F9"/>
    <w:rsid w:val="004E3A6B"/>
    <w:rsid w:val="004E622C"/>
    <w:rsid w:val="004E6F80"/>
    <w:rsid w:val="004F5FDF"/>
    <w:rsid w:val="005075CA"/>
    <w:rsid w:val="00510F00"/>
    <w:rsid w:val="005177FE"/>
    <w:rsid w:val="0052263B"/>
    <w:rsid w:val="00524728"/>
    <w:rsid w:val="00526A78"/>
    <w:rsid w:val="005331CA"/>
    <w:rsid w:val="005359C6"/>
    <w:rsid w:val="00536A59"/>
    <w:rsid w:val="00537970"/>
    <w:rsid w:val="00540E3A"/>
    <w:rsid w:val="00544127"/>
    <w:rsid w:val="005463A9"/>
    <w:rsid w:val="00553EB2"/>
    <w:rsid w:val="00560534"/>
    <w:rsid w:val="0056390A"/>
    <w:rsid w:val="0056391B"/>
    <w:rsid w:val="005650E2"/>
    <w:rsid w:val="00567AD7"/>
    <w:rsid w:val="00573DE0"/>
    <w:rsid w:val="0057566C"/>
    <w:rsid w:val="00575B2D"/>
    <w:rsid w:val="00577E69"/>
    <w:rsid w:val="005833D0"/>
    <w:rsid w:val="005846D4"/>
    <w:rsid w:val="005846F3"/>
    <w:rsid w:val="0058622F"/>
    <w:rsid w:val="00592F82"/>
    <w:rsid w:val="00593CBF"/>
    <w:rsid w:val="005977FE"/>
    <w:rsid w:val="005A06C7"/>
    <w:rsid w:val="005A0CCA"/>
    <w:rsid w:val="005A6FF2"/>
    <w:rsid w:val="005A726D"/>
    <w:rsid w:val="005B0E06"/>
    <w:rsid w:val="005B67AC"/>
    <w:rsid w:val="005B79F4"/>
    <w:rsid w:val="005D16DD"/>
    <w:rsid w:val="005D43E0"/>
    <w:rsid w:val="005D4BD9"/>
    <w:rsid w:val="005D58A3"/>
    <w:rsid w:val="005E1B79"/>
    <w:rsid w:val="005E6076"/>
    <w:rsid w:val="005E7008"/>
    <w:rsid w:val="005F026D"/>
    <w:rsid w:val="005F2680"/>
    <w:rsid w:val="005F2AEA"/>
    <w:rsid w:val="005F2D0B"/>
    <w:rsid w:val="005F4B31"/>
    <w:rsid w:val="0060262F"/>
    <w:rsid w:val="00602690"/>
    <w:rsid w:val="00610388"/>
    <w:rsid w:val="006104F8"/>
    <w:rsid w:val="00610AC7"/>
    <w:rsid w:val="00612CA5"/>
    <w:rsid w:val="006153EC"/>
    <w:rsid w:val="00621A17"/>
    <w:rsid w:val="00627CC9"/>
    <w:rsid w:val="00627E7B"/>
    <w:rsid w:val="00630542"/>
    <w:rsid w:val="00632E44"/>
    <w:rsid w:val="00633004"/>
    <w:rsid w:val="00634622"/>
    <w:rsid w:val="00635BF9"/>
    <w:rsid w:val="00636808"/>
    <w:rsid w:val="00641515"/>
    <w:rsid w:val="00642FB1"/>
    <w:rsid w:val="00650C6C"/>
    <w:rsid w:val="00654C2F"/>
    <w:rsid w:val="006561D2"/>
    <w:rsid w:val="00657087"/>
    <w:rsid w:val="006639DB"/>
    <w:rsid w:val="00665227"/>
    <w:rsid w:val="006661EF"/>
    <w:rsid w:val="00676A9E"/>
    <w:rsid w:val="00677AEB"/>
    <w:rsid w:val="00680EF2"/>
    <w:rsid w:val="00687A1D"/>
    <w:rsid w:val="0069077B"/>
    <w:rsid w:val="0069437B"/>
    <w:rsid w:val="0069744E"/>
    <w:rsid w:val="00697EA1"/>
    <w:rsid w:val="006A0648"/>
    <w:rsid w:val="006A231C"/>
    <w:rsid w:val="006A2646"/>
    <w:rsid w:val="006A645C"/>
    <w:rsid w:val="006A6530"/>
    <w:rsid w:val="006B435A"/>
    <w:rsid w:val="006B4C64"/>
    <w:rsid w:val="006B73E0"/>
    <w:rsid w:val="006C15F1"/>
    <w:rsid w:val="006C17E6"/>
    <w:rsid w:val="006C3B3F"/>
    <w:rsid w:val="006C460C"/>
    <w:rsid w:val="006C4ECD"/>
    <w:rsid w:val="006D1752"/>
    <w:rsid w:val="006D6BD5"/>
    <w:rsid w:val="006E481A"/>
    <w:rsid w:val="006E5298"/>
    <w:rsid w:val="006F16CC"/>
    <w:rsid w:val="006F4A78"/>
    <w:rsid w:val="006F734A"/>
    <w:rsid w:val="006F7D70"/>
    <w:rsid w:val="00700D83"/>
    <w:rsid w:val="00704852"/>
    <w:rsid w:val="007074E9"/>
    <w:rsid w:val="00713DA4"/>
    <w:rsid w:val="00714BF1"/>
    <w:rsid w:val="00721383"/>
    <w:rsid w:val="0073027D"/>
    <w:rsid w:val="0073158B"/>
    <w:rsid w:val="007333CC"/>
    <w:rsid w:val="0073399A"/>
    <w:rsid w:val="00740DAD"/>
    <w:rsid w:val="00750BA4"/>
    <w:rsid w:val="007603F5"/>
    <w:rsid w:val="00764DB0"/>
    <w:rsid w:val="0076764D"/>
    <w:rsid w:val="00772AB4"/>
    <w:rsid w:val="0077498C"/>
    <w:rsid w:val="007809BC"/>
    <w:rsid w:val="00780D2F"/>
    <w:rsid w:val="00784128"/>
    <w:rsid w:val="007856BA"/>
    <w:rsid w:val="00787BCC"/>
    <w:rsid w:val="00791032"/>
    <w:rsid w:val="00791F1E"/>
    <w:rsid w:val="00793173"/>
    <w:rsid w:val="007A21EA"/>
    <w:rsid w:val="007A2A33"/>
    <w:rsid w:val="007A620E"/>
    <w:rsid w:val="007B5C89"/>
    <w:rsid w:val="007C1FCC"/>
    <w:rsid w:val="007C6201"/>
    <w:rsid w:val="007D7C92"/>
    <w:rsid w:val="007E1154"/>
    <w:rsid w:val="007E5875"/>
    <w:rsid w:val="007E6BA4"/>
    <w:rsid w:val="007F0667"/>
    <w:rsid w:val="007F41F8"/>
    <w:rsid w:val="007F659B"/>
    <w:rsid w:val="0080454E"/>
    <w:rsid w:val="00804C32"/>
    <w:rsid w:val="00806302"/>
    <w:rsid w:val="00807119"/>
    <w:rsid w:val="008141E2"/>
    <w:rsid w:val="00815152"/>
    <w:rsid w:val="008208A2"/>
    <w:rsid w:val="0082483F"/>
    <w:rsid w:val="0082641F"/>
    <w:rsid w:val="008279C0"/>
    <w:rsid w:val="0083203E"/>
    <w:rsid w:val="00867701"/>
    <w:rsid w:val="00870CAE"/>
    <w:rsid w:val="008723F3"/>
    <w:rsid w:val="00876F56"/>
    <w:rsid w:val="00881DE6"/>
    <w:rsid w:val="008837A6"/>
    <w:rsid w:val="0089145D"/>
    <w:rsid w:val="008A4DF2"/>
    <w:rsid w:val="008A6CFE"/>
    <w:rsid w:val="008B5333"/>
    <w:rsid w:val="008B6223"/>
    <w:rsid w:val="008B7296"/>
    <w:rsid w:val="008C66E0"/>
    <w:rsid w:val="008C6C03"/>
    <w:rsid w:val="008D6986"/>
    <w:rsid w:val="008E3339"/>
    <w:rsid w:val="008E6DDA"/>
    <w:rsid w:val="008F20FC"/>
    <w:rsid w:val="008F5FFE"/>
    <w:rsid w:val="00900363"/>
    <w:rsid w:val="00905A43"/>
    <w:rsid w:val="00912C79"/>
    <w:rsid w:val="0091783D"/>
    <w:rsid w:val="00917DF2"/>
    <w:rsid w:val="00921B8C"/>
    <w:rsid w:val="00934437"/>
    <w:rsid w:val="00937EB6"/>
    <w:rsid w:val="00942123"/>
    <w:rsid w:val="0095025F"/>
    <w:rsid w:val="0095207B"/>
    <w:rsid w:val="009546F4"/>
    <w:rsid w:val="00962045"/>
    <w:rsid w:val="00966E52"/>
    <w:rsid w:val="009711BE"/>
    <w:rsid w:val="00980E61"/>
    <w:rsid w:val="00987F50"/>
    <w:rsid w:val="00991428"/>
    <w:rsid w:val="00991932"/>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E2AEB"/>
    <w:rsid w:val="009E2E27"/>
    <w:rsid w:val="009E3855"/>
    <w:rsid w:val="009E45DF"/>
    <w:rsid w:val="009E4DE3"/>
    <w:rsid w:val="009F006D"/>
    <w:rsid w:val="009F275E"/>
    <w:rsid w:val="00A047EE"/>
    <w:rsid w:val="00A0613B"/>
    <w:rsid w:val="00A075A8"/>
    <w:rsid w:val="00A21191"/>
    <w:rsid w:val="00A2274A"/>
    <w:rsid w:val="00A235B7"/>
    <w:rsid w:val="00A27A7A"/>
    <w:rsid w:val="00A27F39"/>
    <w:rsid w:val="00A30850"/>
    <w:rsid w:val="00A30FAE"/>
    <w:rsid w:val="00A34ABE"/>
    <w:rsid w:val="00A40052"/>
    <w:rsid w:val="00A407EF"/>
    <w:rsid w:val="00A46B4C"/>
    <w:rsid w:val="00A5117B"/>
    <w:rsid w:val="00A52818"/>
    <w:rsid w:val="00A53463"/>
    <w:rsid w:val="00A56D34"/>
    <w:rsid w:val="00A60074"/>
    <w:rsid w:val="00A6627C"/>
    <w:rsid w:val="00A67287"/>
    <w:rsid w:val="00A71019"/>
    <w:rsid w:val="00A81029"/>
    <w:rsid w:val="00A81B5E"/>
    <w:rsid w:val="00A845F5"/>
    <w:rsid w:val="00A92F4A"/>
    <w:rsid w:val="00A96489"/>
    <w:rsid w:val="00AB2425"/>
    <w:rsid w:val="00AB685C"/>
    <w:rsid w:val="00AB6C2D"/>
    <w:rsid w:val="00AC08F7"/>
    <w:rsid w:val="00AC3839"/>
    <w:rsid w:val="00AC7082"/>
    <w:rsid w:val="00AD4BE8"/>
    <w:rsid w:val="00AD695B"/>
    <w:rsid w:val="00AD6DD9"/>
    <w:rsid w:val="00AD7DAF"/>
    <w:rsid w:val="00AF228E"/>
    <w:rsid w:val="00AF488C"/>
    <w:rsid w:val="00B011DB"/>
    <w:rsid w:val="00B016A8"/>
    <w:rsid w:val="00B14819"/>
    <w:rsid w:val="00B15E2F"/>
    <w:rsid w:val="00B17AA9"/>
    <w:rsid w:val="00B22B5A"/>
    <w:rsid w:val="00B37D3E"/>
    <w:rsid w:val="00B42CF6"/>
    <w:rsid w:val="00B44713"/>
    <w:rsid w:val="00B46E67"/>
    <w:rsid w:val="00B4705E"/>
    <w:rsid w:val="00B51B95"/>
    <w:rsid w:val="00B56103"/>
    <w:rsid w:val="00B64929"/>
    <w:rsid w:val="00B736DF"/>
    <w:rsid w:val="00B743D6"/>
    <w:rsid w:val="00B74FBD"/>
    <w:rsid w:val="00B7779B"/>
    <w:rsid w:val="00B77F46"/>
    <w:rsid w:val="00B80E29"/>
    <w:rsid w:val="00B82586"/>
    <w:rsid w:val="00B829A3"/>
    <w:rsid w:val="00B86DB1"/>
    <w:rsid w:val="00B87869"/>
    <w:rsid w:val="00B9203E"/>
    <w:rsid w:val="00B9639B"/>
    <w:rsid w:val="00BB0F2B"/>
    <w:rsid w:val="00BB54E7"/>
    <w:rsid w:val="00BB563E"/>
    <w:rsid w:val="00BB7C13"/>
    <w:rsid w:val="00BC35EA"/>
    <w:rsid w:val="00BD38E3"/>
    <w:rsid w:val="00BE28C2"/>
    <w:rsid w:val="00BE4FF3"/>
    <w:rsid w:val="00BF50F7"/>
    <w:rsid w:val="00C02F29"/>
    <w:rsid w:val="00C063DF"/>
    <w:rsid w:val="00C16EA4"/>
    <w:rsid w:val="00C16FEA"/>
    <w:rsid w:val="00C17718"/>
    <w:rsid w:val="00C20AFE"/>
    <w:rsid w:val="00C21D42"/>
    <w:rsid w:val="00C22A25"/>
    <w:rsid w:val="00C354E2"/>
    <w:rsid w:val="00C35671"/>
    <w:rsid w:val="00C35B77"/>
    <w:rsid w:val="00C376EB"/>
    <w:rsid w:val="00C46A92"/>
    <w:rsid w:val="00C46EC1"/>
    <w:rsid w:val="00C52796"/>
    <w:rsid w:val="00C53E2C"/>
    <w:rsid w:val="00C550C8"/>
    <w:rsid w:val="00C55824"/>
    <w:rsid w:val="00C56B61"/>
    <w:rsid w:val="00C56EE1"/>
    <w:rsid w:val="00C606C3"/>
    <w:rsid w:val="00C620F4"/>
    <w:rsid w:val="00C72848"/>
    <w:rsid w:val="00C7736C"/>
    <w:rsid w:val="00C80465"/>
    <w:rsid w:val="00C82D87"/>
    <w:rsid w:val="00C8712A"/>
    <w:rsid w:val="00C902C8"/>
    <w:rsid w:val="00C919D1"/>
    <w:rsid w:val="00C92F65"/>
    <w:rsid w:val="00C93C89"/>
    <w:rsid w:val="00C963D3"/>
    <w:rsid w:val="00CA4DD4"/>
    <w:rsid w:val="00CB1983"/>
    <w:rsid w:val="00CB2CBB"/>
    <w:rsid w:val="00CB7CAC"/>
    <w:rsid w:val="00CC51EC"/>
    <w:rsid w:val="00CC5335"/>
    <w:rsid w:val="00CC5BA4"/>
    <w:rsid w:val="00CC6671"/>
    <w:rsid w:val="00CC6682"/>
    <w:rsid w:val="00CD4998"/>
    <w:rsid w:val="00CE1035"/>
    <w:rsid w:val="00CE6E50"/>
    <w:rsid w:val="00CF2819"/>
    <w:rsid w:val="00CF3402"/>
    <w:rsid w:val="00CF4F9D"/>
    <w:rsid w:val="00CF70DC"/>
    <w:rsid w:val="00D143AA"/>
    <w:rsid w:val="00D148DC"/>
    <w:rsid w:val="00D17FDC"/>
    <w:rsid w:val="00D21D8C"/>
    <w:rsid w:val="00D27C1D"/>
    <w:rsid w:val="00D34D41"/>
    <w:rsid w:val="00D53719"/>
    <w:rsid w:val="00D54368"/>
    <w:rsid w:val="00D5517C"/>
    <w:rsid w:val="00D57619"/>
    <w:rsid w:val="00D63EFD"/>
    <w:rsid w:val="00D84752"/>
    <w:rsid w:val="00D86B3B"/>
    <w:rsid w:val="00D8748A"/>
    <w:rsid w:val="00D93196"/>
    <w:rsid w:val="00DA0DC0"/>
    <w:rsid w:val="00DA50D9"/>
    <w:rsid w:val="00DB0C06"/>
    <w:rsid w:val="00DB243C"/>
    <w:rsid w:val="00DB482A"/>
    <w:rsid w:val="00DB50FB"/>
    <w:rsid w:val="00DB56F2"/>
    <w:rsid w:val="00DB6EF5"/>
    <w:rsid w:val="00DC0524"/>
    <w:rsid w:val="00DC3089"/>
    <w:rsid w:val="00DC4420"/>
    <w:rsid w:val="00DC5191"/>
    <w:rsid w:val="00DD0802"/>
    <w:rsid w:val="00DD2E11"/>
    <w:rsid w:val="00DD3BAD"/>
    <w:rsid w:val="00DD5716"/>
    <w:rsid w:val="00DE03AF"/>
    <w:rsid w:val="00DE0EE8"/>
    <w:rsid w:val="00DE121C"/>
    <w:rsid w:val="00DE6633"/>
    <w:rsid w:val="00DF0E41"/>
    <w:rsid w:val="00DF75F8"/>
    <w:rsid w:val="00DF7A3A"/>
    <w:rsid w:val="00E00C00"/>
    <w:rsid w:val="00E07C5A"/>
    <w:rsid w:val="00E13608"/>
    <w:rsid w:val="00E15BA9"/>
    <w:rsid w:val="00E16D3E"/>
    <w:rsid w:val="00E23D9A"/>
    <w:rsid w:val="00E26E19"/>
    <w:rsid w:val="00E30187"/>
    <w:rsid w:val="00E31DF3"/>
    <w:rsid w:val="00E450A4"/>
    <w:rsid w:val="00E506BE"/>
    <w:rsid w:val="00E55547"/>
    <w:rsid w:val="00E5556F"/>
    <w:rsid w:val="00E62882"/>
    <w:rsid w:val="00E6302B"/>
    <w:rsid w:val="00E6452F"/>
    <w:rsid w:val="00E64F45"/>
    <w:rsid w:val="00E6742D"/>
    <w:rsid w:val="00E71CB0"/>
    <w:rsid w:val="00E72292"/>
    <w:rsid w:val="00E77C3D"/>
    <w:rsid w:val="00E8604E"/>
    <w:rsid w:val="00E90991"/>
    <w:rsid w:val="00E909F0"/>
    <w:rsid w:val="00E90D47"/>
    <w:rsid w:val="00E93993"/>
    <w:rsid w:val="00E9597C"/>
    <w:rsid w:val="00E97FA5"/>
    <w:rsid w:val="00EA0913"/>
    <w:rsid w:val="00EA5B00"/>
    <w:rsid w:val="00EB146B"/>
    <w:rsid w:val="00EB45AC"/>
    <w:rsid w:val="00EB69DA"/>
    <w:rsid w:val="00EC441F"/>
    <w:rsid w:val="00EC4755"/>
    <w:rsid w:val="00ED0BC4"/>
    <w:rsid w:val="00ED447D"/>
    <w:rsid w:val="00EE4971"/>
    <w:rsid w:val="00EE6CB0"/>
    <w:rsid w:val="00EF090E"/>
    <w:rsid w:val="00EF5572"/>
    <w:rsid w:val="00F033DA"/>
    <w:rsid w:val="00F13691"/>
    <w:rsid w:val="00F13FB1"/>
    <w:rsid w:val="00F14B6E"/>
    <w:rsid w:val="00F20146"/>
    <w:rsid w:val="00F27CD8"/>
    <w:rsid w:val="00F30351"/>
    <w:rsid w:val="00F3323E"/>
    <w:rsid w:val="00F341F4"/>
    <w:rsid w:val="00F34F9D"/>
    <w:rsid w:val="00F357BC"/>
    <w:rsid w:val="00F35CCE"/>
    <w:rsid w:val="00F35E56"/>
    <w:rsid w:val="00F443CE"/>
    <w:rsid w:val="00F46BB4"/>
    <w:rsid w:val="00F5524B"/>
    <w:rsid w:val="00F60538"/>
    <w:rsid w:val="00F61DD2"/>
    <w:rsid w:val="00F6406E"/>
    <w:rsid w:val="00F66AFF"/>
    <w:rsid w:val="00F71433"/>
    <w:rsid w:val="00F96515"/>
    <w:rsid w:val="00F97C5B"/>
    <w:rsid w:val="00FA3D50"/>
    <w:rsid w:val="00FB7FBD"/>
    <w:rsid w:val="00FC155D"/>
    <w:rsid w:val="00FC374A"/>
    <w:rsid w:val="00FC3A6A"/>
    <w:rsid w:val="00FC4292"/>
    <w:rsid w:val="00FC58E0"/>
    <w:rsid w:val="00FC71AF"/>
    <w:rsid w:val="00FC74C8"/>
    <w:rsid w:val="00FC7B47"/>
    <w:rsid w:val="00FD035C"/>
    <w:rsid w:val="00FD1A35"/>
    <w:rsid w:val="00FD2EA4"/>
    <w:rsid w:val="00FD3222"/>
    <w:rsid w:val="00FD36C5"/>
    <w:rsid w:val="00FD4839"/>
    <w:rsid w:val="00FD6310"/>
    <w:rsid w:val="00FD74B8"/>
    <w:rsid w:val="00FD7C7B"/>
    <w:rsid w:val="00FE1D12"/>
    <w:rsid w:val="00FE2122"/>
    <w:rsid w:val="00FE2A86"/>
    <w:rsid w:val="00FE2DE2"/>
    <w:rsid w:val="00FE72DB"/>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E2CB-18BF-974E-86DB-062D65F7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6688</Words>
  <Characters>32372</Characters>
  <Application>Microsoft Office Word</Application>
  <DocSecurity>0</DocSecurity>
  <Lines>719</Lines>
  <Paragraphs>262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McSweeney</cp:lastModifiedBy>
  <cp:revision>17</cp:revision>
  <cp:lastPrinted>2019-08-27T05:42:00Z</cp:lastPrinted>
  <dcterms:created xsi:type="dcterms:W3CDTF">2022-07-01T13:03:00Z</dcterms:created>
  <dcterms:modified xsi:type="dcterms:W3CDTF">2022-07-21T14:48:00Z</dcterms:modified>
</cp:coreProperties>
</file>