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EE51E" w14:textId="5DF88E10" w:rsidR="004B23A2" w:rsidRDefault="007E03F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4EEDBF6" wp14:editId="3A796215">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Default="00434A8C"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6A853AD7" w14:textId="7FA97F7B" w:rsidR="0011473D" w:rsidRDefault="00C56B61"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661556">
        <w:rPr>
          <w:rFonts w:ascii="Arial" w:hAnsi="Arial" w:cs="Arial"/>
          <w:b/>
          <w:color w:val="000000" w:themeColor="text1"/>
          <w:sz w:val="28"/>
          <w:szCs w:val="28"/>
          <w:lang w:val="en-GB"/>
        </w:rPr>
        <w:t>5C</w:t>
      </w:r>
    </w:p>
    <w:p w14:paraId="142F4BBC" w14:textId="77777777" w:rsidR="002638B0" w:rsidRDefault="002638B0"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757927E9" w14:textId="7478BFD8" w:rsidR="002638B0" w:rsidRPr="00E11C54" w:rsidRDefault="00661556"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CAYMAN ISLANDS</w:t>
      </w:r>
    </w:p>
    <w:p w14:paraId="43FD13D3" w14:textId="77777777" w:rsidR="00434A8C" w:rsidRPr="007C6201" w:rsidRDefault="00434A8C"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0FD0FEA3"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61DD7DBD"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633648E2" w14:textId="77777777" w:rsidR="007E03FA" w:rsidRPr="00592F82" w:rsidRDefault="007E03FA" w:rsidP="007E03FA">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349704CE" w14:textId="77777777" w:rsidR="007E03FA" w:rsidRPr="00592F82" w:rsidRDefault="007E03FA" w:rsidP="007E03FA">
      <w:pPr>
        <w:jc w:val="both"/>
        <w:rPr>
          <w:rFonts w:ascii="Arial" w:hAnsi="Arial" w:cs="Arial"/>
          <w:sz w:val="22"/>
          <w:szCs w:val="22"/>
          <w:lang w:val="en-GB"/>
        </w:rPr>
      </w:pPr>
    </w:p>
    <w:p w14:paraId="20A03299" w14:textId="77777777" w:rsidR="007E03FA" w:rsidRDefault="007E03FA" w:rsidP="007E03FA">
      <w:pPr>
        <w:jc w:val="both"/>
        <w:rPr>
          <w:rFonts w:ascii="Arial" w:hAnsi="Arial" w:cs="Arial"/>
          <w:b/>
          <w:sz w:val="22"/>
          <w:szCs w:val="22"/>
          <w:lang w:val="en-GB"/>
        </w:rPr>
      </w:pPr>
    </w:p>
    <w:p w14:paraId="3CC1D04E" w14:textId="77777777" w:rsidR="007E03FA" w:rsidRPr="001E23FD" w:rsidRDefault="007E03FA" w:rsidP="007E03FA">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2610711" w14:textId="77777777" w:rsidR="007E03FA" w:rsidRPr="001E23FD" w:rsidRDefault="007E03FA" w:rsidP="007E03FA">
      <w:pPr>
        <w:jc w:val="both"/>
        <w:rPr>
          <w:rFonts w:ascii="Arial" w:hAnsi="Arial" w:cs="Arial"/>
          <w:b/>
          <w:sz w:val="22"/>
          <w:szCs w:val="22"/>
          <w:lang w:val="en-GB"/>
        </w:rPr>
      </w:pPr>
    </w:p>
    <w:p w14:paraId="0F590300" w14:textId="77777777" w:rsidR="007E03FA" w:rsidRPr="001E23FD" w:rsidRDefault="007E03FA" w:rsidP="007E03FA">
      <w:pPr>
        <w:jc w:val="both"/>
        <w:rPr>
          <w:rFonts w:ascii="Arial" w:hAnsi="Arial" w:cs="Arial"/>
          <w:sz w:val="22"/>
          <w:szCs w:val="22"/>
          <w:lang w:val="en-GB"/>
        </w:rPr>
      </w:pPr>
    </w:p>
    <w:p w14:paraId="64D4D929"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9BE2A5" w14:textId="77777777" w:rsidR="007E03FA" w:rsidRPr="001E23FD" w:rsidRDefault="007E03FA" w:rsidP="007E03FA">
      <w:pPr>
        <w:ind w:left="720" w:hanging="720"/>
        <w:jc w:val="both"/>
        <w:rPr>
          <w:rFonts w:ascii="Arial" w:hAnsi="Arial" w:cs="Arial"/>
          <w:sz w:val="22"/>
          <w:szCs w:val="22"/>
          <w:lang w:val="en-GB"/>
        </w:rPr>
      </w:pPr>
    </w:p>
    <w:p w14:paraId="7B52AB3B"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D7FE7BA" w14:textId="77777777" w:rsidR="007E03FA" w:rsidRPr="001E23FD" w:rsidRDefault="007E03FA" w:rsidP="007E03FA">
      <w:pPr>
        <w:ind w:left="720" w:hanging="720"/>
        <w:jc w:val="both"/>
        <w:rPr>
          <w:rFonts w:ascii="Arial" w:hAnsi="Arial" w:cs="Arial"/>
          <w:sz w:val="22"/>
          <w:szCs w:val="22"/>
          <w:lang w:val="en-GB"/>
        </w:rPr>
      </w:pPr>
    </w:p>
    <w:p w14:paraId="1EE996A0"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0244399E" w14:textId="77777777" w:rsidR="007E03FA" w:rsidRPr="001E23FD" w:rsidRDefault="007E03FA" w:rsidP="007E03FA">
      <w:pPr>
        <w:ind w:left="720" w:hanging="720"/>
        <w:jc w:val="both"/>
        <w:rPr>
          <w:rFonts w:ascii="Arial" w:hAnsi="Arial" w:cs="Arial"/>
          <w:sz w:val="22"/>
          <w:szCs w:val="22"/>
          <w:lang w:val="en-GB"/>
        </w:rPr>
      </w:pPr>
    </w:p>
    <w:p w14:paraId="0E630C70" w14:textId="11A522B2"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w:t>
      </w:r>
      <w:proofErr w:type="spellStart"/>
      <w:r w:rsidRPr="001E23FD">
        <w:rPr>
          <w:rFonts w:ascii="Arial" w:hAnsi="Arial" w:cs="Arial"/>
          <w:bCs/>
          <w:sz w:val="22"/>
          <w:szCs w:val="22"/>
          <w:lang w:val="en-GB"/>
        </w:rPr>
        <w:t>student</w:t>
      </w:r>
      <w:r>
        <w:rPr>
          <w:rFonts w:ascii="Arial" w:hAnsi="Arial" w:cs="Arial"/>
          <w:bCs/>
          <w:sz w:val="22"/>
          <w:szCs w:val="22"/>
          <w:lang w:val="en-GB"/>
        </w:rPr>
        <w:t>ID</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08E0D459" w14:textId="77777777" w:rsidR="007E03FA" w:rsidRPr="001E23FD" w:rsidRDefault="007E03FA" w:rsidP="007E03FA">
      <w:pPr>
        <w:ind w:left="720" w:hanging="720"/>
        <w:jc w:val="both"/>
        <w:rPr>
          <w:rFonts w:ascii="Arial" w:hAnsi="Arial" w:cs="Arial"/>
          <w:sz w:val="22"/>
          <w:szCs w:val="22"/>
          <w:lang w:val="en-GB"/>
        </w:rPr>
      </w:pPr>
    </w:p>
    <w:p w14:paraId="343F1288"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72B6A7B9" w14:textId="77777777" w:rsidR="007E03FA" w:rsidRPr="001E23FD" w:rsidRDefault="007E03FA" w:rsidP="007E03FA">
      <w:pPr>
        <w:ind w:left="720" w:hanging="720"/>
        <w:jc w:val="both"/>
        <w:rPr>
          <w:rFonts w:ascii="Arial" w:hAnsi="Arial" w:cs="Arial"/>
          <w:sz w:val="22"/>
          <w:szCs w:val="22"/>
          <w:lang w:val="en-GB"/>
        </w:rPr>
      </w:pPr>
    </w:p>
    <w:p w14:paraId="644D4683"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0396F56C" w14:textId="77777777" w:rsidR="007E03FA" w:rsidRPr="001E23FD" w:rsidRDefault="007E03FA" w:rsidP="007E03FA">
      <w:pPr>
        <w:ind w:left="720" w:hanging="720"/>
        <w:jc w:val="both"/>
        <w:rPr>
          <w:rFonts w:ascii="Arial" w:hAnsi="Arial" w:cs="Arial"/>
          <w:sz w:val="22"/>
          <w:szCs w:val="22"/>
          <w:lang w:val="en-GB"/>
        </w:rPr>
      </w:pPr>
    </w:p>
    <w:p w14:paraId="5151DDF1" w14:textId="77777777" w:rsidR="007E03FA" w:rsidRPr="00592F82" w:rsidRDefault="007E03FA" w:rsidP="007E03FA">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CBC38BF" w14:textId="77777777" w:rsidR="007E03FA" w:rsidRPr="00592F82" w:rsidRDefault="007E03FA" w:rsidP="007E03FA">
      <w:pPr>
        <w:ind w:left="720" w:hanging="720"/>
        <w:jc w:val="both"/>
        <w:rPr>
          <w:rFonts w:ascii="Arial" w:hAnsi="Arial" w:cs="Arial"/>
          <w:sz w:val="22"/>
          <w:szCs w:val="22"/>
          <w:lang w:val="en-GB"/>
        </w:rPr>
      </w:pPr>
    </w:p>
    <w:p w14:paraId="6BD9DB30" w14:textId="77777777" w:rsidR="007E03FA" w:rsidRPr="00592F82" w:rsidRDefault="007E03FA" w:rsidP="007E03FA">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EC6BF23" w14:textId="77777777" w:rsidR="00F3323E" w:rsidRPr="00B9639B" w:rsidRDefault="00F3323E" w:rsidP="00B9639B">
      <w:pPr>
        <w:ind w:left="720" w:hanging="720"/>
        <w:jc w:val="both"/>
        <w:rPr>
          <w:rFonts w:ascii="Arial" w:hAnsi="Arial" w:cs="Arial"/>
          <w:sz w:val="22"/>
          <w:szCs w:val="22"/>
          <w:lang w:val="en-GB"/>
        </w:rPr>
      </w:pPr>
    </w:p>
    <w:p w14:paraId="299FA105"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6BF107AB" w14:textId="77777777" w:rsidR="00F3323E" w:rsidRPr="00B9639B" w:rsidRDefault="00F3323E" w:rsidP="00B9639B">
      <w:pPr>
        <w:ind w:left="720" w:hanging="720"/>
        <w:jc w:val="both"/>
        <w:rPr>
          <w:rFonts w:ascii="Arial" w:hAnsi="Arial" w:cs="Arial"/>
          <w:sz w:val="22"/>
          <w:szCs w:val="22"/>
          <w:lang w:val="en-GB"/>
        </w:rPr>
      </w:pPr>
    </w:p>
    <w:p w14:paraId="18C01692"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1DAC1A53" w14:textId="77777777" w:rsidR="00A26898" w:rsidRPr="00E177F0" w:rsidRDefault="00A26898" w:rsidP="00A26898">
      <w:pPr>
        <w:rPr>
          <w:rFonts w:ascii="Arial" w:hAnsi="Arial" w:cs="Arial"/>
          <w:b/>
          <w:bCs/>
          <w:sz w:val="22"/>
          <w:szCs w:val="22"/>
          <w:lang w:val="en-GB"/>
        </w:rPr>
      </w:pPr>
    </w:p>
    <w:p w14:paraId="47391ABF" w14:textId="46CE134B" w:rsidR="000F6063" w:rsidRPr="00E177F0" w:rsidRDefault="000F6063" w:rsidP="000F6063">
      <w:pPr>
        <w:rPr>
          <w:rFonts w:ascii="Arial" w:hAnsi="Arial" w:cs="Arial"/>
          <w:b/>
          <w:bCs/>
          <w:sz w:val="22"/>
          <w:szCs w:val="22"/>
          <w:lang w:val="en-GB"/>
        </w:rPr>
      </w:pPr>
      <w:r w:rsidRPr="00E177F0">
        <w:rPr>
          <w:rFonts w:ascii="Arial" w:hAnsi="Arial" w:cs="Arial"/>
          <w:b/>
          <w:bCs/>
          <w:sz w:val="22"/>
          <w:szCs w:val="22"/>
          <w:lang w:val="en-GB"/>
        </w:rPr>
        <w:t xml:space="preserve">Question </w:t>
      </w:r>
      <w:r>
        <w:rPr>
          <w:rFonts w:ascii="Arial" w:hAnsi="Arial" w:cs="Arial"/>
          <w:b/>
          <w:bCs/>
          <w:sz w:val="22"/>
          <w:szCs w:val="22"/>
          <w:lang w:val="en-GB"/>
        </w:rPr>
        <w:t>1.</w:t>
      </w:r>
      <w:r w:rsidR="00CB2364">
        <w:rPr>
          <w:rFonts w:ascii="Arial" w:hAnsi="Arial" w:cs="Arial"/>
          <w:b/>
          <w:bCs/>
          <w:sz w:val="22"/>
          <w:szCs w:val="22"/>
          <w:lang w:val="en-GB"/>
        </w:rPr>
        <w:t>1</w:t>
      </w:r>
    </w:p>
    <w:p w14:paraId="74C3E873" w14:textId="77777777" w:rsidR="000F6063" w:rsidRPr="00E177F0" w:rsidRDefault="000F6063" w:rsidP="000F6063">
      <w:pPr>
        <w:rPr>
          <w:rFonts w:ascii="Arial" w:hAnsi="Arial" w:cs="Arial"/>
          <w:b/>
          <w:bCs/>
          <w:sz w:val="22"/>
          <w:szCs w:val="22"/>
          <w:lang w:val="en-GB"/>
        </w:rPr>
      </w:pPr>
    </w:p>
    <w:p w14:paraId="1AB98688" w14:textId="77777777" w:rsidR="000F6063" w:rsidRPr="00D06A87" w:rsidRDefault="000F6063" w:rsidP="000F606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A6AC188" w14:textId="77777777" w:rsidR="000F6063" w:rsidRDefault="000F6063" w:rsidP="000F6063">
      <w:pPr>
        <w:rPr>
          <w:rFonts w:ascii="Arial" w:hAnsi="Arial" w:cs="Arial"/>
          <w:sz w:val="22"/>
          <w:szCs w:val="22"/>
          <w:lang w:val="en-GB"/>
        </w:rPr>
      </w:pPr>
    </w:p>
    <w:p w14:paraId="4C8F6C1A" w14:textId="77777777" w:rsidR="000F6063" w:rsidRDefault="000F6063" w:rsidP="000F6063">
      <w:pPr>
        <w:rPr>
          <w:rFonts w:ascii="Arial" w:hAnsi="Arial" w:cs="Arial"/>
          <w:sz w:val="22"/>
          <w:szCs w:val="22"/>
          <w:lang w:val="en-GB"/>
        </w:rPr>
      </w:pPr>
      <w:r>
        <w:rPr>
          <w:rFonts w:ascii="Arial" w:hAnsi="Arial" w:cs="Arial"/>
          <w:sz w:val="22"/>
          <w:szCs w:val="22"/>
          <w:lang w:val="en-GB"/>
        </w:rPr>
        <w:t>Once a provisional liquidator is appointed:</w:t>
      </w:r>
    </w:p>
    <w:p w14:paraId="3532F84A" w14:textId="77777777" w:rsidR="000F6063" w:rsidRDefault="000F6063" w:rsidP="000F6063">
      <w:pPr>
        <w:rPr>
          <w:rFonts w:ascii="Arial" w:hAnsi="Arial" w:cs="Arial"/>
          <w:sz w:val="22"/>
          <w:szCs w:val="22"/>
          <w:lang w:val="en-GB"/>
        </w:rPr>
      </w:pPr>
    </w:p>
    <w:p w14:paraId="7F6BF65C" w14:textId="10CDFA44" w:rsidR="000F6063" w:rsidRPr="004B73CF" w:rsidRDefault="000F6063" w:rsidP="007E03FA">
      <w:pPr>
        <w:pStyle w:val="ListParagraph"/>
        <w:numPr>
          <w:ilvl w:val="0"/>
          <w:numId w:val="31"/>
        </w:numPr>
        <w:ind w:left="426"/>
        <w:rPr>
          <w:rFonts w:ascii="Arial" w:hAnsi="Arial" w:cs="Arial"/>
          <w:sz w:val="22"/>
          <w:szCs w:val="22"/>
          <w:highlight w:val="yellow"/>
          <w:lang w:val="en-GB"/>
        </w:rPr>
      </w:pPr>
      <w:r w:rsidRPr="004B73CF">
        <w:rPr>
          <w:rFonts w:ascii="Arial" w:hAnsi="Arial" w:cs="Arial"/>
          <w:sz w:val="22"/>
          <w:szCs w:val="22"/>
          <w:highlight w:val="yellow"/>
          <w:lang w:val="en-GB"/>
        </w:rPr>
        <w:t>No action may be commenced against the company without leave of the court.</w:t>
      </w:r>
    </w:p>
    <w:p w14:paraId="4906B355" w14:textId="77777777" w:rsidR="007E03FA" w:rsidRPr="007E03FA" w:rsidRDefault="007E03FA" w:rsidP="007E03FA">
      <w:pPr>
        <w:rPr>
          <w:rFonts w:ascii="Arial" w:hAnsi="Arial" w:cs="Arial"/>
          <w:sz w:val="22"/>
          <w:szCs w:val="22"/>
          <w:lang w:val="en-GB"/>
        </w:rPr>
      </w:pPr>
    </w:p>
    <w:p w14:paraId="6BD73290" w14:textId="211A994D" w:rsidR="000F6063"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No existing action may be continued against the company without permission of the provisional liquidator.</w:t>
      </w:r>
    </w:p>
    <w:p w14:paraId="1477D526" w14:textId="77777777" w:rsidR="007E03FA" w:rsidRPr="007E03FA" w:rsidRDefault="007E03FA" w:rsidP="007E03FA">
      <w:pPr>
        <w:rPr>
          <w:rFonts w:ascii="Arial" w:hAnsi="Arial" w:cs="Arial"/>
          <w:sz w:val="22"/>
          <w:szCs w:val="22"/>
          <w:lang w:val="en-GB"/>
        </w:rPr>
      </w:pPr>
    </w:p>
    <w:p w14:paraId="39BBA3FE" w14:textId="5438D2CB" w:rsidR="000F6063"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Legal proceedings may be commenced or continued against the company without leave of the court.</w:t>
      </w:r>
    </w:p>
    <w:p w14:paraId="22FB943C" w14:textId="77777777" w:rsidR="007E03FA" w:rsidRPr="007E03FA" w:rsidRDefault="007E03FA" w:rsidP="007E03FA">
      <w:pPr>
        <w:rPr>
          <w:rFonts w:ascii="Arial" w:hAnsi="Arial" w:cs="Arial"/>
          <w:sz w:val="22"/>
          <w:szCs w:val="22"/>
          <w:lang w:val="en-GB"/>
        </w:rPr>
      </w:pPr>
    </w:p>
    <w:p w14:paraId="6E8F0D7B" w14:textId="77777777" w:rsidR="000F6063" w:rsidRPr="007E03FA"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No action may be commenced against the company.</w:t>
      </w:r>
    </w:p>
    <w:p w14:paraId="58DEF191" w14:textId="77777777" w:rsidR="000F6063" w:rsidRDefault="000F6063" w:rsidP="00A26898">
      <w:pPr>
        <w:rPr>
          <w:rFonts w:ascii="Arial" w:hAnsi="Arial" w:cs="Arial"/>
          <w:sz w:val="22"/>
          <w:szCs w:val="22"/>
          <w:lang w:val="en-GB"/>
        </w:rPr>
      </w:pPr>
    </w:p>
    <w:p w14:paraId="06FB203D" w14:textId="77777777" w:rsidR="000F6063" w:rsidRPr="00B9639B" w:rsidRDefault="000F6063" w:rsidP="000F6063">
      <w:pPr>
        <w:jc w:val="both"/>
        <w:rPr>
          <w:rFonts w:ascii="Arial" w:hAnsi="Arial" w:cs="Arial"/>
          <w:b/>
          <w:bCs/>
          <w:sz w:val="22"/>
          <w:szCs w:val="22"/>
        </w:rPr>
      </w:pPr>
      <w:r w:rsidRPr="00B9639B">
        <w:rPr>
          <w:rFonts w:ascii="Arial" w:hAnsi="Arial" w:cs="Arial"/>
          <w:b/>
          <w:bCs/>
          <w:sz w:val="22"/>
          <w:szCs w:val="22"/>
        </w:rPr>
        <w:t>Question</w:t>
      </w:r>
      <w:r>
        <w:rPr>
          <w:rFonts w:ascii="Arial" w:hAnsi="Arial" w:cs="Arial"/>
          <w:b/>
          <w:bCs/>
          <w:sz w:val="22"/>
          <w:szCs w:val="22"/>
        </w:rPr>
        <w:t xml:space="preserve"> 1.2</w:t>
      </w:r>
    </w:p>
    <w:p w14:paraId="6B108B0A" w14:textId="77777777" w:rsidR="000F6063" w:rsidRDefault="000F6063" w:rsidP="000F6063">
      <w:pPr>
        <w:jc w:val="both"/>
        <w:rPr>
          <w:rFonts w:ascii="Arial" w:hAnsi="Arial" w:cs="Arial"/>
          <w:sz w:val="22"/>
          <w:szCs w:val="22"/>
        </w:rPr>
      </w:pPr>
    </w:p>
    <w:p w14:paraId="74B2F863" w14:textId="77777777" w:rsidR="000F6063" w:rsidRDefault="000F6063" w:rsidP="000F6063">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5A34EC">
        <w:rPr>
          <w:rFonts w:ascii="Arial" w:hAnsi="Arial" w:cs="Arial"/>
          <w:sz w:val="22"/>
          <w:szCs w:val="22"/>
          <w:lang w:val="en-GB"/>
        </w:rPr>
        <w:t xml:space="preserve">is </w:t>
      </w:r>
      <w:r w:rsidRPr="007E03FA">
        <w:rPr>
          <w:rFonts w:ascii="Arial" w:hAnsi="Arial" w:cs="Arial"/>
          <w:b/>
          <w:bCs/>
          <w:sz w:val="22"/>
          <w:szCs w:val="22"/>
          <w:u w:val="single"/>
          <w:lang w:val="en-GB"/>
        </w:rPr>
        <w:t>not</w:t>
      </w:r>
      <w:r>
        <w:rPr>
          <w:rFonts w:ascii="Arial" w:hAnsi="Arial" w:cs="Arial"/>
          <w:sz w:val="22"/>
          <w:szCs w:val="22"/>
          <w:lang w:val="en-GB"/>
        </w:rPr>
        <w:t xml:space="preserve"> available in the Cayman Islands?</w:t>
      </w:r>
    </w:p>
    <w:p w14:paraId="10EFF49D" w14:textId="77777777" w:rsidR="000F6063" w:rsidRDefault="000F6063" w:rsidP="000F6063">
      <w:pPr>
        <w:ind w:left="720" w:hanging="720"/>
        <w:rPr>
          <w:rFonts w:ascii="Arial" w:hAnsi="Arial" w:cs="Arial"/>
          <w:sz w:val="22"/>
          <w:szCs w:val="22"/>
          <w:lang w:val="en-GB"/>
        </w:rPr>
      </w:pPr>
    </w:p>
    <w:p w14:paraId="6087EE3F" w14:textId="6F9B0AD2" w:rsidR="000F6063" w:rsidRDefault="000F6063" w:rsidP="007E03FA">
      <w:pPr>
        <w:pStyle w:val="ListParagraph"/>
        <w:numPr>
          <w:ilvl w:val="0"/>
          <w:numId w:val="32"/>
        </w:numPr>
        <w:ind w:left="426"/>
        <w:rPr>
          <w:rFonts w:ascii="Arial" w:hAnsi="Arial" w:cs="Arial"/>
          <w:sz w:val="22"/>
          <w:szCs w:val="22"/>
          <w:lang w:val="en-GB"/>
        </w:rPr>
      </w:pPr>
      <w:r w:rsidRPr="007E03FA">
        <w:rPr>
          <w:rFonts w:ascii="Arial" w:hAnsi="Arial" w:cs="Arial"/>
          <w:sz w:val="22"/>
          <w:szCs w:val="22"/>
          <w:lang w:val="en-GB"/>
        </w:rPr>
        <w:t>Appointment of a receiver.</w:t>
      </w:r>
    </w:p>
    <w:p w14:paraId="29FAFDB8" w14:textId="77777777" w:rsidR="007E03FA" w:rsidRPr="007E03FA" w:rsidRDefault="007E03FA" w:rsidP="007E03FA">
      <w:pPr>
        <w:rPr>
          <w:rFonts w:ascii="Arial" w:hAnsi="Arial" w:cs="Arial"/>
          <w:sz w:val="22"/>
          <w:szCs w:val="22"/>
          <w:lang w:val="en-GB"/>
        </w:rPr>
      </w:pPr>
    </w:p>
    <w:p w14:paraId="59CBBE1A" w14:textId="1CE4572F" w:rsidR="000F6063" w:rsidRDefault="000F6063" w:rsidP="007E03FA">
      <w:pPr>
        <w:pStyle w:val="ListParagraph"/>
        <w:numPr>
          <w:ilvl w:val="0"/>
          <w:numId w:val="32"/>
        </w:numPr>
        <w:ind w:left="426"/>
        <w:rPr>
          <w:rFonts w:ascii="Arial" w:hAnsi="Arial" w:cs="Arial"/>
          <w:sz w:val="22"/>
          <w:szCs w:val="22"/>
          <w:lang w:val="en-GB"/>
        </w:rPr>
      </w:pPr>
      <w:r w:rsidRPr="007E03FA">
        <w:rPr>
          <w:rFonts w:ascii="Arial" w:hAnsi="Arial" w:cs="Arial"/>
          <w:sz w:val="22"/>
          <w:szCs w:val="22"/>
          <w:lang w:val="en-GB"/>
        </w:rPr>
        <w:t>Court-supervised liquidation.</w:t>
      </w:r>
    </w:p>
    <w:p w14:paraId="7EF169A8" w14:textId="77777777" w:rsidR="007E03FA" w:rsidRPr="007E03FA" w:rsidRDefault="007E03FA" w:rsidP="007E03FA">
      <w:pPr>
        <w:rPr>
          <w:rFonts w:ascii="Arial" w:hAnsi="Arial" w:cs="Arial"/>
          <w:sz w:val="22"/>
          <w:szCs w:val="22"/>
          <w:lang w:val="en-GB"/>
        </w:rPr>
      </w:pPr>
    </w:p>
    <w:p w14:paraId="7848D5C4" w14:textId="0E6F4C18" w:rsidR="000F6063" w:rsidRDefault="000F6063" w:rsidP="007E03FA">
      <w:pPr>
        <w:pStyle w:val="ListParagraph"/>
        <w:numPr>
          <w:ilvl w:val="0"/>
          <w:numId w:val="32"/>
        </w:numPr>
        <w:ind w:left="426"/>
        <w:rPr>
          <w:rFonts w:ascii="Arial" w:hAnsi="Arial" w:cs="Arial"/>
          <w:sz w:val="22"/>
          <w:szCs w:val="22"/>
          <w:lang w:val="en-GB"/>
        </w:rPr>
      </w:pPr>
      <w:r w:rsidRPr="007E03FA">
        <w:rPr>
          <w:rFonts w:ascii="Arial" w:hAnsi="Arial" w:cs="Arial"/>
          <w:sz w:val="22"/>
          <w:szCs w:val="22"/>
          <w:lang w:val="en-GB"/>
        </w:rPr>
        <w:t>Official liquidation.</w:t>
      </w:r>
    </w:p>
    <w:p w14:paraId="5EC6E426" w14:textId="77777777" w:rsidR="007E03FA" w:rsidRPr="007E03FA" w:rsidRDefault="007E03FA" w:rsidP="007E03FA">
      <w:pPr>
        <w:rPr>
          <w:rFonts w:ascii="Arial" w:hAnsi="Arial" w:cs="Arial"/>
          <w:sz w:val="22"/>
          <w:szCs w:val="22"/>
          <w:lang w:val="en-GB"/>
        </w:rPr>
      </w:pPr>
    </w:p>
    <w:p w14:paraId="1D3DB6BE" w14:textId="77777777" w:rsidR="000F6063" w:rsidRPr="002F372D" w:rsidRDefault="000F6063" w:rsidP="007E03FA">
      <w:pPr>
        <w:pStyle w:val="ListParagraph"/>
        <w:numPr>
          <w:ilvl w:val="0"/>
          <w:numId w:val="32"/>
        </w:numPr>
        <w:ind w:left="426"/>
        <w:rPr>
          <w:rFonts w:ascii="Arial" w:hAnsi="Arial" w:cs="Arial"/>
          <w:sz w:val="22"/>
          <w:szCs w:val="22"/>
          <w:highlight w:val="yellow"/>
          <w:lang w:val="en-GB"/>
        </w:rPr>
      </w:pPr>
      <w:r w:rsidRPr="002F372D">
        <w:rPr>
          <w:rFonts w:ascii="Arial" w:hAnsi="Arial" w:cs="Arial"/>
          <w:sz w:val="22"/>
          <w:szCs w:val="22"/>
          <w:highlight w:val="yellow"/>
          <w:lang w:val="en-GB"/>
        </w:rPr>
        <w:t>Deed of Company Arrangement.</w:t>
      </w:r>
    </w:p>
    <w:p w14:paraId="385539B3" w14:textId="035DCED0" w:rsidR="00920BE7" w:rsidRDefault="00920BE7" w:rsidP="000659CF">
      <w:pPr>
        <w:rPr>
          <w:rFonts w:ascii="Arial" w:hAnsi="Arial" w:cs="Arial"/>
          <w:sz w:val="22"/>
          <w:szCs w:val="22"/>
          <w:lang w:val="en-GB"/>
        </w:rPr>
      </w:pPr>
    </w:p>
    <w:p w14:paraId="722F8904" w14:textId="1823270D" w:rsidR="00210493" w:rsidRPr="00210493" w:rsidRDefault="00210493" w:rsidP="00920BE7">
      <w:pPr>
        <w:rPr>
          <w:rFonts w:ascii="Arial" w:hAnsi="Arial" w:cs="Arial"/>
          <w:b/>
          <w:bCs/>
          <w:color w:val="000000" w:themeColor="text1"/>
          <w:sz w:val="22"/>
          <w:szCs w:val="22"/>
          <w:lang w:val="en-GB"/>
        </w:rPr>
      </w:pPr>
      <w:r w:rsidRPr="00210493">
        <w:rPr>
          <w:rFonts w:ascii="Arial" w:hAnsi="Arial" w:cs="Arial"/>
          <w:b/>
          <w:bCs/>
          <w:color w:val="000000" w:themeColor="text1"/>
          <w:sz w:val="22"/>
          <w:szCs w:val="22"/>
          <w:lang w:val="en-GB"/>
        </w:rPr>
        <w:t xml:space="preserve">Question </w:t>
      </w:r>
      <w:r>
        <w:rPr>
          <w:rFonts w:ascii="Arial" w:hAnsi="Arial" w:cs="Arial"/>
          <w:b/>
          <w:bCs/>
          <w:color w:val="000000" w:themeColor="text1"/>
          <w:sz w:val="22"/>
          <w:szCs w:val="22"/>
          <w:lang w:val="en-GB"/>
        </w:rPr>
        <w:t>1.3</w:t>
      </w:r>
    </w:p>
    <w:p w14:paraId="3862FF94" w14:textId="48F3A6EF" w:rsidR="00210493" w:rsidRPr="00210493" w:rsidRDefault="00210493" w:rsidP="00920BE7">
      <w:pPr>
        <w:rPr>
          <w:rFonts w:ascii="Arial" w:hAnsi="Arial" w:cs="Arial"/>
          <w:color w:val="000000" w:themeColor="text1"/>
          <w:sz w:val="22"/>
          <w:szCs w:val="22"/>
          <w:lang w:val="en-GB"/>
        </w:rPr>
      </w:pPr>
    </w:p>
    <w:p w14:paraId="24A872BB" w14:textId="77777777" w:rsidR="00924973" w:rsidRPr="00D06A87" w:rsidRDefault="00924973" w:rsidP="0092497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17E4193A" w14:textId="77777777" w:rsidR="00924973" w:rsidRDefault="00924973" w:rsidP="00920BE7">
      <w:pPr>
        <w:rPr>
          <w:rFonts w:ascii="Arial" w:hAnsi="Arial" w:cs="Arial"/>
          <w:color w:val="000000" w:themeColor="text1"/>
          <w:sz w:val="22"/>
          <w:szCs w:val="22"/>
          <w:lang w:val="en-GB"/>
        </w:rPr>
      </w:pPr>
    </w:p>
    <w:p w14:paraId="4657F451" w14:textId="3FCC3398" w:rsidR="00210493" w:rsidRPr="00210493" w:rsidRDefault="00210493" w:rsidP="00920BE7">
      <w:pPr>
        <w:rPr>
          <w:rFonts w:ascii="Arial" w:hAnsi="Arial" w:cs="Arial"/>
          <w:color w:val="000000" w:themeColor="text1"/>
          <w:sz w:val="22"/>
          <w:szCs w:val="22"/>
          <w:lang w:val="en-GB"/>
        </w:rPr>
      </w:pPr>
      <w:r w:rsidRPr="00210493">
        <w:rPr>
          <w:rFonts w:ascii="Arial" w:hAnsi="Arial" w:cs="Arial"/>
          <w:color w:val="000000" w:themeColor="text1"/>
          <w:sz w:val="22"/>
          <w:szCs w:val="22"/>
          <w:lang w:val="en-GB"/>
        </w:rPr>
        <w:t>In a voluntary liquidation:</w:t>
      </w:r>
    </w:p>
    <w:p w14:paraId="58F5B7AC" w14:textId="32FF2E22" w:rsidR="00210493" w:rsidRPr="00210493" w:rsidRDefault="00210493" w:rsidP="00920BE7">
      <w:pPr>
        <w:rPr>
          <w:rFonts w:ascii="Arial" w:hAnsi="Arial" w:cs="Arial"/>
          <w:color w:val="000000" w:themeColor="text1"/>
          <w:sz w:val="22"/>
          <w:szCs w:val="22"/>
          <w:lang w:val="en-GB"/>
        </w:rPr>
      </w:pPr>
    </w:p>
    <w:p w14:paraId="0299A1C0" w14:textId="44E982CD" w:rsidR="00210493"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may cease trading where it is necessary and beneficial to the liquidation</w:t>
      </w:r>
      <w:r w:rsidR="00A46FE2" w:rsidRPr="007E03FA">
        <w:rPr>
          <w:rFonts w:ascii="Arial" w:hAnsi="Arial" w:cs="Arial"/>
          <w:color w:val="000000" w:themeColor="text1"/>
          <w:sz w:val="22"/>
          <w:szCs w:val="22"/>
          <w:lang w:val="en-GB"/>
        </w:rPr>
        <w:t>.</w:t>
      </w:r>
    </w:p>
    <w:p w14:paraId="4D4BDB99" w14:textId="77777777" w:rsidR="007E03FA" w:rsidRPr="007E03FA" w:rsidRDefault="007E03FA" w:rsidP="007E03FA">
      <w:pPr>
        <w:rPr>
          <w:rFonts w:ascii="Arial" w:hAnsi="Arial" w:cs="Arial"/>
          <w:color w:val="000000" w:themeColor="text1"/>
          <w:sz w:val="22"/>
          <w:szCs w:val="22"/>
          <w:lang w:val="en-GB"/>
        </w:rPr>
      </w:pPr>
    </w:p>
    <w:p w14:paraId="402E2D59" w14:textId="72345059" w:rsidR="00210493" w:rsidRPr="002F372D" w:rsidRDefault="00210493" w:rsidP="007E03FA">
      <w:pPr>
        <w:pStyle w:val="ListParagraph"/>
        <w:numPr>
          <w:ilvl w:val="0"/>
          <w:numId w:val="33"/>
        </w:numPr>
        <w:ind w:left="426"/>
        <w:rPr>
          <w:rFonts w:ascii="Arial" w:hAnsi="Arial" w:cs="Arial"/>
          <w:color w:val="000000" w:themeColor="text1"/>
          <w:sz w:val="22"/>
          <w:szCs w:val="22"/>
          <w:highlight w:val="yellow"/>
          <w:lang w:val="en-GB"/>
        </w:rPr>
      </w:pPr>
      <w:r w:rsidRPr="002F372D">
        <w:rPr>
          <w:rFonts w:ascii="Arial" w:hAnsi="Arial" w:cs="Arial"/>
          <w:color w:val="000000" w:themeColor="text1"/>
          <w:sz w:val="22"/>
          <w:szCs w:val="22"/>
          <w:highlight w:val="yellow"/>
          <w:lang w:val="en-GB"/>
        </w:rPr>
        <w:t>The company must cease trading except where it is necessary and beneficial to the liquidation</w:t>
      </w:r>
      <w:r w:rsidR="00A46FE2" w:rsidRPr="002F372D">
        <w:rPr>
          <w:rFonts w:ascii="Arial" w:hAnsi="Arial" w:cs="Arial"/>
          <w:color w:val="000000" w:themeColor="text1"/>
          <w:sz w:val="22"/>
          <w:szCs w:val="22"/>
          <w:highlight w:val="yellow"/>
          <w:lang w:val="en-GB"/>
        </w:rPr>
        <w:t>.</w:t>
      </w:r>
    </w:p>
    <w:p w14:paraId="5BFB6961" w14:textId="77777777" w:rsidR="007E03FA" w:rsidRPr="007E03FA" w:rsidRDefault="007E03FA" w:rsidP="007E03FA">
      <w:pPr>
        <w:rPr>
          <w:rFonts w:ascii="Arial" w:hAnsi="Arial" w:cs="Arial"/>
          <w:color w:val="000000" w:themeColor="text1"/>
          <w:sz w:val="22"/>
          <w:szCs w:val="22"/>
          <w:lang w:val="en-GB"/>
        </w:rPr>
      </w:pPr>
    </w:p>
    <w:p w14:paraId="32FB1A04" w14:textId="5706A29A" w:rsidR="00210493"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must cease trading if it is necessary and beneficial to the liquidation</w:t>
      </w:r>
      <w:r w:rsidR="00A46FE2" w:rsidRPr="007E03FA">
        <w:rPr>
          <w:rFonts w:ascii="Arial" w:hAnsi="Arial" w:cs="Arial"/>
          <w:color w:val="000000" w:themeColor="text1"/>
          <w:sz w:val="22"/>
          <w:szCs w:val="22"/>
          <w:lang w:val="en-GB"/>
        </w:rPr>
        <w:t>.</w:t>
      </w:r>
    </w:p>
    <w:p w14:paraId="3498CB28" w14:textId="77777777" w:rsidR="007E03FA" w:rsidRPr="007E03FA" w:rsidRDefault="007E03FA" w:rsidP="007E03FA">
      <w:pPr>
        <w:rPr>
          <w:rFonts w:ascii="Arial" w:hAnsi="Arial" w:cs="Arial"/>
          <w:color w:val="000000" w:themeColor="text1"/>
          <w:sz w:val="22"/>
          <w:szCs w:val="22"/>
          <w:lang w:val="en-GB"/>
        </w:rPr>
      </w:pPr>
    </w:p>
    <w:p w14:paraId="322E7C99" w14:textId="5601C3B2" w:rsidR="00210493" w:rsidRPr="007E03FA"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may cease trading unless it is necessary and beneficial to the liquidation</w:t>
      </w:r>
      <w:r w:rsidR="00A46FE2" w:rsidRPr="007E03FA">
        <w:rPr>
          <w:rFonts w:ascii="Arial" w:hAnsi="Arial" w:cs="Arial"/>
          <w:color w:val="000000" w:themeColor="text1"/>
          <w:sz w:val="22"/>
          <w:szCs w:val="22"/>
          <w:lang w:val="en-GB"/>
        </w:rPr>
        <w:t>.</w:t>
      </w:r>
    </w:p>
    <w:p w14:paraId="3A416421" w14:textId="67BDFBFB" w:rsidR="00210493" w:rsidRDefault="00210493" w:rsidP="00210493">
      <w:pPr>
        <w:rPr>
          <w:rFonts w:ascii="Arial" w:hAnsi="Arial" w:cs="Arial"/>
          <w:color w:val="808080" w:themeColor="background1" w:themeShade="80"/>
          <w:sz w:val="22"/>
          <w:szCs w:val="22"/>
          <w:lang w:val="en-GB"/>
        </w:rPr>
      </w:pPr>
    </w:p>
    <w:p w14:paraId="4B3E19E9" w14:textId="79B256EC" w:rsidR="00CB2364" w:rsidRPr="00E177F0" w:rsidRDefault="00CB2364" w:rsidP="00CB2364">
      <w:pPr>
        <w:rPr>
          <w:rFonts w:ascii="Arial" w:hAnsi="Arial" w:cs="Arial"/>
          <w:b/>
          <w:bCs/>
          <w:sz w:val="22"/>
          <w:szCs w:val="22"/>
          <w:lang w:val="en-GB"/>
        </w:rPr>
      </w:pPr>
      <w:r w:rsidRPr="00E177F0">
        <w:rPr>
          <w:rFonts w:ascii="Arial" w:hAnsi="Arial" w:cs="Arial"/>
          <w:b/>
          <w:bCs/>
          <w:sz w:val="22"/>
          <w:szCs w:val="22"/>
          <w:lang w:val="en-GB"/>
        </w:rPr>
        <w:lastRenderedPageBreak/>
        <w:t xml:space="preserve">Question </w:t>
      </w:r>
      <w:r>
        <w:rPr>
          <w:rFonts w:ascii="Arial" w:hAnsi="Arial" w:cs="Arial"/>
          <w:b/>
          <w:bCs/>
          <w:sz w:val="22"/>
          <w:szCs w:val="22"/>
          <w:lang w:val="en-GB"/>
        </w:rPr>
        <w:t>1.4</w:t>
      </w:r>
    </w:p>
    <w:p w14:paraId="2874D703" w14:textId="77777777" w:rsidR="00CB2364" w:rsidRDefault="00CB2364" w:rsidP="00CB2364">
      <w:pPr>
        <w:rPr>
          <w:rFonts w:ascii="Arial" w:hAnsi="Arial" w:cs="Arial"/>
          <w:sz w:val="22"/>
          <w:szCs w:val="22"/>
          <w:lang w:val="en-GB"/>
        </w:rPr>
      </w:pPr>
    </w:p>
    <w:p w14:paraId="25695FFD" w14:textId="77777777" w:rsidR="00CB2364" w:rsidRPr="00D06A87" w:rsidRDefault="00CB2364" w:rsidP="00CB2364">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69434D7" w14:textId="77777777" w:rsidR="00CB2364" w:rsidRDefault="00CB2364" w:rsidP="00CB2364">
      <w:pPr>
        <w:rPr>
          <w:rFonts w:ascii="Arial" w:hAnsi="Arial" w:cs="Arial"/>
          <w:sz w:val="22"/>
          <w:szCs w:val="22"/>
          <w:lang w:val="en-GB"/>
        </w:rPr>
      </w:pPr>
    </w:p>
    <w:p w14:paraId="0EBC0456" w14:textId="77777777" w:rsidR="00CB2364" w:rsidRDefault="00CB2364" w:rsidP="00CB2364">
      <w:pPr>
        <w:rPr>
          <w:rFonts w:ascii="Arial" w:hAnsi="Arial" w:cs="Arial"/>
          <w:sz w:val="22"/>
          <w:szCs w:val="22"/>
          <w:lang w:val="en-GB"/>
        </w:rPr>
      </w:pPr>
      <w:r>
        <w:rPr>
          <w:rFonts w:ascii="Arial" w:hAnsi="Arial" w:cs="Arial"/>
          <w:sz w:val="22"/>
          <w:szCs w:val="22"/>
          <w:lang w:val="en-GB"/>
        </w:rPr>
        <w:t>The Grand Court of the Cayman Islands has jurisdiction to make winding up orders in respect of:</w:t>
      </w:r>
    </w:p>
    <w:p w14:paraId="5DFEFDC1" w14:textId="77777777" w:rsidR="00CB2364" w:rsidRDefault="00CB2364" w:rsidP="00CB2364">
      <w:pPr>
        <w:rPr>
          <w:rFonts w:ascii="Arial" w:hAnsi="Arial" w:cs="Arial"/>
          <w:sz w:val="22"/>
          <w:szCs w:val="22"/>
          <w:lang w:val="en-GB"/>
        </w:rPr>
      </w:pPr>
    </w:p>
    <w:p w14:paraId="1A59BCE4" w14:textId="350B31D9" w:rsidR="00CB2364"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incorporated in the Cayman Islands.</w:t>
      </w:r>
    </w:p>
    <w:p w14:paraId="09840F6D" w14:textId="77777777" w:rsidR="00924973" w:rsidRPr="00924973" w:rsidRDefault="00924973" w:rsidP="00924973">
      <w:pPr>
        <w:ind w:left="66"/>
        <w:rPr>
          <w:rFonts w:ascii="Arial" w:hAnsi="Arial" w:cs="Arial"/>
          <w:sz w:val="22"/>
          <w:szCs w:val="22"/>
          <w:lang w:val="en-GB"/>
        </w:rPr>
      </w:pPr>
    </w:p>
    <w:p w14:paraId="7FB04041" w14:textId="6A4D5B92" w:rsidR="00CB2364"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with property located in the Cayman Islands.</w:t>
      </w:r>
    </w:p>
    <w:p w14:paraId="34BEE8C0" w14:textId="77777777" w:rsidR="00924973" w:rsidRPr="00924973" w:rsidRDefault="00924973" w:rsidP="00924973">
      <w:pPr>
        <w:ind w:left="66"/>
        <w:rPr>
          <w:rFonts w:ascii="Arial" w:hAnsi="Arial" w:cs="Arial"/>
          <w:sz w:val="22"/>
          <w:szCs w:val="22"/>
          <w:lang w:val="en-GB"/>
        </w:rPr>
      </w:pPr>
    </w:p>
    <w:p w14:paraId="279DFE1E" w14:textId="77777777" w:rsidR="00CB2364" w:rsidRPr="00924973"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carrying on business in the Cayman Islands.</w:t>
      </w:r>
    </w:p>
    <w:p w14:paraId="732A8C27" w14:textId="77777777" w:rsidR="00CB2364" w:rsidRDefault="00CB2364" w:rsidP="00924973">
      <w:pPr>
        <w:pStyle w:val="ListParagraph"/>
        <w:ind w:left="426"/>
        <w:rPr>
          <w:rFonts w:ascii="Arial" w:hAnsi="Arial" w:cs="Arial"/>
          <w:sz w:val="22"/>
          <w:szCs w:val="22"/>
          <w:lang w:val="en-GB"/>
        </w:rPr>
      </w:pPr>
    </w:p>
    <w:p w14:paraId="424FAA68" w14:textId="77777777" w:rsidR="00CB2364" w:rsidRPr="002F372D" w:rsidRDefault="00CB2364" w:rsidP="00924973">
      <w:pPr>
        <w:pStyle w:val="ListParagraph"/>
        <w:numPr>
          <w:ilvl w:val="0"/>
          <w:numId w:val="34"/>
        </w:numPr>
        <w:ind w:left="426"/>
        <w:rPr>
          <w:rFonts w:ascii="Arial" w:hAnsi="Arial" w:cs="Arial"/>
          <w:sz w:val="22"/>
          <w:szCs w:val="22"/>
          <w:highlight w:val="yellow"/>
          <w:lang w:val="en-GB"/>
        </w:rPr>
      </w:pPr>
      <w:r w:rsidRPr="002F372D">
        <w:rPr>
          <w:rFonts w:ascii="Arial" w:hAnsi="Arial" w:cs="Arial"/>
          <w:sz w:val="22"/>
          <w:szCs w:val="22"/>
          <w:highlight w:val="yellow"/>
          <w:lang w:val="en-GB"/>
        </w:rPr>
        <w:t>Any of the above.</w:t>
      </w:r>
    </w:p>
    <w:p w14:paraId="42234BF2" w14:textId="77777777" w:rsidR="00CB2364" w:rsidRDefault="00CB2364" w:rsidP="000F6063">
      <w:pPr>
        <w:rPr>
          <w:rFonts w:ascii="Arial" w:hAnsi="Arial" w:cs="Arial"/>
          <w:b/>
          <w:bCs/>
          <w:sz w:val="22"/>
          <w:szCs w:val="22"/>
          <w:lang w:val="en-GB"/>
        </w:rPr>
      </w:pPr>
    </w:p>
    <w:p w14:paraId="03CFC629" w14:textId="7C4D7235" w:rsidR="000F6063" w:rsidRPr="00E177F0" w:rsidRDefault="000F6063" w:rsidP="000F6063">
      <w:pPr>
        <w:rPr>
          <w:rFonts w:ascii="Arial" w:hAnsi="Arial" w:cs="Arial"/>
          <w:b/>
          <w:bCs/>
          <w:sz w:val="22"/>
          <w:szCs w:val="22"/>
          <w:lang w:val="en-GB"/>
        </w:rPr>
      </w:pPr>
      <w:r w:rsidRPr="00E177F0">
        <w:rPr>
          <w:rFonts w:ascii="Arial" w:hAnsi="Arial" w:cs="Arial"/>
          <w:b/>
          <w:bCs/>
          <w:sz w:val="22"/>
          <w:szCs w:val="22"/>
          <w:lang w:val="en-GB"/>
        </w:rPr>
        <w:t xml:space="preserve">Question </w:t>
      </w:r>
      <w:r>
        <w:rPr>
          <w:rFonts w:ascii="Arial" w:hAnsi="Arial" w:cs="Arial"/>
          <w:b/>
          <w:bCs/>
          <w:sz w:val="22"/>
          <w:szCs w:val="22"/>
          <w:lang w:val="en-GB"/>
        </w:rPr>
        <w:t>1.5</w:t>
      </w:r>
    </w:p>
    <w:p w14:paraId="54F1C445" w14:textId="77777777" w:rsidR="000F6063" w:rsidRPr="00E177F0" w:rsidRDefault="000F6063" w:rsidP="000F6063">
      <w:pPr>
        <w:rPr>
          <w:rFonts w:ascii="Arial" w:hAnsi="Arial" w:cs="Arial"/>
          <w:b/>
          <w:bCs/>
          <w:sz w:val="22"/>
          <w:szCs w:val="22"/>
          <w:lang w:val="en-GB"/>
        </w:rPr>
      </w:pPr>
    </w:p>
    <w:p w14:paraId="5A037FCE" w14:textId="77777777" w:rsidR="000F6063" w:rsidRPr="00D06A87" w:rsidRDefault="000F6063" w:rsidP="000F606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34ADB86" w14:textId="77777777" w:rsidR="000F6063" w:rsidRDefault="000F6063" w:rsidP="000F6063">
      <w:pPr>
        <w:rPr>
          <w:rFonts w:ascii="Arial" w:hAnsi="Arial" w:cs="Arial"/>
          <w:sz w:val="22"/>
          <w:szCs w:val="22"/>
          <w:lang w:val="en-GB"/>
        </w:rPr>
      </w:pPr>
    </w:p>
    <w:p w14:paraId="79D48DC6" w14:textId="77777777" w:rsidR="000F6063" w:rsidRDefault="000F6063" w:rsidP="000F6063">
      <w:pPr>
        <w:rPr>
          <w:rFonts w:ascii="Arial" w:hAnsi="Arial" w:cs="Arial"/>
          <w:sz w:val="22"/>
          <w:szCs w:val="22"/>
          <w:lang w:val="en-GB"/>
        </w:rPr>
      </w:pPr>
      <w:r>
        <w:rPr>
          <w:rFonts w:ascii="Arial" w:hAnsi="Arial" w:cs="Arial"/>
          <w:sz w:val="22"/>
          <w:szCs w:val="22"/>
          <w:lang w:val="en-GB"/>
        </w:rPr>
        <w:t xml:space="preserve">In a provisional liquidation, the existing management: </w:t>
      </w:r>
    </w:p>
    <w:p w14:paraId="6A4FECEC" w14:textId="77777777" w:rsidR="000F6063" w:rsidRDefault="000F6063" w:rsidP="000F6063">
      <w:pPr>
        <w:rPr>
          <w:rFonts w:ascii="Arial" w:hAnsi="Arial" w:cs="Arial"/>
          <w:sz w:val="22"/>
          <w:szCs w:val="22"/>
          <w:lang w:val="en-GB"/>
        </w:rPr>
      </w:pPr>
    </w:p>
    <w:p w14:paraId="17410DA7" w14:textId="19CBADFA" w:rsidR="000F606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Continues to be in control of the company.</w:t>
      </w:r>
    </w:p>
    <w:p w14:paraId="35DE0BB0" w14:textId="77777777" w:rsidR="00924973" w:rsidRPr="00924973" w:rsidRDefault="00924973" w:rsidP="00924973">
      <w:pPr>
        <w:rPr>
          <w:rFonts w:ascii="Arial" w:hAnsi="Arial" w:cs="Arial"/>
          <w:sz w:val="22"/>
          <w:szCs w:val="22"/>
          <w:lang w:val="en-GB"/>
        </w:rPr>
      </w:pPr>
    </w:p>
    <w:p w14:paraId="35B57312" w14:textId="22733DCD" w:rsidR="000F606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Continues to be in control of the company subject to supervision by the court and the provisional liquidator.</w:t>
      </w:r>
    </w:p>
    <w:p w14:paraId="3A16934D" w14:textId="77777777" w:rsidR="00924973" w:rsidRPr="00924973" w:rsidRDefault="00924973" w:rsidP="00924973">
      <w:pPr>
        <w:rPr>
          <w:rFonts w:ascii="Arial" w:hAnsi="Arial" w:cs="Arial"/>
          <w:sz w:val="22"/>
          <w:szCs w:val="22"/>
          <w:lang w:val="en-GB"/>
        </w:rPr>
      </w:pPr>
    </w:p>
    <w:p w14:paraId="0D0C443F" w14:textId="0F1DC2CC" w:rsidR="000F6063" w:rsidRPr="002F372D" w:rsidRDefault="000F6063" w:rsidP="00924973">
      <w:pPr>
        <w:pStyle w:val="ListParagraph"/>
        <w:numPr>
          <w:ilvl w:val="0"/>
          <w:numId w:val="35"/>
        </w:numPr>
        <w:ind w:left="426"/>
        <w:rPr>
          <w:rFonts w:ascii="Arial" w:hAnsi="Arial" w:cs="Arial"/>
          <w:sz w:val="22"/>
          <w:szCs w:val="22"/>
          <w:highlight w:val="yellow"/>
          <w:lang w:val="en-GB"/>
        </w:rPr>
      </w:pPr>
      <w:r w:rsidRPr="002F372D">
        <w:rPr>
          <w:rFonts w:ascii="Arial" w:hAnsi="Arial" w:cs="Arial"/>
          <w:sz w:val="22"/>
          <w:szCs w:val="22"/>
          <w:highlight w:val="yellow"/>
          <w:lang w:val="en-GB"/>
        </w:rPr>
        <w:t>May continue to be in control of the company subject to supervision by the provisional liquidator and the court.</w:t>
      </w:r>
    </w:p>
    <w:p w14:paraId="03C6CD14" w14:textId="77777777" w:rsidR="00924973" w:rsidRPr="00924973" w:rsidRDefault="00924973" w:rsidP="00924973">
      <w:pPr>
        <w:rPr>
          <w:rFonts w:ascii="Arial" w:hAnsi="Arial" w:cs="Arial"/>
          <w:sz w:val="22"/>
          <w:szCs w:val="22"/>
          <w:lang w:val="en-GB"/>
        </w:rPr>
      </w:pPr>
    </w:p>
    <w:p w14:paraId="2AA2DC09" w14:textId="77777777" w:rsidR="000F6063" w:rsidRPr="0092497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Is not permitted to remain in control of the company.</w:t>
      </w:r>
    </w:p>
    <w:p w14:paraId="7512032C" w14:textId="77777777" w:rsidR="000F6063" w:rsidRDefault="000F6063" w:rsidP="00C55824">
      <w:pPr>
        <w:jc w:val="both"/>
        <w:rPr>
          <w:rFonts w:ascii="Arial" w:hAnsi="Arial" w:cs="Arial"/>
          <w:b/>
          <w:bCs/>
          <w:sz w:val="22"/>
          <w:szCs w:val="22"/>
        </w:rPr>
      </w:pPr>
    </w:p>
    <w:p w14:paraId="44750412" w14:textId="4EE0475A"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6</w:t>
      </w:r>
    </w:p>
    <w:p w14:paraId="5829F7D6" w14:textId="77777777" w:rsidR="00E9597C" w:rsidRDefault="00E9597C" w:rsidP="00C55824">
      <w:pPr>
        <w:jc w:val="both"/>
        <w:rPr>
          <w:rFonts w:ascii="Arial" w:hAnsi="Arial" w:cs="Arial"/>
          <w:sz w:val="22"/>
          <w:szCs w:val="22"/>
        </w:rPr>
      </w:pPr>
    </w:p>
    <w:p w14:paraId="7EC1F091" w14:textId="4E074902" w:rsidR="00E11C54" w:rsidRDefault="00E11C54" w:rsidP="00AD12C7">
      <w:pPr>
        <w:rPr>
          <w:rFonts w:ascii="Arial" w:hAnsi="Arial" w:cs="Arial"/>
          <w:sz w:val="22"/>
          <w:szCs w:val="22"/>
          <w:lang w:val="en-GB"/>
        </w:rPr>
      </w:pPr>
      <w:r w:rsidRPr="00D06A87">
        <w:rPr>
          <w:rFonts w:ascii="Arial" w:hAnsi="Arial" w:cs="Arial"/>
          <w:sz w:val="22"/>
          <w:szCs w:val="22"/>
          <w:lang w:val="en-GB"/>
        </w:rPr>
        <w:t>Select the</w:t>
      </w:r>
      <w:r w:rsidRPr="00E11C54">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sidR="00D06A87">
        <w:rPr>
          <w:rFonts w:ascii="Arial" w:hAnsi="Arial" w:cs="Arial"/>
          <w:sz w:val="22"/>
          <w:szCs w:val="22"/>
          <w:lang w:val="en-GB"/>
        </w:rPr>
        <w:t>.</w:t>
      </w:r>
    </w:p>
    <w:p w14:paraId="610EC061" w14:textId="77777777" w:rsidR="00E11C54" w:rsidRDefault="00E11C54" w:rsidP="00AD12C7">
      <w:pPr>
        <w:rPr>
          <w:rFonts w:ascii="Arial" w:hAnsi="Arial" w:cs="Arial"/>
          <w:sz w:val="22"/>
          <w:szCs w:val="22"/>
          <w:lang w:val="en-GB"/>
        </w:rPr>
      </w:pPr>
    </w:p>
    <w:p w14:paraId="310287C1" w14:textId="35E5ABCE" w:rsidR="00E96067" w:rsidRDefault="00E96067" w:rsidP="00AD12C7">
      <w:pPr>
        <w:rPr>
          <w:rFonts w:ascii="Arial" w:hAnsi="Arial" w:cs="Arial"/>
          <w:sz w:val="22"/>
          <w:szCs w:val="22"/>
          <w:lang w:val="en-GB"/>
        </w:rPr>
      </w:pPr>
      <w:r>
        <w:rPr>
          <w:rFonts w:ascii="Arial" w:hAnsi="Arial" w:cs="Arial"/>
          <w:sz w:val="22"/>
          <w:szCs w:val="22"/>
          <w:lang w:val="en-GB"/>
        </w:rPr>
        <w:t>When a winding up order has been made, a secured creditor:</w:t>
      </w:r>
    </w:p>
    <w:p w14:paraId="1ABCBE07" w14:textId="55D2E184" w:rsidR="00E177F0" w:rsidRDefault="00E177F0" w:rsidP="00AD12C7">
      <w:pPr>
        <w:rPr>
          <w:rFonts w:ascii="Arial" w:hAnsi="Arial" w:cs="Arial"/>
          <w:sz w:val="22"/>
          <w:szCs w:val="22"/>
          <w:lang w:val="en-GB"/>
        </w:rPr>
      </w:pPr>
    </w:p>
    <w:p w14:paraId="16227007" w14:textId="557EE187" w:rsidR="00E177F0"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enforce their security with leave of the court</w:t>
      </w:r>
      <w:r w:rsidR="00A46FE2" w:rsidRPr="00924973">
        <w:rPr>
          <w:rFonts w:ascii="Arial" w:hAnsi="Arial" w:cs="Arial"/>
          <w:sz w:val="22"/>
          <w:szCs w:val="22"/>
          <w:lang w:val="en-GB"/>
        </w:rPr>
        <w:t>.</w:t>
      </w:r>
    </w:p>
    <w:p w14:paraId="7F9ED613" w14:textId="77777777" w:rsidR="00924973" w:rsidRPr="00924973" w:rsidRDefault="00924973" w:rsidP="00924973">
      <w:pPr>
        <w:rPr>
          <w:rFonts w:ascii="Arial" w:hAnsi="Arial" w:cs="Arial"/>
          <w:sz w:val="22"/>
          <w:szCs w:val="22"/>
          <w:lang w:val="en-GB"/>
        </w:rPr>
      </w:pPr>
    </w:p>
    <w:p w14:paraId="1851E1FD" w14:textId="0B879589" w:rsidR="00E177F0"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enforce their security with leave of the court provided the liquidator is on notice of the application</w:t>
      </w:r>
      <w:r w:rsidR="00803C72" w:rsidRPr="00924973">
        <w:rPr>
          <w:rFonts w:ascii="Arial" w:hAnsi="Arial" w:cs="Arial"/>
          <w:sz w:val="22"/>
          <w:szCs w:val="22"/>
          <w:lang w:val="en-GB"/>
        </w:rPr>
        <w:t>.</w:t>
      </w:r>
    </w:p>
    <w:p w14:paraId="6B805B58" w14:textId="77777777" w:rsidR="00924973" w:rsidRPr="00924973" w:rsidRDefault="00924973" w:rsidP="00924973">
      <w:pPr>
        <w:rPr>
          <w:rFonts w:ascii="Arial" w:hAnsi="Arial" w:cs="Arial"/>
          <w:sz w:val="22"/>
          <w:szCs w:val="22"/>
          <w:lang w:val="en-GB"/>
        </w:rPr>
      </w:pPr>
    </w:p>
    <w:p w14:paraId="170E8422" w14:textId="363D301D" w:rsidR="00E177F0" w:rsidRPr="002F372D" w:rsidRDefault="00E177F0" w:rsidP="00924973">
      <w:pPr>
        <w:pStyle w:val="ListParagraph"/>
        <w:numPr>
          <w:ilvl w:val="0"/>
          <w:numId w:val="36"/>
        </w:numPr>
        <w:ind w:left="426"/>
        <w:rPr>
          <w:rFonts w:ascii="Arial" w:hAnsi="Arial" w:cs="Arial"/>
          <w:sz w:val="22"/>
          <w:szCs w:val="22"/>
          <w:highlight w:val="yellow"/>
          <w:lang w:val="en-GB"/>
        </w:rPr>
      </w:pPr>
      <w:r w:rsidRPr="002F372D">
        <w:rPr>
          <w:rFonts w:ascii="Arial" w:hAnsi="Arial" w:cs="Arial"/>
          <w:sz w:val="22"/>
          <w:szCs w:val="22"/>
          <w:highlight w:val="yellow"/>
          <w:lang w:val="en-GB"/>
        </w:rPr>
        <w:t>May enforce their security without leave of the court</w:t>
      </w:r>
      <w:r w:rsidR="00803C72" w:rsidRPr="002F372D">
        <w:rPr>
          <w:rFonts w:ascii="Arial" w:hAnsi="Arial" w:cs="Arial"/>
          <w:sz w:val="22"/>
          <w:szCs w:val="22"/>
          <w:highlight w:val="yellow"/>
          <w:lang w:val="en-GB"/>
        </w:rPr>
        <w:t>.</w:t>
      </w:r>
    </w:p>
    <w:p w14:paraId="646B86CC" w14:textId="77777777" w:rsidR="00924973" w:rsidRPr="00924973" w:rsidRDefault="00924973" w:rsidP="00924973">
      <w:pPr>
        <w:rPr>
          <w:rFonts w:ascii="Arial" w:hAnsi="Arial" w:cs="Arial"/>
          <w:sz w:val="22"/>
          <w:szCs w:val="22"/>
          <w:lang w:val="en-GB"/>
        </w:rPr>
      </w:pPr>
    </w:p>
    <w:p w14:paraId="0E818B06" w14:textId="75FAC7C5" w:rsidR="00E177F0" w:rsidRPr="00924973"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not enforce their security until the liquidator has adjudicated on the proofs of debt</w:t>
      </w:r>
      <w:r w:rsidR="00803C72" w:rsidRPr="00924973">
        <w:rPr>
          <w:rFonts w:ascii="Arial" w:hAnsi="Arial" w:cs="Arial"/>
          <w:sz w:val="22"/>
          <w:szCs w:val="22"/>
          <w:lang w:val="en-GB"/>
        </w:rPr>
        <w:t>.</w:t>
      </w:r>
    </w:p>
    <w:p w14:paraId="3FF1AC5E" w14:textId="1D834E83" w:rsidR="008F6CAB" w:rsidRDefault="008F6CAB" w:rsidP="00AD12C7">
      <w:pPr>
        <w:rPr>
          <w:rFonts w:ascii="Arial" w:hAnsi="Arial" w:cs="Arial"/>
          <w:sz w:val="22"/>
          <w:szCs w:val="22"/>
          <w:lang w:val="en-GB"/>
        </w:rPr>
      </w:pPr>
    </w:p>
    <w:p w14:paraId="5167B8DA" w14:textId="132B650E" w:rsidR="00924973" w:rsidRDefault="00924973" w:rsidP="00AD12C7">
      <w:pPr>
        <w:rPr>
          <w:rFonts w:ascii="Arial" w:hAnsi="Arial" w:cs="Arial"/>
          <w:sz w:val="22"/>
          <w:szCs w:val="22"/>
          <w:lang w:val="en-GB"/>
        </w:rPr>
      </w:pPr>
    </w:p>
    <w:p w14:paraId="02D0861C" w14:textId="14B5803F" w:rsidR="00924973" w:rsidRDefault="00924973" w:rsidP="00AD12C7">
      <w:pPr>
        <w:rPr>
          <w:rFonts w:ascii="Arial" w:hAnsi="Arial" w:cs="Arial"/>
          <w:sz w:val="22"/>
          <w:szCs w:val="22"/>
          <w:lang w:val="en-GB"/>
        </w:rPr>
      </w:pPr>
    </w:p>
    <w:p w14:paraId="12059A7A" w14:textId="7C03FD87" w:rsidR="00924973" w:rsidRDefault="00924973" w:rsidP="00AD12C7">
      <w:pPr>
        <w:rPr>
          <w:rFonts w:ascii="Arial" w:hAnsi="Arial" w:cs="Arial"/>
          <w:sz w:val="22"/>
          <w:szCs w:val="22"/>
          <w:lang w:val="en-GB"/>
        </w:rPr>
      </w:pPr>
    </w:p>
    <w:p w14:paraId="402221A0" w14:textId="7870BB15" w:rsidR="00924973" w:rsidRDefault="00924973" w:rsidP="00AD12C7">
      <w:pPr>
        <w:rPr>
          <w:rFonts w:ascii="Arial" w:hAnsi="Arial" w:cs="Arial"/>
          <w:sz w:val="22"/>
          <w:szCs w:val="22"/>
          <w:lang w:val="en-GB"/>
        </w:rPr>
      </w:pPr>
    </w:p>
    <w:p w14:paraId="17C60B2B" w14:textId="23A731E3" w:rsidR="00924973" w:rsidRDefault="00924973" w:rsidP="00AD12C7">
      <w:pPr>
        <w:rPr>
          <w:rFonts w:ascii="Arial" w:hAnsi="Arial" w:cs="Arial"/>
          <w:sz w:val="22"/>
          <w:szCs w:val="22"/>
          <w:lang w:val="en-GB"/>
        </w:rPr>
      </w:pPr>
    </w:p>
    <w:p w14:paraId="60318CF5" w14:textId="67F97562" w:rsidR="00924973" w:rsidRDefault="00924973" w:rsidP="00AD12C7">
      <w:pPr>
        <w:rPr>
          <w:rFonts w:ascii="Arial" w:hAnsi="Arial" w:cs="Arial"/>
          <w:sz w:val="22"/>
          <w:szCs w:val="22"/>
          <w:lang w:val="en-GB"/>
        </w:rPr>
      </w:pPr>
    </w:p>
    <w:p w14:paraId="68191D65" w14:textId="2689A201" w:rsidR="00924973" w:rsidRDefault="00924973" w:rsidP="00AD12C7">
      <w:pPr>
        <w:rPr>
          <w:rFonts w:ascii="Arial" w:hAnsi="Arial" w:cs="Arial"/>
          <w:sz w:val="22"/>
          <w:szCs w:val="22"/>
          <w:lang w:val="en-GB"/>
        </w:rPr>
      </w:pPr>
    </w:p>
    <w:p w14:paraId="0918D2F0" w14:textId="1860FB1C" w:rsidR="00924973" w:rsidRDefault="00924973" w:rsidP="00AD12C7">
      <w:pPr>
        <w:rPr>
          <w:rFonts w:ascii="Arial" w:hAnsi="Arial" w:cs="Arial"/>
          <w:sz w:val="22"/>
          <w:szCs w:val="22"/>
          <w:lang w:val="en-GB"/>
        </w:rPr>
      </w:pPr>
    </w:p>
    <w:p w14:paraId="5B8E244E" w14:textId="77777777" w:rsidR="00924973" w:rsidRDefault="00924973" w:rsidP="00AD12C7">
      <w:pPr>
        <w:rPr>
          <w:rFonts w:ascii="Arial" w:hAnsi="Arial" w:cs="Arial"/>
          <w:sz w:val="22"/>
          <w:szCs w:val="22"/>
          <w:lang w:val="en-GB"/>
        </w:rPr>
      </w:pPr>
    </w:p>
    <w:p w14:paraId="32C78769" w14:textId="0D1E28F5" w:rsidR="000F6063" w:rsidRPr="00B9639B" w:rsidRDefault="000F6063" w:rsidP="000F6063">
      <w:pPr>
        <w:autoSpaceDE w:val="0"/>
        <w:autoSpaceDN w:val="0"/>
        <w:adjustRightInd w:val="0"/>
        <w:jc w:val="both"/>
        <w:rPr>
          <w:rFonts w:ascii="Arial" w:hAnsi="Arial" w:cs="Arial"/>
          <w:sz w:val="22"/>
          <w:szCs w:val="22"/>
        </w:rPr>
      </w:pPr>
      <w:r w:rsidRPr="00B9639B">
        <w:rPr>
          <w:rFonts w:ascii="Arial" w:hAnsi="Arial" w:cs="Arial"/>
          <w:b/>
          <w:bCs/>
          <w:sz w:val="22"/>
          <w:szCs w:val="22"/>
        </w:rPr>
        <w:lastRenderedPageBreak/>
        <w:t xml:space="preserve">Question </w:t>
      </w:r>
      <w:r>
        <w:rPr>
          <w:rFonts w:ascii="Arial" w:hAnsi="Arial" w:cs="Arial"/>
          <w:b/>
          <w:bCs/>
          <w:sz w:val="22"/>
          <w:szCs w:val="22"/>
        </w:rPr>
        <w:t>1.</w:t>
      </w:r>
      <w:r w:rsidR="00CB2364">
        <w:rPr>
          <w:rFonts w:ascii="Arial" w:hAnsi="Arial" w:cs="Arial"/>
          <w:b/>
          <w:bCs/>
          <w:sz w:val="22"/>
          <w:szCs w:val="22"/>
        </w:rPr>
        <w:t>7</w:t>
      </w:r>
    </w:p>
    <w:p w14:paraId="2BA2A182" w14:textId="77777777" w:rsidR="000F6063" w:rsidRDefault="000F6063" w:rsidP="000F6063">
      <w:pPr>
        <w:autoSpaceDE w:val="0"/>
        <w:autoSpaceDN w:val="0"/>
        <w:adjustRightInd w:val="0"/>
        <w:jc w:val="both"/>
        <w:rPr>
          <w:rFonts w:ascii="Arial" w:hAnsi="Arial" w:cs="Arial"/>
          <w:sz w:val="22"/>
          <w:szCs w:val="22"/>
        </w:rPr>
      </w:pPr>
    </w:p>
    <w:p w14:paraId="191AD451" w14:textId="77777777" w:rsidR="000F6063" w:rsidRDefault="000F6063" w:rsidP="000F6063">
      <w:pPr>
        <w:jc w:val="both"/>
        <w:rPr>
          <w:rFonts w:ascii="Arial" w:hAnsi="Arial" w:cs="Arial"/>
          <w:sz w:val="22"/>
          <w:szCs w:val="22"/>
          <w:lang w:val="en-GB"/>
        </w:rPr>
      </w:pPr>
      <w:r>
        <w:rPr>
          <w:rFonts w:ascii="Arial" w:hAnsi="Arial" w:cs="Arial"/>
          <w:sz w:val="22"/>
          <w:szCs w:val="22"/>
          <w:lang w:val="en-GB"/>
        </w:rPr>
        <w:t xml:space="preserve">Select the </w:t>
      </w:r>
      <w:r w:rsidRPr="00924973">
        <w:rPr>
          <w:rFonts w:ascii="Arial" w:hAnsi="Arial" w:cs="Arial"/>
          <w:b/>
          <w:bCs/>
          <w:sz w:val="22"/>
          <w:szCs w:val="22"/>
          <w:u w:val="single"/>
          <w:lang w:val="en-GB"/>
        </w:rPr>
        <w:t>correct answer</w:t>
      </w:r>
      <w:r>
        <w:rPr>
          <w:rFonts w:ascii="Arial" w:hAnsi="Arial" w:cs="Arial"/>
          <w:sz w:val="22"/>
          <w:szCs w:val="22"/>
          <w:lang w:val="en-GB"/>
        </w:rPr>
        <w:t>.</w:t>
      </w:r>
    </w:p>
    <w:p w14:paraId="354FE3F8" w14:textId="77777777" w:rsidR="000F6063" w:rsidRDefault="000F6063" w:rsidP="000F6063">
      <w:pPr>
        <w:jc w:val="both"/>
        <w:rPr>
          <w:rFonts w:ascii="Arial" w:hAnsi="Arial" w:cs="Arial"/>
          <w:sz w:val="22"/>
          <w:szCs w:val="22"/>
          <w:lang w:val="en-GB"/>
        </w:rPr>
      </w:pPr>
    </w:p>
    <w:p w14:paraId="54E971F1" w14:textId="77777777" w:rsidR="000F6063" w:rsidRDefault="000F6063" w:rsidP="000F6063">
      <w:pPr>
        <w:jc w:val="both"/>
        <w:rPr>
          <w:rFonts w:ascii="Arial" w:hAnsi="Arial" w:cs="Arial"/>
          <w:sz w:val="22"/>
          <w:szCs w:val="22"/>
          <w:lang w:val="en-GB"/>
        </w:rPr>
      </w:pPr>
      <w:r>
        <w:rPr>
          <w:rFonts w:ascii="Arial" w:hAnsi="Arial" w:cs="Arial"/>
          <w:sz w:val="22"/>
          <w:szCs w:val="22"/>
          <w:lang w:val="en-GB"/>
        </w:rPr>
        <w:t>Any payment or disposal of property to a creditor constitutes a voidable preference if:</w:t>
      </w:r>
    </w:p>
    <w:p w14:paraId="1AC50405" w14:textId="77777777" w:rsidR="000F6063" w:rsidRDefault="000F6063" w:rsidP="000F6063">
      <w:pPr>
        <w:jc w:val="both"/>
        <w:rPr>
          <w:rFonts w:ascii="Arial" w:hAnsi="Arial" w:cs="Arial"/>
          <w:sz w:val="22"/>
          <w:szCs w:val="22"/>
          <w:lang w:val="en-GB"/>
        </w:rPr>
      </w:pPr>
    </w:p>
    <w:p w14:paraId="1337E2A6" w14:textId="5B0C2114" w:rsidR="000F606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or at a time when it is unable to pay its debts and the dominant intention of the company’s directors was to give the applicable creditor a preference over other creditors.</w:t>
      </w:r>
    </w:p>
    <w:p w14:paraId="7B5DD0C8" w14:textId="77777777" w:rsidR="00D73BA5" w:rsidRPr="00924973" w:rsidRDefault="00D73BA5" w:rsidP="00D73BA5">
      <w:pPr>
        <w:pStyle w:val="ListParagraph"/>
        <w:ind w:left="426"/>
        <w:jc w:val="both"/>
        <w:rPr>
          <w:rFonts w:ascii="Arial" w:hAnsi="Arial" w:cs="Arial"/>
          <w:sz w:val="22"/>
          <w:szCs w:val="22"/>
          <w:lang w:val="en-GB"/>
        </w:rPr>
      </w:pPr>
    </w:p>
    <w:p w14:paraId="61FEC1EF" w14:textId="7E872FDB" w:rsidR="000F6063" w:rsidRPr="00D73BA5" w:rsidRDefault="000F6063" w:rsidP="00924973">
      <w:pPr>
        <w:pStyle w:val="ListParagraph"/>
        <w:numPr>
          <w:ilvl w:val="0"/>
          <w:numId w:val="37"/>
        </w:numPr>
        <w:ind w:left="426"/>
        <w:jc w:val="both"/>
        <w:rPr>
          <w:rFonts w:ascii="Arial" w:hAnsi="Arial" w:cs="Arial"/>
          <w:sz w:val="22"/>
          <w:szCs w:val="22"/>
          <w:highlight w:val="yellow"/>
          <w:lang w:val="en-GB"/>
        </w:rPr>
      </w:pPr>
      <w:r w:rsidRPr="00D73BA5">
        <w:rPr>
          <w:rFonts w:ascii="Arial" w:hAnsi="Arial" w:cs="Arial"/>
          <w:sz w:val="22"/>
          <w:szCs w:val="22"/>
          <w:highlight w:val="yellow"/>
          <w:lang w:val="en-GB"/>
        </w:rPr>
        <w:t>It occurs in the six months before the deemed commencement of the company’s liquidation and at a time when it is unable to pay its debts and the dominant intention of the company’s directors was to give the applicable creditor a preference over other creditors.</w:t>
      </w:r>
    </w:p>
    <w:p w14:paraId="2343E36A" w14:textId="77777777" w:rsidR="00924973" w:rsidRPr="00924973" w:rsidRDefault="00924973" w:rsidP="00924973">
      <w:pPr>
        <w:jc w:val="both"/>
        <w:rPr>
          <w:rFonts w:ascii="Arial" w:hAnsi="Arial" w:cs="Arial"/>
          <w:sz w:val="22"/>
          <w:szCs w:val="22"/>
          <w:lang w:val="en-GB"/>
        </w:rPr>
      </w:pPr>
    </w:p>
    <w:p w14:paraId="0562E08B" w14:textId="7E7820E9" w:rsidR="000F606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and at a time when it is unable to pay its debts, or the dominant intention of the company’s directors was to give the applicable creditor a preference over other creditors.</w:t>
      </w:r>
    </w:p>
    <w:p w14:paraId="61938ED1" w14:textId="77777777" w:rsidR="00924973" w:rsidRPr="00924973" w:rsidRDefault="00924973" w:rsidP="00924973">
      <w:pPr>
        <w:jc w:val="both"/>
        <w:rPr>
          <w:rFonts w:ascii="Arial" w:hAnsi="Arial" w:cs="Arial"/>
          <w:sz w:val="22"/>
          <w:szCs w:val="22"/>
          <w:lang w:val="en-GB"/>
        </w:rPr>
      </w:pPr>
    </w:p>
    <w:p w14:paraId="3D4CEB7E" w14:textId="77777777" w:rsidR="000F6063" w:rsidRPr="0092497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or at a time when it is unable to pay its debts, or the dominant intention of the company’s directors was to give the applicable creditor a preference over other creditors.</w:t>
      </w:r>
    </w:p>
    <w:p w14:paraId="2BB16D6B" w14:textId="77777777" w:rsidR="002476AF" w:rsidRDefault="002476AF" w:rsidP="00C55824">
      <w:pPr>
        <w:jc w:val="both"/>
        <w:rPr>
          <w:rFonts w:ascii="Arial" w:hAnsi="Arial" w:cs="Arial"/>
          <w:b/>
          <w:bCs/>
          <w:sz w:val="22"/>
          <w:szCs w:val="22"/>
        </w:rPr>
      </w:pPr>
    </w:p>
    <w:p w14:paraId="5AF5BCF4" w14:textId="5915E9A3"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8</w:t>
      </w:r>
    </w:p>
    <w:p w14:paraId="205ED427" w14:textId="77777777" w:rsidR="00E9597C" w:rsidRPr="00B9639B" w:rsidRDefault="00E9597C" w:rsidP="00C55824">
      <w:pPr>
        <w:jc w:val="both"/>
        <w:rPr>
          <w:rFonts w:ascii="Arial" w:hAnsi="Arial" w:cs="Arial"/>
          <w:sz w:val="22"/>
          <w:szCs w:val="22"/>
        </w:rPr>
      </w:pPr>
    </w:p>
    <w:p w14:paraId="09D11F04" w14:textId="666E5A97" w:rsidR="00920BE7" w:rsidRDefault="00920BE7" w:rsidP="00AD12C7">
      <w:pPr>
        <w:jc w:val="both"/>
        <w:rPr>
          <w:rFonts w:ascii="Arial" w:hAnsi="Arial" w:cs="Arial"/>
          <w:sz w:val="22"/>
          <w:szCs w:val="22"/>
          <w:lang w:val="en-GB"/>
        </w:rPr>
      </w:pPr>
      <w:r>
        <w:rPr>
          <w:rFonts w:ascii="Arial" w:hAnsi="Arial" w:cs="Arial"/>
          <w:sz w:val="22"/>
          <w:szCs w:val="22"/>
          <w:lang w:val="en-GB"/>
        </w:rPr>
        <w:t xml:space="preserve">Which of the following </w:t>
      </w:r>
      <w:r w:rsidRPr="00924973">
        <w:rPr>
          <w:rFonts w:ascii="Arial" w:hAnsi="Arial" w:cs="Arial"/>
          <w:b/>
          <w:bCs/>
          <w:sz w:val="22"/>
          <w:szCs w:val="22"/>
          <w:u w:val="single"/>
          <w:lang w:val="en-GB"/>
        </w:rPr>
        <w:t>is not</w:t>
      </w:r>
      <w:r>
        <w:rPr>
          <w:rFonts w:ascii="Arial" w:hAnsi="Arial" w:cs="Arial"/>
          <w:sz w:val="22"/>
          <w:szCs w:val="22"/>
          <w:lang w:val="en-GB"/>
        </w:rPr>
        <w:t xml:space="preserve"> a preferential debt ra</w:t>
      </w:r>
      <w:r w:rsidR="00803C72">
        <w:rPr>
          <w:rFonts w:ascii="Arial" w:hAnsi="Arial" w:cs="Arial"/>
          <w:sz w:val="22"/>
          <w:szCs w:val="22"/>
          <w:lang w:val="en-GB"/>
        </w:rPr>
        <w:t>n</w:t>
      </w:r>
      <w:r>
        <w:rPr>
          <w:rFonts w:ascii="Arial" w:hAnsi="Arial" w:cs="Arial"/>
          <w:sz w:val="22"/>
          <w:szCs w:val="22"/>
          <w:lang w:val="en-GB"/>
        </w:rPr>
        <w:t xml:space="preserve">king equally with the other </w:t>
      </w:r>
      <w:r w:rsidR="00803C72">
        <w:rPr>
          <w:rFonts w:ascii="Arial" w:hAnsi="Arial" w:cs="Arial"/>
          <w:sz w:val="22"/>
          <w:szCs w:val="22"/>
          <w:lang w:val="en-GB"/>
        </w:rPr>
        <w:t>four?</w:t>
      </w:r>
    </w:p>
    <w:p w14:paraId="24165B7A" w14:textId="77777777" w:rsidR="00920BE7" w:rsidRDefault="00920BE7" w:rsidP="00AD12C7">
      <w:pPr>
        <w:jc w:val="both"/>
        <w:rPr>
          <w:rFonts w:ascii="Arial" w:hAnsi="Arial" w:cs="Arial"/>
          <w:sz w:val="22"/>
          <w:szCs w:val="22"/>
          <w:lang w:val="en-GB"/>
        </w:rPr>
      </w:pPr>
    </w:p>
    <w:p w14:paraId="2B56FD7F" w14:textId="541C6E4F"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Sums due to company employees</w:t>
      </w:r>
      <w:r w:rsidR="00803C72" w:rsidRPr="00924973">
        <w:rPr>
          <w:rFonts w:ascii="Arial" w:hAnsi="Arial" w:cs="Arial"/>
          <w:sz w:val="22"/>
          <w:szCs w:val="22"/>
          <w:lang w:val="en-GB"/>
        </w:rPr>
        <w:t>.</w:t>
      </w:r>
    </w:p>
    <w:p w14:paraId="61C0AC75" w14:textId="77777777" w:rsidR="00924973" w:rsidRPr="00924973" w:rsidRDefault="00924973" w:rsidP="00924973">
      <w:pPr>
        <w:jc w:val="both"/>
        <w:rPr>
          <w:rFonts w:ascii="Arial" w:hAnsi="Arial" w:cs="Arial"/>
          <w:sz w:val="22"/>
          <w:szCs w:val="22"/>
          <w:lang w:val="en-GB"/>
        </w:rPr>
      </w:pPr>
    </w:p>
    <w:p w14:paraId="490DC0BC" w14:textId="37A4E397"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Taxes due to the Cayman Islands government</w:t>
      </w:r>
      <w:r w:rsidR="00803C72" w:rsidRPr="00924973">
        <w:rPr>
          <w:rFonts w:ascii="Arial" w:hAnsi="Arial" w:cs="Arial"/>
          <w:sz w:val="22"/>
          <w:szCs w:val="22"/>
          <w:lang w:val="en-GB"/>
        </w:rPr>
        <w:t>.</w:t>
      </w:r>
    </w:p>
    <w:p w14:paraId="4BBBDE96" w14:textId="77777777" w:rsidR="00924973" w:rsidRPr="00924973" w:rsidRDefault="00924973" w:rsidP="00924973">
      <w:pPr>
        <w:jc w:val="both"/>
        <w:rPr>
          <w:rFonts w:ascii="Arial" w:hAnsi="Arial" w:cs="Arial"/>
          <w:sz w:val="22"/>
          <w:szCs w:val="22"/>
          <w:lang w:val="en-GB"/>
        </w:rPr>
      </w:pPr>
    </w:p>
    <w:p w14:paraId="682992C3" w14:textId="01570C51" w:rsidR="00920BE7" w:rsidRPr="00D73BA5" w:rsidRDefault="00853B56" w:rsidP="00924973">
      <w:pPr>
        <w:pStyle w:val="ListParagraph"/>
        <w:numPr>
          <w:ilvl w:val="0"/>
          <w:numId w:val="38"/>
        </w:numPr>
        <w:ind w:left="426"/>
        <w:jc w:val="both"/>
        <w:rPr>
          <w:rFonts w:ascii="Arial" w:hAnsi="Arial" w:cs="Arial"/>
          <w:sz w:val="22"/>
          <w:szCs w:val="22"/>
          <w:highlight w:val="yellow"/>
          <w:lang w:val="en-GB"/>
        </w:rPr>
      </w:pPr>
      <w:r w:rsidRPr="00D73BA5">
        <w:rPr>
          <w:rFonts w:ascii="Arial" w:hAnsi="Arial" w:cs="Arial"/>
          <w:sz w:val="22"/>
          <w:szCs w:val="22"/>
          <w:highlight w:val="yellow"/>
          <w:lang w:val="en-GB"/>
        </w:rPr>
        <w:t>Amounts due to p</w:t>
      </w:r>
      <w:r w:rsidR="005327B7" w:rsidRPr="00D73BA5">
        <w:rPr>
          <w:rFonts w:ascii="Arial" w:hAnsi="Arial" w:cs="Arial"/>
          <w:sz w:val="22"/>
          <w:szCs w:val="22"/>
          <w:highlight w:val="yellow"/>
          <w:lang w:val="en-GB"/>
        </w:rPr>
        <w:t>referred shareholders</w:t>
      </w:r>
      <w:r w:rsidR="00803C72" w:rsidRPr="00D73BA5">
        <w:rPr>
          <w:rFonts w:ascii="Arial" w:hAnsi="Arial" w:cs="Arial"/>
          <w:sz w:val="22"/>
          <w:szCs w:val="22"/>
          <w:highlight w:val="yellow"/>
          <w:lang w:val="en-GB"/>
        </w:rPr>
        <w:t>.</w:t>
      </w:r>
    </w:p>
    <w:p w14:paraId="03804184" w14:textId="77777777" w:rsidR="00924973" w:rsidRPr="00924973" w:rsidRDefault="00924973" w:rsidP="00924973">
      <w:pPr>
        <w:jc w:val="both"/>
        <w:rPr>
          <w:rFonts w:ascii="Arial" w:hAnsi="Arial" w:cs="Arial"/>
          <w:sz w:val="22"/>
          <w:szCs w:val="22"/>
          <w:lang w:val="en-GB"/>
        </w:rPr>
      </w:pPr>
    </w:p>
    <w:p w14:paraId="1CB15487" w14:textId="6A5E205F"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Sums due to depositors (if the company is a bank)</w:t>
      </w:r>
      <w:r w:rsidR="00803C72" w:rsidRPr="00924973">
        <w:rPr>
          <w:rFonts w:ascii="Arial" w:hAnsi="Arial" w:cs="Arial"/>
          <w:sz w:val="22"/>
          <w:szCs w:val="22"/>
          <w:lang w:val="en-GB"/>
        </w:rPr>
        <w:t>.</w:t>
      </w:r>
    </w:p>
    <w:p w14:paraId="380CC36C" w14:textId="77777777" w:rsidR="00924973" w:rsidRPr="00924973" w:rsidRDefault="00924973" w:rsidP="00924973">
      <w:pPr>
        <w:jc w:val="both"/>
        <w:rPr>
          <w:rFonts w:ascii="Arial" w:hAnsi="Arial" w:cs="Arial"/>
          <w:sz w:val="22"/>
          <w:szCs w:val="22"/>
          <w:lang w:val="en-GB"/>
        </w:rPr>
      </w:pPr>
    </w:p>
    <w:p w14:paraId="35B146E3" w14:textId="3FEC30FF" w:rsidR="00920BE7" w:rsidRPr="00924973"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Unsecured debts which are not subject to subordination agreements</w:t>
      </w:r>
      <w:r w:rsidR="00803C72" w:rsidRPr="00924973">
        <w:rPr>
          <w:rFonts w:ascii="Arial" w:hAnsi="Arial" w:cs="Arial"/>
          <w:sz w:val="22"/>
          <w:szCs w:val="22"/>
          <w:lang w:val="en-GB"/>
        </w:rPr>
        <w:t>.</w:t>
      </w:r>
    </w:p>
    <w:p w14:paraId="63207AC8" w14:textId="77777777" w:rsidR="00924973" w:rsidRPr="00924973" w:rsidRDefault="00924973" w:rsidP="00924973">
      <w:pPr>
        <w:jc w:val="both"/>
        <w:rPr>
          <w:rFonts w:ascii="Arial" w:hAnsi="Arial" w:cs="Arial"/>
          <w:sz w:val="22"/>
          <w:szCs w:val="22"/>
          <w:lang w:val="en-GB"/>
        </w:rPr>
      </w:pPr>
    </w:p>
    <w:p w14:paraId="1F24CE49" w14:textId="7864EF59" w:rsidR="00E9597C" w:rsidRDefault="00E9597C" w:rsidP="00C55824">
      <w:pPr>
        <w:jc w:val="both"/>
        <w:rPr>
          <w:rFonts w:ascii="Arial" w:hAnsi="Arial" w:cs="Arial"/>
          <w:b/>
          <w:bCs/>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9</w:t>
      </w:r>
    </w:p>
    <w:p w14:paraId="7F238F5C" w14:textId="7021D409" w:rsidR="00416D2B" w:rsidRDefault="00416D2B" w:rsidP="00C55824">
      <w:pPr>
        <w:jc w:val="both"/>
        <w:rPr>
          <w:rFonts w:ascii="Arial" w:hAnsi="Arial" w:cs="Arial"/>
          <w:sz w:val="22"/>
          <w:szCs w:val="22"/>
        </w:rPr>
      </w:pPr>
    </w:p>
    <w:p w14:paraId="5CD05408" w14:textId="49A1F09E" w:rsidR="005327B7" w:rsidRPr="00D06A87" w:rsidRDefault="00D06A87" w:rsidP="00C55824">
      <w:pPr>
        <w:jc w:val="both"/>
        <w:rPr>
          <w:rFonts w:ascii="Arial" w:hAnsi="Arial" w:cs="Arial"/>
          <w:sz w:val="22"/>
          <w:szCs w:val="22"/>
        </w:rPr>
      </w:pPr>
      <w:r w:rsidRPr="00D06A87">
        <w:rPr>
          <w:rFonts w:ascii="Arial" w:hAnsi="Arial" w:cs="Arial"/>
          <w:sz w:val="22"/>
          <w:szCs w:val="22"/>
        </w:rPr>
        <w:t>Select the</w:t>
      </w:r>
      <w:r>
        <w:rPr>
          <w:rFonts w:ascii="Arial" w:hAnsi="Arial" w:cs="Arial"/>
          <w:b/>
          <w:bCs/>
          <w:sz w:val="22"/>
          <w:szCs w:val="22"/>
        </w:rPr>
        <w:t xml:space="preserve"> </w:t>
      </w:r>
      <w:r w:rsidR="005327B7" w:rsidRPr="00924973">
        <w:rPr>
          <w:rFonts w:ascii="Arial" w:hAnsi="Arial" w:cs="Arial"/>
          <w:b/>
          <w:bCs/>
          <w:sz w:val="22"/>
          <w:szCs w:val="22"/>
          <w:u w:val="single"/>
        </w:rPr>
        <w:t>incorrect</w:t>
      </w:r>
      <w:r w:rsidRPr="00924973">
        <w:rPr>
          <w:rFonts w:ascii="Arial" w:hAnsi="Arial" w:cs="Arial"/>
          <w:b/>
          <w:bCs/>
          <w:sz w:val="22"/>
          <w:szCs w:val="22"/>
          <w:u w:val="single"/>
        </w:rPr>
        <w:t xml:space="preserve"> statement</w:t>
      </w:r>
      <w:r>
        <w:rPr>
          <w:rFonts w:ascii="Arial" w:hAnsi="Arial" w:cs="Arial"/>
          <w:sz w:val="22"/>
          <w:szCs w:val="22"/>
        </w:rPr>
        <w:t>.</w:t>
      </w:r>
    </w:p>
    <w:p w14:paraId="7FF18900" w14:textId="77777777" w:rsidR="005327B7" w:rsidRDefault="005327B7" w:rsidP="00C55824">
      <w:pPr>
        <w:jc w:val="both"/>
        <w:rPr>
          <w:rFonts w:ascii="Arial" w:hAnsi="Arial" w:cs="Arial"/>
          <w:sz w:val="22"/>
          <w:szCs w:val="22"/>
        </w:rPr>
      </w:pPr>
    </w:p>
    <w:p w14:paraId="2ED89E77" w14:textId="535A7DF3" w:rsidR="00416D2B" w:rsidRDefault="005327B7" w:rsidP="00C55824">
      <w:pPr>
        <w:jc w:val="both"/>
        <w:rPr>
          <w:rFonts w:ascii="Arial" w:hAnsi="Arial" w:cs="Arial"/>
          <w:sz w:val="22"/>
          <w:szCs w:val="22"/>
        </w:rPr>
      </w:pPr>
      <w:r>
        <w:rPr>
          <w:rFonts w:ascii="Arial" w:hAnsi="Arial" w:cs="Arial"/>
          <w:sz w:val="22"/>
          <w:szCs w:val="22"/>
        </w:rPr>
        <w:t>A company may be wou</w:t>
      </w:r>
      <w:r w:rsidR="00853B56">
        <w:rPr>
          <w:rFonts w:ascii="Arial" w:hAnsi="Arial" w:cs="Arial"/>
          <w:sz w:val="22"/>
          <w:szCs w:val="22"/>
        </w:rPr>
        <w:t>n</w:t>
      </w:r>
      <w:r>
        <w:rPr>
          <w:rFonts w:ascii="Arial" w:hAnsi="Arial" w:cs="Arial"/>
          <w:sz w:val="22"/>
          <w:szCs w:val="22"/>
        </w:rPr>
        <w:t>d up by the Grand Court if:</w:t>
      </w:r>
    </w:p>
    <w:p w14:paraId="64C89572" w14:textId="77777777" w:rsidR="005327B7" w:rsidRDefault="005327B7" w:rsidP="00C55824">
      <w:pPr>
        <w:jc w:val="both"/>
        <w:rPr>
          <w:rFonts w:ascii="Arial" w:hAnsi="Arial" w:cs="Arial"/>
          <w:sz w:val="22"/>
          <w:szCs w:val="22"/>
        </w:rPr>
      </w:pPr>
    </w:p>
    <w:p w14:paraId="183FD236" w14:textId="08DE295D" w:rsidR="002C4B43"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passes a special resolution requiring it to be wound up</w:t>
      </w:r>
      <w:r w:rsidR="00D06A87" w:rsidRPr="00924973">
        <w:rPr>
          <w:rFonts w:ascii="Arial" w:hAnsi="Arial" w:cs="Arial"/>
          <w:sz w:val="22"/>
          <w:szCs w:val="22"/>
          <w:lang w:val="en-GB"/>
        </w:rPr>
        <w:t>.</w:t>
      </w:r>
    </w:p>
    <w:p w14:paraId="4DE59BAB" w14:textId="77777777" w:rsidR="00924973" w:rsidRPr="00924973" w:rsidRDefault="00924973" w:rsidP="00924973">
      <w:pPr>
        <w:jc w:val="both"/>
        <w:rPr>
          <w:rFonts w:ascii="Arial" w:hAnsi="Arial" w:cs="Arial"/>
          <w:sz w:val="22"/>
          <w:szCs w:val="22"/>
          <w:lang w:val="en-GB"/>
        </w:rPr>
      </w:pPr>
    </w:p>
    <w:p w14:paraId="3C399740" w14:textId="7C91C283" w:rsidR="005327B7"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does not commence business within a year of incorporation</w:t>
      </w:r>
      <w:r w:rsidR="00D06A87" w:rsidRPr="00924973">
        <w:rPr>
          <w:rFonts w:ascii="Arial" w:hAnsi="Arial" w:cs="Arial"/>
          <w:sz w:val="22"/>
          <w:szCs w:val="22"/>
          <w:lang w:val="en-GB"/>
        </w:rPr>
        <w:t>.</w:t>
      </w:r>
    </w:p>
    <w:p w14:paraId="7EE02228" w14:textId="77777777" w:rsidR="00924973" w:rsidRPr="00924973" w:rsidRDefault="00924973" w:rsidP="00924973">
      <w:pPr>
        <w:jc w:val="both"/>
        <w:rPr>
          <w:rFonts w:ascii="Arial" w:hAnsi="Arial" w:cs="Arial"/>
          <w:sz w:val="22"/>
          <w:szCs w:val="22"/>
          <w:lang w:val="en-GB"/>
        </w:rPr>
      </w:pPr>
    </w:p>
    <w:p w14:paraId="4693129F" w14:textId="778B616C" w:rsidR="005327B7"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is unable to pay its debts</w:t>
      </w:r>
      <w:r w:rsidR="00D06A87" w:rsidRPr="00924973">
        <w:rPr>
          <w:rFonts w:ascii="Arial" w:hAnsi="Arial" w:cs="Arial"/>
          <w:sz w:val="22"/>
          <w:szCs w:val="22"/>
          <w:lang w:val="en-GB"/>
        </w:rPr>
        <w:t>.</w:t>
      </w:r>
    </w:p>
    <w:p w14:paraId="3925670B" w14:textId="77777777" w:rsidR="00924973" w:rsidRPr="00924973" w:rsidRDefault="00924973" w:rsidP="00924973">
      <w:pPr>
        <w:jc w:val="both"/>
        <w:rPr>
          <w:rFonts w:ascii="Arial" w:hAnsi="Arial" w:cs="Arial"/>
          <w:sz w:val="22"/>
          <w:szCs w:val="22"/>
          <w:lang w:val="en-GB"/>
        </w:rPr>
      </w:pPr>
    </w:p>
    <w:p w14:paraId="54C62EA5" w14:textId="6AEEDFBE" w:rsidR="005327B7" w:rsidRPr="00D73BA5" w:rsidRDefault="005327B7" w:rsidP="00924973">
      <w:pPr>
        <w:pStyle w:val="ListParagraph"/>
        <w:numPr>
          <w:ilvl w:val="0"/>
          <w:numId w:val="39"/>
        </w:numPr>
        <w:ind w:left="426"/>
        <w:jc w:val="both"/>
        <w:rPr>
          <w:rFonts w:ascii="Arial" w:hAnsi="Arial" w:cs="Arial"/>
          <w:sz w:val="22"/>
          <w:szCs w:val="22"/>
          <w:highlight w:val="yellow"/>
          <w:lang w:val="en-GB"/>
        </w:rPr>
      </w:pPr>
      <w:r w:rsidRPr="00D73BA5">
        <w:rPr>
          <w:rFonts w:ascii="Arial" w:hAnsi="Arial" w:cs="Arial"/>
          <w:sz w:val="22"/>
          <w:szCs w:val="22"/>
          <w:highlight w:val="yellow"/>
          <w:lang w:val="en-GB"/>
        </w:rPr>
        <w:t>The board of directors decides it is “just and equitable” for the company to be wound up</w:t>
      </w:r>
      <w:r w:rsidR="00D06A87" w:rsidRPr="00D73BA5">
        <w:rPr>
          <w:rFonts w:ascii="Arial" w:hAnsi="Arial" w:cs="Arial"/>
          <w:sz w:val="22"/>
          <w:szCs w:val="22"/>
          <w:highlight w:val="yellow"/>
          <w:lang w:val="en-GB"/>
        </w:rPr>
        <w:t>.</w:t>
      </w:r>
    </w:p>
    <w:p w14:paraId="690A788D" w14:textId="77777777" w:rsidR="00924973" w:rsidRPr="00924973" w:rsidRDefault="00924973" w:rsidP="00924973">
      <w:pPr>
        <w:jc w:val="both"/>
        <w:rPr>
          <w:rFonts w:ascii="Arial" w:hAnsi="Arial" w:cs="Arial"/>
          <w:sz w:val="22"/>
          <w:szCs w:val="22"/>
          <w:lang w:val="en-GB"/>
        </w:rPr>
      </w:pPr>
    </w:p>
    <w:p w14:paraId="00D29C75" w14:textId="49F30AB5" w:rsidR="005327B7" w:rsidRPr="00924973"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is carrying on regulated business in the Cayman Islands without a license.</w:t>
      </w:r>
    </w:p>
    <w:p w14:paraId="5BB957E4" w14:textId="7713BAF2" w:rsidR="00416D2B" w:rsidRDefault="00416D2B" w:rsidP="002A37BB">
      <w:pPr>
        <w:jc w:val="both"/>
        <w:rPr>
          <w:rFonts w:ascii="Arial" w:hAnsi="Arial" w:cs="Arial"/>
          <w:bCs/>
          <w:sz w:val="22"/>
          <w:szCs w:val="22"/>
          <w:lang w:val="en-GB"/>
        </w:rPr>
      </w:pPr>
    </w:p>
    <w:p w14:paraId="4AF7C45C" w14:textId="1E34CD5F" w:rsidR="00924973" w:rsidRDefault="00924973" w:rsidP="002A37BB">
      <w:pPr>
        <w:jc w:val="both"/>
        <w:rPr>
          <w:rFonts w:ascii="Arial" w:hAnsi="Arial" w:cs="Arial"/>
          <w:bCs/>
          <w:sz w:val="22"/>
          <w:szCs w:val="22"/>
          <w:lang w:val="en-GB"/>
        </w:rPr>
      </w:pPr>
    </w:p>
    <w:p w14:paraId="6AB78815" w14:textId="1DEC6DEA" w:rsidR="00924973" w:rsidRDefault="00924973" w:rsidP="002A37BB">
      <w:pPr>
        <w:jc w:val="both"/>
        <w:rPr>
          <w:rFonts w:ascii="Arial" w:hAnsi="Arial" w:cs="Arial"/>
          <w:bCs/>
          <w:sz w:val="22"/>
          <w:szCs w:val="22"/>
          <w:lang w:val="en-GB"/>
        </w:rPr>
      </w:pPr>
    </w:p>
    <w:p w14:paraId="12416D26" w14:textId="77777777" w:rsidR="00924973" w:rsidRDefault="00924973" w:rsidP="002A37BB">
      <w:pPr>
        <w:jc w:val="both"/>
        <w:rPr>
          <w:rFonts w:ascii="Arial" w:hAnsi="Arial" w:cs="Arial"/>
          <w:bCs/>
          <w:sz w:val="22"/>
          <w:szCs w:val="22"/>
          <w:lang w:val="en-GB"/>
        </w:rPr>
      </w:pPr>
    </w:p>
    <w:p w14:paraId="32CA346B" w14:textId="533F1813" w:rsidR="000F6063" w:rsidRPr="00B9639B" w:rsidRDefault="000F6063" w:rsidP="000F6063">
      <w:pPr>
        <w:jc w:val="both"/>
        <w:rPr>
          <w:rFonts w:ascii="Arial" w:hAnsi="Arial" w:cs="Arial"/>
          <w:sz w:val="22"/>
          <w:szCs w:val="22"/>
        </w:rPr>
      </w:pPr>
      <w:r w:rsidRPr="00B9639B">
        <w:rPr>
          <w:rFonts w:ascii="Arial" w:hAnsi="Arial" w:cs="Arial"/>
          <w:b/>
          <w:bCs/>
          <w:sz w:val="22"/>
          <w:szCs w:val="22"/>
        </w:rPr>
        <w:t xml:space="preserve">Question </w:t>
      </w:r>
      <w:r>
        <w:rPr>
          <w:rFonts w:ascii="Arial" w:hAnsi="Arial" w:cs="Arial"/>
          <w:b/>
          <w:bCs/>
          <w:sz w:val="22"/>
          <w:szCs w:val="22"/>
        </w:rPr>
        <w:t>1.</w:t>
      </w:r>
      <w:r w:rsidR="00CB2364">
        <w:rPr>
          <w:rFonts w:ascii="Arial" w:hAnsi="Arial" w:cs="Arial"/>
          <w:b/>
          <w:bCs/>
          <w:sz w:val="22"/>
          <w:szCs w:val="22"/>
        </w:rPr>
        <w:t>10</w:t>
      </w:r>
    </w:p>
    <w:p w14:paraId="1249C524" w14:textId="77777777" w:rsidR="000F6063" w:rsidRPr="00B9639B" w:rsidRDefault="000F6063" w:rsidP="000F6063">
      <w:pPr>
        <w:jc w:val="both"/>
        <w:rPr>
          <w:rFonts w:ascii="Arial" w:hAnsi="Arial" w:cs="Arial"/>
          <w:sz w:val="22"/>
          <w:szCs w:val="22"/>
        </w:rPr>
      </w:pPr>
    </w:p>
    <w:p w14:paraId="331CA882" w14:textId="77777777" w:rsidR="000F6063" w:rsidRDefault="000F6063" w:rsidP="000F6063">
      <w:pPr>
        <w:ind w:left="720" w:hanging="720"/>
        <w:rPr>
          <w:rFonts w:ascii="Arial" w:hAnsi="Arial" w:cs="Arial"/>
          <w:sz w:val="22"/>
          <w:szCs w:val="22"/>
          <w:lang w:val="en-GB"/>
        </w:rPr>
      </w:pPr>
      <w:r w:rsidRPr="00D06A87">
        <w:rPr>
          <w:rFonts w:ascii="Arial" w:hAnsi="Arial" w:cs="Arial"/>
          <w:sz w:val="22"/>
          <w:szCs w:val="22"/>
          <w:lang w:val="en-GB"/>
        </w:rPr>
        <w:t>Select the</w:t>
      </w:r>
      <w:r w:rsidRPr="00023705">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6D794011" w14:textId="77777777" w:rsidR="000F6063" w:rsidRDefault="000F6063" w:rsidP="000F6063">
      <w:pPr>
        <w:ind w:left="720" w:hanging="720"/>
        <w:rPr>
          <w:rFonts w:ascii="Arial" w:hAnsi="Arial" w:cs="Arial"/>
          <w:sz w:val="22"/>
          <w:szCs w:val="22"/>
          <w:lang w:val="en-GB"/>
        </w:rPr>
      </w:pPr>
    </w:p>
    <w:p w14:paraId="5F9BB8E5" w14:textId="77777777" w:rsidR="000F6063" w:rsidRDefault="000F6063" w:rsidP="000F6063">
      <w:pPr>
        <w:jc w:val="both"/>
        <w:rPr>
          <w:rFonts w:ascii="Arial" w:hAnsi="Arial" w:cs="Arial"/>
          <w:sz w:val="22"/>
          <w:szCs w:val="22"/>
          <w:lang w:val="en-GB"/>
        </w:rPr>
      </w:pPr>
      <w:r w:rsidRPr="002C4B43">
        <w:rPr>
          <w:rFonts w:ascii="Arial" w:hAnsi="Arial" w:cs="Arial"/>
          <w:sz w:val="22"/>
          <w:szCs w:val="22"/>
          <w:lang w:val="en-GB"/>
        </w:rPr>
        <w:t>In order for</w:t>
      </w:r>
      <w:r>
        <w:rPr>
          <w:rFonts w:ascii="Arial" w:hAnsi="Arial" w:cs="Arial"/>
          <w:sz w:val="22"/>
          <w:szCs w:val="22"/>
          <w:lang w:val="en-GB"/>
        </w:rPr>
        <w:t xml:space="preserve"> a proposed scheme of arrangement to be approved:</w:t>
      </w:r>
    </w:p>
    <w:p w14:paraId="7411189B" w14:textId="77777777" w:rsidR="000F6063" w:rsidRDefault="000F6063" w:rsidP="000F6063">
      <w:pPr>
        <w:jc w:val="both"/>
        <w:rPr>
          <w:rFonts w:ascii="Arial" w:hAnsi="Arial" w:cs="Arial"/>
          <w:sz w:val="22"/>
          <w:szCs w:val="22"/>
          <w:lang w:val="en-GB"/>
        </w:rPr>
      </w:pPr>
    </w:p>
    <w:p w14:paraId="4EE9F655" w14:textId="48967889"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50% or more representing 75% or more in value of the creditors must agree.</w:t>
      </w:r>
    </w:p>
    <w:p w14:paraId="4F9B018D" w14:textId="77777777" w:rsidR="00924973" w:rsidRPr="00924973" w:rsidRDefault="00924973" w:rsidP="00924973">
      <w:pPr>
        <w:jc w:val="both"/>
        <w:rPr>
          <w:rFonts w:ascii="Arial" w:hAnsi="Arial" w:cs="Arial"/>
          <w:sz w:val="22"/>
          <w:szCs w:val="22"/>
          <w:lang w:val="en-GB"/>
        </w:rPr>
      </w:pPr>
    </w:p>
    <w:p w14:paraId="009BF6D2" w14:textId="089759A4"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 xml:space="preserve">50% or more representing more than 75% </w:t>
      </w:r>
      <w:proofErr w:type="spellStart"/>
      <w:r w:rsidRPr="00924973">
        <w:rPr>
          <w:rFonts w:ascii="Arial" w:hAnsi="Arial" w:cs="Arial"/>
          <w:sz w:val="22"/>
          <w:szCs w:val="22"/>
          <w:lang w:val="en-GB"/>
        </w:rPr>
        <w:t>f</w:t>
      </w:r>
      <w:proofErr w:type="spellEnd"/>
      <w:r w:rsidRPr="00924973">
        <w:rPr>
          <w:rFonts w:ascii="Arial" w:hAnsi="Arial" w:cs="Arial"/>
          <w:sz w:val="22"/>
          <w:szCs w:val="22"/>
          <w:lang w:val="en-GB"/>
        </w:rPr>
        <w:t xml:space="preserve"> the creditors must agree.</w:t>
      </w:r>
    </w:p>
    <w:p w14:paraId="31568CC5" w14:textId="77777777" w:rsidR="00924973" w:rsidRPr="00924973" w:rsidRDefault="00924973" w:rsidP="00924973">
      <w:pPr>
        <w:jc w:val="both"/>
        <w:rPr>
          <w:rFonts w:ascii="Arial" w:hAnsi="Arial" w:cs="Arial"/>
          <w:sz w:val="22"/>
          <w:szCs w:val="22"/>
          <w:lang w:val="en-GB"/>
        </w:rPr>
      </w:pPr>
    </w:p>
    <w:p w14:paraId="7A5884E4" w14:textId="60633123"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More than 50% representing more than 75% of the creditors must agree.</w:t>
      </w:r>
    </w:p>
    <w:p w14:paraId="5861082B" w14:textId="77777777" w:rsidR="00924973" w:rsidRPr="00924973" w:rsidRDefault="00924973" w:rsidP="00924973">
      <w:pPr>
        <w:jc w:val="both"/>
        <w:rPr>
          <w:rFonts w:ascii="Arial" w:hAnsi="Arial" w:cs="Arial"/>
          <w:sz w:val="22"/>
          <w:szCs w:val="22"/>
          <w:lang w:val="en-GB"/>
        </w:rPr>
      </w:pPr>
    </w:p>
    <w:p w14:paraId="30EF1E49" w14:textId="77777777" w:rsidR="000F6063" w:rsidRPr="004A26C9" w:rsidRDefault="000F6063" w:rsidP="00924973">
      <w:pPr>
        <w:pStyle w:val="ListParagraph"/>
        <w:numPr>
          <w:ilvl w:val="0"/>
          <w:numId w:val="40"/>
        </w:numPr>
        <w:ind w:left="426"/>
        <w:jc w:val="both"/>
        <w:rPr>
          <w:rFonts w:ascii="Arial" w:hAnsi="Arial" w:cs="Arial"/>
          <w:sz w:val="22"/>
          <w:szCs w:val="22"/>
          <w:highlight w:val="yellow"/>
          <w:lang w:val="en-GB"/>
        </w:rPr>
      </w:pPr>
      <w:r w:rsidRPr="004A26C9">
        <w:rPr>
          <w:rFonts w:ascii="Arial" w:hAnsi="Arial" w:cs="Arial"/>
          <w:sz w:val="22"/>
          <w:szCs w:val="22"/>
          <w:highlight w:val="yellow"/>
          <w:lang w:val="en-GB"/>
        </w:rPr>
        <w:t>More than 50% representing 75% or more in value of the creditors must agree.</w:t>
      </w:r>
    </w:p>
    <w:p w14:paraId="2A56CB6A" w14:textId="5CD2A009" w:rsidR="00AB0E3A" w:rsidRDefault="00AB0E3A" w:rsidP="002A37BB">
      <w:pPr>
        <w:jc w:val="both"/>
        <w:rPr>
          <w:rFonts w:ascii="Arial" w:hAnsi="Arial" w:cs="Arial"/>
          <w:bCs/>
          <w:sz w:val="22"/>
          <w:szCs w:val="22"/>
          <w:lang w:val="en-GB"/>
        </w:rPr>
      </w:pPr>
    </w:p>
    <w:p w14:paraId="17525F1A" w14:textId="77777777" w:rsidR="00924973" w:rsidRPr="00C55824" w:rsidRDefault="00924973" w:rsidP="002A37BB">
      <w:pPr>
        <w:jc w:val="both"/>
        <w:rPr>
          <w:rFonts w:ascii="Arial" w:hAnsi="Arial" w:cs="Arial"/>
          <w:bCs/>
          <w:sz w:val="22"/>
          <w:szCs w:val="22"/>
          <w:lang w:val="en-GB"/>
        </w:rPr>
      </w:pPr>
    </w:p>
    <w:p w14:paraId="724CD0FC"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07FA3AF4" w14:textId="77777777" w:rsidR="00962045" w:rsidRPr="002A37BB" w:rsidRDefault="00962045" w:rsidP="002A37BB">
      <w:pPr>
        <w:ind w:left="720" w:hanging="720"/>
        <w:jc w:val="both"/>
        <w:rPr>
          <w:rFonts w:ascii="Arial" w:hAnsi="Arial" w:cs="Arial"/>
          <w:sz w:val="22"/>
          <w:szCs w:val="22"/>
          <w:lang w:val="en-GB"/>
        </w:rPr>
      </w:pPr>
    </w:p>
    <w:p w14:paraId="68D286BD" w14:textId="504A8FE8" w:rsidR="00D27CBC" w:rsidRPr="002B3A96" w:rsidRDefault="00D27CBC" w:rsidP="00D27CBC">
      <w:pPr>
        <w:jc w:val="both"/>
        <w:rPr>
          <w:rFonts w:ascii="Arial" w:hAnsi="Arial" w:cs="Arial"/>
          <w:b/>
          <w:bCs/>
          <w:sz w:val="22"/>
          <w:szCs w:val="22"/>
          <w:lang w:val="en-GB"/>
        </w:rPr>
      </w:pPr>
      <w:r w:rsidRPr="002B3A96">
        <w:rPr>
          <w:rFonts w:ascii="Arial" w:hAnsi="Arial" w:cs="Arial"/>
          <w:b/>
          <w:bCs/>
          <w:sz w:val="22"/>
          <w:szCs w:val="22"/>
          <w:lang w:val="en-GB"/>
        </w:rPr>
        <w:t>Question 2.1 [maximum</w:t>
      </w:r>
      <w:r w:rsidR="002B3A96" w:rsidRPr="002B3A96">
        <w:rPr>
          <w:rFonts w:ascii="Arial" w:hAnsi="Arial" w:cs="Arial"/>
          <w:b/>
          <w:bCs/>
          <w:sz w:val="22"/>
          <w:szCs w:val="22"/>
          <w:lang w:val="en-GB"/>
        </w:rPr>
        <w:t xml:space="preserve"> </w:t>
      </w:r>
      <w:r w:rsidR="00BC3A55">
        <w:rPr>
          <w:rFonts w:ascii="Arial" w:hAnsi="Arial" w:cs="Arial"/>
          <w:b/>
          <w:bCs/>
          <w:sz w:val="22"/>
          <w:szCs w:val="22"/>
          <w:lang w:val="en-GB"/>
        </w:rPr>
        <w:t>3</w:t>
      </w:r>
      <w:r w:rsidR="002B3A96" w:rsidRPr="002B3A96">
        <w:rPr>
          <w:rFonts w:ascii="Arial" w:hAnsi="Arial" w:cs="Arial"/>
          <w:b/>
          <w:bCs/>
          <w:sz w:val="22"/>
          <w:szCs w:val="22"/>
          <w:lang w:val="en-GB"/>
        </w:rPr>
        <w:t xml:space="preserve"> marks]</w:t>
      </w:r>
      <w:r w:rsidRPr="002B3A96">
        <w:rPr>
          <w:rFonts w:ascii="Arial" w:hAnsi="Arial" w:cs="Arial"/>
          <w:b/>
          <w:bCs/>
          <w:sz w:val="22"/>
          <w:szCs w:val="22"/>
          <w:lang w:val="en-GB"/>
        </w:rPr>
        <w:t xml:space="preserve"> </w:t>
      </w:r>
    </w:p>
    <w:p w14:paraId="6F87FF23" w14:textId="77777777" w:rsidR="00D27CBC" w:rsidRDefault="00D27CBC" w:rsidP="00D27CBC">
      <w:pPr>
        <w:jc w:val="both"/>
        <w:rPr>
          <w:rFonts w:ascii="Arial" w:hAnsi="Arial" w:cs="Arial"/>
          <w:sz w:val="22"/>
          <w:szCs w:val="22"/>
          <w:lang w:val="en-GB"/>
        </w:rPr>
      </w:pPr>
    </w:p>
    <w:p w14:paraId="4F53D2EE" w14:textId="0001079A" w:rsidR="00D27CBC" w:rsidRDefault="00CB2364" w:rsidP="00D27CBC">
      <w:pPr>
        <w:jc w:val="both"/>
        <w:rPr>
          <w:rFonts w:ascii="Arial" w:hAnsi="Arial" w:cs="Arial"/>
          <w:sz w:val="22"/>
          <w:szCs w:val="22"/>
          <w:lang w:val="en-GB"/>
        </w:rPr>
      </w:pPr>
      <w:r>
        <w:rPr>
          <w:rFonts w:ascii="Arial" w:hAnsi="Arial" w:cs="Arial"/>
          <w:sz w:val="22"/>
          <w:szCs w:val="22"/>
          <w:lang w:val="en-GB"/>
        </w:rPr>
        <w:t xml:space="preserve">Is it possible </w:t>
      </w:r>
      <w:r w:rsidR="000659CF">
        <w:rPr>
          <w:rFonts w:ascii="Arial" w:hAnsi="Arial" w:cs="Arial"/>
          <w:sz w:val="22"/>
          <w:szCs w:val="22"/>
          <w:lang w:val="en-GB"/>
        </w:rPr>
        <w:t xml:space="preserve">for a creditor </w:t>
      </w:r>
      <w:r>
        <w:rPr>
          <w:rFonts w:ascii="Arial" w:hAnsi="Arial" w:cs="Arial"/>
          <w:sz w:val="22"/>
          <w:szCs w:val="22"/>
          <w:lang w:val="en-GB"/>
        </w:rPr>
        <w:t xml:space="preserve">to </w:t>
      </w:r>
      <w:r w:rsidR="00E45C5C">
        <w:rPr>
          <w:rFonts w:ascii="Arial" w:hAnsi="Arial" w:cs="Arial"/>
          <w:sz w:val="22"/>
          <w:szCs w:val="22"/>
          <w:lang w:val="en-GB"/>
        </w:rPr>
        <w:t xml:space="preserve">register </w:t>
      </w:r>
      <w:r w:rsidR="000659CF">
        <w:rPr>
          <w:rFonts w:ascii="Arial" w:hAnsi="Arial" w:cs="Arial"/>
          <w:sz w:val="22"/>
          <w:szCs w:val="22"/>
          <w:lang w:val="en-GB"/>
        </w:rPr>
        <w:t xml:space="preserve">its </w:t>
      </w:r>
      <w:r w:rsidR="00E45C5C">
        <w:rPr>
          <w:rFonts w:ascii="Arial" w:hAnsi="Arial" w:cs="Arial"/>
          <w:sz w:val="22"/>
          <w:szCs w:val="22"/>
          <w:lang w:val="en-GB"/>
        </w:rPr>
        <w:t xml:space="preserve">security over </w:t>
      </w:r>
      <w:r w:rsidR="002A2C21">
        <w:rPr>
          <w:rFonts w:ascii="Arial" w:hAnsi="Arial" w:cs="Arial"/>
          <w:sz w:val="22"/>
          <w:szCs w:val="22"/>
          <w:lang w:val="en-GB"/>
        </w:rPr>
        <w:t>an</w:t>
      </w:r>
      <w:r w:rsidR="00E45C5C">
        <w:rPr>
          <w:rFonts w:ascii="Arial" w:hAnsi="Arial" w:cs="Arial"/>
          <w:sz w:val="22"/>
          <w:szCs w:val="22"/>
          <w:lang w:val="en-GB"/>
        </w:rPr>
        <w:t xml:space="preserve"> asset in the Cayman Islands</w:t>
      </w:r>
      <w:r>
        <w:rPr>
          <w:rFonts w:ascii="Arial" w:hAnsi="Arial" w:cs="Arial"/>
          <w:sz w:val="22"/>
          <w:szCs w:val="22"/>
          <w:lang w:val="en-GB"/>
        </w:rPr>
        <w:t>? If so, how</w:t>
      </w:r>
      <w:r w:rsidR="00924973">
        <w:rPr>
          <w:rFonts w:ascii="Arial" w:hAnsi="Arial" w:cs="Arial"/>
          <w:sz w:val="22"/>
          <w:szCs w:val="22"/>
          <w:lang w:val="en-GB"/>
        </w:rPr>
        <w:t>,</w:t>
      </w:r>
      <w:r>
        <w:rPr>
          <w:rFonts w:ascii="Arial" w:hAnsi="Arial" w:cs="Arial"/>
          <w:sz w:val="22"/>
          <w:szCs w:val="22"/>
          <w:lang w:val="en-GB"/>
        </w:rPr>
        <w:t xml:space="preserve"> </w:t>
      </w:r>
      <w:r w:rsidR="00924973">
        <w:rPr>
          <w:rFonts w:ascii="Arial" w:hAnsi="Arial" w:cs="Arial"/>
          <w:sz w:val="22"/>
          <w:szCs w:val="22"/>
          <w:lang w:val="en-GB"/>
        </w:rPr>
        <w:t>a</w:t>
      </w:r>
      <w:r>
        <w:rPr>
          <w:rFonts w:ascii="Arial" w:hAnsi="Arial" w:cs="Arial"/>
          <w:sz w:val="22"/>
          <w:szCs w:val="22"/>
          <w:lang w:val="en-GB"/>
        </w:rPr>
        <w:t xml:space="preserve">nd what is the effect of </w:t>
      </w:r>
      <w:r w:rsidR="000659CF">
        <w:rPr>
          <w:rFonts w:ascii="Arial" w:hAnsi="Arial" w:cs="Arial"/>
          <w:sz w:val="22"/>
          <w:szCs w:val="22"/>
          <w:lang w:val="en-GB"/>
        </w:rPr>
        <w:t xml:space="preserve">it </w:t>
      </w:r>
      <w:r>
        <w:rPr>
          <w:rFonts w:ascii="Arial" w:hAnsi="Arial" w:cs="Arial"/>
          <w:sz w:val="22"/>
          <w:szCs w:val="22"/>
          <w:lang w:val="en-GB"/>
        </w:rPr>
        <w:t>doing so, if any?</w:t>
      </w:r>
    </w:p>
    <w:p w14:paraId="14F77008" w14:textId="73919960" w:rsidR="00A26898" w:rsidRDefault="00A26898" w:rsidP="00D27CBC">
      <w:pPr>
        <w:jc w:val="both"/>
        <w:rPr>
          <w:rFonts w:ascii="Arial" w:hAnsi="Arial" w:cs="Arial"/>
          <w:sz w:val="22"/>
          <w:szCs w:val="22"/>
          <w:lang w:val="en-GB"/>
        </w:rPr>
      </w:pPr>
    </w:p>
    <w:p w14:paraId="46084EEA" w14:textId="77777777" w:rsidR="00C5576E" w:rsidRDefault="00C5576E" w:rsidP="00C5576E">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In the Cayman Islands, there is no public registration regime for security (save for registers relating to land, ship, aircraft, motor vehicles, and intellectual property)</w:t>
      </w:r>
      <w:r>
        <w:rPr>
          <w:rStyle w:val="FootnoteReference"/>
          <w:rFonts w:ascii="Arial" w:hAnsi="Arial" w:cs="Arial"/>
          <w:color w:val="808080" w:themeColor="background1" w:themeShade="80"/>
          <w:sz w:val="22"/>
          <w:szCs w:val="22"/>
          <w:lang w:val="en-GB"/>
        </w:rPr>
        <w:footnoteReference w:id="1"/>
      </w:r>
      <w:r>
        <w:rPr>
          <w:rFonts w:ascii="Arial" w:hAnsi="Arial" w:cs="Arial"/>
          <w:color w:val="808080" w:themeColor="background1" w:themeShade="80"/>
          <w:sz w:val="22"/>
          <w:szCs w:val="22"/>
          <w:lang w:val="en-GB"/>
        </w:rPr>
        <w:t>. Although there is no public register for security interests in the Cayman Islands, section 54 of the Companies Act (Revision 2020) (</w:t>
      </w:r>
      <w:r>
        <w:rPr>
          <w:rFonts w:ascii="Arial" w:hAnsi="Arial" w:cs="Arial"/>
          <w:b/>
          <w:color w:val="808080" w:themeColor="background1" w:themeShade="80"/>
          <w:sz w:val="22"/>
          <w:szCs w:val="22"/>
          <w:lang w:val="en-GB"/>
        </w:rPr>
        <w:t>CA (Revision 2020)</w:t>
      </w:r>
      <w:r>
        <w:rPr>
          <w:rFonts w:ascii="Arial" w:hAnsi="Arial" w:cs="Arial"/>
          <w:color w:val="808080" w:themeColor="background1" w:themeShade="80"/>
          <w:sz w:val="22"/>
          <w:szCs w:val="22"/>
          <w:lang w:val="en-GB"/>
        </w:rPr>
        <w:t xml:space="preserve"> expressly mandates Cayman companies to maintain a register of charges and mortgages at their registered office</w:t>
      </w:r>
      <w:r>
        <w:rPr>
          <w:rStyle w:val="FootnoteReference"/>
          <w:rFonts w:ascii="Arial" w:hAnsi="Arial" w:cs="Arial"/>
          <w:color w:val="808080" w:themeColor="background1" w:themeShade="80"/>
          <w:sz w:val="22"/>
          <w:szCs w:val="22"/>
          <w:lang w:val="en-GB"/>
        </w:rPr>
        <w:footnoteReference w:id="2"/>
      </w:r>
      <w:r>
        <w:rPr>
          <w:rFonts w:ascii="Arial" w:hAnsi="Arial" w:cs="Arial"/>
          <w:color w:val="808080" w:themeColor="background1" w:themeShade="80"/>
          <w:sz w:val="22"/>
          <w:szCs w:val="22"/>
          <w:lang w:val="en-GB"/>
        </w:rPr>
        <w:t>. Thus, if a security interest, by way of example, charge, pledge, or encumbrance, is created over the assets of a Cayman company, such charge must be duly recorded on its register of charges and mortgages. The register must include: (a) a short description of the property mortgaged or charged; (b) the amount of the charge created; and (c) the names of the mortgagee or persons entitled to such charge</w:t>
      </w:r>
      <w:r>
        <w:rPr>
          <w:rStyle w:val="FootnoteReference"/>
          <w:rFonts w:ascii="Arial" w:hAnsi="Arial" w:cs="Arial"/>
          <w:color w:val="808080" w:themeColor="background1" w:themeShade="80"/>
          <w:sz w:val="22"/>
          <w:szCs w:val="22"/>
          <w:lang w:val="en-GB"/>
        </w:rPr>
        <w:footnoteReference w:id="3"/>
      </w:r>
      <w:r>
        <w:rPr>
          <w:rFonts w:ascii="Arial" w:hAnsi="Arial" w:cs="Arial"/>
          <w:color w:val="808080" w:themeColor="background1" w:themeShade="80"/>
          <w:sz w:val="22"/>
          <w:szCs w:val="22"/>
          <w:lang w:val="en-GB"/>
        </w:rPr>
        <w:t>. Notably absent from the above requirements is that there is, in fact, no statutory requirement to file the security document with the company's registered office. If a company fails or neglects to update and/or maintain the register of mortgages and charges, each director, manager, or officer of the company is liable to a statutory fine</w:t>
      </w:r>
      <w:r>
        <w:rPr>
          <w:rStyle w:val="FootnoteReference"/>
          <w:rFonts w:ascii="Arial" w:hAnsi="Arial" w:cs="Arial"/>
          <w:color w:val="808080" w:themeColor="background1" w:themeShade="80"/>
          <w:sz w:val="22"/>
          <w:szCs w:val="22"/>
          <w:lang w:val="en-GB"/>
        </w:rPr>
        <w:footnoteReference w:id="4"/>
      </w:r>
      <w:r>
        <w:rPr>
          <w:rFonts w:ascii="Arial" w:hAnsi="Arial" w:cs="Arial"/>
          <w:color w:val="808080" w:themeColor="background1" w:themeShade="80"/>
          <w:sz w:val="22"/>
          <w:szCs w:val="22"/>
          <w:lang w:val="en-GB"/>
        </w:rPr>
        <w:t>.</w:t>
      </w:r>
    </w:p>
    <w:p w14:paraId="47C851C8" w14:textId="77777777" w:rsidR="00C5576E" w:rsidRDefault="00C5576E" w:rsidP="00C5576E">
      <w:pPr>
        <w:jc w:val="both"/>
        <w:rPr>
          <w:rFonts w:ascii="Arial" w:hAnsi="Arial" w:cs="Arial"/>
          <w:color w:val="808080" w:themeColor="background1" w:themeShade="80"/>
          <w:sz w:val="22"/>
          <w:szCs w:val="22"/>
          <w:lang w:val="en-GB"/>
        </w:rPr>
      </w:pPr>
    </w:p>
    <w:p w14:paraId="6AF63946" w14:textId="77777777" w:rsidR="00C5576E" w:rsidRDefault="00C5576E" w:rsidP="00C5576E">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Registration of a security interest in the company’s register does not create a statutory priority. Nor is registration necessary for the holder of the security interest to ‘perfect’ a security interest. Nevertheless, the register of mortgages and charges puts any third party who has inspected or been provided with a copy of the register on ‘actual notice’ of the existence of a charge over an asset</w:t>
      </w:r>
      <w:r>
        <w:rPr>
          <w:rStyle w:val="FootnoteReference"/>
          <w:rFonts w:ascii="Arial" w:hAnsi="Arial" w:cs="Arial"/>
          <w:color w:val="808080" w:themeColor="background1" w:themeShade="80"/>
          <w:sz w:val="22"/>
          <w:szCs w:val="22"/>
          <w:lang w:val="en-GB"/>
        </w:rPr>
        <w:footnoteReference w:id="5"/>
      </w:r>
      <w:r>
        <w:rPr>
          <w:rFonts w:ascii="Arial" w:hAnsi="Arial" w:cs="Arial"/>
          <w:color w:val="808080" w:themeColor="background1" w:themeShade="80"/>
          <w:sz w:val="22"/>
          <w:szCs w:val="22"/>
          <w:lang w:val="en-GB"/>
        </w:rPr>
        <w:t>. As there is no statutory priority for security interests under Cayman law, priority over such interests is determined by common law choice of law principles</w:t>
      </w:r>
      <w:r>
        <w:rPr>
          <w:rStyle w:val="FootnoteReference"/>
          <w:rFonts w:ascii="Arial" w:hAnsi="Arial" w:cs="Arial"/>
          <w:color w:val="808080" w:themeColor="background1" w:themeShade="80"/>
          <w:sz w:val="22"/>
          <w:szCs w:val="22"/>
          <w:lang w:val="en-GB"/>
        </w:rPr>
        <w:footnoteReference w:id="6"/>
      </w:r>
    </w:p>
    <w:p w14:paraId="5DCFDFFB" w14:textId="77777777" w:rsidR="00D27CBC" w:rsidRPr="009D47B8" w:rsidRDefault="00D27CBC" w:rsidP="00D27CBC">
      <w:pPr>
        <w:jc w:val="both"/>
        <w:rPr>
          <w:rFonts w:ascii="Arial" w:hAnsi="Arial" w:cs="Arial"/>
          <w:sz w:val="22"/>
          <w:szCs w:val="22"/>
          <w:lang w:val="en-GB"/>
        </w:rPr>
      </w:pPr>
    </w:p>
    <w:p w14:paraId="3DF4DC07" w14:textId="77777777" w:rsidR="00F902D4" w:rsidRDefault="00F902D4" w:rsidP="00D27CBC">
      <w:pPr>
        <w:jc w:val="both"/>
        <w:rPr>
          <w:rFonts w:ascii="Arial" w:hAnsi="Arial" w:cs="Arial"/>
          <w:b/>
          <w:bCs/>
          <w:sz w:val="22"/>
          <w:szCs w:val="22"/>
          <w:lang w:val="en-GB"/>
        </w:rPr>
      </w:pPr>
    </w:p>
    <w:p w14:paraId="0E71B15B" w14:textId="77777777" w:rsidR="00F902D4" w:rsidRDefault="00F902D4" w:rsidP="00D27CBC">
      <w:pPr>
        <w:jc w:val="both"/>
        <w:rPr>
          <w:rFonts w:ascii="Arial" w:hAnsi="Arial" w:cs="Arial"/>
          <w:b/>
          <w:bCs/>
          <w:sz w:val="22"/>
          <w:szCs w:val="22"/>
          <w:lang w:val="en-GB"/>
        </w:rPr>
      </w:pPr>
    </w:p>
    <w:p w14:paraId="32A10DDB" w14:textId="77777777" w:rsidR="00F902D4" w:rsidRDefault="00F902D4" w:rsidP="00D27CBC">
      <w:pPr>
        <w:jc w:val="both"/>
        <w:rPr>
          <w:rFonts w:ascii="Arial" w:hAnsi="Arial" w:cs="Arial"/>
          <w:b/>
          <w:bCs/>
          <w:sz w:val="22"/>
          <w:szCs w:val="22"/>
          <w:lang w:val="en-GB"/>
        </w:rPr>
      </w:pPr>
    </w:p>
    <w:p w14:paraId="1B35B955" w14:textId="77777777" w:rsidR="00F902D4" w:rsidRDefault="00F902D4" w:rsidP="00D27CBC">
      <w:pPr>
        <w:jc w:val="both"/>
        <w:rPr>
          <w:rFonts w:ascii="Arial" w:hAnsi="Arial" w:cs="Arial"/>
          <w:b/>
          <w:bCs/>
          <w:sz w:val="22"/>
          <w:szCs w:val="22"/>
          <w:lang w:val="en-GB"/>
        </w:rPr>
      </w:pPr>
    </w:p>
    <w:p w14:paraId="0AD09321" w14:textId="679D5E40" w:rsidR="00D27CBC" w:rsidRDefault="00D27CBC" w:rsidP="00D27CBC">
      <w:pPr>
        <w:jc w:val="both"/>
        <w:rPr>
          <w:rFonts w:ascii="Arial" w:hAnsi="Arial" w:cs="Arial"/>
          <w:b/>
          <w:bCs/>
          <w:sz w:val="22"/>
          <w:szCs w:val="22"/>
          <w:lang w:val="en-GB"/>
        </w:rPr>
      </w:pPr>
      <w:bookmarkStart w:id="0" w:name="_GoBack"/>
      <w:bookmarkEnd w:id="0"/>
      <w:r>
        <w:rPr>
          <w:rFonts w:ascii="Arial" w:hAnsi="Arial" w:cs="Arial"/>
          <w:b/>
          <w:bCs/>
          <w:sz w:val="22"/>
          <w:szCs w:val="22"/>
          <w:lang w:val="en-GB"/>
        </w:rPr>
        <w:lastRenderedPageBreak/>
        <w:t>Question 2.2 [maximum 4 marks]</w:t>
      </w:r>
    </w:p>
    <w:p w14:paraId="7EA8FE86" w14:textId="77777777" w:rsidR="00D27CBC" w:rsidRDefault="00D27CBC" w:rsidP="00D27CBC">
      <w:pPr>
        <w:jc w:val="both"/>
        <w:rPr>
          <w:rFonts w:ascii="Arial" w:hAnsi="Arial" w:cs="Arial"/>
          <w:b/>
          <w:bCs/>
          <w:sz w:val="22"/>
          <w:szCs w:val="22"/>
          <w:lang w:val="en-GB"/>
        </w:rPr>
      </w:pPr>
    </w:p>
    <w:p w14:paraId="34395AF5" w14:textId="2F7B792E" w:rsidR="00D27CBC" w:rsidRPr="00B70966" w:rsidRDefault="00CB2364" w:rsidP="00D27CBC">
      <w:pPr>
        <w:jc w:val="both"/>
        <w:rPr>
          <w:rFonts w:ascii="Arial" w:hAnsi="Arial" w:cs="Arial"/>
          <w:sz w:val="22"/>
          <w:szCs w:val="22"/>
          <w:lang w:val="en-GB"/>
        </w:rPr>
      </w:pPr>
      <w:r>
        <w:rPr>
          <w:rFonts w:ascii="Arial" w:hAnsi="Arial" w:cs="Arial"/>
          <w:sz w:val="22"/>
          <w:szCs w:val="22"/>
          <w:lang w:val="en-GB"/>
        </w:rPr>
        <w:t xml:space="preserve">Does </w:t>
      </w:r>
      <w:r w:rsidR="00D27CBC" w:rsidRPr="00B70966">
        <w:rPr>
          <w:rFonts w:ascii="Arial" w:hAnsi="Arial" w:cs="Arial"/>
          <w:sz w:val="22"/>
          <w:szCs w:val="22"/>
          <w:lang w:val="en-GB"/>
        </w:rPr>
        <w:t xml:space="preserve">the Cayman Islands Grand Court </w:t>
      </w:r>
      <w:r>
        <w:rPr>
          <w:rFonts w:ascii="Arial" w:hAnsi="Arial" w:cs="Arial"/>
          <w:sz w:val="22"/>
          <w:szCs w:val="22"/>
          <w:lang w:val="en-GB"/>
        </w:rPr>
        <w:t xml:space="preserve">have the </w:t>
      </w:r>
      <w:r w:rsidR="00D27CBC" w:rsidRPr="00B70966">
        <w:rPr>
          <w:rFonts w:ascii="Arial" w:hAnsi="Arial" w:cs="Arial"/>
          <w:sz w:val="22"/>
          <w:szCs w:val="22"/>
          <w:lang w:val="en-GB"/>
        </w:rPr>
        <w:t>power to assist foreign bankruptcy proceedings</w:t>
      </w:r>
      <w:r>
        <w:rPr>
          <w:rFonts w:ascii="Arial" w:hAnsi="Arial" w:cs="Arial"/>
          <w:sz w:val="22"/>
          <w:szCs w:val="22"/>
          <w:lang w:val="en-GB"/>
        </w:rPr>
        <w:t xml:space="preserve">? If so, what is the source of that power and in what circumstances may it exercise it? </w:t>
      </w:r>
    </w:p>
    <w:p w14:paraId="176341A6" w14:textId="77777777" w:rsidR="00D27CBC" w:rsidRDefault="00D27CBC" w:rsidP="00D27CBC">
      <w:pPr>
        <w:jc w:val="both"/>
        <w:rPr>
          <w:rFonts w:ascii="Arial" w:hAnsi="Arial" w:cs="Arial"/>
          <w:b/>
          <w:bCs/>
          <w:sz w:val="22"/>
          <w:szCs w:val="22"/>
          <w:lang w:val="en-GB"/>
        </w:rPr>
      </w:pPr>
    </w:p>
    <w:p w14:paraId="4DF601CB" w14:textId="77777777" w:rsidR="006C7E36" w:rsidRDefault="006C7E36" w:rsidP="006C7E36">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Whilst the Cayman Islands have yet to enact the UNICTRAL Model Law on Cross-Border Insolvency (</w:t>
      </w:r>
      <w:r>
        <w:rPr>
          <w:rFonts w:ascii="Arial" w:hAnsi="Arial" w:cs="Arial"/>
          <w:b/>
          <w:color w:val="808080" w:themeColor="background1" w:themeShade="80"/>
          <w:sz w:val="22"/>
          <w:szCs w:val="22"/>
          <w:lang w:val="en-GB"/>
        </w:rPr>
        <w:t>Model Law</w:t>
      </w:r>
      <w:r>
        <w:rPr>
          <w:rFonts w:ascii="Arial" w:hAnsi="Arial" w:cs="Arial"/>
          <w:color w:val="808080" w:themeColor="background1" w:themeShade="80"/>
          <w:sz w:val="22"/>
          <w:szCs w:val="22"/>
          <w:lang w:val="en-GB"/>
        </w:rPr>
        <w:t>), the Grand Court of Cayman Islands (</w:t>
      </w:r>
      <w:r>
        <w:rPr>
          <w:rFonts w:ascii="Arial" w:hAnsi="Arial" w:cs="Arial"/>
          <w:b/>
          <w:color w:val="808080" w:themeColor="background1" w:themeShade="80"/>
          <w:sz w:val="22"/>
          <w:szCs w:val="22"/>
          <w:lang w:val="en-GB"/>
        </w:rPr>
        <w:t>Grand Court</w:t>
      </w:r>
      <w:r>
        <w:rPr>
          <w:rFonts w:ascii="Arial" w:hAnsi="Arial" w:cs="Arial"/>
          <w:color w:val="808080" w:themeColor="background1" w:themeShade="80"/>
          <w:sz w:val="22"/>
          <w:szCs w:val="22"/>
          <w:lang w:val="en-GB"/>
        </w:rPr>
        <w:t xml:space="preserve">) has both a statutory power as well as common law comity principles at its disposal to assist in foreign bankruptcy proceedings. </w:t>
      </w:r>
    </w:p>
    <w:p w14:paraId="71AFAD72" w14:textId="77777777" w:rsidR="006C7E36" w:rsidRDefault="006C7E36" w:rsidP="006C7E36">
      <w:pPr>
        <w:jc w:val="both"/>
        <w:rPr>
          <w:rFonts w:ascii="Arial" w:hAnsi="Arial" w:cs="Arial"/>
          <w:color w:val="808080" w:themeColor="background1" w:themeShade="80"/>
          <w:sz w:val="22"/>
          <w:szCs w:val="22"/>
          <w:lang w:val="en-GB"/>
        </w:rPr>
      </w:pPr>
    </w:p>
    <w:p w14:paraId="7B9DF369" w14:textId="77777777" w:rsidR="006C7E36" w:rsidRDefault="006C7E36" w:rsidP="006C7E36">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Section 241 of the CA (Revision 2020) confers standing to a “foreign representative” (i.e., a trustee, liquidator, or other insolvency practitioners) approved over a foreign company to make an application to the Grand Court for orders ancillary to a “foreign insolvency proceeding” (as that term is defined in section 240 of the CA (Revision 2020)</w:t>
      </w:r>
      <w:r>
        <w:rPr>
          <w:rStyle w:val="FootnoteReference"/>
          <w:rFonts w:ascii="Arial" w:hAnsi="Arial" w:cs="Arial"/>
          <w:color w:val="808080" w:themeColor="background1" w:themeShade="80"/>
          <w:sz w:val="22"/>
          <w:szCs w:val="22"/>
          <w:lang w:val="en-GB"/>
        </w:rPr>
        <w:footnoteReference w:id="7"/>
      </w:r>
      <w:r>
        <w:rPr>
          <w:rFonts w:ascii="Arial" w:hAnsi="Arial" w:cs="Arial"/>
          <w:color w:val="808080" w:themeColor="background1" w:themeShade="80"/>
          <w:sz w:val="22"/>
          <w:szCs w:val="22"/>
          <w:lang w:val="en-GB"/>
        </w:rPr>
        <w:t xml:space="preserve"> ). Such relief includes:</w:t>
      </w:r>
    </w:p>
    <w:p w14:paraId="758FECDE" w14:textId="77777777" w:rsidR="006C7E36" w:rsidRDefault="006C7E36" w:rsidP="006C7E36">
      <w:pPr>
        <w:jc w:val="both"/>
        <w:rPr>
          <w:rFonts w:ascii="Arial" w:hAnsi="Arial" w:cs="Arial"/>
          <w:color w:val="808080" w:themeColor="background1" w:themeShade="80"/>
          <w:sz w:val="22"/>
          <w:szCs w:val="22"/>
          <w:lang w:val="en-GB"/>
        </w:rPr>
      </w:pPr>
    </w:p>
    <w:p w14:paraId="2D7EE5E1" w14:textId="77777777" w:rsidR="006C7E36" w:rsidRDefault="006C7E36" w:rsidP="006C7E36">
      <w:pPr>
        <w:pStyle w:val="ListParagraph"/>
        <w:numPr>
          <w:ilvl w:val="0"/>
          <w:numId w:val="4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Recognizing the right of a foreign representative to act in the Cayman Islands on behalf of or in the name of the debtor</w:t>
      </w:r>
      <w:r>
        <w:rPr>
          <w:rStyle w:val="FootnoteReference"/>
          <w:rFonts w:ascii="Arial" w:hAnsi="Arial" w:cs="Arial"/>
          <w:color w:val="808080" w:themeColor="background1" w:themeShade="80"/>
          <w:sz w:val="22"/>
          <w:szCs w:val="22"/>
          <w:lang w:val="en-GB"/>
        </w:rPr>
        <w:footnoteReference w:id="8"/>
      </w:r>
      <w:r>
        <w:rPr>
          <w:rFonts w:ascii="Arial" w:hAnsi="Arial" w:cs="Arial"/>
          <w:color w:val="808080" w:themeColor="background1" w:themeShade="80"/>
          <w:sz w:val="22"/>
          <w:szCs w:val="22"/>
          <w:lang w:val="en-GB"/>
        </w:rPr>
        <w:t>;</w:t>
      </w:r>
    </w:p>
    <w:p w14:paraId="7845AB7F" w14:textId="77777777" w:rsidR="006C7E36" w:rsidRDefault="006C7E36" w:rsidP="006C7E36">
      <w:pPr>
        <w:pStyle w:val="ListParagraph"/>
        <w:jc w:val="both"/>
        <w:rPr>
          <w:rFonts w:ascii="Arial" w:hAnsi="Arial" w:cs="Arial"/>
          <w:color w:val="808080" w:themeColor="background1" w:themeShade="80"/>
          <w:sz w:val="22"/>
          <w:szCs w:val="22"/>
          <w:lang w:val="en-GB"/>
        </w:rPr>
      </w:pPr>
    </w:p>
    <w:p w14:paraId="23D12146" w14:textId="77777777" w:rsidR="006C7E36" w:rsidRDefault="006C7E36" w:rsidP="006C7E36">
      <w:pPr>
        <w:pStyle w:val="ListParagraph"/>
        <w:numPr>
          <w:ilvl w:val="0"/>
          <w:numId w:val="4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Staying the commencement or continuation of proceedings</w:t>
      </w:r>
      <w:r>
        <w:rPr>
          <w:rStyle w:val="FootnoteReference"/>
          <w:rFonts w:ascii="Arial" w:hAnsi="Arial" w:cs="Arial"/>
          <w:color w:val="808080" w:themeColor="background1" w:themeShade="80"/>
          <w:sz w:val="22"/>
          <w:szCs w:val="22"/>
          <w:lang w:val="en-GB"/>
        </w:rPr>
        <w:footnoteReference w:id="9"/>
      </w:r>
      <w:r>
        <w:rPr>
          <w:rFonts w:ascii="Arial" w:hAnsi="Arial" w:cs="Arial"/>
          <w:color w:val="808080" w:themeColor="background1" w:themeShade="80"/>
          <w:sz w:val="22"/>
          <w:szCs w:val="22"/>
          <w:lang w:val="en-GB"/>
        </w:rPr>
        <w:t xml:space="preserve"> or the enforcement of judgments against the debtor in the Cayman Islands</w:t>
      </w:r>
      <w:r>
        <w:rPr>
          <w:rStyle w:val="FootnoteReference"/>
          <w:rFonts w:ascii="Arial" w:hAnsi="Arial" w:cs="Arial"/>
          <w:color w:val="808080" w:themeColor="background1" w:themeShade="80"/>
          <w:sz w:val="22"/>
          <w:szCs w:val="22"/>
          <w:lang w:val="en-GB"/>
        </w:rPr>
        <w:footnoteReference w:id="10"/>
      </w:r>
      <w:r>
        <w:rPr>
          <w:rFonts w:ascii="Arial" w:hAnsi="Arial" w:cs="Arial"/>
          <w:color w:val="808080" w:themeColor="background1" w:themeShade="80"/>
          <w:sz w:val="22"/>
          <w:szCs w:val="22"/>
          <w:lang w:val="en-GB"/>
        </w:rPr>
        <w:t>;</w:t>
      </w:r>
    </w:p>
    <w:p w14:paraId="28F630E7" w14:textId="77777777" w:rsidR="006C7E36" w:rsidRPr="00AF360E" w:rsidRDefault="006C7E36" w:rsidP="006C7E36">
      <w:pPr>
        <w:pStyle w:val="ListParagraph"/>
        <w:rPr>
          <w:rFonts w:ascii="Arial" w:hAnsi="Arial" w:cs="Arial"/>
          <w:color w:val="808080" w:themeColor="background1" w:themeShade="80"/>
          <w:sz w:val="22"/>
          <w:szCs w:val="22"/>
          <w:lang w:val="en-GB"/>
        </w:rPr>
      </w:pPr>
    </w:p>
    <w:p w14:paraId="07BEE9C9" w14:textId="77777777" w:rsidR="006C7E36" w:rsidRDefault="006C7E36" w:rsidP="006C7E36">
      <w:pPr>
        <w:pStyle w:val="ListParagraph"/>
        <w:numPr>
          <w:ilvl w:val="0"/>
          <w:numId w:val="4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Requiring a person or persons with information relating to the business or affairs of a debtor to be examined by and provide documents to its foreign representative</w:t>
      </w:r>
      <w:r>
        <w:rPr>
          <w:rStyle w:val="FootnoteReference"/>
          <w:rFonts w:ascii="Arial" w:hAnsi="Arial" w:cs="Arial"/>
          <w:color w:val="808080" w:themeColor="background1" w:themeShade="80"/>
          <w:sz w:val="22"/>
          <w:szCs w:val="22"/>
          <w:lang w:val="en-GB"/>
        </w:rPr>
        <w:footnoteReference w:id="11"/>
      </w:r>
      <w:r>
        <w:rPr>
          <w:rFonts w:ascii="Arial" w:hAnsi="Arial" w:cs="Arial"/>
          <w:color w:val="808080" w:themeColor="background1" w:themeShade="80"/>
          <w:sz w:val="22"/>
          <w:szCs w:val="22"/>
          <w:lang w:val="en-GB"/>
        </w:rPr>
        <w:t>; and/or</w:t>
      </w:r>
    </w:p>
    <w:p w14:paraId="421B6BA8" w14:textId="77777777" w:rsidR="006C7E36" w:rsidRPr="00FC434E" w:rsidRDefault="006C7E36" w:rsidP="006C7E36">
      <w:pPr>
        <w:pStyle w:val="ListParagraph"/>
        <w:rPr>
          <w:rFonts w:ascii="Arial" w:hAnsi="Arial" w:cs="Arial"/>
          <w:color w:val="808080" w:themeColor="background1" w:themeShade="80"/>
          <w:sz w:val="22"/>
          <w:szCs w:val="22"/>
          <w:lang w:val="en-GB"/>
        </w:rPr>
      </w:pPr>
    </w:p>
    <w:p w14:paraId="30FDE93E" w14:textId="77777777" w:rsidR="006C7E36" w:rsidRDefault="006C7E36" w:rsidP="006C7E36">
      <w:pPr>
        <w:pStyle w:val="ListParagraph"/>
        <w:numPr>
          <w:ilvl w:val="0"/>
          <w:numId w:val="4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Ordering the turnover of property belonging to the debtor to the foreign representative</w:t>
      </w:r>
      <w:r>
        <w:rPr>
          <w:rStyle w:val="FootnoteReference"/>
          <w:rFonts w:ascii="Arial" w:hAnsi="Arial" w:cs="Arial"/>
          <w:color w:val="808080" w:themeColor="background1" w:themeShade="80"/>
          <w:sz w:val="22"/>
          <w:szCs w:val="22"/>
          <w:lang w:val="en-GB"/>
        </w:rPr>
        <w:footnoteReference w:id="12"/>
      </w:r>
      <w:r>
        <w:rPr>
          <w:rFonts w:ascii="Arial" w:hAnsi="Arial" w:cs="Arial"/>
          <w:color w:val="808080" w:themeColor="background1" w:themeShade="80"/>
          <w:sz w:val="22"/>
          <w:szCs w:val="22"/>
          <w:lang w:val="en-GB"/>
        </w:rPr>
        <w:t>.</w:t>
      </w:r>
    </w:p>
    <w:p w14:paraId="17E9C7DE" w14:textId="77777777" w:rsidR="006C7E36" w:rsidRPr="00FC434E" w:rsidRDefault="006C7E36" w:rsidP="006C7E36">
      <w:pPr>
        <w:pStyle w:val="ListParagraph"/>
        <w:rPr>
          <w:rFonts w:ascii="Arial" w:hAnsi="Arial" w:cs="Arial"/>
          <w:color w:val="808080" w:themeColor="background1" w:themeShade="80"/>
          <w:sz w:val="22"/>
          <w:szCs w:val="22"/>
          <w:lang w:val="en-GB"/>
        </w:rPr>
      </w:pPr>
    </w:p>
    <w:p w14:paraId="7EA5490A" w14:textId="77777777" w:rsidR="006C7E36" w:rsidRPr="00FC434E" w:rsidRDefault="006C7E36" w:rsidP="006C7E36">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Section 240 defines a debtor for the purposes of s. 240 of the CA (Revision 2020) as a “foreign corporation” or other “foreign legal entity” subject to a foreign bankruptcy proceeding</w:t>
      </w:r>
      <w:r>
        <w:rPr>
          <w:rStyle w:val="FootnoteReference"/>
          <w:rFonts w:ascii="Arial" w:hAnsi="Arial" w:cs="Arial"/>
          <w:color w:val="808080" w:themeColor="background1" w:themeShade="80"/>
          <w:sz w:val="22"/>
          <w:szCs w:val="22"/>
          <w:lang w:val="en-GB"/>
        </w:rPr>
        <w:footnoteReference w:id="13"/>
      </w:r>
      <w:r>
        <w:rPr>
          <w:rFonts w:ascii="Arial" w:hAnsi="Arial" w:cs="Arial"/>
          <w:color w:val="808080" w:themeColor="background1" w:themeShade="80"/>
          <w:sz w:val="22"/>
          <w:szCs w:val="22"/>
          <w:lang w:val="en-GB"/>
        </w:rPr>
        <w:t xml:space="preserve">. Thus, the ancillary relief available under s.241 applies to companies registered/incorporated outside the Cayman Islands. If the company is a Cayman Islands company, it will be necessary for the foreign representative to seek the recognition or assistance of the Grand Court under common law principles. For a foreign representative to obtain the benefit of the insolvency protections under the CA (Revision 2020), the representative generally must bring parallel insolvency proceedings in the Cayman Islands. It is important to note that this is not a hard and fast rule, and the Grand Court has granted such relief in the absence of Cayman insolvency proceedings. In the case of </w:t>
      </w:r>
      <w:r>
        <w:rPr>
          <w:rFonts w:ascii="Arial" w:hAnsi="Arial" w:cs="Arial"/>
          <w:i/>
          <w:color w:val="808080" w:themeColor="background1" w:themeShade="80"/>
          <w:sz w:val="22"/>
          <w:szCs w:val="22"/>
          <w:lang w:val="en-GB"/>
        </w:rPr>
        <w:t xml:space="preserve">In the Matter of China </w:t>
      </w:r>
      <w:proofErr w:type="spellStart"/>
      <w:r>
        <w:rPr>
          <w:rFonts w:ascii="Arial" w:hAnsi="Arial" w:cs="Arial"/>
          <w:i/>
          <w:color w:val="808080" w:themeColor="background1" w:themeShade="80"/>
          <w:sz w:val="22"/>
          <w:szCs w:val="22"/>
          <w:lang w:val="en-GB"/>
        </w:rPr>
        <w:t>Agrotech</w:t>
      </w:r>
      <w:proofErr w:type="spellEnd"/>
      <w:r>
        <w:rPr>
          <w:rFonts w:ascii="Arial" w:hAnsi="Arial" w:cs="Arial"/>
          <w:i/>
          <w:color w:val="808080" w:themeColor="background1" w:themeShade="80"/>
          <w:sz w:val="22"/>
          <w:szCs w:val="22"/>
          <w:lang w:val="en-GB"/>
        </w:rPr>
        <w:t xml:space="preserve"> Holdings Ltd</w:t>
      </w:r>
      <w:r>
        <w:rPr>
          <w:rFonts w:ascii="Arial" w:hAnsi="Arial" w:cs="Arial"/>
          <w:color w:val="808080" w:themeColor="background1" w:themeShade="80"/>
          <w:sz w:val="22"/>
          <w:szCs w:val="22"/>
          <w:lang w:val="en-GB"/>
        </w:rPr>
        <w:t xml:space="preserve"> (FSD 157 of 2017 (NSJ)), the Grand Court recognized the court’s jurisdiction to grant common law recognition and assistance to a foreign liquidator without Cayman insolvency proceedings being afoot in the Cayman</w:t>
      </w:r>
      <w:r>
        <w:rPr>
          <w:rStyle w:val="FootnoteReference"/>
          <w:rFonts w:ascii="Arial" w:hAnsi="Arial" w:cs="Arial"/>
          <w:color w:val="808080" w:themeColor="background1" w:themeShade="80"/>
          <w:sz w:val="22"/>
          <w:szCs w:val="22"/>
          <w:lang w:val="en-GB"/>
        </w:rPr>
        <w:footnoteReference w:id="14"/>
      </w:r>
      <w:r>
        <w:rPr>
          <w:rFonts w:ascii="Arial" w:hAnsi="Arial" w:cs="Arial"/>
          <w:color w:val="808080" w:themeColor="background1" w:themeShade="80"/>
          <w:sz w:val="22"/>
          <w:szCs w:val="22"/>
          <w:lang w:val="en-GB"/>
        </w:rPr>
        <w:t xml:space="preserve"> .</w:t>
      </w:r>
    </w:p>
    <w:p w14:paraId="4A40458D" w14:textId="77777777" w:rsidR="00D27CBC" w:rsidRDefault="00D27CBC" w:rsidP="00D27CBC">
      <w:pPr>
        <w:jc w:val="both"/>
        <w:rPr>
          <w:rFonts w:ascii="Arial" w:hAnsi="Arial" w:cs="Arial"/>
          <w:b/>
          <w:bCs/>
          <w:sz w:val="22"/>
          <w:szCs w:val="22"/>
          <w:lang w:val="en-GB"/>
        </w:rPr>
      </w:pPr>
    </w:p>
    <w:p w14:paraId="1EB90D6A"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2.3 [maximum 3 marks]</w:t>
      </w:r>
    </w:p>
    <w:p w14:paraId="3C445128" w14:textId="77777777" w:rsidR="00D27CBC" w:rsidRDefault="00D27CBC" w:rsidP="00D27CBC">
      <w:pPr>
        <w:jc w:val="both"/>
        <w:rPr>
          <w:rFonts w:ascii="Arial" w:hAnsi="Arial" w:cs="Arial"/>
          <w:b/>
          <w:bCs/>
          <w:sz w:val="22"/>
          <w:szCs w:val="22"/>
          <w:lang w:val="en-GB"/>
        </w:rPr>
      </w:pPr>
    </w:p>
    <w:p w14:paraId="23EA4778" w14:textId="77777777" w:rsidR="00D27CBC" w:rsidRPr="00406382" w:rsidRDefault="00D27CBC" w:rsidP="00D27CBC">
      <w:pPr>
        <w:jc w:val="both"/>
        <w:rPr>
          <w:rFonts w:ascii="Arial" w:hAnsi="Arial" w:cs="Arial"/>
          <w:sz w:val="22"/>
          <w:szCs w:val="22"/>
          <w:lang w:val="en-GB"/>
        </w:rPr>
      </w:pPr>
      <w:r w:rsidRPr="00406382">
        <w:rPr>
          <w:rFonts w:ascii="Arial" w:hAnsi="Arial" w:cs="Arial"/>
          <w:sz w:val="22"/>
          <w:szCs w:val="22"/>
          <w:lang w:val="en-GB"/>
        </w:rPr>
        <w:t>Outline the legal framework for the recognition of foreign judgements in the Cayman Islands.</w:t>
      </w:r>
    </w:p>
    <w:p w14:paraId="6DC49B8F" w14:textId="77777777" w:rsidR="00D27CBC" w:rsidRDefault="00D27CBC" w:rsidP="00D27CBC">
      <w:pPr>
        <w:jc w:val="both"/>
        <w:rPr>
          <w:rFonts w:ascii="Arial" w:hAnsi="Arial" w:cs="Arial"/>
          <w:b/>
          <w:bCs/>
          <w:sz w:val="22"/>
          <w:szCs w:val="22"/>
          <w:lang w:val="en-GB"/>
        </w:rPr>
      </w:pPr>
    </w:p>
    <w:p w14:paraId="09D62E9E" w14:textId="77777777" w:rsidR="00732E7D" w:rsidRDefault="00732E7D" w:rsidP="00732E7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Cayman Islands have not entered into any bilateral or multilateral treaties for the reciprocal recognition and enforcement of foreign judgments. As such, there are two regimes available for enforcement.</w:t>
      </w:r>
    </w:p>
    <w:p w14:paraId="78C70650" w14:textId="77777777" w:rsidR="00732E7D" w:rsidRDefault="00732E7D" w:rsidP="00732E7D">
      <w:pPr>
        <w:jc w:val="both"/>
        <w:rPr>
          <w:rFonts w:ascii="Arial" w:hAnsi="Arial" w:cs="Arial"/>
          <w:color w:val="808080" w:themeColor="background1" w:themeShade="80"/>
          <w:sz w:val="22"/>
          <w:szCs w:val="22"/>
          <w:lang w:val="en-GB"/>
        </w:rPr>
      </w:pPr>
    </w:p>
    <w:p w14:paraId="064A1DA2" w14:textId="77777777" w:rsidR="00732E7D" w:rsidRDefault="00732E7D" w:rsidP="00732E7D">
      <w:pPr>
        <w:jc w:val="both"/>
        <w:rPr>
          <w:rFonts w:ascii="Arial" w:hAnsi="Arial" w:cs="Arial"/>
          <w:i/>
          <w:color w:val="808080" w:themeColor="background1" w:themeShade="80"/>
          <w:sz w:val="22"/>
          <w:szCs w:val="22"/>
          <w:lang w:val="en-GB"/>
        </w:rPr>
      </w:pPr>
      <w:r>
        <w:rPr>
          <w:rFonts w:ascii="Arial" w:hAnsi="Arial" w:cs="Arial"/>
          <w:i/>
          <w:color w:val="808080" w:themeColor="background1" w:themeShade="80"/>
          <w:sz w:val="22"/>
          <w:szCs w:val="22"/>
          <w:lang w:val="en-GB"/>
        </w:rPr>
        <w:t>Statutory Regime</w:t>
      </w:r>
    </w:p>
    <w:p w14:paraId="645F78FC" w14:textId="77777777" w:rsidR="00732E7D" w:rsidRDefault="00732E7D" w:rsidP="00732E7D">
      <w:pPr>
        <w:jc w:val="both"/>
        <w:rPr>
          <w:rFonts w:ascii="Arial" w:hAnsi="Arial" w:cs="Arial"/>
          <w:i/>
          <w:color w:val="808080" w:themeColor="background1" w:themeShade="80"/>
          <w:sz w:val="22"/>
          <w:szCs w:val="22"/>
          <w:lang w:val="en-GB"/>
        </w:rPr>
      </w:pPr>
    </w:p>
    <w:p w14:paraId="3DB15109" w14:textId="77777777" w:rsidR="00732E7D" w:rsidRDefault="00732E7D" w:rsidP="00732E7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Foreign Judgments Reciprocal Enforcement Act (1996 Revision) (</w:t>
      </w:r>
      <w:r>
        <w:rPr>
          <w:rFonts w:ascii="Arial" w:hAnsi="Arial" w:cs="Arial"/>
          <w:b/>
          <w:color w:val="808080" w:themeColor="background1" w:themeShade="80"/>
          <w:sz w:val="22"/>
          <w:szCs w:val="22"/>
          <w:lang w:val="en-GB"/>
        </w:rPr>
        <w:t>Enforcement Act</w:t>
      </w:r>
      <w:r>
        <w:rPr>
          <w:rFonts w:ascii="Arial" w:hAnsi="Arial" w:cs="Arial"/>
          <w:color w:val="808080" w:themeColor="background1" w:themeShade="80"/>
          <w:sz w:val="22"/>
          <w:szCs w:val="22"/>
          <w:lang w:val="en-GB"/>
        </w:rPr>
        <w:t>) applies to judgments issued by foreign courts expressly set out in the Enforcement Act. The Enforcement Act has only been extended to the Superior Courts of Australia and its external Territories. Namely:</w:t>
      </w:r>
    </w:p>
    <w:p w14:paraId="567E98EA" w14:textId="77777777" w:rsidR="00732E7D" w:rsidRDefault="00732E7D" w:rsidP="00732E7D">
      <w:pPr>
        <w:pStyle w:val="ListParagraph"/>
        <w:numPr>
          <w:ilvl w:val="0"/>
          <w:numId w:val="47"/>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High Court of Australia;</w:t>
      </w:r>
    </w:p>
    <w:p w14:paraId="51BD3042" w14:textId="77777777" w:rsidR="00732E7D" w:rsidRDefault="00732E7D" w:rsidP="00732E7D">
      <w:pPr>
        <w:pStyle w:val="ListParagraph"/>
        <w:numPr>
          <w:ilvl w:val="0"/>
          <w:numId w:val="47"/>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Federal Court of Australia;</w:t>
      </w:r>
    </w:p>
    <w:p w14:paraId="61F1395A" w14:textId="77777777" w:rsidR="00732E7D" w:rsidRDefault="00732E7D" w:rsidP="00732E7D">
      <w:pPr>
        <w:pStyle w:val="ListParagraph"/>
        <w:numPr>
          <w:ilvl w:val="0"/>
          <w:numId w:val="47"/>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Family Court of Australia; </w:t>
      </w:r>
    </w:p>
    <w:p w14:paraId="7E3228AE" w14:textId="77777777" w:rsidR="00732E7D" w:rsidRDefault="00732E7D" w:rsidP="00732E7D">
      <w:pPr>
        <w:pStyle w:val="ListParagraph"/>
        <w:numPr>
          <w:ilvl w:val="0"/>
          <w:numId w:val="47"/>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Family Court of Western Australia; </w:t>
      </w:r>
    </w:p>
    <w:p w14:paraId="654F8622" w14:textId="77777777" w:rsidR="00732E7D" w:rsidRDefault="00732E7D" w:rsidP="00732E7D">
      <w:pPr>
        <w:pStyle w:val="ListParagraph"/>
        <w:numPr>
          <w:ilvl w:val="0"/>
          <w:numId w:val="47"/>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Supreme Court of New South Wales</w:t>
      </w:r>
    </w:p>
    <w:p w14:paraId="36D9A7FC" w14:textId="77777777" w:rsidR="00732E7D" w:rsidRDefault="00732E7D" w:rsidP="00732E7D">
      <w:pPr>
        <w:pStyle w:val="ListParagraph"/>
        <w:numPr>
          <w:ilvl w:val="0"/>
          <w:numId w:val="47"/>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Supreme Court of Victoria;</w:t>
      </w:r>
    </w:p>
    <w:p w14:paraId="570E3C06" w14:textId="77777777" w:rsidR="00732E7D" w:rsidRDefault="00732E7D" w:rsidP="00732E7D">
      <w:pPr>
        <w:pStyle w:val="ListParagraph"/>
        <w:numPr>
          <w:ilvl w:val="0"/>
          <w:numId w:val="47"/>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Supreme Court of Queensland;</w:t>
      </w:r>
    </w:p>
    <w:p w14:paraId="582184F9" w14:textId="77777777" w:rsidR="00732E7D" w:rsidRDefault="00732E7D" w:rsidP="00732E7D">
      <w:pPr>
        <w:pStyle w:val="ListParagraph"/>
        <w:numPr>
          <w:ilvl w:val="0"/>
          <w:numId w:val="47"/>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Supreme Court of Western Australia; </w:t>
      </w:r>
    </w:p>
    <w:p w14:paraId="18F739A6" w14:textId="77777777" w:rsidR="00732E7D" w:rsidRDefault="00732E7D" w:rsidP="00732E7D">
      <w:pPr>
        <w:pStyle w:val="ListParagraph"/>
        <w:numPr>
          <w:ilvl w:val="0"/>
          <w:numId w:val="47"/>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Supreme Court of South Australia;</w:t>
      </w:r>
    </w:p>
    <w:p w14:paraId="5F6B4C13" w14:textId="77777777" w:rsidR="00732E7D" w:rsidRDefault="00732E7D" w:rsidP="00732E7D">
      <w:pPr>
        <w:pStyle w:val="ListParagraph"/>
        <w:numPr>
          <w:ilvl w:val="0"/>
          <w:numId w:val="47"/>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Supreme Court of Tasmania;</w:t>
      </w:r>
    </w:p>
    <w:p w14:paraId="32526CA4" w14:textId="77777777" w:rsidR="00732E7D" w:rsidRDefault="00732E7D" w:rsidP="00732E7D">
      <w:pPr>
        <w:pStyle w:val="ListParagraph"/>
        <w:numPr>
          <w:ilvl w:val="0"/>
          <w:numId w:val="47"/>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Supreme Court of the Northern Territory;</w:t>
      </w:r>
    </w:p>
    <w:p w14:paraId="1F1E8D19" w14:textId="77777777" w:rsidR="00732E7D" w:rsidRDefault="00732E7D" w:rsidP="00732E7D">
      <w:pPr>
        <w:pStyle w:val="ListParagraph"/>
        <w:numPr>
          <w:ilvl w:val="0"/>
          <w:numId w:val="47"/>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Supreme Court of Australia Capital Territory; and</w:t>
      </w:r>
    </w:p>
    <w:p w14:paraId="7217B06D" w14:textId="77777777" w:rsidR="00732E7D" w:rsidRDefault="00732E7D" w:rsidP="00732E7D">
      <w:pPr>
        <w:pStyle w:val="ListParagraph"/>
        <w:numPr>
          <w:ilvl w:val="0"/>
          <w:numId w:val="47"/>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Supreme Court of Norfolk Island.</w:t>
      </w:r>
    </w:p>
    <w:p w14:paraId="11D83638" w14:textId="77777777" w:rsidR="00732E7D" w:rsidRDefault="00732E7D" w:rsidP="00732E7D">
      <w:pPr>
        <w:jc w:val="both"/>
        <w:rPr>
          <w:rFonts w:ascii="Arial" w:hAnsi="Arial" w:cs="Arial"/>
          <w:color w:val="808080" w:themeColor="background1" w:themeShade="80"/>
          <w:sz w:val="22"/>
          <w:szCs w:val="22"/>
          <w:lang w:val="en-GB"/>
        </w:rPr>
      </w:pPr>
    </w:p>
    <w:p w14:paraId="2EA4B61F" w14:textId="77777777" w:rsidR="00732E7D" w:rsidRDefault="00732E7D" w:rsidP="00732E7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Upon recognition, upon a judgment of one of the foreign courts listed above, the foreign judgment shall have the same force and effect as a judgment given by the Grand Court for the purposes of enforcement</w:t>
      </w:r>
      <w:r>
        <w:rPr>
          <w:rStyle w:val="FootnoteReference"/>
          <w:rFonts w:ascii="Arial" w:hAnsi="Arial" w:cs="Arial"/>
          <w:color w:val="808080" w:themeColor="background1" w:themeShade="80"/>
          <w:sz w:val="22"/>
          <w:szCs w:val="22"/>
          <w:lang w:val="en-GB"/>
        </w:rPr>
        <w:footnoteReference w:id="15"/>
      </w:r>
      <w:r>
        <w:rPr>
          <w:rFonts w:ascii="Arial" w:hAnsi="Arial" w:cs="Arial"/>
          <w:color w:val="808080" w:themeColor="background1" w:themeShade="80"/>
          <w:sz w:val="22"/>
          <w:szCs w:val="22"/>
          <w:lang w:val="en-GB"/>
        </w:rPr>
        <w:t>.</w:t>
      </w:r>
    </w:p>
    <w:p w14:paraId="7FEB8A71" w14:textId="77777777" w:rsidR="00732E7D" w:rsidRDefault="00732E7D" w:rsidP="00732E7D">
      <w:pPr>
        <w:jc w:val="both"/>
        <w:rPr>
          <w:rFonts w:ascii="Arial" w:hAnsi="Arial" w:cs="Arial"/>
          <w:color w:val="808080" w:themeColor="background1" w:themeShade="80"/>
          <w:sz w:val="22"/>
          <w:szCs w:val="22"/>
          <w:lang w:val="en-GB"/>
        </w:rPr>
      </w:pPr>
    </w:p>
    <w:p w14:paraId="0A2B0053" w14:textId="77777777" w:rsidR="00732E7D" w:rsidRDefault="00732E7D" w:rsidP="00732E7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For the Enforcement Act to apply, said judgment (1) must be final and conclusive between the parties</w:t>
      </w:r>
      <w:r>
        <w:rPr>
          <w:rStyle w:val="FootnoteReference"/>
          <w:rFonts w:ascii="Arial" w:hAnsi="Arial" w:cs="Arial"/>
          <w:color w:val="808080" w:themeColor="background1" w:themeShade="80"/>
          <w:sz w:val="22"/>
          <w:szCs w:val="22"/>
          <w:lang w:val="en-GB"/>
        </w:rPr>
        <w:footnoteReference w:id="16"/>
      </w:r>
      <w:r>
        <w:rPr>
          <w:rFonts w:ascii="Arial" w:hAnsi="Arial" w:cs="Arial"/>
          <w:color w:val="808080" w:themeColor="background1" w:themeShade="80"/>
          <w:sz w:val="22"/>
          <w:szCs w:val="22"/>
          <w:lang w:val="en-GB"/>
        </w:rPr>
        <w:t>; (2) is for a sum of money (not a penalty or taxes)</w:t>
      </w:r>
      <w:r>
        <w:rPr>
          <w:rStyle w:val="FootnoteReference"/>
          <w:rFonts w:ascii="Arial" w:hAnsi="Arial" w:cs="Arial"/>
          <w:color w:val="808080" w:themeColor="background1" w:themeShade="80"/>
          <w:sz w:val="22"/>
          <w:szCs w:val="22"/>
          <w:lang w:val="en-GB"/>
        </w:rPr>
        <w:footnoteReference w:id="17"/>
      </w:r>
      <w:r>
        <w:rPr>
          <w:rFonts w:ascii="Arial" w:hAnsi="Arial" w:cs="Arial"/>
          <w:color w:val="808080" w:themeColor="background1" w:themeShade="80"/>
          <w:sz w:val="22"/>
          <w:szCs w:val="22"/>
          <w:lang w:val="en-GB"/>
        </w:rPr>
        <w:t>; and (3) such judgment was given after the Enforcement Act had been extended to the foreign country. Under the Enforcement Act, a judgment will be deemed final, notwithstanding that the judgment is subject to an appeal in the foreign court</w:t>
      </w:r>
      <w:r>
        <w:rPr>
          <w:rStyle w:val="FootnoteReference"/>
          <w:rFonts w:ascii="Arial" w:hAnsi="Arial" w:cs="Arial"/>
          <w:color w:val="808080" w:themeColor="background1" w:themeShade="80"/>
          <w:sz w:val="22"/>
          <w:szCs w:val="22"/>
          <w:lang w:val="en-GB"/>
        </w:rPr>
        <w:footnoteReference w:id="18"/>
      </w:r>
      <w:r>
        <w:rPr>
          <w:rFonts w:ascii="Arial" w:hAnsi="Arial" w:cs="Arial"/>
          <w:color w:val="808080" w:themeColor="background1" w:themeShade="80"/>
          <w:sz w:val="22"/>
          <w:szCs w:val="22"/>
          <w:lang w:val="en-GB"/>
        </w:rPr>
        <w:t>.</w:t>
      </w:r>
    </w:p>
    <w:p w14:paraId="2EB81997" w14:textId="77777777" w:rsidR="00732E7D" w:rsidRDefault="00732E7D" w:rsidP="00732E7D">
      <w:pPr>
        <w:jc w:val="both"/>
        <w:rPr>
          <w:rFonts w:ascii="Arial" w:hAnsi="Arial" w:cs="Arial"/>
          <w:color w:val="808080" w:themeColor="background1" w:themeShade="80"/>
          <w:sz w:val="22"/>
          <w:szCs w:val="22"/>
          <w:lang w:val="en-GB"/>
        </w:rPr>
      </w:pPr>
    </w:p>
    <w:p w14:paraId="67BA7A7D" w14:textId="77777777" w:rsidR="00732E7D" w:rsidRDefault="00732E7D" w:rsidP="00732E7D">
      <w:pPr>
        <w:jc w:val="both"/>
        <w:rPr>
          <w:rFonts w:ascii="Arial" w:hAnsi="Arial" w:cs="Arial"/>
          <w:i/>
          <w:color w:val="808080" w:themeColor="background1" w:themeShade="80"/>
          <w:sz w:val="22"/>
          <w:szCs w:val="22"/>
          <w:lang w:val="en-GB"/>
        </w:rPr>
      </w:pPr>
      <w:r>
        <w:rPr>
          <w:rFonts w:ascii="Arial" w:hAnsi="Arial" w:cs="Arial"/>
          <w:i/>
          <w:color w:val="808080" w:themeColor="background1" w:themeShade="80"/>
          <w:sz w:val="22"/>
          <w:szCs w:val="22"/>
          <w:lang w:val="en-GB"/>
        </w:rPr>
        <w:t>Common law regime</w:t>
      </w:r>
    </w:p>
    <w:p w14:paraId="77F9F5EF" w14:textId="77777777" w:rsidR="00732E7D" w:rsidRDefault="00732E7D" w:rsidP="00732E7D">
      <w:pPr>
        <w:jc w:val="both"/>
        <w:rPr>
          <w:rFonts w:ascii="Arial" w:hAnsi="Arial" w:cs="Arial"/>
          <w:color w:val="808080" w:themeColor="background1" w:themeShade="80"/>
          <w:sz w:val="22"/>
          <w:szCs w:val="22"/>
          <w:lang w:val="en-GB"/>
        </w:rPr>
      </w:pPr>
    </w:p>
    <w:p w14:paraId="4B5CBA93" w14:textId="77777777" w:rsidR="00732E7D" w:rsidRDefault="00732E7D" w:rsidP="00732E7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For all other foreign judgments, the common law regime rules apply. Prior to 2008, both regimes only applied to monetary judgments. Under the common law regime, the Grand Court has extended the ability to enforce non-monetary judgments, where the principles of private international law and comity require</w:t>
      </w:r>
      <w:r>
        <w:rPr>
          <w:rStyle w:val="FootnoteReference"/>
          <w:rFonts w:ascii="Arial" w:hAnsi="Arial" w:cs="Arial"/>
          <w:color w:val="808080" w:themeColor="background1" w:themeShade="80"/>
          <w:sz w:val="22"/>
          <w:szCs w:val="22"/>
          <w:lang w:val="en-GB"/>
        </w:rPr>
        <w:footnoteReference w:id="19"/>
      </w:r>
      <w:r>
        <w:rPr>
          <w:rFonts w:ascii="Arial" w:hAnsi="Arial" w:cs="Arial"/>
          <w:color w:val="808080" w:themeColor="background1" w:themeShade="80"/>
          <w:sz w:val="22"/>
          <w:szCs w:val="22"/>
          <w:lang w:val="en-GB"/>
        </w:rPr>
        <w:t>. A foreign judgment will be capable of recognition by the Grand Court provided that:</w:t>
      </w:r>
    </w:p>
    <w:p w14:paraId="3F6E70D8" w14:textId="77777777" w:rsidR="00732E7D" w:rsidRDefault="00732E7D" w:rsidP="00732E7D">
      <w:pPr>
        <w:jc w:val="both"/>
        <w:rPr>
          <w:rFonts w:ascii="Arial" w:hAnsi="Arial" w:cs="Arial"/>
          <w:color w:val="808080" w:themeColor="background1" w:themeShade="80"/>
          <w:sz w:val="22"/>
          <w:szCs w:val="22"/>
          <w:lang w:val="en-GB"/>
        </w:rPr>
      </w:pPr>
    </w:p>
    <w:p w14:paraId="0AEBE756" w14:textId="77777777" w:rsidR="00732E7D" w:rsidRDefault="00732E7D" w:rsidP="00732E7D">
      <w:pPr>
        <w:pStyle w:val="ListParagraph"/>
        <w:numPr>
          <w:ilvl w:val="0"/>
          <w:numId w:val="47"/>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foreign court had jurisdiction over the debtor in accordance with Cayman conflict of law principles;</w:t>
      </w:r>
    </w:p>
    <w:p w14:paraId="1716920E" w14:textId="77777777" w:rsidR="00732E7D" w:rsidRDefault="00732E7D" w:rsidP="00732E7D">
      <w:pPr>
        <w:pStyle w:val="ListParagraph"/>
        <w:numPr>
          <w:ilvl w:val="0"/>
          <w:numId w:val="47"/>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judgment is final; and</w:t>
      </w:r>
    </w:p>
    <w:p w14:paraId="57EDE552" w14:textId="77777777" w:rsidR="00732E7D" w:rsidRDefault="00732E7D" w:rsidP="00732E7D">
      <w:pPr>
        <w:pStyle w:val="ListParagraph"/>
        <w:numPr>
          <w:ilvl w:val="0"/>
          <w:numId w:val="47"/>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The judgment has not been obtained by fraud or contrary to the rules of natural justice</w:t>
      </w:r>
      <w:r>
        <w:rPr>
          <w:rStyle w:val="FootnoteReference"/>
          <w:rFonts w:ascii="Arial" w:hAnsi="Arial" w:cs="Arial"/>
          <w:color w:val="808080" w:themeColor="background1" w:themeShade="80"/>
          <w:sz w:val="22"/>
          <w:szCs w:val="22"/>
          <w:lang w:val="en-GB"/>
        </w:rPr>
        <w:footnoteReference w:id="20"/>
      </w:r>
      <w:r>
        <w:rPr>
          <w:rFonts w:ascii="Arial" w:hAnsi="Arial" w:cs="Arial"/>
          <w:color w:val="808080" w:themeColor="background1" w:themeShade="80"/>
          <w:sz w:val="22"/>
          <w:szCs w:val="22"/>
          <w:lang w:val="en-GB"/>
        </w:rPr>
        <w:t>.</w:t>
      </w:r>
    </w:p>
    <w:p w14:paraId="5C836A81" w14:textId="77777777" w:rsidR="00732E7D" w:rsidRDefault="00732E7D" w:rsidP="00732E7D">
      <w:pPr>
        <w:jc w:val="both"/>
        <w:rPr>
          <w:rFonts w:ascii="Arial" w:hAnsi="Arial" w:cs="Arial"/>
          <w:i/>
          <w:color w:val="808080" w:themeColor="background1" w:themeShade="80"/>
          <w:sz w:val="22"/>
          <w:szCs w:val="22"/>
          <w:lang w:val="en-GB"/>
        </w:rPr>
      </w:pPr>
      <w:r>
        <w:rPr>
          <w:rFonts w:ascii="Arial" w:hAnsi="Arial" w:cs="Arial"/>
          <w:i/>
          <w:color w:val="808080" w:themeColor="background1" w:themeShade="80"/>
          <w:sz w:val="22"/>
          <w:szCs w:val="22"/>
          <w:lang w:val="en-GB"/>
        </w:rPr>
        <w:t>Procedure</w:t>
      </w:r>
    </w:p>
    <w:p w14:paraId="3899D066" w14:textId="77777777" w:rsidR="00732E7D" w:rsidRDefault="00732E7D" w:rsidP="00732E7D">
      <w:pPr>
        <w:jc w:val="both"/>
        <w:rPr>
          <w:rFonts w:ascii="Arial" w:hAnsi="Arial" w:cs="Arial"/>
          <w:color w:val="808080" w:themeColor="background1" w:themeShade="80"/>
          <w:sz w:val="22"/>
          <w:szCs w:val="22"/>
          <w:lang w:val="en-GB"/>
        </w:rPr>
      </w:pPr>
    </w:p>
    <w:p w14:paraId="7FDCA45B" w14:textId="77777777" w:rsidR="00732E7D" w:rsidRDefault="00732E7D" w:rsidP="00732E7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 party seeking to enforce a foreign judgment must apply to the Grand Court by Originating Summons supported by an affidavit</w:t>
      </w:r>
      <w:r>
        <w:rPr>
          <w:rStyle w:val="FootnoteReference"/>
          <w:rFonts w:ascii="Arial" w:hAnsi="Arial" w:cs="Arial"/>
          <w:color w:val="808080" w:themeColor="background1" w:themeShade="80"/>
          <w:sz w:val="22"/>
          <w:szCs w:val="22"/>
          <w:lang w:val="en-GB"/>
        </w:rPr>
        <w:footnoteReference w:id="21"/>
      </w:r>
      <w:r>
        <w:rPr>
          <w:rFonts w:ascii="Arial" w:hAnsi="Arial" w:cs="Arial"/>
          <w:color w:val="808080" w:themeColor="background1" w:themeShade="80"/>
          <w:sz w:val="22"/>
          <w:szCs w:val="22"/>
          <w:lang w:val="en-GB"/>
        </w:rPr>
        <w:t>. This affidavit must state to the best of the deponent’s knowledge and belief:</w:t>
      </w:r>
    </w:p>
    <w:p w14:paraId="4E9A25F4" w14:textId="77777777" w:rsidR="00732E7D" w:rsidRDefault="00732E7D" w:rsidP="00732E7D">
      <w:pPr>
        <w:jc w:val="both"/>
        <w:rPr>
          <w:rFonts w:ascii="Arial" w:hAnsi="Arial" w:cs="Arial"/>
          <w:color w:val="808080" w:themeColor="background1" w:themeShade="80"/>
          <w:sz w:val="22"/>
          <w:szCs w:val="22"/>
          <w:lang w:val="en-GB"/>
        </w:rPr>
      </w:pPr>
    </w:p>
    <w:p w14:paraId="0AAED4E4" w14:textId="77777777" w:rsidR="00732E7D" w:rsidRDefault="00732E7D" w:rsidP="00732E7D">
      <w:pPr>
        <w:pStyle w:val="ListParagraph"/>
        <w:numPr>
          <w:ilvl w:val="0"/>
          <w:numId w:val="47"/>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full name and address of the debtor/creditor </w:t>
      </w:r>
    </w:p>
    <w:p w14:paraId="7029DABC" w14:textId="77777777" w:rsidR="00732E7D" w:rsidRDefault="00732E7D" w:rsidP="00732E7D">
      <w:pPr>
        <w:pStyle w:val="ListParagraph"/>
        <w:numPr>
          <w:ilvl w:val="0"/>
          <w:numId w:val="47"/>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Exhibit a copy of the judgment;</w:t>
      </w:r>
    </w:p>
    <w:p w14:paraId="10B94913" w14:textId="77777777" w:rsidR="00732E7D" w:rsidRDefault="00732E7D" w:rsidP="00732E7D">
      <w:pPr>
        <w:pStyle w:val="ListParagraph"/>
        <w:numPr>
          <w:ilvl w:val="0"/>
          <w:numId w:val="47"/>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That the judgment creditor is entitled to enforce the judgment; and</w:t>
      </w:r>
    </w:p>
    <w:p w14:paraId="2F350B3C" w14:textId="77777777" w:rsidR="00732E7D" w:rsidRDefault="00732E7D" w:rsidP="00732E7D">
      <w:pPr>
        <w:pStyle w:val="ListParagraph"/>
        <w:numPr>
          <w:ilvl w:val="0"/>
          <w:numId w:val="47"/>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That at the date of the application, the judgment remains unsatisfied.</w:t>
      </w:r>
    </w:p>
    <w:p w14:paraId="20FCD284" w14:textId="77777777" w:rsidR="00732E7D" w:rsidRDefault="00732E7D" w:rsidP="00732E7D">
      <w:pPr>
        <w:jc w:val="both"/>
        <w:rPr>
          <w:rFonts w:ascii="Arial" w:hAnsi="Arial" w:cs="Arial"/>
          <w:color w:val="808080" w:themeColor="background1" w:themeShade="80"/>
          <w:sz w:val="22"/>
          <w:szCs w:val="22"/>
          <w:lang w:val="en-GB"/>
        </w:rPr>
      </w:pPr>
    </w:p>
    <w:p w14:paraId="1E24E401" w14:textId="77777777" w:rsidR="00732E7D" w:rsidRPr="009D5A96" w:rsidRDefault="00732E7D" w:rsidP="00732E7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Upon the Grand Court recognizing the foreign judgment, enforcement of the judgment may not commence until the set-aside period has expired. Upon the expiration, the foreign judgment has the same effect as a judgment of the Cayman Court and may be enforced by any or all of the methods available for domestic judgments (e.g., Appointment of a Receiver; Writ of Execution; Committal Proceedings; Charging Orders or a Garnishee order).</w:t>
      </w:r>
    </w:p>
    <w:p w14:paraId="337A31CC" w14:textId="77777777" w:rsidR="00E4294D" w:rsidRPr="002A37BB" w:rsidRDefault="00E4294D" w:rsidP="002A37BB">
      <w:pPr>
        <w:jc w:val="both"/>
        <w:rPr>
          <w:rFonts w:ascii="Arial" w:hAnsi="Arial" w:cs="Arial"/>
          <w:bCs/>
          <w:sz w:val="22"/>
          <w:szCs w:val="22"/>
          <w:lang w:val="en-GB"/>
        </w:rPr>
      </w:pPr>
    </w:p>
    <w:p w14:paraId="39D50E2D" w14:textId="0990F109" w:rsidR="00853B56"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w:t>
      </w:r>
      <w:r w:rsidR="00853B56">
        <w:rPr>
          <w:rFonts w:ascii="Arial" w:hAnsi="Arial" w:cs="Arial"/>
          <w:b/>
          <w:sz w:val="22"/>
          <w:szCs w:val="22"/>
          <w:lang w:val="en-GB"/>
        </w:rPr>
        <w:t>[15 marks in total]</w:t>
      </w:r>
    </w:p>
    <w:p w14:paraId="7CAB7846" w14:textId="77777777" w:rsidR="00853B56" w:rsidRDefault="00853B56" w:rsidP="002A37BB">
      <w:pPr>
        <w:jc w:val="both"/>
        <w:rPr>
          <w:rFonts w:ascii="Arial" w:hAnsi="Arial" w:cs="Arial"/>
          <w:b/>
          <w:sz w:val="22"/>
          <w:szCs w:val="22"/>
          <w:lang w:val="en-GB"/>
        </w:rPr>
      </w:pPr>
    </w:p>
    <w:p w14:paraId="261DD67E" w14:textId="0AF042AF" w:rsidR="00962045" w:rsidRPr="002A37BB" w:rsidRDefault="00853B56" w:rsidP="002A37BB">
      <w:pPr>
        <w:jc w:val="both"/>
        <w:rPr>
          <w:rFonts w:ascii="Arial" w:hAnsi="Arial" w:cs="Arial"/>
          <w:b/>
          <w:sz w:val="22"/>
          <w:szCs w:val="22"/>
          <w:lang w:val="en-GB"/>
        </w:rPr>
      </w:pPr>
      <w:r>
        <w:rPr>
          <w:rFonts w:ascii="Arial" w:hAnsi="Arial" w:cs="Arial"/>
          <w:b/>
          <w:sz w:val="22"/>
          <w:szCs w:val="22"/>
          <w:lang w:val="en-GB"/>
        </w:rPr>
        <w:t xml:space="preserve">Question 3.1 </w:t>
      </w:r>
      <w:r w:rsidR="00962045" w:rsidRPr="002A37BB">
        <w:rPr>
          <w:rFonts w:ascii="Arial" w:hAnsi="Arial" w:cs="Arial"/>
          <w:b/>
          <w:sz w:val="22"/>
          <w:szCs w:val="22"/>
          <w:lang w:val="en-GB"/>
        </w:rPr>
        <w:t>[</w:t>
      </w:r>
      <w:r>
        <w:rPr>
          <w:rFonts w:ascii="Arial" w:hAnsi="Arial" w:cs="Arial"/>
          <w:b/>
          <w:sz w:val="22"/>
          <w:szCs w:val="22"/>
          <w:lang w:val="en-GB"/>
        </w:rPr>
        <w:t xml:space="preserve">maximum </w:t>
      </w:r>
      <w:r w:rsidRPr="00853B56">
        <w:rPr>
          <w:rFonts w:ascii="Arial" w:hAnsi="Arial" w:cs="Arial"/>
          <w:b/>
          <w:sz w:val="22"/>
          <w:szCs w:val="22"/>
          <w:lang w:val="en-GB"/>
        </w:rPr>
        <w:t>9</w:t>
      </w:r>
      <w:r w:rsidR="00962045" w:rsidRPr="00853B56">
        <w:rPr>
          <w:rFonts w:ascii="Arial" w:hAnsi="Arial" w:cs="Arial"/>
          <w:b/>
          <w:sz w:val="22"/>
          <w:szCs w:val="22"/>
          <w:lang w:val="en-GB"/>
        </w:rPr>
        <w:t xml:space="preserve"> marks</w:t>
      </w:r>
      <w:r w:rsidR="00962045" w:rsidRPr="002A37BB">
        <w:rPr>
          <w:rFonts w:ascii="Arial" w:hAnsi="Arial" w:cs="Arial"/>
          <w:b/>
          <w:sz w:val="22"/>
          <w:szCs w:val="22"/>
          <w:lang w:val="en-GB"/>
        </w:rPr>
        <w:t xml:space="preserve">] </w:t>
      </w:r>
    </w:p>
    <w:p w14:paraId="61BA6288" w14:textId="77777777" w:rsidR="00962045" w:rsidRPr="002A37BB" w:rsidRDefault="00962045" w:rsidP="002A37BB">
      <w:pPr>
        <w:jc w:val="both"/>
        <w:rPr>
          <w:rFonts w:ascii="Arial" w:hAnsi="Arial" w:cs="Arial"/>
          <w:sz w:val="22"/>
          <w:szCs w:val="22"/>
          <w:lang w:val="en-GB"/>
        </w:rPr>
      </w:pPr>
    </w:p>
    <w:p w14:paraId="0E6AC538" w14:textId="718641EB" w:rsidR="002476AF" w:rsidRDefault="00775E93" w:rsidP="00FE08A2">
      <w:pPr>
        <w:jc w:val="both"/>
        <w:rPr>
          <w:rFonts w:ascii="Arial" w:hAnsi="Arial" w:cs="Arial"/>
          <w:sz w:val="22"/>
          <w:szCs w:val="22"/>
          <w:lang w:val="en-GB"/>
        </w:rPr>
      </w:pPr>
      <w:r>
        <w:rPr>
          <w:rFonts w:ascii="Arial" w:hAnsi="Arial" w:cs="Arial"/>
          <w:sz w:val="22"/>
          <w:szCs w:val="22"/>
          <w:lang w:val="en-GB"/>
        </w:rPr>
        <w:t xml:space="preserve">In the absence of a statutory prohibition on insolvent trading, </w:t>
      </w:r>
      <w:r w:rsidR="00FE08A2">
        <w:rPr>
          <w:rFonts w:ascii="Arial" w:hAnsi="Arial" w:cs="Arial"/>
          <w:sz w:val="22"/>
          <w:szCs w:val="22"/>
          <w:lang w:val="en-GB"/>
        </w:rPr>
        <w:t>is it possible for court appointed liquidators of a</w:t>
      </w:r>
      <w:r w:rsidR="00633808">
        <w:rPr>
          <w:rFonts w:ascii="Arial" w:hAnsi="Arial" w:cs="Arial"/>
          <w:sz w:val="22"/>
          <w:szCs w:val="22"/>
          <w:lang w:val="en-GB"/>
        </w:rPr>
        <w:t>n insolvent</w:t>
      </w:r>
      <w:r w:rsidR="00FE08A2">
        <w:rPr>
          <w:rFonts w:ascii="Arial" w:hAnsi="Arial" w:cs="Arial"/>
          <w:sz w:val="22"/>
          <w:szCs w:val="22"/>
          <w:lang w:val="en-GB"/>
        </w:rPr>
        <w:t xml:space="preserve"> company, or creditors of </w:t>
      </w:r>
      <w:r w:rsidR="00633808">
        <w:rPr>
          <w:rFonts w:ascii="Arial" w:hAnsi="Arial" w:cs="Arial"/>
          <w:sz w:val="22"/>
          <w:szCs w:val="22"/>
          <w:lang w:val="en-GB"/>
        </w:rPr>
        <w:t>such a</w:t>
      </w:r>
      <w:r w:rsidR="00FE08A2">
        <w:rPr>
          <w:rFonts w:ascii="Arial" w:hAnsi="Arial" w:cs="Arial"/>
          <w:sz w:val="22"/>
          <w:szCs w:val="22"/>
          <w:lang w:val="en-GB"/>
        </w:rPr>
        <w:t xml:space="preserve"> company, to hold </w:t>
      </w:r>
      <w:r w:rsidR="00633808">
        <w:rPr>
          <w:rFonts w:ascii="Arial" w:hAnsi="Arial" w:cs="Arial"/>
          <w:sz w:val="22"/>
          <w:szCs w:val="22"/>
          <w:lang w:val="en-GB"/>
        </w:rPr>
        <w:t xml:space="preserve">its former </w:t>
      </w:r>
      <w:r w:rsidR="00FE08A2">
        <w:rPr>
          <w:rFonts w:ascii="Arial" w:hAnsi="Arial" w:cs="Arial"/>
          <w:sz w:val="22"/>
          <w:szCs w:val="22"/>
          <w:lang w:val="en-GB"/>
        </w:rPr>
        <w:t xml:space="preserve">directors accountable by either seeking financial damages </w:t>
      </w:r>
      <w:r w:rsidR="00633808">
        <w:rPr>
          <w:rFonts w:ascii="Arial" w:hAnsi="Arial" w:cs="Arial"/>
          <w:sz w:val="22"/>
          <w:szCs w:val="22"/>
          <w:lang w:val="en-GB"/>
        </w:rPr>
        <w:t>against</w:t>
      </w:r>
      <w:r w:rsidR="00FE08A2">
        <w:rPr>
          <w:rFonts w:ascii="Arial" w:hAnsi="Arial" w:cs="Arial"/>
          <w:sz w:val="22"/>
          <w:szCs w:val="22"/>
          <w:lang w:val="en-GB"/>
        </w:rPr>
        <w:t xml:space="preserve"> those directors and</w:t>
      </w:r>
      <w:r w:rsidR="00924973">
        <w:rPr>
          <w:rFonts w:ascii="Arial" w:hAnsi="Arial" w:cs="Arial"/>
          <w:sz w:val="22"/>
          <w:szCs w:val="22"/>
          <w:lang w:val="en-GB"/>
        </w:rPr>
        <w:t xml:space="preserve"> </w:t>
      </w:r>
      <w:r w:rsidR="00FE08A2">
        <w:rPr>
          <w:rFonts w:ascii="Arial" w:hAnsi="Arial" w:cs="Arial"/>
          <w:sz w:val="22"/>
          <w:szCs w:val="22"/>
          <w:lang w:val="en-GB"/>
        </w:rPr>
        <w:t>/</w:t>
      </w:r>
      <w:r w:rsidR="00924973">
        <w:rPr>
          <w:rFonts w:ascii="Arial" w:hAnsi="Arial" w:cs="Arial"/>
          <w:sz w:val="22"/>
          <w:szCs w:val="22"/>
          <w:lang w:val="en-GB"/>
        </w:rPr>
        <w:t xml:space="preserve"> </w:t>
      </w:r>
      <w:r w:rsidR="00FE08A2">
        <w:rPr>
          <w:rFonts w:ascii="Arial" w:hAnsi="Arial" w:cs="Arial"/>
          <w:sz w:val="22"/>
          <w:szCs w:val="22"/>
          <w:lang w:val="en-GB"/>
        </w:rPr>
        <w:t xml:space="preserve">or by seeking to </w:t>
      </w:r>
      <w:r w:rsidR="00924973">
        <w:rPr>
          <w:rFonts w:ascii="Arial" w:hAnsi="Arial" w:cs="Arial"/>
          <w:sz w:val="22"/>
          <w:szCs w:val="22"/>
          <w:lang w:val="en-GB"/>
        </w:rPr>
        <w:t>“</w:t>
      </w:r>
      <w:r w:rsidR="00FE08A2">
        <w:rPr>
          <w:rFonts w:ascii="Arial" w:hAnsi="Arial" w:cs="Arial"/>
          <w:sz w:val="22"/>
          <w:szCs w:val="22"/>
          <w:lang w:val="en-GB"/>
        </w:rPr>
        <w:t>claw back</w:t>
      </w:r>
      <w:r w:rsidR="00924973">
        <w:rPr>
          <w:rFonts w:ascii="Arial" w:hAnsi="Arial" w:cs="Arial"/>
          <w:sz w:val="22"/>
          <w:szCs w:val="22"/>
          <w:lang w:val="en-GB"/>
        </w:rPr>
        <w:t>”</w:t>
      </w:r>
      <w:r w:rsidR="00FE08A2">
        <w:rPr>
          <w:rFonts w:ascii="Arial" w:hAnsi="Arial" w:cs="Arial"/>
          <w:sz w:val="22"/>
          <w:szCs w:val="22"/>
          <w:lang w:val="en-GB"/>
        </w:rPr>
        <w:t xml:space="preserve"> any payments that those directors should not have made? </w:t>
      </w:r>
      <w:r w:rsidR="00633808">
        <w:rPr>
          <w:rFonts w:ascii="Arial" w:hAnsi="Arial" w:cs="Arial"/>
          <w:sz w:val="22"/>
          <w:szCs w:val="22"/>
          <w:lang w:val="en-GB"/>
        </w:rPr>
        <w:t xml:space="preserve">If so, please explain the possible options. </w:t>
      </w:r>
    </w:p>
    <w:p w14:paraId="311CA539" w14:textId="77777777" w:rsidR="00DF75F8" w:rsidRPr="002A37BB" w:rsidRDefault="00DF75F8" w:rsidP="002A37BB">
      <w:pPr>
        <w:jc w:val="both"/>
        <w:rPr>
          <w:rFonts w:ascii="Arial" w:hAnsi="Arial" w:cs="Arial"/>
          <w:sz w:val="22"/>
          <w:szCs w:val="22"/>
        </w:rPr>
      </w:pPr>
    </w:p>
    <w:p w14:paraId="40F23F76" w14:textId="77777777" w:rsidR="00732E7D" w:rsidRDefault="00732E7D" w:rsidP="00732E7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director of an insolvent company or a company in the “zone of insolvency” owes a fiduciary duty to act in the best interests of the company’s creditors. Where such a director acts in breach of such duties, he/she may be liable for:</w:t>
      </w:r>
    </w:p>
    <w:p w14:paraId="287965A4" w14:textId="77777777" w:rsidR="00732E7D" w:rsidRDefault="00732E7D" w:rsidP="00732E7D">
      <w:pPr>
        <w:jc w:val="both"/>
        <w:rPr>
          <w:rFonts w:ascii="Arial" w:hAnsi="Arial" w:cs="Arial"/>
          <w:color w:val="808080" w:themeColor="background1" w:themeShade="80"/>
          <w:sz w:val="22"/>
          <w:szCs w:val="22"/>
          <w:lang w:val="en-GB"/>
        </w:rPr>
      </w:pPr>
    </w:p>
    <w:p w14:paraId="543CFAE6" w14:textId="77777777" w:rsidR="00732E7D" w:rsidRDefault="00732E7D" w:rsidP="00732E7D">
      <w:pPr>
        <w:pStyle w:val="ListParagraph"/>
        <w:numPr>
          <w:ilvl w:val="0"/>
          <w:numId w:val="4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Fraudulent trading;</w:t>
      </w:r>
    </w:p>
    <w:p w14:paraId="42723DD8" w14:textId="77777777" w:rsidR="00732E7D" w:rsidRDefault="00732E7D" w:rsidP="00732E7D">
      <w:pPr>
        <w:pStyle w:val="ListParagraph"/>
        <w:numPr>
          <w:ilvl w:val="0"/>
          <w:numId w:val="4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Avoidance of dispositions </w:t>
      </w:r>
    </w:p>
    <w:p w14:paraId="33BB5DB6" w14:textId="77777777" w:rsidR="00732E7D" w:rsidRPr="009B3DF5" w:rsidRDefault="00732E7D" w:rsidP="00732E7D">
      <w:pPr>
        <w:pStyle w:val="ListParagraph"/>
        <w:numPr>
          <w:ilvl w:val="0"/>
          <w:numId w:val="4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Avoidance of dispositions made at an undervalue; or</w:t>
      </w:r>
    </w:p>
    <w:p w14:paraId="3606EB94" w14:textId="77777777" w:rsidR="00732E7D" w:rsidRDefault="00732E7D" w:rsidP="00732E7D">
      <w:pPr>
        <w:pStyle w:val="ListParagraph"/>
        <w:numPr>
          <w:ilvl w:val="0"/>
          <w:numId w:val="4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Voidable preferences; </w:t>
      </w:r>
    </w:p>
    <w:p w14:paraId="42886C26" w14:textId="77777777" w:rsidR="00732E7D" w:rsidRDefault="00732E7D" w:rsidP="00732E7D">
      <w:pPr>
        <w:jc w:val="both"/>
        <w:rPr>
          <w:rFonts w:ascii="Arial" w:hAnsi="Arial" w:cs="Arial"/>
          <w:color w:val="808080" w:themeColor="background1" w:themeShade="80"/>
          <w:sz w:val="22"/>
          <w:szCs w:val="22"/>
          <w:lang w:val="en-GB"/>
        </w:rPr>
      </w:pPr>
    </w:p>
    <w:p w14:paraId="06A9D06A" w14:textId="77777777" w:rsidR="00732E7D" w:rsidRDefault="00732E7D" w:rsidP="00732E7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Regarding fraudulent trading, section 147 of the CA (Revision 2020) confers standing on the liquidator to apply to the Grand Court for a declaration that any person or persons are liable to contribute to the company’s assets</w:t>
      </w:r>
      <w:r>
        <w:rPr>
          <w:rStyle w:val="FootnoteReference"/>
          <w:rFonts w:ascii="Arial" w:hAnsi="Arial" w:cs="Arial"/>
          <w:color w:val="808080" w:themeColor="background1" w:themeShade="80"/>
          <w:sz w:val="22"/>
          <w:szCs w:val="22"/>
          <w:lang w:val="en-GB"/>
        </w:rPr>
        <w:footnoteReference w:id="22"/>
      </w:r>
      <w:r>
        <w:rPr>
          <w:rFonts w:ascii="Arial" w:hAnsi="Arial" w:cs="Arial"/>
          <w:color w:val="808080" w:themeColor="background1" w:themeShade="80"/>
          <w:sz w:val="22"/>
          <w:szCs w:val="22"/>
          <w:lang w:val="en-GB"/>
        </w:rPr>
        <w:t>. To bring such an application, a liquidator must establish that under the direction of the company’s directors/officers, the company's business was carried out with the intent to defraud creditors or for any fraudulent purpose</w:t>
      </w:r>
      <w:r>
        <w:rPr>
          <w:rStyle w:val="FootnoteReference"/>
          <w:rFonts w:ascii="Arial" w:hAnsi="Arial" w:cs="Arial"/>
          <w:color w:val="808080" w:themeColor="background1" w:themeShade="80"/>
          <w:sz w:val="22"/>
          <w:szCs w:val="22"/>
          <w:lang w:val="en-GB"/>
        </w:rPr>
        <w:footnoteReference w:id="23"/>
      </w:r>
      <w:r>
        <w:rPr>
          <w:rFonts w:ascii="Arial" w:hAnsi="Arial" w:cs="Arial"/>
          <w:color w:val="808080" w:themeColor="background1" w:themeShade="80"/>
          <w:sz w:val="22"/>
          <w:szCs w:val="22"/>
          <w:lang w:val="en-GB"/>
        </w:rPr>
        <w:t>. If the Grand Court is satisfied that the company carried out its business to defraud creditors, it may make such director liable to contribute to the assets of the company’s assets in the amount that the court thinks proper</w:t>
      </w:r>
      <w:r>
        <w:rPr>
          <w:rStyle w:val="FootnoteReference"/>
          <w:rFonts w:ascii="Arial" w:hAnsi="Arial" w:cs="Arial"/>
          <w:color w:val="808080" w:themeColor="background1" w:themeShade="80"/>
          <w:sz w:val="22"/>
          <w:szCs w:val="22"/>
          <w:lang w:val="en-GB"/>
        </w:rPr>
        <w:footnoteReference w:id="24"/>
      </w:r>
      <w:r>
        <w:rPr>
          <w:rFonts w:ascii="Arial" w:hAnsi="Arial" w:cs="Arial"/>
          <w:color w:val="808080" w:themeColor="background1" w:themeShade="80"/>
          <w:sz w:val="22"/>
          <w:szCs w:val="22"/>
          <w:lang w:val="en-GB"/>
        </w:rPr>
        <w:t>.</w:t>
      </w:r>
    </w:p>
    <w:p w14:paraId="3BAD277C" w14:textId="77777777" w:rsidR="00732E7D" w:rsidRDefault="00732E7D" w:rsidP="00732E7D">
      <w:pPr>
        <w:jc w:val="both"/>
        <w:rPr>
          <w:rFonts w:ascii="Arial" w:hAnsi="Arial" w:cs="Arial"/>
          <w:color w:val="808080" w:themeColor="background1" w:themeShade="80"/>
          <w:sz w:val="22"/>
          <w:szCs w:val="22"/>
          <w:lang w:val="en-GB"/>
        </w:rPr>
      </w:pPr>
    </w:p>
    <w:p w14:paraId="7CD083A1" w14:textId="77777777" w:rsidR="00732E7D" w:rsidRDefault="00732E7D" w:rsidP="00732E7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As regards avoidance of property dispositions, antecedent dispositions made after the commencement date of the winding up petition (i.e., the date of filing of the petition</w:t>
      </w:r>
      <w:r>
        <w:rPr>
          <w:rStyle w:val="FootnoteReference"/>
          <w:rFonts w:ascii="Arial" w:hAnsi="Arial" w:cs="Arial"/>
          <w:color w:val="808080" w:themeColor="background1" w:themeShade="80"/>
          <w:sz w:val="22"/>
          <w:szCs w:val="22"/>
          <w:lang w:val="en-GB"/>
        </w:rPr>
        <w:footnoteReference w:id="25"/>
      </w:r>
      <w:r>
        <w:rPr>
          <w:rFonts w:ascii="Arial" w:hAnsi="Arial" w:cs="Arial"/>
          <w:color w:val="808080" w:themeColor="background1" w:themeShade="80"/>
          <w:sz w:val="22"/>
          <w:szCs w:val="22"/>
          <w:lang w:val="en-GB"/>
        </w:rPr>
        <w:t>) is liable to be set aside. Section 99 of the CA (Revision 2020) provides that:</w:t>
      </w:r>
    </w:p>
    <w:p w14:paraId="6656B18B" w14:textId="77777777" w:rsidR="00732E7D" w:rsidRDefault="00732E7D" w:rsidP="00732E7D">
      <w:pPr>
        <w:jc w:val="both"/>
        <w:rPr>
          <w:rFonts w:ascii="Arial" w:hAnsi="Arial" w:cs="Arial"/>
          <w:color w:val="808080" w:themeColor="background1" w:themeShade="80"/>
          <w:sz w:val="22"/>
          <w:szCs w:val="22"/>
          <w:lang w:val="en-GB"/>
        </w:rPr>
      </w:pPr>
    </w:p>
    <w:p w14:paraId="26E61DA7" w14:textId="77777777" w:rsidR="00732E7D" w:rsidRDefault="00732E7D" w:rsidP="00732E7D">
      <w:pPr>
        <w:ind w:left="720"/>
        <w:jc w:val="both"/>
        <w:rPr>
          <w:rFonts w:ascii="Arial" w:hAnsi="Arial" w:cs="Arial"/>
          <w:i/>
          <w:color w:val="808080" w:themeColor="background1" w:themeShade="80"/>
          <w:sz w:val="22"/>
          <w:szCs w:val="22"/>
          <w:lang w:val="en-GB"/>
        </w:rPr>
      </w:pPr>
      <w:r>
        <w:rPr>
          <w:rFonts w:ascii="Arial" w:hAnsi="Arial" w:cs="Arial"/>
          <w:color w:val="808080" w:themeColor="background1" w:themeShade="80"/>
          <w:sz w:val="22"/>
          <w:szCs w:val="22"/>
          <w:lang w:val="en-GB"/>
        </w:rPr>
        <w:t>“</w:t>
      </w:r>
      <w:r>
        <w:rPr>
          <w:rFonts w:ascii="Arial" w:hAnsi="Arial" w:cs="Arial"/>
          <w:i/>
          <w:color w:val="808080" w:themeColor="background1" w:themeShade="80"/>
          <w:sz w:val="22"/>
          <w:szCs w:val="22"/>
          <w:lang w:val="en-GB"/>
        </w:rPr>
        <w:t xml:space="preserve">When a winding up order has been made, any disposition </w:t>
      </w:r>
      <w:r>
        <w:rPr>
          <w:rFonts w:ascii="Arial" w:hAnsi="Arial" w:cs="Arial"/>
          <w:i/>
          <w:color w:val="808080" w:themeColor="background1" w:themeShade="80"/>
          <w:sz w:val="22"/>
          <w:szCs w:val="22"/>
          <w:u w:val="single"/>
          <w:lang w:val="en-GB"/>
        </w:rPr>
        <w:t>of the company’s property</w:t>
      </w:r>
      <w:r>
        <w:rPr>
          <w:rFonts w:ascii="Arial" w:hAnsi="Arial" w:cs="Arial"/>
          <w:i/>
          <w:color w:val="808080" w:themeColor="background1" w:themeShade="80"/>
          <w:sz w:val="22"/>
          <w:szCs w:val="22"/>
          <w:lang w:val="en-GB"/>
        </w:rPr>
        <w:t xml:space="preserve"> and any </w:t>
      </w:r>
      <w:r>
        <w:rPr>
          <w:rFonts w:ascii="Arial" w:hAnsi="Arial" w:cs="Arial"/>
          <w:i/>
          <w:color w:val="808080" w:themeColor="background1" w:themeShade="80"/>
          <w:sz w:val="22"/>
          <w:szCs w:val="22"/>
          <w:u w:val="single"/>
          <w:lang w:val="en-GB"/>
        </w:rPr>
        <w:t>transfer of shares</w:t>
      </w:r>
      <w:r>
        <w:rPr>
          <w:rFonts w:ascii="Arial" w:hAnsi="Arial" w:cs="Arial"/>
          <w:i/>
          <w:color w:val="808080" w:themeColor="background1" w:themeShade="80"/>
          <w:sz w:val="22"/>
          <w:szCs w:val="22"/>
          <w:lang w:val="en-GB"/>
        </w:rPr>
        <w:t xml:space="preserve"> or </w:t>
      </w:r>
      <w:r>
        <w:rPr>
          <w:rFonts w:ascii="Arial" w:hAnsi="Arial" w:cs="Arial"/>
          <w:i/>
          <w:color w:val="808080" w:themeColor="background1" w:themeShade="80"/>
          <w:sz w:val="22"/>
          <w:szCs w:val="22"/>
          <w:u w:val="single"/>
          <w:lang w:val="en-GB"/>
        </w:rPr>
        <w:t>alteration in the status of the company’s members</w:t>
      </w:r>
      <w:r>
        <w:rPr>
          <w:rFonts w:ascii="Arial" w:hAnsi="Arial" w:cs="Arial"/>
          <w:i/>
          <w:color w:val="808080" w:themeColor="background1" w:themeShade="80"/>
          <w:sz w:val="22"/>
          <w:szCs w:val="22"/>
          <w:lang w:val="en-GB"/>
        </w:rPr>
        <w:t xml:space="preserve"> made after the commencement of the winding up is, unless the Court orders otherwise, void</w:t>
      </w:r>
      <w:r>
        <w:rPr>
          <w:rStyle w:val="FootnoteReference"/>
          <w:rFonts w:ascii="Arial" w:hAnsi="Arial" w:cs="Arial"/>
          <w:i/>
          <w:color w:val="808080" w:themeColor="background1" w:themeShade="80"/>
          <w:sz w:val="22"/>
          <w:szCs w:val="22"/>
          <w:lang w:val="en-GB"/>
        </w:rPr>
        <w:footnoteReference w:id="26"/>
      </w:r>
      <w:r>
        <w:rPr>
          <w:rFonts w:ascii="Arial" w:hAnsi="Arial" w:cs="Arial"/>
          <w:i/>
          <w:color w:val="808080" w:themeColor="background1" w:themeShade="80"/>
          <w:sz w:val="22"/>
          <w:szCs w:val="22"/>
          <w:lang w:val="en-GB"/>
        </w:rPr>
        <w:t>.”</w:t>
      </w:r>
    </w:p>
    <w:p w14:paraId="650C68AE" w14:textId="77777777" w:rsidR="00732E7D" w:rsidRDefault="00732E7D" w:rsidP="00732E7D">
      <w:pPr>
        <w:ind w:left="720"/>
        <w:jc w:val="both"/>
        <w:rPr>
          <w:rFonts w:ascii="Arial" w:hAnsi="Arial" w:cs="Arial"/>
          <w:i/>
          <w:color w:val="808080" w:themeColor="background1" w:themeShade="80"/>
          <w:sz w:val="22"/>
          <w:szCs w:val="22"/>
          <w:lang w:val="en-GB"/>
        </w:rPr>
      </w:pPr>
    </w:p>
    <w:p w14:paraId="2818D353" w14:textId="77777777" w:rsidR="00732E7D" w:rsidRDefault="00732E7D" w:rsidP="00732E7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Thus, upon the making of a winding up order, any disposition of the (</w:t>
      </w:r>
      <w:proofErr w:type="spellStart"/>
      <w:r>
        <w:rPr>
          <w:rFonts w:ascii="Arial" w:hAnsi="Arial" w:cs="Arial"/>
          <w:color w:val="808080" w:themeColor="background1" w:themeShade="80"/>
          <w:sz w:val="22"/>
          <w:szCs w:val="22"/>
          <w:lang w:val="en-GB"/>
        </w:rPr>
        <w:t>i</w:t>
      </w:r>
      <w:proofErr w:type="spellEnd"/>
      <w:r>
        <w:rPr>
          <w:rFonts w:ascii="Arial" w:hAnsi="Arial" w:cs="Arial"/>
          <w:color w:val="808080" w:themeColor="background1" w:themeShade="80"/>
          <w:sz w:val="22"/>
          <w:szCs w:val="22"/>
          <w:lang w:val="en-GB"/>
        </w:rPr>
        <w:t>) company’s property; (ii) transfer of shares; and/or (iii) alteration in the status of the company’s shareholders made after the commencement date may be set aside on the insistence of the liquidator. The company can avoid the effect of s.99 by applying to the court for a validation order. Such application may be made prospectively (the prudent approach for a company to adopt) or retrospectively. Still, the company runs the risk of the court not granting a validation order for retrospective validation</w:t>
      </w:r>
      <w:r>
        <w:rPr>
          <w:rStyle w:val="FootnoteReference"/>
          <w:rFonts w:ascii="Arial" w:hAnsi="Arial" w:cs="Arial"/>
          <w:color w:val="808080" w:themeColor="background1" w:themeShade="80"/>
          <w:sz w:val="22"/>
          <w:szCs w:val="22"/>
          <w:lang w:val="en-GB"/>
        </w:rPr>
        <w:footnoteReference w:id="27"/>
      </w:r>
      <w:r>
        <w:rPr>
          <w:rFonts w:ascii="Arial" w:hAnsi="Arial" w:cs="Arial"/>
          <w:color w:val="808080" w:themeColor="background1" w:themeShade="80"/>
          <w:sz w:val="22"/>
          <w:szCs w:val="22"/>
          <w:lang w:val="en-GB"/>
        </w:rPr>
        <w:t>.</w:t>
      </w:r>
    </w:p>
    <w:p w14:paraId="5B6FD125" w14:textId="77777777" w:rsidR="00732E7D" w:rsidRDefault="00732E7D" w:rsidP="00732E7D">
      <w:pPr>
        <w:jc w:val="both"/>
        <w:rPr>
          <w:rFonts w:ascii="Arial" w:hAnsi="Arial" w:cs="Arial"/>
          <w:color w:val="808080" w:themeColor="background1" w:themeShade="80"/>
          <w:sz w:val="22"/>
          <w:szCs w:val="22"/>
          <w:lang w:val="en-GB"/>
        </w:rPr>
      </w:pPr>
    </w:p>
    <w:p w14:paraId="6BB768E8" w14:textId="77777777" w:rsidR="00732E7D" w:rsidRDefault="00732E7D" w:rsidP="00732E7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Under section 99, the Court has the power to require the payment of funds to the company or the return of the asset</w:t>
      </w:r>
      <w:r>
        <w:rPr>
          <w:rStyle w:val="FootnoteReference"/>
          <w:rFonts w:ascii="Arial" w:hAnsi="Arial" w:cs="Arial"/>
          <w:color w:val="808080" w:themeColor="background1" w:themeShade="80"/>
          <w:sz w:val="22"/>
          <w:szCs w:val="22"/>
          <w:lang w:val="en-GB"/>
        </w:rPr>
        <w:footnoteReference w:id="28"/>
      </w:r>
      <w:r>
        <w:rPr>
          <w:rFonts w:ascii="Arial" w:hAnsi="Arial" w:cs="Arial"/>
          <w:color w:val="808080" w:themeColor="background1" w:themeShade="80"/>
          <w:sz w:val="22"/>
          <w:szCs w:val="22"/>
          <w:lang w:val="en-GB"/>
        </w:rPr>
        <w:t>. Further to section 99, this relief is only available to a liquidator for dispositions after the presentation of a winding-up petition.</w:t>
      </w:r>
    </w:p>
    <w:p w14:paraId="76407EC5" w14:textId="77777777" w:rsidR="00732E7D" w:rsidRDefault="00732E7D" w:rsidP="00732E7D">
      <w:pPr>
        <w:jc w:val="both"/>
        <w:rPr>
          <w:rFonts w:ascii="Arial" w:hAnsi="Arial" w:cs="Arial"/>
          <w:color w:val="808080" w:themeColor="background1" w:themeShade="80"/>
          <w:sz w:val="22"/>
          <w:szCs w:val="22"/>
          <w:lang w:val="en-GB"/>
        </w:rPr>
      </w:pPr>
    </w:p>
    <w:p w14:paraId="234C3A63" w14:textId="77777777" w:rsidR="00732E7D" w:rsidRDefault="00732E7D" w:rsidP="00732E7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As regards transactions at an undervalue, such transaction may be set aside under s.146 of the CA (Revision 2020).</w:t>
      </w:r>
    </w:p>
    <w:p w14:paraId="3E68B451" w14:textId="77777777" w:rsidR="00732E7D" w:rsidRDefault="00732E7D" w:rsidP="00732E7D">
      <w:pPr>
        <w:jc w:val="both"/>
        <w:rPr>
          <w:rFonts w:ascii="Arial" w:hAnsi="Arial" w:cs="Arial"/>
          <w:color w:val="808080" w:themeColor="background1" w:themeShade="80"/>
          <w:sz w:val="22"/>
          <w:szCs w:val="22"/>
          <w:lang w:val="en-GB"/>
        </w:rPr>
      </w:pPr>
    </w:p>
    <w:p w14:paraId="51DA64C9" w14:textId="77777777" w:rsidR="00732E7D" w:rsidRDefault="00732E7D" w:rsidP="00732E7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Section 146 confers standing on a liquidator to make an application to set aside a transaction at an undervalue where company property is disposed of:</w:t>
      </w:r>
    </w:p>
    <w:p w14:paraId="4259594C" w14:textId="77777777" w:rsidR="00732E7D" w:rsidRDefault="00732E7D" w:rsidP="00732E7D">
      <w:pPr>
        <w:jc w:val="both"/>
        <w:rPr>
          <w:rFonts w:ascii="Arial" w:hAnsi="Arial" w:cs="Arial"/>
          <w:color w:val="808080" w:themeColor="background1" w:themeShade="80"/>
          <w:sz w:val="22"/>
          <w:szCs w:val="22"/>
          <w:lang w:val="en-GB"/>
        </w:rPr>
      </w:pPr>
    </w:p>
    <w:p w14:paraId="78C3901F" w14:textId="77777777" w:rsidR="00732E7D" w:rsidRDefault="00732E7D" w:rsidP="00732E7D">
      <w:pPr>
        <w:pStyle w:val="ListParagraph"/>
        <w:numPr>
          <w:ilvl w:val="0"/>
          <w:numId w:val="4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At an undervalue</w:t>
      </w:r>
      <w:r>
        <w:rPr>
          <w:rStyle w:val="FootnoteReference"/>
          <w:rFonts w:ascii="Arial" w:hAnsi="Arial" w:cs="Arial"/>
          <w:color w:val="808080" w:themeColor="background1" w:themeShade="80"/>
          <w:sz w:val="22"/>
          <w:szCs w:val="22"/>
          <w:lang w:val="en-GB"/>
        </w:rPr>
        <w:footnoteReference w:id="29"/>
      </w:r>
      <w:r>
        <w:rPr>
          <w:rFonts w:ascii="Arial" w:hAnsi="Arial" w:cs="Arial"/>
          <w:color w:val="808080" w:themeColor="background1" w:themeShade="80"/>
          <w:sz w:val="22"/>
          <w:szCs w:val="22"/>
          <w:lang w:val="en-GB"/>
        </w:rPr>
        <w:t>. For the purposes of this section, undervalue means “no consideration” or “consideration of money or money’s worth significantly less than the value of the property</w:t>
      </w:r>
      <w:r>
        <w:rPr>
          <w:rStyle w:val="FootnoteReference"/>
          <w:rFonts w:ascii="Arial" w:hAnsi="Arial" w:cs="Arial"/>
          <w:color w:val="808080" w:themeColor="background1" w:themeShade="80"/>
          <w:sz w:val="22"/>
          <w:szCs w:val="22"/>
          <w:lang w:val="en-GB"/>
        </w:rPr>
        <w:footnoteReference w:id="30"/>
      </w:r>
      <w:r>
        <w:rPr>
          <w:rFonts w:ascii="Arial" w:hAnsi="Arial" w:cs="Arial"/>
          <w:color w:val="808080" w:themeColor="background1" w:themeShade="80"/>
          <w:sz w:val="22"/>
          <w:szCs w:val="22"/>
          <w:lang w:val="en-GB"/>
        </w:rPr>
        <w:t>”; and</w:t>
      </w:r>
    </w:p>
    <w:p w14:paraId="017CFB76" w14:textId="77777777" w:rsidR="00732E7D" w:rsidRDefault="00732E7D" w:rsidP="00732E7D">
      <w:pPr>
        <w:pStyle w:val="ListParagraph"/>
        <w:numPr>
          <w:ilvl w:val="0"/>
          <w:numId w:val="4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Such property is disposed of with the intent to defraud creditors of the company</w:t>
      </w:r>
      <w:r>
        <w:rPr>
          <w:rStyle w:val="FootnoteReference"/>
          <w:rFonts w:ascii="Arial" w:hAnsi="Arial" w:cs="Arial"/>
          <w:color w:val="808080" w:themeColor="background1" w:themeShade="80"/>
          <w:sz w:val="22"/>
          <w:szCs w:val="22"/>
          <w:lang w:val="en-GB"/>
        </w:rPr>
        <w:footnoteReference w:id="31"/>
      </w:r>
      <w:r>
        <w:rPr>
          <w:rFonts w:ascii="Arial" w:hAnsi="Arial" w:cs="Arial"/>
          <w:color w:val="808080" w:themeColor="background1" w:themeShade="80"/>
          <w:sz w:val="22"/>
          <w:szCs w:val="22"/>
          <w:lang w:val="en-GB"/>
        </w:rPr>
        <w:t>.</w:t>
      </w:r>
    </w:p>
    <w:p w14:paraId="32C79DA2" w14:textId="77777777" w:rsidR="00732E7D" w:rsidRDefault="00732E7D" w:rsidP="00732E7D">
      <w:pPr>
        <w:pStyle w:val="ListParagraph"/>
        <w:jc w:val="both"/>
        <w:rPr>
          <w:rFonts w:ascii="Arial" w:hAnsi="Arial" w:cs="Arial"/>
          <w:color w:val="808080" w:themeColor="background1" w:themeShade="80"/>
          <w:sz w:val="22"/>
          <w:szCs w:val="22"/>
          <w:lang w:val="en-GB"/>
        </w:rPr>
      </w:pPr>
    </w:p>
    <w:p w14:paraId="2EF7196F" w14:textId="77777777" w:rsidR="00732E7D" w:rsidRDefault="00732E7D" w:rsidP="00732E7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For the purpose of this section, the liquidator bears the burden on such application to establish that the questionable disposition was carried out with the </w:t>
      </w:r>
      <w:r>
        <w:rPr>
          <w:rFonts w:ascii="Arial" w:hAnsi="Arial" w:cs="Arial"/>
          <w:color w:val="808080" w:themeColor="background1" w:themeShade="80"/>
          <w:sz w:val="22"/>
          <w:szCs w:val="22"/>
          <w:u w:val="single"/>
          <w:lang w:val="en-GB"/>
        </w:rPr>
        <w:t>intent</w:t>
      </w:r>
      <w:r>
        <w:rPr>
          <w:rFonts w:ascii="Arial" w:hAnsi="Arial" w:cs="Arial"/>
          <w:color w:val="808080" w:themeColor="background1" w:themeShade="80"/>
          <w:sz w:val="22"/>
          <w:szCs w:val="22"/>
          <w:lang w:val="en-GB"/>
        </w:rPr>
        <w:t xml:space="preserve"> to defraud the company’s creditors</w:t>
      </w:r>
      <w:r>
        <w:rPr>
          <w:rStyle w:val="FootnoteReference"/>
          <w:rFonts w:ascii="Arial" w:hAnsi="Arial" w:cs="Arial"/>
          <w:color w:val="808080" w:themeColor="background1" w:themeShade="80"/>
          <w:sz w:val="22"/>
          <w:szCs w:val="22"/>
          <w:lang w:val="en-GB"/>
        </w:rPr>
        <w:footnoteReference w:id="32"/>
      </w:r>
      <w:r>
        <w:rPr>
          <w:rFonts w:ascii="Arial" w:hAnsi="Arial" w:cs="Arial"/>
          <w:color w:val="808080" w:themeColor="background1" w:themeShade="80"/>
          <w:sz w:val="22"/>
          <w:szCs w:val="22"/>
          <w:lang w:val="en-GB"/>
        </w:rPr>
        <w:t>. Moreover, the look-back period concerns dispositions of the company made in the six years prior to the commencement of the liquidation</w:t>
      </w:r>
      <w:r>
        <w:rPr>
          <w:rStyle w:val="FootnoteReference"/>
          <w:rFonts w:ascii="Arial" w:hAnsi="Arial" w:cs="Arial"/>
          <w:color w:val="808080" w:themeColor="background1" w:themeShade="80"/>
          <w:sz w:val="22"/>
          <w:szCs w:val="22"/>
          <w:lang w:val="en-GB"/>
        </w:rPr>
        <w:footnoteReference w:id="33"/>
      </w:r>
      <w:r>
        <w:rPr>
          <w:rFonts w:ascii="Arial" w:hAnsi="Arial" w:cs="Arial"/>
          <w:color w:val="808080" w:themeColor="background1" w:themeShade="80"/>
          <w:sz w:val="22"/>
          <w:szCs w:val="22"/>
          <w:lang w:val="en-GB"/>
        </w:rPr>
        <w:t>.</w:t>
      </w:r>
    </w:p>
    <w:p w14:paraId="58978489" w14:textId="77777777" w:rsidR="00732E7D" w:rsidRDefault="00732E7D" w:rsidP="00732E7D">
      <w:pPr>
        <w:jc w:val="both"/>
        <w:rPr>
          <w:rFonts w:ascii="Arial" w:hAnsi="Arial" w:cs="Arial"/>
          <w:color w:val="808080" w:themeColor="background1" w:themeShade="80"/>
          <w:sz w:val="22"/>
          <w:szCs w:val="22"/>
          <w:lang w:val="en-GB"/>
        </w:rPr>
      </w:pPr>
    </w:p>
    <w:p w14:paraId="47C46FB9" w14:textId="77777777" w:rsidR="00732E7D" w:rsidRDefault="00732E7D" w:rsidP="00732E7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If the court is satisfied that the transaction was carried out at an undervalue </w:t>
      </w:r>
      <w:r>
        <w:rPr>
          <w:rFonts w:ascii="Arial" w:hAnsi="Arial" w:cs="Arial"/>
          <w:color w:val="808080" w:themeColor="background1" w:themeShade="80"/>
          <w:sz w:val="22"/>
          <w:szCs w:val="22"/>
          <w:u w:val="single"/>
          <w:lang w:val="en-GB"/>
        </w:rPr>
        <w:t>and</w:t>
      </w:r>
      <w:r>
        <w:rPr>
          <w:rFonts w:ascii="Arial" w:hAnsi="Arial" w:cs="Arial"/>
          <w:color w:val="808080" w:themeColor="background1" w:themeShade="80"/>
          <w:sz w:val="22"/>
          <w:szCs w:val="22"/>
          <w:lang w:val="en-GB"/>
        </w:rPr>
        <w:t xml:space="preserve"> with the intent to defraud creditors, the liquidator may seek either a declaration that such transaction is void or order for restitution. However, where a disposition is set-aside under section 146, if the Court determines that the recipient of such disposition has acted in good faith, the recipient will have a first-ranking charge over the property. Such charge will include the property's costs and the costs properly incurred by the recipient in defending the proceedings</w:t>
      </w:r>
      <w:r>
        <w:rPr>
          <w:rStyle w:val="FootnoteReference"/>
          <w:rFonts w:ascii="Arial" w:hAnsi="Arial" w:cs="Arial"/>
          <w:color w:val="808080" w:themeColor="background1" w:themeShade="80"/>
          <w:sz w:val="22"/>
          <w:szCs w:val="22"/>
          <w:lang w:val="en-GB"/>
        </w:rPr>
        <w:footnoteReference w:id="34"/>
      </w:r>
      <w:r>
        <w:rPr>
          <w:rFonts w:ascii="Arial" w:hAnsi="Arial" w:cs="Arial"/>
          <w:color w:val="808080" w:themeColor="background1" w:themeShade="80"/>
          <w:sz w:val="22"/>
          <w:szCs w:val="22"/>
          <w:lang w:val="en-GB"/>
        </w:rPr>
        <w:t>.</w:t>
      </w:r>
    </w:p>
    <w:p w14:paraId="55FED63C" w14:textId="77777777" w:rsidR="00732E7D" w:rsidRDefault="00732E7D" w:rsidP="00732E7D">
      <w:pPr>
        <w:jc w:val="both"/>
        <w:rPr>
          <w:rFonts w:ascii="Arial" w:hAnsi="Arial" w:cs="Arial"/>
          <w:color w:val="808080" w:themeColor="background1" w:themeShade="80"/>
          <w:sz w:val="22"/>
          <w:szCs w:val="22"/>
          <w:lang w:val="en-GB"/>
        </w:rPr>
      </w:pPr>
    </w:p>
    <w:p w14:paraId="2C6DA752" w14:textId="77777777" w:rsidR="00732E7D" w:rsidRDefault="00732E7D" w:rsidP="00732E7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As regards voidable preferences, section 145 of the CA (Revision 2020) confers standing on the liquidator to apply to the Grand Court for an order under this section. If the Grand Court is satisfied that such transfer of property or payment is a preference, it may declare the transaction void and order the return of the property/payment to the company.</w:t>
      </w:r>
    </w:p>
    <w:p w14:paraId="05B8C15F" w14:textId="77777777" w:rsidR="00732E7D" w:rsidRDefault="00732E7D" w:rsidP="00732E7D">
      <w:pPr>
        <w:jc w:val="both"/>
        <w:rPr>
          <w:rFonts w:ascii="Arial" w:hAnsi="Arial" w:cs="Arial"/>
          <w:color w:val="808080" w:themeColor="background1" w:themeShade="80"/>
          <w:sz w:val="22"/>
          <w:szCs w:val="22"/>
          <w:lang w:val="en-GB"/>
        </w:rPr>
      </w:pPr>
    </w:p>
    <w:p w14:paraId="1BDEFF0E" w14:textId="77777777" w:rsidR="00732E7D" w:rsidRDefault="00732E7D" w:rsidP="00732E7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Under section 145 a transaction will be a preference provided that:</w:t>
      </w:r>
    </w:p>
    <w:p w14:paraId="54EB6FA3" w14:textId="77777777" w:rsidR="00732E7D" w:rsidRDefault="00732E7D" w:rsidP="00732E7D">
      <w:pPr>
        <w:jc w:val="both"/>
        <w:rPr>
          <w:rFonts w:ascii="Arial" w:hAnsi="Arial" w:cs="Arial"/>
          <w:color w:val="808080" w:themeColor="background1" w:themeShade="80"/>
          <w:sz w:val="22"/>
          <w:szCs w:val="22"/>
          <w:lang w:val="en-GB"/>
        </w:rPr>
      </w:pPr>
    </w:p>
    <w:p w14:paraId="672698DA" w14:textId="77777777" w:rsidR="00732E7D" w:rsidRDefault="00732E7D" w:rsidP="00732E7D">
      <w:pPr>
        <w:pStyle w:val="ListParagraph"/>
        <w:numPr>
          <w:ilvl w:val="0"/>
          <w:numId w:val="4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person who received the preference was a creditor of the company;</w:t>
      </w:r>
    </w:p>
    <w:p w14:paraId="4EC2DED4" w14:textId="77777777" w:rsidR="00732E7D" w:rsidRDefault="00732E7D" w:rsidP="00732E7D">
      <w:pPr>
        <w:pStyle w:val="ListParagraph"/>
        <w:numPr>
          <w:ilvl w:val="0"/>
          <w:numId w:val="4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effect of the preference is to put the creditor in a better position over the other creditors of the company if the company was to enter into the liquidation process;</w:t>
      </w:r>
    </w:p>
    <w:p w14:paraId="24EB399E" w14:textId="77777777" w:rsidR="00732E7D" w:rsidRDefault="00732E7D" w:rsidP="00732E7D">
      <w:pPr>
        <w:pStyle w:val="ListParagraph"/>
        <w:numPr>
          <w:ilvl w:val="0"/>
          <w:numId w:val="4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preference was given in the period ending with the onset of the commencement of liquidation; and</w:t>
      </w:r>
    </w:p>
    <w:p w14:paraId="6F0E2AA0" w14:textId="77777777" w:rsidR="00732E7D" w:rsidRDefault="00732E7D" w:rsidP="00732E7D">
      <w:pPr>
        <w:pStyle w:val="ListParagraph"/>
        <w:numPr>
          <w:ilvl w:val="0"/>
          <w:numId w:val="4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At the time of the preference, the company was unable to pay its debts within the meaning of s.93</w:t>
      </w:r>
      <w:r>
        <w:rPr>
          <w:rStyle w:val="FootnoteReference"/>
          <w:rFonts w:ascii="Arial" w:hAnsi="Arial" w:cs="Arial"/>
          <w:color w:val="808080" w:themeColor="background1" w:themeShade="80"/>
          <w:sz w:val="22"/>
          <w:szCs w:val="22"/>
          <w:lang w:val="en-GB"/>
        </w:rPr>
        <w:footnoteReference w:id="35"/>
      </w:r>
      <w:r>
        <w:rPr>
          <w:rFonts w:ascii="Arial" w:hAnsi="Arial" w:cs="Arial"/>
          <w:color w:val="808080" w:themeColor="background1" w:themeShade="80"/>
          <w:sz w:val="22"/>
          <w:szCs w:val="22"/>
          <w:lang w:val="en-GB"/>
        </w:rPr>
        <w:t xml:space="preserve"> of the CA (Revision 2020)</w:t>
      </w:r>
      <w:r>
        <w:rPr>
          <w:rStyle w:val="FootnoteReference"/>
          <w:rFonts w:ascii="Arial" w:hAnsi="Arial" w:cs="Arial"/>
          <w:color w:val="808080" w:themeColor="background1" w:themeShade="80"/>
          <w:sz w:val="22"/>
          <w:szCs w:val="22"/>
          <w:lang w:val="en-GB"/>
        </w:rPr>
        <w:footnoteReference w:id="36"/>
      </w:r>
      <w:r>
        <w:rPr>
          <w:rFonts w:ascii="Arial" w:hAnsi="Arial" w:cs="Arial"/>
          <w:color w:val="808080" w:themeColor="background1" w:themeShade="80"/>
          <w:sz w:val="22"/>
          <w:szCs w:val="22"/>
          <w:lang w:val="en-GB"/>
        </w:rPr>
        <w:t>.</w:t>
      </w:r>
    </w:p>
    <w:p w14:paraId="0D86403A" w14:textId="77777777" w:rsidR="00732E7D" w:rsidRDefault="00732E7D" w:rsidP="00732E7D">
      <w:pPr>
        <w:jc w:val="both"/>
        <w:rPr>
          <w:rFonts w:ascii="Arial" w:hAnsi="Arial" w:cs="Arial"/>
          <w:color w:val="808080" w:themeColor="background1" w:themeShade="80"/>
          <w:sz w:val="22"/>
          <w:szCs w:val="22"/>
          <w:lang w:val="en-GB"/>
        </w:rPr>
      </w:pPr>
    </w:p>
    <w:p w14:paraId="725AAD89" w14:textId="77777777" w:rsidR="00732E7D" w:rsidRPr="00AE5C03" w:rsidRDefault="00732E7D" w:rsidP="00732E7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Moreover, a transfer of property or payment to a related party of the company, such transfer/payment is deemed to have been made with the intent to prefer the related party over the other creditors of the company</w:t>
      </w:r>
      <w:r>
        <w:rPr>
          <w:rStyle w:val="FootnoteReference"/>
          <w:rFonts w:ascii="Arial" w:hAnsi="Arial" w:cs="Arial"/>
          <w:color w:val="808080" w:themeColor="background1" w:themeShade="80"/>
          <w:sz w:val="22"/>
          <w:szCs w:val="22"/>
          <w:lang w:val="en-GB"/>
        </w:rPr>
        <w:footnoteReference w:id="37"/>
      </w:r>
      <w:r>
        <w:rPr>
          <w:rFonts w:ascii="Arial" w:hAnsi="Arial" w:cs="Arial"/>
          <w:color w:val="808080" w:themeColor="background1" w:themeShade="80"/>
          <w:sz w:val="22"/>
          <w:szCs w:val="22"/>
          <w:lang w:val="en-GB"/>
        </w:rPr>
        <w:t>.</w:t>
      </w:r>
    </w:p>
    <w:p w14:paraId="672A818A" w14:textId="77777777" w:rsidR="00924973" w:rsidRDefault="00924973" w:rsidP="002A37BB">
      <w:pPr>
        <w:jc w:val="both"/>
        <w:rPr>
          <w:rFonts w:ascii="Arial" w:hAnsi="Arial" w:cs="Arial"/>
          <w:sz w:val="22"/>
          <w:szCs w:val="22"/>
          <w:shd w:val="clear" w:color="auto" w:fill="FFFFFF"/>
        </w:rPr>
      </w:pPr>
    </w:p>
    <w:p w14:paraId="740F5748" w14:textId="4B014827" w:rsidR="00853B56" w:rsidRPr="00853B56" w:rsidRDefault="00853B56" w:rsidP="002A37BB">
      <w:pPr>
        <w:jc w:val="both"/>
        <w:rPr>
          <w:rFonts w:ascii="Arial" w:hAnsi="Arial" w:cs="Arial"/>
          <w:b/>
          <w:bCs/>
          <w:sz w:val="22"/>
          <w:szCs w:val="22"/>
          <w:shd w:val="clear" w:color="auto" w:fill="FFFFFF"/>
        </w:rPr>
      </w:pPr>
      <w:r w:rsidRPr="00853B56">
        <w:rPr>
          <w:rFonts w:ascii="Arial" w:hAnsi="Arial" w:cs="Arial"/>
          <w:b/>
          <w:bCs/>
          <w:sz w:val="22"/>
          <w:szCs w:val="22"/>
          <w:shd w:val="clear" w:color="auto" w:fill="FFFFFF"/>
        </w:rPr>
        <w:t>Question 3.2 [maximum 6 marks]</w:t>
      </w:r>
    </w:p>
    <w:p w14:paraId="0B39CDB9" w14:textId="4395E59C" w:rsidR="00853B56" w:rsidRDefault="00853B56" w:rsidP="002A37BB">
      <w:pPr>
        <w:jc w:val="both"/>
        <w:rPr>
          <w:rFonts w:ascii="Arial" w:hAnsi="Arial" w:cs="Arial"/>
          <w:sz w:val="22"/>
          <w:szCs w:val="22"/>
          <w:shd w:val="clear" w:color="auto" w:fill="FFFFFF"/>
        </w:rPr>
      </w:pPr>
    </w:p>
    <w:p w14:paraId="68965C60" w14:textId="5119B846" w:rsidR="00853B56" w:rsidRDefault="00853B56" w:rsidP="002A37BB">
      <w:pPr>
        <w:jc w:val="both"/>
        <w:rPr>
          <w:rFonts w:ascii="Arial" w:hAnsi="Arial" w:cs="Arial"/>
          <w:sz w:val="22"/>
          <w:szCs w:val="22"/>
          <w:shd w:val="clear" w:color="auto" w:fill="FFFFFF"/>
        </w:rPr>
      </w:pPr>
      <w:r>
        <w:rPr>
          <w:rFonts w:ascii="Arial" w:hAnsi="Arial" w:cs="Arial"/>
          <w:sz w:val="22"/>
          <w:szCs w:val="22"/>
          <w:shd w:val="clear" w:color="auto" w:fill="FFFFFF"/>
        </w:rPr>
        <w:t xml:space="preserve">Receivers have </w:t>
      </w:r>
      <w:r w:rsidR="000659CF">
        <w:rPr>
          <w:rFonts w:ascii="Arial" w:hAnsi="Arial" w:cs="Arial"/>
          <w:sz w:val="22"/>
          <w:szCs w:val="22"/>
          <w:shd w:val="clear" w:color="auto" w:fill="FFFFFF"/>
        </w:rPr>
        <w:t xml:space="preserve">no </w:t>
      </w:r>
      <w:r>
        <w:rPr>
          <w:rFonts w:ascii="Arial" w:hAnsi="Arial" w:cs="Arial"/>
          <w:sz w:val="22"/>
          <w:szCs w:val="22"/>
          <w:shd w:val="clear" w:color="auto" w:fill="FFFFFF"/>
        </w:rPr>
        <w:t>role to play in a Cayman Islands insolvency scenario. Discuss</w:t>
      </w:r>
      <w:r w:rsidR="00333CA0">
        <w:rPr>
          <w:rFonts w:ascii="Arial" w:hAnsi="Arial" w:cs="Arial"/>
          <w:sz w:val="22"/>
          <w:szCs w:val="22"/>
          <w:shd w:val="clear" w:color="auto" w:fill="FFFFFF"/>
        </w:rPr>
        <w:t>.</w:t>
      </w:r>
      <w:r>
        <w:rPr>
          <w:rFonts w:ascii="Arial" w:hAnsi="Arial" w:cs="Arial"/>
          <w:sz w:val="22"/>
          <w:szCs w:val="22"/>
          <w:shd w:val="clear" w:color="auto" w:fill="FFFFFF"/>
        </w:rPr>
        <w:t xml:space="preserve"> </w:t>
      </w:r>
    </w:p>
    <w:p w14:paraId="79CFB3CB" w14:textId="77777777" w:rsidR="00853B56" w:rsidRPr="00D61B74" w:rsidRDefault="00853B56" w:rsidP="00853B56">
      <w:pPr>
        <w:jc w:val="both"/>
        <w:rPr>
          <w:rFonts w:ascii="Arial" w:hAnsi="Arial" w:cs="Arial"/>
          <w:color w:val="000000" w:themeColor="text1"/>
          <w:sz w:val="22"/>
          <w:szCs w:val="22"/>
          <w:lang w:val="en-GB"/>
        </w:rPr>
      </w:pPr>
    </w:p>
    <w:p w14:paraId="285622AE" w14:textId="77777777" w:rsidR="00F6278C" w:rsidRDefault="00F6278C" w:rsidP="00F6278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Under the Cayman insolvency regime, a company may be wound up by:</w:t>
      </w:r>
    </w:p>
    <w:p w14:paraId="0B7D32D3" w14:textId="77777777" w:rsidR="00F6278C" w:rsidRDefault="00F6278C" w:rsidP="00F6278C">
      <w:pPr>
        <w:pStyle w:val="ListParagraph"/>
        <w:numPr>
          <w:ilvl w:val="0"/>
          <w:numId w:val="4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Voluntary liquidation;</w:t>
      </w:r>
    </w:p>
    <w:p w14:paraId="5D137250" w14:textId="77777777" w:rsidR="00F6278C" w:rsidRDefault="00F6278C" w:rsidP="00F6278C">
      <w:pPr>
        <w:pStyle w:val="ListParagraph"/>
        <w:numPr>
          <w:ilvl w:val="0"/>
          <w:numId w:val="4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Provisional liquidation; or</w:t>
      </w:r>
    </w:p>
    <w:p w14:paraId="4E15409A" w14:textId="77777777" w:rsidR="00F6278C" w:rsidRDefault="00F6278C" w:rsidP="00F6278C">
      <w:pPr>
        <w:pStyle w:val="ListParagraph"/>
        <w:numPr>
          <w:ilvl w:val="0"/>
          <w:numId w:val="4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Official liquidation.</w:t>
      </w:r>
    </w:p>
    <w:p w14:paraId="205C301C" w14:textId="77777777" w:rsidR="00F6278C" w:rsidRDefault="00F6278C" w:rsidP="00F6278C">
      <w:pPr>
        <w:jc w:val="both"/>
        <w:rPr>
          <w:rFonts w:ascii="Arial" w:hAnsi="Arial" w:cs="Arial"/>
          <w:color w:val="808080" w:themeColor="background1" w:themeShade="80"/>
          <w:sz w:val="22"/>
          <w:szCs w:val="22"/>
          <w:lang w:val="en-GB"/>
        </w:rPr>
      </w:pPr>
    </w:p>
    <w:p w14:paraId="0BAE65B0" w14:textId="77777777" w:rsidR="00F6278C" w:rsidRDefault="00F6278C" w:rsidP="00F6278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In the Cayman Islands, there is no administrative procedure equivalent to the procedure in England and Wales under the Insolvency Act 1986. Nevertheless, in the insolvency context ‘receivers’ have been appointed in the Cayman Islands in the following circumstances:</w:t>
      </w:r>
    </w:p>
    <w:p w14:paraId="3C7FB74D" w14:textId="77777777" w:rsidR="00F6278C" w:rsidRDefault="00F6278C" w:rsidP="00F6278C">
      <w:pPr>
        <w:jc w:val="both"/>
        <w:rPr>
          <w:rFonts w:ascii="Arial" w:hAnsi="Arial" w:cs="Arial"/>
          <w:color w:val="808080" w:themeColor="background1" w:themeShade="80"/>
          <w:sz w:val="22"/>
          <w:szCs w:val="22"/>
          <w:lang w:val="en-GB"/>
        </w:rPr>
      </w:pPr>
    </w:p>
    <w:p w14:paraId="0AA7DED1" w14:textId="77777777" w:rsidR="00F6278C" w:rsidRDefault="00F6278C" w:rsidP="00F6278C">
      <w:pPr>
        <w:pStyle w:val="ListParagraph"/>
        <w:numPr>
          <w:ilvl w:val="0"/>
          <w:numId w:val="4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By secured creditors under the express terms of a security instrument;</w:t>
      </w:r>
    </w:p>
    <w:p w14:paraId="651BA33B" w14:textId="77777777" w:rsidR="00F6278C" w:rsidRDefault="00F6278C" w:rsidP="00F6278C">
      <w:pPr>
        <w:pStyle w:val="ListParagraph"/>
        <w:numPr>
          <w:ilvl w:val="0"/>
          <w:numId w:val="4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By the Grand Court in relation to Segregated Portfolio Companies; and/or</w:t>
      </w:r>
    </w:p>
    <w:p w14:paraId="70520E2F" w14:textId="77777777" w:rsidR="00F6278C" w:rsidRDefault="00F6278C" w:rsidP="00F6278C">
      <w:pPr>
        <w:pStyle w:val="ListParagraph"/>
        <w:numPr>
          <w:ilvl w:val="0"/>
          <w:numId w:val="4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Generally, by the Grand Court where it is </w:t>
      </w:r>
      <w:r>
        <w:rPr>
          <w:rFonts w:ascii="Arial" w:hAnsi="Arial" w:cs="Arial"/>
          <w:i/>
          <w:color w:val="808080" w:themeColor="background1" w:themeShade="80"/>
          <w:sz w:val="22"/>
          <w:szCs w:val="22"/>
          <w:lang w:val="en-GB"/>
        </w:rPr>
        <w:t>“just and expedient”</w:t>
      </w:r>
      <w:r>
        <w:rPr>
          <w:rFonts w:ascii="Arial" w:hAnsi="Arial" w:cs="Arial"/>
          <w:color w:val="808080" w:themeColor="background1" w:themeShade="80"/>
          <w:sz w:val="22"/>
          <w:szCs w:val="22"/>
          <w:lang w:val="en-GB"/>
        </w:rPr>
        <w:t xml:space="preserve"> to do so</w:t>
      </w:r>
      <w:r>
        <w:rPr>
          <w:rStyle w:val="FootnoteReference"/>
          <w:rFonts w:ascii="Arial" w:hAnsi="Arial" w:cs="Arial"/>
          <w:color w:val="808080" w:themeColor="background1" w:themeShade="80"/>
          <w:sz w:val="22"/>
          <w:szCs w:val="22"/>
          <w:lang w:val="en-GB"/>
        </w:rPr>
        <w:footnoteReference w:id="38"/>
      </w:r>
      <w:r w:rsidRPr="00F633DE">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w:t>
      </w:r>
    </w:p>
    <w:p w14:paraId="16F715AA" w14:textId="77777777" w:rsidR="00F6278C" w:rsidRDefault="00F6278C" w:rsidP="00F6278C">
      <w:pPr>
        <w:jc w:val="both"/>
        <w:rPr>
          <w:rFonts w:ascii="Arial" w:hAnsi="Arial" w:cs="Arial"/>
          <w:color w:val="808080" w:themeColor="background1" w:themeShade="80"/>
          <w:sz w:val="22"/>
          <w:szCs w:val="22"/>
          <w:lang w:val="en-GB"/>
        </w:rPr>
      </w:pPr>
    </w:p>
    <w:p w14:paraId="2006E683" w14:textId="77777777" w:rsidR="00F6278C" w:rsidRDefault="00F6278C" w:rsidP="00F6278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In the insolvency context, points (1) and (2) will be discussed below.</w:t>
      </w:r>
    </w:p>
    <w:p w14:paraId="43C5FB91" w14:textId="77777777" w:rsidR="00F6278C" w:rsidRDefault="00F6278C" w:rsidP="00F6278C">
      <w:pPr>
        <w:jc w:val="both"/>
        <w:rPr>
          <w:rFonts w:ascii="Arial" w:hAnsi="Arial" w:cs="Arial"/>
          <w:color w:val="808080" w:themeColor="background1" w:themeShade="80"/>
          <w:sz w:val="22"/>
          <w:szCs w:val="22"/>
          <w:lang w:val="en-GB"/>
        </w:rPr>
      </w:pPr>
    </w:p>
    <w:p w14:paraId="1D50CA8F" w14:textId="77777777" w:rsidR="00F6278C" w:rsidRDefault="00F6278C" w:rsidP="00F6278C">
      <w:pPr>
        <w:jc w:val="both"/>
        <w:rPr>
          <w:rFonts w:ascii="Arial" w:hAnsi="Arial" w:cs="Arial"/>
          <w:color w:val="808080" w:themeColor="background1" w:themeShade="80"/>
          <w:sz w:val="22"/>
          <w:szCs w:val="22"/>
          <w:lang w:val="en-GB"/>
        </w:rPr>
      </w:pPr>
      <w:r>
        <w:rPr>
          <w:rFonts w:ascii="Arial" w:hAnsi="Arial" w:cs="Arial"/>
          <w:i/>
          <w:color w:val="808080" w:themeColor="background1" w:themeShade="80"/>
          <w:sz w:val="22"/>
          <w:szCs w:val="22"/>
          <w:lang w:val="en-GB"/>
        </w:rPr>
        <w:t>Receivers</w:t>
      </w:r>
    </w:p>
    <w:p w14:paraId="3F77A478" w14:textId="77777777" w:rsidR="00F6278C" w:rsidRDefault="00F6278C" w:rsidP="00F6278C">
      <w:pPr>
        <w:jc w:val="both"/>
        <w:rPr>
          <w:rFonts w:ascii="Arial" w:hAnsi="Arial" w:cs="Arial"/>
          <w:color w:val="808080" w:themeColor="background1" w:themeShade="80"/>
          <w:sz w:val="22"/>
          <w:szCs w:val="22"/>
          <w:lang w:val="en-GB"/>
        </w:rPr>
      </w:pPr>
    </w:p>
    <w:p w14:paraId="6BED653C" w14:textId="77777777" w:rsidR="00F6278C" w:rsidRDefault="00F6278C" w:rsidP="00F6278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If a corporate borrower is in financial difficulties, in addition to the insolvency procedures set out above, a secured creditor may enforce its security over an asset by the appointment of a </w:t>
      </w:r>
      <w:r>
        <w:rPr>
          <w:rFonts w:ascii="Arial" w:hAnsi="Arial" w:cs="Arial"/>
          <w:color w:val="808080" w:themeColor="background1" w:themeShade="80"/>
          <w:sz w:val="22"/>
          <w:szCs w:val="22"/>
          <w:lang w:val="en-GB"/>
        </w:rPr>
        <w:lastRenderedPageBreak/>
        <w:t xml:space="preserve">receiver. This method of enforcement is an “out of court” procedure outside the court-supervised liquidation. The appointment of a receiver is only available to a secured creditor if it is expressly provided for in the security instrument.  </w:t>
      </w:r>
    </w:p>
    <w:p w14:paraId="0D51A03E" w14:textId="77777777" w:rsidR="00F6278C" w:rsidRDefault="00F6278C" w:rsidP="00F6278C">
      <w:pPr>
        <w:jc w:val="both"/>
        <w:rPr>
          <w:rFonts w:ascii="Arial" w:hAnsi="Arial" w:cs="Arial"/>
          <w:color w:val="808080" w:themeColor="background1" w:themeShade="80"/>
          <w:sz w:val="22"/>
          <w:szCs w:val="22"/>
          <w:lang w:val="en-GB"/>
        </w:rPr>
      </w:pPr>
    </w:p>
    <w:p w14:paraId="0F7D1E4D" w14:textId="77777777" w:rsidR="00F6278C" w:rsidRDefault="00F6278C" w:rsidP="00F6278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Following a contractual event of default, a secured creditor may appoint a receiver to enforce its security with a view to selling the asset. In general terms, a security instrument will confer the power to the receiver to (</w:t>
      </w:r>
      <w:proofErr w:type="spellStart"/>
      <w:r>
        <w:rPr>
          <w:rFonts w:ascii="Arial" w:hAnsi="Arial" w:cs="Arial"/>
          <w:color w:val="808080" w:themeColor="background1" w:themeShade="80"/>
          <w:sz w:val="22"/>
          <w:szCs w:val="22"/>
          <w:lang w:val="en-GB"/>
        </w:rPr>
        <w:t>i</w:t>
      </w:r>
      <w:proofErr w:type="spellEnd"/>
      <w:r>
        <w:rPr>
          <w:rFonts w:ascii="Arial" w:hAnsi="Arial" w:cs="Arial"/>
          <w:color w:val="808080" w:themeColor="background1" w:themeShade="80"/>
          <w:sz w:val="22"/>
          <w:szCs w:val="22"/>
          <w:lang w:val="en-GB"/>
        </w:rPr>
        <w:t>) take possession of the charged asset; (ii) manage the secured asset; (iii) execute voting rights in respect of the charged asset; (iv) receive and retain all dividends and/or interest accrued; and (v) sell the asset</w:t>
      </w:r>
      <w:r>
        <w:rPr>
          <w:rStyle w:val="FootnoteReference"/>
          <w:rFonts w:ascii="Arial" w:hAnsi="Arial" w:cs="Arial"/>
          <w:color w:val="808080" w:themeColor="background1" w:themeShade="80"/>
          <w:sz w:val="22"/>
          <w:szCs w:val="22"/>
          <w:lang w:val="en-GB"/>
        </w:rPr>
        <w:footnoteReference w:id="39"/>
      </w:r>
      <w:r>
        <w:rPr>
          <w:rFonts w:ascii="Arial" w:hAnsi="Arial" w:cs="Arial"/>
          <w:color w:val="808080" w:themeColor="background1" w:themeShade="80"/>
          <w:sz w:val="22"/>
          <w:szCs w:val="22"/>
          <w:lang w:val="en-GB"/>
        </w:rPr>
        <w:t>. Upon the appointment, a receiver owes its primary duty to the secured creditor but must exercise the same in good faith and in accordance with the express terms of the security instrument</w:t>
      </w:r>
      <w:r>
        <w:rPr>
          <w:rStyle w:val="FootnoteReference"/>
          <w:rFonts w:ascii="Arial" w:hAnsi="Arial" w:cs="Arial"/>
          <w:color w:val="808080" w:themeColor="background1" w:themeShade="80"/>
          <w:sz w:val="22"/>
          <w:szCs w:val="22"/>
          <w:lang w:val="en-GB"/>
        </w:rPr>
        <w:footnoteReference w:id="40"/>
      </w:r>
      <w:r>
        <w:rPr>
          <w:rFonts w:ascii="Arial" w:hAnsi="Arial" w:cs="Arial"/>
          <w:color w:val="808080" w:themeColor="background1" w:themeShade="80"/>
          <w:sz w:val="22"/>
          <w:szCs w:val="22"/>
          <w:lang w:val="en-GB"/>
        </w:rPr>
        <w:t>.</w:t>
      </w:r>
    </w:p>
    <w:p w14:paraId="4E003727" w14:textId="77777777" w:rsidR="00F6278C" w:rsidRDefault="00F6278C" w:rsidP="00F6278C">
      <w:pPr>
        <w:jc w:val="both"/>
        <w:rPr>
          <w:rFonts w:ascii="Arial" w:hAnsi="Arial" w:cs="Arial"/>
          <w:color w:val="808080" w:themeColor="background1" w:themeShade="80"/>
          <w:sz w:val="22"/>
          <w:szCs w:val="22"/>
          <w:lang w:val="en-GB"/>
        </w:rPr>
      </w:pPr>
    </w:p>
    <w:p w14:paraId="7950C26F" w14:textId="77777777" w:rsidR="00F6278C" w:rsidRDefault="00F6278C" w:rsidP="00F6278C">
      <w:pPr>
        <w:jc w:val="both"/>
        <w:rPr>
          <w:rFonts w:ascii="Arial" w:hAnsi="Arial" w:cs="Arial"/>
          <w:i/>
          <w:color w:val="808080" w:themeColor="background1" w:themeShade="80"/>
          <w:sz w:val="22"/>
          <w:szCs w:val="22"/>
          <w:lang w:val="en-GB"/>
        </w:rPr>
      </w:pPr>
      <w:r>
        <w:rPr>
          <w:rFonts w:ascii="Arial" w:hAnsi="Arial" w:cs="Arial"/>
          <w:i/>
          <w:color w:val="808080" w:themeColor="background1" w:themeShade="80"/>
          <w:sz w:val="22"/>
          <w:szCs w:val="22"/>
          <w:lang w:val="en-GB"/>
        </w:rPr>
        <w:t>Segregated Portfolio Companies</w:t>
      </w:r>
    </w:p>
    <w:p w14:paraId="2A40126A" w14:textId="77777777" w:rsidR="00F6278C" w:rsidRDefault="00F6278C" w:rsidP="00F6278C">
      <w:pPr>
        <w:jc w:val="both"/>
        <w:rPr>
          <w:rFonts w:ascii="Arial" w:hAnsi="Arial" w:cs="Arial"/>
          <w:i/>
          <w:color w:val="808080" w:themeColor="background1" w:themeShade="80"/>
          <w:sz w:val="22"/>
          <w:szCs w:val="22"/>
          <w:lang w:val="en-GB"/>
        </w:rPr>
      </w:pPr>
    </w:p>
    <w:p w14:paraId="770F2A2C" w14:textId="77777777" w:rsidR="00F6278C" w:rsidRDefault="00F6278C" w:rsidP="00F6278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Grand Court may wind up a segregated portfolio company (SPC). However, due to the segregated nature of these entities, liquidators may only be appointed over the entire portfolio. Where an individual portfolio is insolvent, the Grand Court has the power to appoint a receiver of the individual portfolio to realize the assets of the portfolio and distribute its assets to creditors. The Court of Appeal confirmed this in </w:t>
      </w:r>
      <w:r>
        <w:rPr>
          <w:rFonts w:ascii="Arial" w:hAnsi="Arial" w:cs="Arial"/>
          <w:i/>
          <w:color w:val="808080" w:themeColor="background1" w:themeShade="80"/>
          <w:sz w:val="22"/>
          <w:szCs w:val="22"/>
          <w:lang w:val="en-GB"/>
        </w:rPr>
        <w:t>ABC Company SPC v JH &amp; Co Ltd,</w:t>
      </w:r>
      <w:r>
        <w:rPr>
          <w:rFonts w:ascii="Arial" w:hAnsi="Arial" w:cs="Arial"/>
          <w:color w:val="808080" w:themeColor="background1" w:themeShade="80"/>
          <w:sz w:val="22"/>
          <w:szCs w:val="22"/>
          <w:lang w:val="en-GB"/>
        </w:rPr>
        <w:t xml:space="preserve"> where it was accepted on appeal that: (1) the court has no jurisdiction under the Companies Law to wind up an individual portfolio; and (2) the appointment of a receiver over an individual portfolio was only available if the assets of the portfolio are insufficient to meet the claims of the creditors. </w:t>
      </w:r>
    </w:p>
    <w:p w14:paraId="1BD1C6A2" w14:textId="77777777" w:rsidR="00F6278C" w:rsidRDefault="00F6278C" w:rsidP="00F6278C">
      <w:pPr>
        <w:jc w:val="both"/>
        <w:rPr>
          <w:rFonts w:ascii="Arial" w:hAnsi="Arial" w:cs="Arial"/>
          <w:color w:val="808080" w:themeColor="background1" w:themeShade="80"/>
          <w:sz w:val="22"/>
          <w:szCs w:val="22"/>
          <w:lang w:val="en-GB"/>
        </w:rPr>
      </w:pPr>
    </w:p>
    <w:p w14:paraId="59BDF703" w14:textId="673C4CF7" w:rsidR="00F6278C" w:rsidRPr="002A465F" w:rsidRDefault="00F6278C" w:rsidP="00F6278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Upon making a Receivership order, an automatic stay of proceedings against the SPC takes effect, preventing creditors from bringing individual suits or claims against the SPC</w:t>
      </w:r>
      <w:r>
        <w:rPr>
          <w:rStyle w:val="FootnoteReference"/>
          <w:rFonts w:ascii="Arial" w:hAnsi="Arial" w:cs="Arial"/>
          <w:color w:val="808080" w:themeColor="background1" w:themeShade="80"/>
          <w:sz w:val="22"/>
          <w:szCs w:val="22"/>
          <w:lang w:val="en-GB"/>
        </w:rPr>
        <w:footnoteReference w:id="41"/>
      </w:r>
      <w:r>
        <w:rPr>
          <w:rFonts w:ascii="Arial" w:hAnsi="Arial" w:cs="Arial"/>
          <w:color w:val="808080" w:themeColor="background1" w:themeShade="80"/>
          <w:sz w:val="22"/>
          <w:szCs w:val="22"/>
          <w:lang w:val="en-GB"/>
        </w:rPr>
        <w:t>. Similar to a court-ordered winding up, during the period of receivership, the board of directors is displaced and the receiver shall be responsible for all functions and duties of the directors in respect of the segregated portfolio</w:t>
      </w:r>
      <w:r>
        <w:rPr>
          <w:rStyle w:val="FootnoteReference"/>
          <w:rFonts w:ascii="Arial" w:hAnsi="Arial" w:cs="Arial"/>
          <w:color w:val="808080" w:themeColor="background1" w:themeShade="80"/>
          <w:sz w:val="22"/>
          <w:szCs w:val="22"/>
          <w:lang w:val="en-GB"/>
        </w:rPr>
        <w:footnoteReference w:id="42"/>
      </w:r>
      <w:r>
        <w:rPr>
          <w:rFonts w:ascii="Arial" w:hAnsi="Arial" w:cs="Arial"/>
          <w:color w:val="808080" w:themeColor="background1" w:themeShade="80"/>
          <w:sz w:val="22"/>
          <w:szCs w:val="22"/>
          <w:lang w:val="en-GB"/>
        </w:rPr>
        <w:t>.</w:t>
      </w:r>
    </w:p>
    <w:p w14:paraId="6B4C4CB7" w14:textId="77777777" w:rsidR="00E4294D" w:rsidRPr="002A37BB" w:rsidRDefault="00E4294D" w:rsidP="002A37BB">
      <w:pPr>
        <w:jc w:val="both"/>
        <w:rPr>
          <w:rFonts w:ascii="Arial" w:hAnsi="Arial" w:cs="Arial"/>
          <w:sz w:val="22"/>
          <w:szCs w:val="22"/>
          <w:shd w:val="clear" w:color="auto" w:fill="FFFFFF"/>
        </w:rPr>
      </w:pPr>
    </w:p>
    <w:p w14:paraId="0E678DF9" w14:textId="70015994"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w:t>
      </w:r>
      <w:r w:rsidR="00E4294D">
        <w:rPr>
          <w:rFonts w:ascii="Arial" w:hAnsi="Arial" w:cs="Arial"/>
          <w:b/>
          <w:sz w:val="22"/>
          <w:szCs w:val="22"/>
          <w:lang w:val="en-GB"/>
        </w:rPr>
        <w:t xml:space="preserve">maximum </w:t>
      </w:r>
      <w:r w:rsidR="009B0723" w:rsidRPr="002A37BB">
        <w:rPr>
          <w:rFonts w:ascii="Arial" w:hAnsi="Arial" w:cs="Arial"/>
          <w:b/>
          <w:sz w:val="22"/>
          <w:szCs w:val="22"/>
          <w:lang w:val="en-GB"/>
        </w:rPr>
        <w:t>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BE3E6F" w14:textId="77777777" w:rsidR="009B0723" w:rsidRPr="002A37BB" w:rsidRDefault="009B0723" w:rsidP="00087F21">
      <w:pPr>
        <w:jc w:val="both"/>
        <w:rPr>
          <w:rFonts w:ascii="Arial" w:hAnsi="Arial" w:cs="Arial"/>
          <w:sz w:val="22"/>
          <w:szCs w:val="22"/>
          <w:lang w:val="en-GB"/>
        </w:rPr>
      </w:pPr>
    </w:p>
    <w:p w14:paraId="1FC086C4" w14:textId="0496447D" w:rsidR="003938A1" w:rsidRDefault="0048787C" w:rsidP="002476AF">
      <w:pPr>
        <w:jc w:val="both"/>
        <w:rPr>
          <w:rFonts w:ascii="Arial" w:hAnsi="Arial" w:cs="Arial"/>
          <w:sz w:val="22"/>
          <w:szCs w:val="22"/>
          <w:lang w:val="en-GB"/>
        </w:rPr>
      </w:pPr>
      <w:bookmarkStart w:id="1" w:name="_Hlk17745211"/>
      <w:r>
        <w:rPr>
          <w:rFonts w:ascii="Arial" w:hAnsi="Arial" w:cs="Arial"/>
          <w:sz w:val="22"/>
          <w:szCs w:val="22"/>
          <w:lang w:val="en-GB"/>
        </w:rPr>
        <w:t>Skull &amp; Crossbones Inc</w:t>
      </w:r>
      <w:r w:rsidR="004D4774">
        <w:rPr>
          <w:rFonts w:ascii="Arial" w:hAnsi="Arial" w:cs="Arial"/>
          <w:sz w:val="22"/>
          <w:szCs w:val="22"/>
          <w:lang w:val="en-GB"/>
        </w:rPr>
        <w:t xml:space="preserve"> </w:t>
      </w:r>
      <w:r w:rsidR="00924973">
        <w:rPr>
          <w:rFonts w:ascii="Arial" w:hAnsi="Arial" w:cs="Arial"/>
          <w:sz w:val="22"/>
          <w:szCs w:val="22"/>
          <w:lang w:val="en-GB"/>
        </w:rPr>
        <w:t>(S &amp; C)</w:t>
      </w:r>
      <w:r w:rsidR="00C84DAC">
        <w:rPr>
          <w:rFonts w:ascii="Arial" w:hAnsi="Arial" w:cs="Arial"/>
          <w:sz w:val="22"/>
          <w:szCs w:val="22"/>
          <w:lang w:val="en-GB"/>
        </w:rPr>
        <w:t xml:space="preserve"> </w:t>
      </w:r>
      <w:r w:rsidR="004D4774">
        <w:rPr>
          <w:rFonts w:ascii="Arial" w:hAnsi="Arial" w:cs="Arial"/>
          <w:sz w:val="22"/>
          <w:szCs w:val="22"/>
          <w:lang w:val="en-GB"/>
        </w:rPr>
        <w:t xml:space="preserve">is a company </w:t>
      </w:r>
      <w:r w:rsidR="00EA6EC9">
        <w:rPr>
          <w:rFonts w:ascii="Arial" w:hAnsi="Arial" w:cs="Arial"/>
          <w:sz w:val="22"/>
          <w:szCs w:val="22"/>
          <w:lang w:val="en-GB"/>
        </w:rPr>
        <w:t>registered in the Cayman Islands. It</w:t>
      </w:r>
      <w:r w:rsidR="004D4774">
        <w:rPr>
          <w:rFonts w:ascii="Arial" w:hAnsi="Arial" w:cs="Arial"/>
          <w:sz w:val="22"/>
          <w:szCs w:val="22"/>
          <w:lang w:val="en-GB"/>
        </w:rPr>
        <w:t xml:space="preserve"> operates a fleet of </w:t>
      </w:r>
      <w:r w:rsidR="00016475">
        <w:rPr>
          <w:rFonts w:ascii="Arial" w:hAnsi="Arial" w:cs="Arial"/>
          <w:sz w:val="22"/>
          <w:szCs w:val="22"/>
          <w:lang w:val="en-GB"/>
        </w:rPr>
        <w:t>pirate</w:t>
      </w:r>
      <w:r w:rsidR="00924973">
        <w:rPr>
          <w:rFonts w:ascii="Arial" w:hAnsi="Arial" w:cs="Arial"/>
          <w:sz w:val="22"/>
          <w:szCs w:val="22"/>
          <w:lang w:val="en-GB"/>
        </w:rPr>
        <w:t>-</w:t>
      </w:r>
      <w:r w:rsidR="00016475">
        <w:rPr>
          <w:rFonts w:ascii="Arial" w:hAnsi="Arial" w:cs="Arial"/>
          <w:sz w:val="22"/>
          <w:szCs w:val="22"/>
          <w:lang w:val="en-GB"/>
        </w:rPr>
        <w:t xml:space="preserve">themed </w:t>
      </w:r>
      <w:r>
        <w:rPr>
          <w:rFonts w:ascii="Arial" w:hAnsi="Arial" w:cs="Arial"/>
          <w:sz w:val="22"/>
          <w:szCs w:val="22"/>
          <w:lang w:val="en-GB"/>
        </w:rPr>
        <w:t>party</w:t>
      </w:r>
      <w:r w:rsidR="004D4774">
        <w:rPr>
          <w:rFonts w:ascii="Arial" w:hAnsi="Arial" w:cs="Arial"/>
          <w:sz w:val="22"/>
          <w:szCs w:val="22"/>
          <w:lang w:val="en-GB"/>
        </w:rPr>
        <w:t xml:space="preserve"> ships across</w:t>
      </w:r>
      <w:r>
        <w:rPr>
          <w:rFonts w:ascii="Arial" w:hAnsi="Arial" w:cs="Arial"/>
          <w:sz w:val="22"/>
          <w:szCs w:val="22"/>
          <w:lang w:val="en-GB"/>
        </w:rPr>
        <w:t xml:space="preserve"> central America and</w:t>
      </w:r>
      <w:r w:rsidR="004D4774">
        <w:rPr>
          <w:rFonts w:ascii="Arial" w:hAnsi="Arial" w:cs="Arial"/>
          <w:sz w:val="22"/>
          <w:szCs w:val="22"/>
          <w:lang w:val="en-GB"/>
        </w:rPr>
        <w:t xml:space="preserve"> the Caribbean. It </w:t>
      </w:r>
      <w:r w:rsidR="003938A1">
        <w:rPr>
          <w:rFonts w:ascii="Arial" w:hAnsi="Arial" w:cs="Arial"/>
          <w:sz w:val="22"/>
          <w:szCs w:val="22"/>
          <w:lang w:val="en-GB"/>
        </w:rPr>
        <w:t xml:space="preserve">was </w:t>
      </w:r>
      <w:r w:rsidR="007808EB">
        <w:rPr>
          <w:rFonts w:ascii="Arial" w:hAnsi="Arial" w:cs="Arial"/>
          <w:sz w:val="22"/>
          <w:szCs w:val="22"/>
          <w:lang w:val="en-GB"/>
        </w:rPr>
        <w:t xml:space="preserve">founded </w:t>
      </w:r>
      <w:r w:rsidR="004D4774">
        <w:rPr>
          <w:rFonts w:ascii="Arial" w:hAnsi="Arial" w:cs="Arial"/>
          <w:sz w:val="22"/>
          <w:szCs w:val="22"/>
          <w:lang w:val="en-GB"/>
        </w:rPr>
        <w:t xml:space="preserve">by </w:t>
      </w:r>
      <w:r w:rsidR="00016475">
        <w:rPr>
          <w:rFonts w:ascii="Arial" w:hAnsi="Arial" w:cs="Arial"/>
          <w:sz w:val="22"/>
          <w:szCs w:val="22"/>
          <w:lang w:val="en-GB"/>
        </w:rPr>
        <w:t>the</w:t>
      </w:r>
      <w:r w:rsidR="004D4774">
        <w:rPr>
          <w:rFonts w:ascii="Arial" w:hAnsi="Arial" w:cs="Arial"/>
          <w:sz w:val="22"/>
          <w:szCs w:val="22"/>
          <w:lang w:val="en-GB"/>
        </w:rPr>
        <w:t xml:space="preserve"> </w:t>
      </w:r>
      <w:r w:rsidR="00EA6EC9">
        <w:rPr>
          <w:rFonts w:ascii="Arial" w:hAnsi="Arial" w:cs="Arial"/>
          <w:sz w:val="22"/>
          <w:szCs w:val="22"/>
          <w:lang w:val="en-GB"/>
        </w:rPr>
        <w:t>wealthy</w:t>
      </w:r>
      <w:r>
        <w:rPr>
          <w:rFonts w:ascii="Arial" w:hAnsi="Arial" w:cs="Arial"/>
          <w:sz w:val="22"/>
          <w:szCs w:val="22"/>
          <w:lang w:val="en-GB"/>
        </w:rPr>
        <w:t xml:space="preserve"> </w:t>
      </w:r>
      <w:r w:rsidR="006D3DC9">
        <w:rPr>
          <w:rFonts w:ascii="Arial" w:hAnsi="Arial" w:cs="Arial"/>
          <w:sz w:val="22"/>
          <w:szCs w:val="22"/>
          <w:lang w:val="en-GB"/>
        </w:rPr>
        <w:t>Rackham</w:t>
      </w:r>
      <w:r w:rsidR="004D4774">
        <w:rPr>
          <w:rFonts w:ascii="Arial" w:hAnsi="Arial" w:cs="Arial"/>
          <w:sz w:val="22"/>
          <w:szCs w:val="22"/>
          <w:lang w:val="en-GB"/>
        </w:rPr>
        <w:t xml:space="preserve"> family</w:t>
      </w:r>
      <w:r w:rsidR="007808EB">
        <w:rPr>
          <w:rFonts w:ascii="Arial" w:hAnsi="Arial" w:cs="Arial"/>
          <w:sz w:val="22"/>
          <w:szCs w:val="22"/>
          <w:lang w:val="en-GB"/>
        </w:rPr>
        <w:t xml:space="preserve"> </w:t>
      </w:r>
      <w:r w:rsidR="003938A1">
        <w:rPr>
          <w:rFonts w:ascii="Arial" w:hAnsi="Arial" w:cs="Arial"/>
          <w:sz w:val="22"/>
          <w:szCs w:val="22"/>
          <w:lang w:val="en-GB"/>
        </w:rPr>
        <w:t xml:space="preserve">over </w:t>
      </w:r>
      <w:r>
        <w:rPr>
          <w:rFonts w:ascii="Arial" w:hAnsi="Arial" w:cs="Arial"/>
          <w:sz w:val="22"/>
          <w:szCs w:val="22"/>
          <w:lang w:val="en-GB"/>
        </w:rPr>
        <w:t>50</w:t>
      </w:r>
      <w:r w:rsidR="007808EB">
        <w:rPr>
          <w:rFonts w:ascii="Arial" w:hAnsi="Arial" w:cs="Arial"/>
          <w:sz w:val="22"/>
          <w:szCs w:val="22"/>
          <w:lang w:val="en-GB"/>
        </w:rPr>
        <w:t xml:space="preserve"> years</w:t>
      </w:r>
      <w:r w:rsidR="00241BC4">
        <w:rPr>
          <w:rFonts w:ascii="Arial" w:hAnsi="Arial" w:cs="Arial"/>
          <w:sz w:val="22"/>
          <w:szCs w:val="22"/>
          <w:lang w:val="en-GB"/>
        </w:rPr>
        <w:t xml:space="preserve"> ago</w:t>
      </w:r>
      <w:r w:rsidR="006D3DC9">
        <w:rPr>
          <w:rFonts w:ascii="Arial" w:hAnsi="Arial" w:cs="Arial"/>
          <w:sz w:val="22"/>
          <w:szCs w:val="22"/>
          <w:lang w:val="en-GB"/>
        </w:rPr>
        <w:t xml:space="preserve">. The family continues to </w:t>
      </w:r>
      <w:r w:rsidR="00241BC4">
        <w:rPr>
          <w:rFonts w:ascii="Arial" w:hAnsi="Arial" w:cs="Arial"/>
          <w:sz w:val="22"/>
          <w:szCs w:val="22"/>
          <w:lang w:val="en-GB"/>
        </w:rPr>
        <w:t xml:space="preserve">own and manage the business. </w:t>
      </w:r>
    </w:p>
    <w:p w14:paraId="44D931DF" w14:textId="77777777" w:rsidR="003938A1" w:rsidRDefault="003938A1" w:rsidP="002476AF">
      <w:pPr>
        <w:jc w:val="both"/>
        <w:rPr>
          <w:rFonts w:ascii="Arial" w:hAnsi="Arial" w:cs="Arial"/>
          <w:sz w:val="22"/>
          <w:szCs w:val="22"/>
          <w:lang w:val="en-GB"/>
        </w:rPr>
      </w:pPr>
    </w:p>
    <w:p w14:paraId="7B200897" w14:textId="6ED24151" w:rsidR="00E55912" w:rsidRDefault="0048787C" w:rsidP="002476AF">
      <w:pPr>
        <w:jc w:val="both"/>
        <w:rPr>
          <w:rFonts w:ascii="Arial" w:hAnsi="Arial" w:cs="Arial"/>
          <w:sz w:val="22"/>
          <w:szCs w:val="22"/>
          <w:lang w:val="en-GB"/>
        </w:rPr>
      </w:pPr>
      <w:r>
        <w:rPr>
          <w:rFonts w:ascii="Arial" w:hAnsi="Arial" w:cs="Arial"/>
          <w:sz w:val="22"/>
          <w:szCs w:val="22"/>
          <w:lang w:val="en-GB"/>
        </w:rPr>
        <w:t>Between 201</w:t>
      </w:r>
      <w:r w:rsidR="008D7C65">
        <w:rPr>
          <w:rFonts w:ascii="Arial" w:hAnsi="Arial" w:cs="Arial"/>
          <w:sz w:val="22"/>
          <w:szCs w:val="22"/>
          <w:lang w:val="en-GB"/>
        </w:rPr>
        <w:t>5</w:t>
      </w:r>
      <w:r>
        <w:rPr>
          <w:rFonts w:ascii="Arial" w:hAnsi="Arial" w:cs="Arial"/>
          <w:sz w:val="22"/>
          <w:szCs w:val="22"/>
          <w:lang w:val="en-GB"/>
        </w:rPr>
        <w:t xml:space="preserve"> and 2019</w:t>
      </w:r>
      <w:r w:rsidR="007808EB">
        <w:rPr>
          <w:rFonts w:ascii="Arial" w:hAnsi="Arial" w:cs="Arial"/>
          <w:sz w:val="22"/>
          <w:szCs w:val="22"/>
          <w:lang w:val="en-GB"/>
        </w:rPr>
        <w:t xml:space="preserve">, </w:t>
      </w: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w:t>
      </w:r>
      <w:r w:rsidR="00EA6EC9">
        <w:rPr>
          <w:rFonts w:ascii="Arial" w:hAnsi="Arial" w:cs="Arial"/>
          <w:sz w:val="22"/>
          <w:szCs w:val="22"/>
          <w:lang w:val="en-GB"/>
        </w:rPr>
        <w:t xml:space="preserve"> </w:t>
      </w:r>
      <w:r w:rsidR="007808EB">
        <w:rPr>
          <w:rFonts w:ascii="Arial" w:hAnsi="Arial" w:cs="Arial"/>
          <w:sz w:val="22"/>
          <w:szCs w:val="22"/>
          <w:lang w:val="en-GB"/>
        </w:rPr>
        <w:t>ha</w:t>
      </w:r>
      <w:r>
        <w:rPr>
          <w:rFonts w:ascii="Arial" w:hAnsi="Arial" w:cs="Arial"/>
          <w:sz w:val="22"/>
          <w:szCs w:val="22"/>
          <w:lang w:val="en-GB"/>
        </w:rPr>
        <w:t>d</w:t>
      </w:r>
      <w:r w:rsidR="007808EB">
        <w:rPr>
          <w:rFonts w:ascii="Arial" w:hAnsi="Arial" w:cs="Arial"/>
          <w:sz w:val="22"/>
          <w:szCs w:val="22"/>
          <w:lang w:val="en-GB"/>
        </w:rPr>
        <w:t xml:space="preserve"> </w:t>
      </w:r>
      <w:r w:rsidR="00EA6EC9">
        <w:rPr>
          <w:rFonts w:ascii="Arial" w:hAnsi="Arial" w:cs="Arial"/>
          <w:sz w:val="22"/>
          <w:szCs w:val="22"/>
          <w:lang w:val="en-GB"/>
        </w:rPr>
        <w:t>been rapidly expanding its operations</w:t>
      </w:r>
      <w:r w:rsidR="00891116">
        <w:rPr>
          <w:rFonts w:ascii="Arial" w:hAnsi="Arial" w:cs="Arial"/>
          <w:sz w:val="22"/>
          <w:szCs w:val="22"/>
          <w:lang w:val="en-GB"/>
        </w:rPr>
        <w:t>.</w:t>
      </w:r>
      <w:r w:rsidR="00EA6EC9">
        <w:rPr>
          <w:rFonts w:ascii="Arial" w:hAnsi="Arial" w:cs="Arial"/>
          <w:sz w:val="22"/>
          <w:szCs w:val="22"/>
          <w:lang w:val="en-GB"/>
        </w:rPr>
        <w:t xml:space="preserve"> </w:t>
      </w:r>
      <w:r w:rsidR="00891116">
        <w:rPr>
          <w:rFonts w:ascii="Arial" w:hAnsi="Arial" w:cs="Arial"/>
          <w:sz w:val="22"/>
          <w:szCs w:val="22"/>
          <w:lang w:val="en-GB"/>
        </w:rPr>
        <w:t>H</w:t>
      </w:r>
      <w:r w:rsidR="00EA6EC9">
        <w:rPr>
          <w:rFonts w:ascii="Arial" w:hAnsi="Arial" w:cs="Arial"/>
          <w:sz w:val="22"/>
          <w:szCs w:val="22"/>
          <w:lang w:val="en-GB"/>
        </w:rPr>
        <w:t>owever</w:t>
      </w:r>
      <w:r w:rsidR="00891116">
        <w:rPr>
          <w:rFonts w:ascii="Arial" w:hAnsi="Arial" w:cs="Arial"/>
          <w:sz w:val="22"/>
          <w:szCs w:val="22"/>
          <w:lang w:val="en-GB"/>
        </w:rPr>
        <w:t>,</w:t>
      </w:r>
      <w:r w:rsidR="00EA6EC9">
        <w:rPr>
          <w:rFonts w:ascii="Arial" w:hAnsi="Arial" w:cs="Arial"/>
          <w:sz w:val="22"/>
          <w:szCs w:val="22"/>
          <w:lang w:val="en-GB"/>
        </w:rPr>
        <w:t xml:space="preserve"> the unexpected </w:t>
      </w:r>
      <w:r w:rsidR="004D4774">
        <w:rPr>
          <w:rFonts w:ascii="Arial" w:hAnsi="Arial" w:cs="Arial"/>
          <w:sz w:val="22"/>
          <w:szCs w:val="22"/>
          <w:lang w:val="en-GB"/>
        </w:rPr>
        <w:t xml:space="preserve">slump in worldwide tourism </w:t>
      </w:r>
      <w:r w:rsidR="00EA6EC9">
        <w:rPr>
          <w:rFonts w:ascii="Arial" w:hAnsi="Arial" w:cs="Arial"/>
          <w:sz w:val="22"/>
          <w:szCs w:val="22"/>
          <w:lang w:val="en-GB"/>
        </w:rPr>
        <w:t xml:space="preserve">at the start of 2020 </w:t>
      </w:r>
      <w:r w:rsidR="00016475">
        <w:rPr>
          <w:rFonts w:ascii="Arial" w:hAnsi="Arial" w:cs="Arial"/>
          <w:sz w:val="22"/>
          <w:szCs w:val="22"/>
          <w:lang w:val="en-GB"/>
        </w:rPr>
        <w:t>due to C</w:t>
      </w:r>
      <w:r>
        <w:rPr>
          <w:rFonts w:ascii="Arial" w:hAnsi="Arial" w:cs="Arial"/>
          <w:sz w:val="22"/>
          <w:szCs w:val="22"/>
          <w:lang w:val="en-GB"/>
        </w:rPr>
        <w:t>OVID</w:t>
      </w:r>
      <w:r w:rsidR="00016475">
        <w:rPr>
          <w:rFonts w:ascii="Arial" w:hAnsi="Arial" w:cs="Arial"/>
          <w:sz w:val="22"/>
          <w:szCs w:val="22"/>
          <w:lang w:val="en-GB"/>
        </w:rPr>
        <w:t xml:space="preserve">-19 </w:t>
      </w:r>
      <w:r w:rsidR="006D3DC9">
        <w:rPr>
          <w:rFonts w:ascii="Arial" w:hAnsi="Arial" w:cs="Arial"/>
          <w:sz w:val="22"/>
          <w:szCs w:val="22"/>
          <w:lang w:val="en-GB"/>
        </w:rPr>
        <w:t xml:space="preserve">adversely </w:t>
      </w:r>
      <w:r w:rsidR="004D4774">
        <w:rPr>
          <w:rFonts w:ascii="Arial" w:hAnsi="Arial" w:cs="Arial"/>
          <w:sz w:val="22"/>
          <w:szCs w:val="22"/>
          <w:lang w:val="en-GB"/>
        </w:rPr>
        <w:t xml:space="preserve">affected </w:t>
      </w: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C’s</w:t>
      </w:r>
      <w:r w:rsidR="004D4774">
        <w:rPr>
          <w:rFonts w:ascii="Arial" w:hAnsi="Arial" w:cs="Arial"/>
          <w:sz w:val="22"/>
          <w:szCs w:val="22"/>
          <w:lang w:val="en-GB"/>
        </w:rPr>
        <w:t xml:space="preserve"> revenues</w:t>
      </w:r>
      <w:r w:rsidR="00E55912">
        <w:rPr>
          <w:rFonts w:ascii="Arial" w:hAnsi="Arial" w:cs="Arial"/>
          <w:sz w:val="22"/>
          <w:szCs w:val="22"/>
          <w:lang w:val="en-GB"/>
        </w:rPr>
        <w:t>.</w:t>
      </w:r>
    </w:p>
    <w:p w14:paraId="08FDCCC2" w14:textId="77777777" w:rsidR="00E55912" w:rsidRDefault="00E55912" w:rsidP="002476AF">
      <w:pPr>
        <w:jc w:val="both"/>
        <w:rPr>
          <w:rFonts w:ascii="Arial" w:hAnsi="Arial" w:cs="Arial"/>
          <w:sz w:val="22"/>
          <w:szCs w:val="22"/>
          <w:lang w:val="en-GB"/>
        </w:rPr>
      </w:pPr>
    </w:p>
    <w:p w14:paraId="50EAFCCE" w14:textId="44DF54D6" w:rsidR="003938A1" w:rsidRDefault="0048787C" w:rsidP="002476AF">
      <w:pPr>
        <w:jc w:val="both"/>
        <w:rPr>
          <w:rFonts w:ascii="Arial" w:hAnsi="Arial" w:cs="Arial"/>
          <w:sz w:val="22"/>
          <w:szCs w:val="22"/>
          <w:lang w:val="en-GB"/>
        </w:rPr>
      </w:pP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 xml:space="preserve">C </w:t>
      </w:r>
      <w:r w:rsidR="006D3DC9">
        <w:rPr>
          <w:rFonts w:ascii="Arial" w:hAnsi="Arial" w:cs="Arial"/>
          <w:sz w:val="22"/>
          <w:szCs w:val="22"/>
          <w:lang w:val="en-GB"/>
        </w:rPr>
        <w:t xml:space="preserve">has only </w:t>
      </w:r>
      <w:r>
        <w:rPr>
          <w:rFonts w:ascii="Arial" w:hAnsi="Arial" w:cs="Arial"/>
          <w:sz w:val="22"/>
          <w:szCs w:val="22"/>
          <w:lang w:val="en-GB"/>
        </w:rPr>
        <w:t xml:space="preserve">managed to stay afloat for the past 2 years with the assistance of a very large loan from </w:t>
      </w:r>
      <w:r w:rsidR="00853516">
        <w:rPr>
          <w:rFonts w:ascii="Arial" w:hAnsi="Arial" w:cs="Arial"/>
          <w:sz w:val="22"/>
          <w:szCs w:val="22"/>
          <w:lang w:val="en-GB"/>
        </w:rPr>
        <w:t xml:space="preserve">Sparrow’s Treasure Bank </w:t>
      </w:r>
      <w:r w:rsidR="00891116">
        <w:rPr>
          <w:rFonts w:ascii="Arial" w:hAnsi="Arial" w:cs="Arial"/>
          <w:sz w:val="22"/>
          <w:szCs w:val="22"/>
          <w:lang w:val="en-GB"/>
        </w:rPr>
        <w:t>(</w:t>
      </w:r>
      <w:r w:rsidR="00853516">
        <w:rPr>
          <w:rFonts w:ascii="Arial" w:hAnsi="Arial" w:cs="Arial"/>
          <w:sz w:val="22"/>
          <w:szCs w:val="22"/>
          <w:lang w:val="en-GB"/>
        </w:rPr>
        <w:t>Sparrow)</w:t>
      </w:r>
      <w:r w:rsidR="00E55912">
        <w:rPr>
          <w:rFonts w:ascii="Arial" w:hAnsi="Arial" w:cs="Arial"/>
          <w:sz w:val="22"/>
          <w:szCs w:val="22"/>
          <w:lang w:val="en-GB"/>
        </w:rPr>
        <w:t xml:space="preserve">. </w:t>
      </w:r>
      <w:r w:rsidR="00853516">
        <w:rPr>
          <w:rFonts w:ascii="Arial" w:hAnsi="Arial" w:cs="Arial"/>
          <w:sz w:val="22"/>
          <w:szCs w:val="22"/>
          <w:lang w:val="en-GB"/>
        </w:rPr>
        <w:t xml:space="preserve">Sparrow </w:t>
      </w:r>
      <w:r w:rsidR="00E55912">
        <w:rPr>
          <w:rFonts w:ascii="Arial" w:hAnsi="Arial" w:cs="Arial"/>
          <w:sz w:val="22"/>
          <w:szCs w:val="22"/>
          <w:lang w:val="en-GB"/>
        </w:rPr>
        <w:t xml:space="preserve">has lent </w:t>
      </w:r>
      <w:r w:rsidR="00853516">
        <w:rPr>
          <w:rFonts w:ascii="Arial" w:hAnsi="Arial" w:cs="Arial"/>
          <w:sz w:val="22"/>
          <w:szCs w:val="22"/>
          <w:lang w:val="en-GB"/>
        </w:rPr>
        <w:t>S</w:t>
      </w:r>
      <w:r w:rsidR="00924973">
        <w:rPr>
          <w:rFonts w:ascii="Arial" w:hAnsi="Arial" w:cs="Arial"/>
          <w:sz w:val="22"/>
          <w:szCs w:val="22"/>
          <w:lang w:val="en-GB"/>
        </w:rPr>
        <w:t xml:space="preserve"> </w:t>
      </w:r>
      <w:r w:rsidR="00853516">
        <w:rPr>
          <w:rFonts w:ascii="Arial" w:hAnsi="Arial" w:cs="Arial"/>
          <w:sz w:val="22"/>
          <w:szCs w:val="22"/>
          <w:lang w:val="en-GB"/>
        </w:rPr>
        <w:t>&amp;</w:t>
      </w:r>
      <w:r w:rsidR="00924973">
        <w:rPr>
          <w:rFonts w:ascii="Arial" w:hAnsi="Arial" w:cs="Arial"/>
          <w:sz w:val="22"/>
          <w:szCs w:val="22"/>
          <w:lang w:val="en-GB"/>
        </w:rPr>
        <w:t xml:space="preserve"> </w:t>
      </w:r>
      <w:r w:rsidR="00853516">
        <w:rPr>
          <w:rFonts w:ascii="Arial" w:hAnsi="Arial" w:cs="Arial"/>
          <w:sz w:val="22"/>
          <w:szCs w:val="22"/>
          <w:lang w:val="en-GB"/>
        </w:rPr>
        <w:t>C</w:t>
      </w:r>
      <w:r w:rsidR="00E55912">
        <w:rPr>
          <w:rFonts w:ascii="Arial" w:hAnsi="Arial" w:cs="Arial"/>
          <w:sz w:val="22"/>
          <w:szCs w:val="22"/>
          <w:lang w:val="en-GB"/>
        </w:rPr>
        <w:t xml:space="preserve"> </w:t>
      </w:r>
      <w:r w:rsidR="00A02163">
        <w:rPr>
          <w:rFonts w:ascii="Arial" w:hAnsi="Arial" w:cs="Arial"/>
          <w:sz w:val="22"/>
          <w:szCs w:val="22"/>
          <w:lang w:val="en-GB"/>
        </w:rPr>
        <w:t xml:space="preserve">USD </w:t>
      </w:r>
      <w:r w:rsidR="006D3DC9">
        <w:rPr>
          <w:rFonts w:ascii="Arial" w:hAnsi="Arial" w:cs="Arial"/>
          <w:sz w:val="22"/>
          <w:szCs w:val="22"/>
          <w:lang w:val="en-GB"/>
        </w:rPr>
        <w:t>2</w:t>
      </w:r>
      <w:r w:rsidR="00E55912">
        <w:rPr>
          <w:rFonts w:ascii="Arial" w:hAnsi="Arial" w:cs="Arial"/>
          <w:sz w:val="22"/>
          <w:szCs w:val="22"/>
          <w:lang w:val="en-GB"/>
        </w:rPr>
        <w:t>00</w:t>
      </w:r>
      <w:r w:rsidR="00E4294D">
        <w:rPr>
          <w:rFonts w:ascii="Arial" w:hAnsi="Arial" w:cs="Arial"/>
          <w:sz w:val="22"/>
          <w:szCs w:val="22"/>
          <w:lang w:val="en-GB"/>
        </w:rPr>
        <w:t xml:space="preserve"> </w:t>
      </w:r>
      <w:r w:rsidR="00E55912">
        <w:rPr>
          <w:rFonts w:ascii="Arial" w:hAnsi="Arial" w:cs="Arial"/>
          <w:sz w:val="22"/>
          <w:szCs w:val="22"/>
          <w:lang w:val="en-GB"/>
        </w:rPr>
        <w:t>m</w:t>
      </w:r>
      <w:r w:rsidR="00E4294D">
        <w:rPr>
          <w:rFonts w:ascii="Arial" w:hAnsi="Arial" w:cs="Arial"/>
          <w:sz w:val="22"/>
          <w:szCs w:val="22"/>
          <w:lang w:val="en-GB"/>
        </w:rPr>
        <w:t>illion</w:t>
      </w:r>
      <w:r w:rsidR="00E55912">
        <w:rPr>
          <w:rFonts w:ascii="Arial" w:hAnsi="Arial" w:cs="Arial"/>
          <w:sz w:val="22"/>
          <w:szCs w:val="22"/>
          <w:lang w:val="en-GB"/>
        </w:rPr>
        <w:t xml:space="preserve"> (</w:t>
      </w:r>
      <w:r w:rsidR="00A02163">
        <w:rPr>
          <w:rFonts w:ascii="Arial" w:hAnsi="Arial" w:cs="Arial"/>
          <w:sz w:val="22"/>
          <w:szCs w:val="22"/>
          <w:lang w:val="en-GB"/>
        </w:rPr>
        <w:t xml:space="preserve">USD </w:t>
      </w:r>
      <w:r w:rsidR="006D3DC9">
        <w:rPr>
          <w:rFonts w:ascii="Arial" w:hAnsi="Arial" w:cs="Arial"/>
          <w:sz w:val="22"/>
          <w:szCs w:val="22"/>
          <w:lang w:val="en-GB"/>
        </w:rPr>
        <w:t>8</w:t>
      </w:r>
      <w:r w:rsidR="00E55912">
        <w:rPr>
          <w:rFonts w:ascii="Arial" w:hAnsi="Arial" w:cs="Arial"/>
          <w:sz w:val="22"/>
          <w:szCs w:val="22"/>
          <w:lang w:val="en-GB"/>
        </w:rPr>
        <w:t>0</w:t>
      </w:r>
      <w:r w:rsidR="00E4294D">
        <w:rPr>
          <w:rFonts w:ascii="Arial" w:hAnsi="Arial" w:cs="Arial"/>
          <w:sz w:val="22"/>
          <w:szCs w:val="22"/>
          <w:lang w:val="en-GB"/>
        </w:rPr>
        <w:t xml:space="preserve"> </w:t>
      </w:r>
      <w:proofErr w:type="spellStart"/>
      <w:r w:rsidR="00E55912">
        <w:rPr>
          <w:rFonts w:ascii="Arial" w:hAnsi="Arial" w:cs="Arial"/>
          <w:sz w:val="22"/>
          <w:szCs w:val="22"/>
          <w:lang w:val="en-GB"/>
        </w:rPr>
        <w:t>m</w:t>
      </w:r>
      <w:r w:rsidR="00E4294D">
        <w:rPr>
          <w:rFonts w:ascii="Arial" w:hAnsi="Arial" w:cs="Arial"/>
          <w:sz w:val="22"/>
          <w:szCs w:val="22"/>
          <w:lang w:val="en-GB"/>
        </w:rPr>
        <w:t>illion</w:t>
      </w:r>
      <w:proofErr w:type="spellEnd"/>
      <w:r w:rsidR="00E55912">
        <w:rPr>
          <w:rFonts w:ascii="Arial" w:hAnsi="Arial" w:cs="Arial"/>
          <w:sz w:val="22"/>
          <w:szCs w:val="22"/>
          <w:lang w:val="en-GB"/>
        </w:rPr>
        <w:t xml:space="preserve"> of which is secured by a mortgage over </w:t>
      </w:r>
      <w:r w:rsidR="00A02163">
        <w:rPr>
          <w:rFonts w:ascii="Arial" w:hAnsi="Arial" w:cs="Arial"/>
          <w:sz w:val="22"/>
          <w:szCs w:val="22"/>
          <w:lang w:val="en-GB"/>
        </w:rPr>
        <w:t xml:space="preserve">four </w:t>
      </w:r>
      <w:r w:rsidR="00E55912">
        <w:rPr>
          <w:rFonts w:ascii="Arial" w:hAnsi="Arial" w:cs="Arial"/>
          <w:sz w:val="22"/>
          <w:szCs w:val="22"/>
          <w:lang w:val="en-GB"/>
        </w:rPr>
        <w:t xml:space="preserve">of </w:t>
      </w:r>
      <w:r w:rsidR="006D3DC9">
        <w:rPr>
          <w:rFonts w:ascii="Arial" w:hAnsi="Arial" w:cs="Arial"/>
          <w:sz w:val="22"/>
          <w:szCs w:val="22"/>
          <w:lang w:val="en-GB"/>
        </w:rPr>
        <w:t>S</w:t>
      </w:r>
      <w:r w:rsidR="00924973">
        <w:rPr>
          <w:rFonts w:ascii="Arial" w:hAnsi="Arial" w:cs="Arial"/>
          <w:sz w:val="22"/>
          <w:szCs w:val="22"/>
          <w:lang w:val="en-GB"/>
        </w:rPr>
        <w:t xml:space="preserve"> </w:t>
      </w:r>
      <w:r w:rsidR="006D3DC9">
        <w:rPr>
          <w:rFonts w:ascii="Arial" w:hAnsi="Arial" w:cs="Arial"/>
          <w:sz w:val="22"/>
          <w:szCs w:val="22"/>
          <w:lang w:val="en-GB"/>
        </w:rPr>
        <w:t>&amp;</w:t>
      </w:r>
      <w:r w:rsidR="00924973">
        <w:rPr>
          <w:rFonts w:ascii="Arial" w:hAnsi="Arial" w:cs="Arial"/>
          <w:sz w:val="22"/>
          <w:szCs w:val="22"/>
          <w:lang w:val="en-GB"/>
        </w:rPr>
        <w:t xml:space="preserve"> </w:t>
      </w:r>
      <w:r w:rsidR="006D3DC9">
        <w:rPr>
          <w:rFonts w:ascii="Arial" w:hAnsi="Arial" w:cs="Arial"/>
          <w:sz w:val="22"/>
          <w:szCs w:val="22"/>
          <w:lang w:val="en-GB"/>
        </w:rPr>
        <w:t>C’s</w:t>
      </w:r>
      <w:r w:rsidR="00E55912">
        <w:rPr>
          <w:rFonts w:ascii="Arial" w:hAnsi="Arial" w:cs="Arial"/>
          <w:sz w:val="22"/>
          <w:szCs w:val="22"/>
          <w:lang w:val="en-GB"/>
        </w:rPr>
        <w:t xml:space="preserve"> </w:t>
      </w:r>
      <w:r w:rsidR="006D3DC9">
        <w:rPr>
          <w:rFonts w:ascii="Arial" w:hAnsi="Arial" w:cs="Arial"/>
          <w:sz w:val="22"/>
          <w:szCs w:val="22"/>
          <w:lang w:val="en-GB"/>
        </w:rPr>
        <w:t>largest party boats</w:t>
      </w:r>
      <w:r w:rsidR="00E55912">
        <w:rPr>
          <w:rFonts w:ascii="Arial" w:hAnsi="Arial" w:cs="Arial"/>
          <w:sz w:val="22"/>
          <w:szCs w:val="22"/>
          <w:lang w:val="en-GB"/>
        </w:rPr>
        <w:t xml:space="preserve">). </w:t>
      </w:r>
      <w:r w:rsidR="007D11EE">
        <w:rPr>
          <w:rFonts w:ascii="Arial" w:hAnsi="Arial" w:cs="Arial"/>
          <w:sz w:val="22"/>
          <w:szCs w:val="22"/>
          <w:lang w:val="en-GB"/>
        </w:rPr>
        <w:t>The loan facility has now been exhausted. S</w:t>
      </w:r>
      <w:r w:rsidR="00924973">
        <w:rPr>
          <w:rFonts w:ascii="Arial" w:hAnsi="Arial" w:cs="Arial"/>
          <w:sz w:val="22"/>
          <w:szCs w:val="22"/>
          <w:lang w:val="en-GB"/>
        </w:rPr>
        <w:t xml:space="preserve"> </w:t>
      </w:r>
      <w:r w:rsidR="007D11EE">
        <w:rPr>
          <w:rFonts w:ascii="Arial" w:hAnsi="Arial" w:cs="Arial"/>
          <w:sz w:val="22"/>
          <w:szCs w:val="22"/>
          <w:lang w:val="en-GB"/>
        </w:rPr>
        <w:t>&amp;</w:t>
      </w:r>
      <w:r w:rsidR="00924973">
        <w:rPr>
          <w:rFonts w:ascii="Arial" w:hAnsi="Arial" w:cs="Arial"/>
          <w:sz w:val="22"/>
          <w:szCs w:val="22"/>
          <w:lang w:val="en-GB"/>
        </w:rPr>
        <w:t xml:space="preserve"> </w:t>
      </w:r>
      <w:r w:rsidR="007D11EE">
        <w:rPr>
          <w:rFonts w:ascii="Arial" w:hAnsi="Arial" w:cs="Arial"/>
          <w:sz w:val="22"/>
          <w:szCs w:val="22"/>
          <w:lang w:val="en-GB"/>
        </w:rPr>
        <w:t>C has also fallen behind on the monthly repayments to Sparrow.</w:t>
      </w:r>
    </w:p>
    <w:p w14:paraId="00B08957" w14:textId="77777777" w:rsidR="003938A1" w:rsidRDefault="003938A1" w:rsidP="002476AF">
      <w:pPr>
        <w:jc w:val="both"/>
        <w:rPr>
          <w:rFonts w:ascii="Arial" w:hAnsi="Arial" w:cs="Arial"/>
          <w:sz w:val="22"/>
          <w:szCs w:val="22"/>
          <w:lang w:val="en-GB"/>
        </w:rPr>
      </w:pPr>
    </w:p>
    <w:p w14:paraId="3F687BFC" w14:textId="7169A8A9" w:rsidR="00EE425D" w:rsidRDefault="006D3DC9" w:rsidP="002476AF">
      <w:pPr>
        <w:jc w:val="both"/>
        <w:rPr>
          <w:rFonts w:ascii="Arial" w:hAnsi="Arial" w:cs="Arial"/>
          <w:sz w:val="22"/>
          <w:szCs w:val="22"/>
          <w:lang w:val="en-GB"/>
        </w:rPr>
      </w:pPr>
      <w:r>
        <w:rPr>
          <w:rFonts w:ascii="Arial" w:hAnsi="Arial" w:cs="Arial"/>
          <w:sz w:val="22"/>
          <w:szCs w:val="22"/>
          <w:lang w:val="en-GB"/>
        </w:rPr>
        <w:lastRenderedPageBreak/>
        <w:t>There are early signs that the tourism market is starting to pick up again</w:t>
      </w:r>
      <w:r w:rsidR="00924973">
        <w:rPr>
          <w:rFonts w:ascii="Arial" w:hAnsi="Arial" w:cs="Arial"/>
          <w:sz w:val="22"/>
          <w:szCs w:val="22"/>
          <w:lang w:val="en-GB"/>
        </w:rPr>
        <w:t>;</w:t>
      </w:r>
      <w:r>
        <w:rPr>
          <w:rFonts w:ascii="Arial" w:hAnsi="Arial" w:cs="Arial"/>
          <w:sz w:val="22"/>
          <w:szCs w:val="22"/>
          <w:lang w:val="en-GB"/>
        </w:rPr>
        <w:t xml:space="preserve"> however, 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w:t>
      </w:r>
      <w:r w:rsidR="004D4774">
        <w:rPr>
          <w:rFonts w:ascii="Arial" w:hAnsi="Arial" w:cs="Arial"/>
          <w:sz w:val="22"/>
          <w:szCs w:val="22"/>
          <w:lang w:val="en-GB"/>
        </w:rPr>
        <w:t xml:space="preserve"> </w:t>
      </w:r>
      <w:r>
        <w:rPr>
          <w:rFonts w:ascii="Arial" w:hAnsi="Arial" w:cs="Arial"/>
          <w:sz w:val="22"/>
          <w:szCs w:val="22"/>
          <w:lang w:val="en-GB"/>
        </w:rPr>
        <w:t xml:space="preserve">cannot afford to pay the ongoing costs associated with maintaining its fleet of ships </w:t>
      </w:r>
      <w:r w:rsidR="00EE425D">
        <w:rPr>
          <w:rFonts w:ascii="Arial" w:hAnsi="Arial" w:cs="Arial"/>
          <w:sz w:val="22"/>
          <w:szCs w:val="22"/>
          <w:lang w:val="en-GB"/>
        </w:rPr>
        <w:t>(</w:t>
      </w:r>
      <w:r w:rsidR="007D11EE">
        <w:rPr>
          <w:rFonts w:ascii="Arial" w:hAnsi="Arial" w:cs="Arial"/>
          <w:sz w:val="22"/>
          <w:szCs w:val="22"/>
          <w:lang w:val="en-GB"/>
        </w:rPr>
        <w:t xml:space="preserve">which include </w:t>
      </w:r>
      <w:r w:rsidR="00EE425D">
        <w:rPr>
          <w:rFonts w:ascii="Arial" w:hAnsi="Arial" w:cs="Arial"/>
          <w:sz w:val="22"/>
          <w:szCs w:val="22"/>
          <w:lang w:val="en-GB"/>
        </w:rPr>
        <w:t>electricity and water costs for its huge dry dock facility, ongoing engineering and mechanical costs</w:t>
      </w:r>
      <w:r w:rsidR="007D11EE">
        <w:rPr>
          <w:rFonts w:ascii="Arial" w:hAnsi="Arial" w:cs="Arial"/>
          <w:sz w:val="22"/>
          <w:szCs w:val="22"/>
          <w:lang w:val="en-GB"/>
        </w:rPr>
        <w:t xml:space="preserve"> and also</w:t>
      </w:r>
      <w:r w:rsidR="00EE425D">
        <w:rPr>
          <w:rFonts w:ascii="Arial" w:hAnsi="Arial" w:cs="Arial"/>
          <w:sz w:val="22"/>
          <w:szCs w:val="22"/>
          <w:lang w:val="en-GB"/>
        </w:rPr>
        <w:t xml:space="preserve"> wages</w:t>
      </w:r>
      <w:r w:rsidR="007D11EE">
        <w:rPr>
          <w:rFonts w:ascii="Arial" w:hAnsi="Arial" w:cs="Arial"/>
          <w:sz w:val="22"/>
          <w:szCs w:val="22"/>
          <w:lang w:val="en-GB"/>
        </w:rPr>
        <w:t>, pension and health insurance</w:t>
      </w:r>
      <w:r w:rsidR="00EE425D">
        <w:rPr>
          <w:rFonts w:ascii="Arial" w:hAnsi="Arial" w:cs="Arial"/>
          <w:sz w:val="22"/>
          <w:szCs w:val="22"/>
          <w:lang w:val="en-GB"/>
        </w:rPr>
        <w:t xml:space="preserve"> for its reduced team of employees) let alone find enough money </w:t>
      </w:r>
      <w:r w:rsidR="007D11EE">
        <w:rPr>
          <w:rFonts w:ascii="Arial" w:hAnsi="Arial" w:cs="Arial"/>
          <w:sz w:val="22"/>
          <w:szCs w:val="22"/>
          <w:lang w:val="en-GB"/>
        </w:rPr>
        <w:t xml:space="preserve">to </w:t>
      </w:r>
      <w:r w:rsidR="00EE425D">
        <w:rPr>
          <w:rFonts w:ascii="Arial" w:hAnsi="Arial" w:cs="Arial"/>
          <w:sz w:val="22"/>
          <w:szCs w:val="22"/>
          <w:lang w:val="en-GB"/>
        </w:rPr>
        <w:t xml:space="preserve">buy </w:t>
      </w:r>
      <w:r w:rsidR="007D11EE">
        <w:rPr>
          <w:rFonts w:ascii="Arial" w:hAnsi="Arial" w:cs="Arial"/>
          <w:sz w:val="22"/>
          <w:szCs w:val="22"/>
          <w:lang w:val="en-GB"/>
        </w:rPr>
        <w:t xml:space="preserve">the </w:t>
      </w:r>
      <w:r w:rsidR="00633808">
        <w:rPr>
          <w:rFonts w:ascii="Arial" w:hAnsi="Arial" w:cs="Arial"/>
          <w:sz w:val="22"/>
          <w:szCs w:val="22"/>
          <w:lang w:val="en-GB"/>
        </w:rPr>
        <w:t xml:space="preserve">vast quantities of top-shelf rum it will need for its </w:t>
      </w:r>
      <w:r w:rsidR="00EE425D">
        <w:rPr>
          <w:rFonts w:ascii="Arial" w:hAnsi="Arial" w:cs="Arial"/>
          <w:sz w:val="22"/>
          <w:szCs w:val="22"/>
          <w:lang w:val="en-GB"/>
        </w:rPr>
        <w:t>forthcoming booze cruises.</w:t>
      </w:r>
    </w:p>
    <w:p w14:paraId="0B881CB6" w14:textId="77777777" w:rsidR="003938A1" w:rsidRDefault="003938A1" w:rsidP="002476AF">
      <w:pPr>
        <w:jc w:val="both"/>
        <w:rPr>
          <w:rFonts w:ascii="Arial" w:hAnsi="Arial" w:cs="Arial"/>
          <w:sz w:val="22"/>
          <w:szCs w:val="22"/>
          <w:lang w:val="en-GB"/>
        </w:rPr>
      </w:pPr>
    </w:p>
    <w:p w14:paraId="13B2990A" w14:textId="5959202D" w:rsidR="004D4774" w:rsidRDefault="004D4774" w:rsidP="002476AF">
      <w:pPr>
        <w:jc w:val="both"/>
        <w:rPr>
          <w:rFonts w:ascii="Arial" w:hAnsi="Arial" w:cs="Arial"/>
          <w:sz w:val="22"/>
          <w:szCs w:val="22"/>
          <w:lang w:val="en-GB"/>
        </w:rPr>
      </w:pPr>
      <w:r>
        <w:rPr>
          <w:rFonts w:ascii="Arial" w:hAnsi="Arial" w:cs="Arial"/>
          <w:sz w:val="22"/>
          <w:szCs w:val="22"/>
          <w:lang w:val="en-GB"/>
        </w:rPr>
        <w:t xml:space="preserve">To make matters worse, </w:t>
      </w:r>
      <w:r w:rsidR="00EE425D">
        <w:rPr>
          <w:rFonts w:ascii="Arial" w:hAnsi="Arial" w:cs="Arial"/>
          <w:sz w:val="22"/>
          <w:szCs w:val="22"/>
          <w:lang w:val="en-GB"/>
        </w:rPr>
        <w:t>S</w:t>
      </w:r>
      <w:r w:rsidR="00924973">
        <w:rPr>
          <w:rFonts w:ascii="Arial" w:hAnsi="Arial" w:cs="Arial"/>
          <w:sz w:val="22"/>
          <w:szCs w:val="22"/>
          <w:lang w:val="en-GB"/>
        </w:rPr>
        <w:t xml:space="preserve"> </w:t>
      </w:r>
      <w:r w:rsidR="00EE425D">
        <w:rPr>
          <w:rFonts w:ascii="Arial" w:hAnsi="Arial" w:cs="Arial"/>
          <w:sz w:val="22"/>
          <w:szCs w:val="22"/>
          <w:lang w:val="en-GB"/>
        </w:rPr>
        <w:t>&amp;</w:t>
      </w:r>
      <w:r w:rsidR="00924973">
        <w:rPr>
          <w:rFonts w:ascii="Arial" w:hAnsi="Arial" w:cs="Arial"/>
          <w:sz w:val="22"/>
          <w:szCs w:val="22"/>
          <w:lang w:val="en-GB"/>
        </w:rPr>
        <w:t xml:space="preserve"> </w:t>
      </w:r>
      <w:r w:rsidR="00EE425D">
        <w:rPr>
          <w:rFonts w:ascii="Arial" w:hAnsi="Arial" w:cs="Arial"/>
          <w:sz w:val="22"/>
          <w:szCs w:val="22"/>
          <w:lang w:val="en-GB"/>
        </w:rPr>
        <w:t>C</w:t>
      </w:r>
      <w:r>
        <w:rPr>
          <w:rFonts w:ascii="Arial" w:hAnsi="Arial" w:cs="Arial"/>
          <w:sz w:val="22"/>
          <w:szCs w:val="22"/>
          <w:lang w:val="en-GB"/>
        </w:rPr>
        <w:t xml:space="preserve"> </w:t>
      </w:r>
      <w:r w:rsidR="006574C0">
        <w:rPr>
          <w:rFonts w:ascii="Arial" w:hAnsi="Arial" w:cs="Arial"/>
          <w:sz w:val="22"/>
          <w:szCs w:val="22"/>
          <w:lang w:val="en-GB"/>
        </w:rPr>
        <w:t>commissioned Roger Jolly to build 10</w:t>
      </w:r>
      <w:r w:rsidR="008D7C65">
        <w:rPr>
          <w:rFonts w:ascii="Arial" w:hAnsi="Arial" w:cs="Arial"/>
          <w:sz w:val="22"/>
          <w:szCs w:val="22"/>
          <w:lang w:val="en-GB"/>
        </w:rPr>
        <w:t xml:space="preserve"> more</w:t>
      </w:r>
      <w:r w:rsidR="006574C0">
        <w:rPr>
          <w:rFonts w:ascii="Arial" w:hAnsi="Arial" w:cs="Arial"/>
          <w:sz w:val="22"/>
          <w:szCs w:val="22"/>
          <w:lang w:val="en-GB"/>
        </w:rPr>
        <w:t xml:space="preserve"> oversized party boats only a few months before the pandemic struck. 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attempted to wriggle out of the contract but, </w:t>
      </w:r>
      <w:r w:rsidR="008D7C65">
        <w:rPr>
          <w:rFonts w:ascii="Arial" w:hAnsi="Arial" w:cs="Arial"/>
          <w:sz w:val="22"/>
          <w:szCs w:val="22"/>
          <w:lang w:val="en-GB"/>
        </w:rPr>
        <w:t>by virtue of</w:t>
      </w:r>
      <w:r w:rsidR="006574C0">
        <w:rPr>
          <w:rFonts w:ascii="Arial" w:hAnsi="Arial" w:cs="Arial"/>
          <w:sz w:val="22"/>
          <w:szCs w:val="22"/>
          <w:lang w:val="en-GB"/>
        </w:rPr>
        <w:t xml:space="preserve"> an arbitration clause, the dispute was referred to the ICC sitting in London. Earlier this month, the ICC ruled that 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must pay </w:t>
      </w:r>
      <w:r>
        <w:rPr>
          <w:rFonts w:ascii="Arial" w:hAnsi="Arial" w:cs="Arial"/>
          <w:sz w:val="22"/>
          <w:szCs w:val="22"/>
          <w:lang w:val="en-GB"/>
        </w:rPr>
        <w:t>damages of US</w:t>
      </w:r>
      <w:r w:rsidR="00DD262A">
        <w:rPr>
          <w:rFonts w:ascii="Arial" w:hAnsi="Arial" w:cs="Arial"/>
          <w:sz w:val="22"/>
          <w:szCs w:val="22"/>
          <w:lang w:val="en-GB"/>
        </w:rPr>
        <w:t xml:space="preserve">D </w:t>
      </w:r>
      <w:r>
        <w:rPr>
          <w:rFonts w:ascii="Arial" w:hAnsi="Arial" w:cs="Arial"/>
          <w:sz w:val="22"/>
          <w:szCs w:val="22"/>
          <w:lang w:val="en-GB"/>
        </w:rPr>
        <w:t>50</w:t>
      </w:r>
      <w:r w:rsidR="00E4294D">
        <w:rPr>
          <w:rFonts w:ascii="Arial" w:hAnsi="Arial" w:cs="Arial"/>
          <w:sz w:val="22"/>
          <w:szCs w:val="22"/>
          <w:lang w:val="en-GB"/>
        </w:rPr>
        <w:t xml:space="preserve"> </w:t>
      </w:r>
      <w:r>
        <w:rPr>
          <w:rFonts w:ascii="Arial" w:hAnsi="Arial" w:cs="Arial"/>
          <w:sz w:val="22"/>
          <w:szCs w:val="22"/>
          <w:lang w:val="en-GB"/>
        </w:rPr>
        <w:t>m</w:t>
      </w:r>
      <w:r w:rsidR="00E4294D">
        <w:rPr>
          <w:rFonts w:ascii="Arial" w:hAnsi="Arial" w:cs="Arial"/>
          <w:sz w:val="22"/>
          <w:szCs w:val="22"/>
          <w:lang w:val="en-GB"/>
        </w:rPr>
        <w:t>illion</w:t>
      </w:r>
      <w:r w:rsidR="00241BC4">
        <w:rPr>
          <w:rFonts w:ascii="Arial" w:hAnsi="Arial" w:cs="Arial"/>
          <w:sz w:val="22"/>
          <w:szCs w:val="22"/>
          <w:lang w:val="en-GB"/>
        </w:rPr>
        <w:t xml:space="preserve"> to </w:t>
      </w:r>
      <w:r w:rsidR="00C41A0C">
        <w:rPr>
          <w:rFonts w:ascii="Arial" w:hAnsi="Arial" w:cs="Arial"/>
          <w:sz w:val="22"/>
          <w:szCs w:val="22"/>
          <w:lang w:val="en-GB"/>
        </w:rPr>
        <w:t>Roger</w:t>
      </w:r>
      <w:r w:rsidR="006574C0">
        <w:rPr>
          <w:rFonts w:ascii="Arial" w:hAnsi="Arial" w:cs="Arial"/>
          <w:sz w:val="22"/>
          <w:szCs w:val="22"/>
          <w:lang w:val="en-GB"/>
        </w:rPr>
        <w:t xml:space="preserve"> Jolly by </w:t>
      </w:r>
      <w:r w:rsidR="008D7C65">
        <w:rPr>
          <w:rFonts w:ascii="Arial" w:hAnsi="Arial" w:cs="Arial"/>
          <w:sz w:val="22"/>
          <w:szCs w:val="22"/>
          <w:lang w:val="en-GB"/>
        </w:rPr>
        <w:t>mid</w:t>
      </w:r>
      <w:r w:rsidR="00924973">
        <w:rPr>
          <w:rFonts w:ascii="Arial" w:hAnsi="Arial" w:cs="Arial"/>
          <w:sz w:val="22"/>
          <w:szCs w:val="22"/>
          <w:lang w:val="en-GB"/>
        </w:rPr>
        <w:t>-</w:t>
      </w:r>
      <w:r w:rsidR="006574C0">
        <w:rPr>
          <w:rFonts w:ascii="Arial" w:hAnsi="Arial" w:cs="Arial"/>
          <w:sz w:val="22"/>
          <w:szCs w:val="22"/>
          <w:lang w:val="en-GB"/>
        </w:rPr>
        <w:t>February</w:t>
      </w:r>
      <w:r w:rsidR="007D11EE">
        <w:rPr>
          <w:rFonts w:ascii="Arial" w:hAnsi="Arial" w:cs="Arial"/>
          <w:sz w:val="22"/>
          <w:szCs w:val="22"/>
          <w:lang w:val="en-GB"/>
        </w:rPr>
        <w:t xml:space="preserve"> 2022</w:t>
      </w:r>
      <w:r w:rsidR="006574C0">
        <w:rPr>
          <w:rFonts w:ascii="Arial" w:hAnsi="Arial" w:cs="Arial"/>
          <w:sz w:val="22"/>
          <w:szCs w:val="22"/>
          <w:lang w:val="en-GB"/>
        </w:rPr>
        <w:t>.</w:t>
      </w:r>
      <w:r w:rsidR="00241BC4">
        <w:rPr>
          <w:rFonts w:ascii="Arial" w:hAnsi="Arial" w:cs="Arial"/>
          <w:sz w:val="22"/>
          <w:szCs w:val="22"/>
          <w:lang w:val="en-GB"/>
        </w:rPr>
        <w:t xml:space="preserve"> </w:t>
      </w:r>
      <w:r w:rsidR="006574C0">
        <w:rPr>
          <w:rFonts w:ascii="Arial" w:hAnsi="Arial" w:cs="Arial"/>
          <w:sz w:val="22"/>
          <w:szCs w:val="22"/>
          <w:lang w:val="en-GB"/>
        </w:rPr>
        <w:t>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has no prospect of being able to </w:t>
      </w:r>
      <w:r w:rsidR="00EA6EC9">
        <w:rPr>
          <w:rFonts w:ascii="Arial" w:hAnsi="Arial" w:cs="Arial"/>
          <w:sz w:val="22"/>
          <w:szCs w:val="22"/>
          <w:lang w:val="en-GB"/>
        </w:rPr>
        <w:t>satisfy that award.</w:t>
      </w:r>
    </w:p>
    <w:p w14:paraId="04BE230E" w14:textId="1BB521C2" w:rsidR="004D4774" w:rsidRDefault="004D4774" w:rsidP="002476AF">
      <w:pPr>
        <w:jc w:val="both"/>
        <w:rPr>
          <w:rFonts w:ascii="Arial" w:hAnsi="Arial" w:cs="Arial"/>
          <w:sz w:val="22"/>
          <w:szCs w:val="22"/>
          <w:lang w:val="en-GB"/>
        </w:rPr>
      </w:pPr>
    </w:p>
    <w:p w14:paraId="13DBE15E" w14:textId="690CB91C" w:rsidR="00BC3A55" w:rsidRDefault="00EA6EC9" w:rsidP="002476AF">
      <w:pPr>
        <w:jc w:val="both"/>
        <w:rPr>
          <w:rFonts w:ascii="Arial" w:hAnsi="Arial" w:cs="Arial"/>
          <w:sz w:val="22"/>
          <w:szCs w:val="22"/>
          <w:lang w:val="en-GB"/>
        </w:rPr>
      </w:pPr>
      <w:r>
        <w:rPr>
          <w:rFonts w:ascii="Arial" w:hAnsi="Arial" w:cs="Arial"/>
          <w:sz w:val="22"/>
          <w:szCs w:val="22"/>
          <w:lang w:val="en-GB"/>
        </w:rPr>
        <w:t xml:space="preserve">You are </w:t>
      </w:r>
      <w:r w:rsidR="001463D6">
        <w:rPr>
          <w:rFonts w:ascii="Arial" w:hAnsi="Arial" w:cs="Arial"/>
          <w:sz w:val="22"/>
          <w:szCs w:val="22"/>
          <w:lang w:val="en-GB"/>
        </w:rPr>
        <w:t>a Cayman Islands</w:t>
      </w:r>
      <w:r w:rsidR="00952187">
        <w:rPr>
          <w:rFonts w:ascii="Arial" w:hAnsi="Arial" w:cs="Arial"/>
          <w:sz w:val="22"/>
          <w:szCs w:val="22"/>
          <w:lang w:val="en-GB"/>
        </w:rPr>
        <w:t>-</w:t>
      </w:r>
      <w:r w:rsidR="001463D6">
        <w:rPr>
          <w:rFonts w:ascii="Arial" w:hAnsi="Arial" w:cs="Arial"/>
          <w:sz w:val="22"/>
          <w:szCs w:val="22"/>
          <w:lang w:val="en-GB"/>
        </w:rPr>
        <w:t>based insolvency professional</w:t>
      </w:r>
      <w:r w:rsidR="00DD262A">
        <w:rPr>
          <w:rFonts w:ascii="Arial" w:hAnsi="Arial" w:cs="Arial"/>
          <w:sz w:val="22"/>
          <w:szCs w:val="22"/>
          <w:lang w:val="en-GB"/>
        </w:rPr>
        <w:t xml:space="preserve"> and have been approached to provide advice on the following</w:t>
      </w:r>
      <w:r w:rsidR="00BC3A55">
        <w:rPr>
          <w:rFonts w:ascii="Arial" w:hAnsi="Arial" w:cs="Arial"/>
          <w:sz w:val="22"/>
          <w:szCs w:val="22"/>
          <w:lang w:val="en-GB"/>
        </w:rPr>
        <w:t>:</w:t>
      </w:r>
    </w:p>
    <w:p w14:paraId="38936404" w14:textId="77777777" w:rsidR="00BC3A55" w:rsidRDefault="00BC3A55" w:rsidP="002476AF">
      <w:pPr>
        <w:jc w:val="both"/>
        <w:rPr>
          <w:rFonts w:ascii="Arial" w:hAnsi="Arial" w:cs="Arial"/>
          <w:sz w:val="22"/>
          <w:szCs w:val="22"/>
          <w:lang w:val="en-GB"/>
        </w:rPr>
      </w:pPr>
    </w:p>
    <w:p w14:paraId="14E9234B" w14:textId="70D68B57" w:rsidR="002A2C21"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What action can </w:t>
      </w:r>
      <w:r w:rsidR="007D11EE" w:rsidRPr="00924973">
        <w:rPr>
          <w:rFonts w:ascii="Arial" w:hAnsi="Arial" w:cs="Arial"/>
          <w:sz w:val="22"/>
          <w:szCs w:val="22"/>
          <w:lang w:val="en-GB"/>
        </w:rPr>
        <w:t>Sparrow</w:t>
      </w:r>
      <w:r w:rsidRPr="00924973">
        <w:rPr>
          <w:rFonts w:ascii="Arial" w:hAnsi="Arial" w:cs="Arial"/>
          <w:sz w:val="22"/>
          <w:szCs w:val="22"/>
          <w:lang w:val="en-GB"/>
        </w:rPr>
        <w:t xml:space="preserve"> take to protect its</w:t>
      </w:r>
      <w:r w:rsidR="007D11EE" w:rsidRPr="00924973">
        <w:rPr>
          <w:rFonts w:ascii="Arial" w:hAnsi="Arial" w:cs="Arial"/>
          <w:sz w:val="22"/>
          <w:szCs w:val="22"/>
          <w:lang w:val="en-GB"/>
        </w:rPr>
        <w:t xml:space="preserve"> interests</w:t>
      </w:r>
      <w:r w:rsidRPr="00924973">
        <w:rPr>
          <w:rFonts w:ascii="Arial" w:hAnsi="Arial" w:cs="Arial"/>
          <w:sz w:val="22"/>
          <w:szCs w:val="22"/>
          <w:lang w:val="en-GB"/>
        </w:rPr>
        <w:t>?</w:t>
      </w:r>
    </w:p>
    <w:p w14:paraId="60988ABD" w14:textId="77777777" w:rsidR="00952187" w:rsidRPr="00952187" w:rsidRDefault="00952187" w:rsidP="00924973">
      <w:pPr>
        <w:ind w:left="426"/>
        <w:jc w:val="both"/>
        <w:rPr>
          <w:rFonts w:ascii="Arial" w:hAnsi="Arial" w:cs="Arial"/>
          <w:sz w:val="22"/>
          <w:szCs w:val="22"/>
          <w:lang w:val="en-GB"/>
        </w:rPr>
      </w:pPr>
    </w:p>
    <w:p w14:paraId="2954EC21" w14:textId="2108381C" w:rsidR="002A2C21"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What action can </w:t>
      </w:r>
      <w:r w:rsidR="00C41A0C" w:rsidRPr="00924973">
        <w:rPr>
          <w:rFonts w:ascii="Arial" w:hAnsi="Arial" w:cs="Arial"/>
          <w:sz w:val="22"/>
          <w:szCs w:val="22"/>
          <w:lang w:val="en-GB"/>
        </w:rPr>
        <w:t xml:space="preserve">Roger </w:t>
      </w:r>
      <w:r w:rsidR="008D7C65" w:rsidRPr="00924973">
        <w:rPr>
          <w:rFonts w:ascii="Arial" w:hAnsi="Arial" w:cs="Arial"/>
          <w:sz w:val="22"/>
          <w:szCs w:val="22"/>
          <w:lang w:val="en-GB"/>
        </w:rPr>
        <w:t xml:space="preserve">Jolly </w:t>
      </w:r>
      <w:r w:rsidRPr="00924973">
        <w:rPr>
          <w:rFonts w:ascii="Arial" w:hAnsi="Arial" w:cs="Arial"/>
          <w:sz w:val="22"/>
          <w:szCs w:val="22"/>
          <w:lang w:val="en-GB"/>
        </w:rPr>
        <w:t xml:space="preserve">take </w:t>
      </w:r>
      <w:r w:rsidR="007D11EE" w:rsidRPr="00924973">
        <w:rPr>
          <w:rFonts w:ascii="Arial" w:hAnsi="Arial" w:cs="Arial"/>
          <w:sz w:val="22"/>
          <w:szCs w:val="22"/>
          <w:lang w:val="en-GB"/>
        </w:rPr>
        <w:t>to protect its interests</w:t>
      </w:r>
      <w:r w:rsidRPr="00924973">
        <w:rPr>
          <w:rFonts w:ascii="Arial" w:hAnsi="Arial" w:cs="Arial"/>
          <w:sz w:val="22"/>
          <w:szCs w:val="22"/>
          <w:lang w:val="en-GB"/>
        </w:rPr>
        <w:t>?</w:t>
      </w:r>
    </w:p>
    <w:p w14:paraId="5C96F779" w14:textId="77777777" w:rsidR="00952187" w:rsidRPr="00952187" w:rsidRDefault="00952187" w:rsidP="00924973">
      <w:pPr>
        <w:ind w:left="426"/>
        <w:jc w:val="both"/>
        <w:rPr>
          <w:rFonts w:ascii="Arial" w:hAnsi="Arial" w:cs="Arial"/>
          <w:sz w:val="22"/>
          <w:szCs w:val="22"/>
          <w:lang w:val="en-GB"/>
        </w:rPr>
      </w:pPr>
    </w:p>
    <w:p w14:paraId="786BD95B" w14:textId="0CB7AECE" w:rsidR="002A2C21"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What action can the </w:t>
      </w:r>
      <w:r w:rsidR="00FE08A2" w:rsidRPr="00924973">
        <w:rPr>
          <w:rFonts w:ascii="Arial" w:hAnsi="Arial" w:cs="Arial"/>
          <w:sz w:val="22"/>
          <w:szCs w:val="22"/>
          <w:lang w:val="en-GB"/>
        </w:rPr>
        <w:t xml:space="preserve">unpaid employees </w:t>
      </w:r>
      <w:r w:rsidRPr="00924973">
        <w:rPr>
          <w:rFonts w:ascii="Arial" w:hAnsi="Arial" w:cs="Arial"/>
          <w:sz w:val="22"/>
          <w:szCs w:val="22"/>
          <w:lang w:val="en-GB"/>
        </w:rPr>
        <w:t xml:space="preserve">take against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w:t>
      </w:r>
    </w:p>
    <w:p w14:paraId="2D2F4E09" w14:textId="77777777" w:rsidR="00952187" w:rsidRPr="00952187" w:rsidRDefault="00952187" w:rsidP="00924973">
      <w:pPr>
        <w:ind w:left="426"/>
        <w:jc w:val="both"/>
        <w:rPr>
          <w:rFonts w:ascii="Arial" w:hAnsi="Arial" w:cs="Arial"/>
          <w:sz w:val="22"/>
          <w:szCs w:val="22"/>
          <w:lang w:val="en-GB"/>
        </w:rPr>
      </w:pPr>
    </w:p>
    <w:p w14:paraId="50895D5F" w14:textId="5DEFB815" w:rsidR="00F730FA" w:rsidRPr="00924973" w:rsidRDefault="00F730FA"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Does the Cayman Islands Court have jurisdiction over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w:t>
      </w:r>
    </w:p>
    <w:p w14:paraId="43E439C8" w14:textId="77777777" w:rsidR="00952187" w:rsidRPr="00952187" w:rsidRDefault="00952187" w:rsidP="00924973">
      <w:pPr>
        <w:ind w:left="426"/>
        <w:jc w:val="both"/>
        <w:rPr>
          <w:rFonts w:ascii="Arial" w:hAnsi="Arial" w:cs="Arial"/>
          <w:sz w:val="22"/>
          <w:szCs w:val="22"/>
          <w:lang w:val="en-GB"/>
        </w:rPr>
      </w:pPr>
    </w:p>
    <w:p w14:paraId="24A6BD44" w14:textId="56E5C516" w:rsidR="00F730FA"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Is there a legal route via which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 xml:space="preserve"> can</w:t>
      </w:r>
      <w:r w:rsidR="00EA6EC9" w:rsidRPr="00924973">
        <w:rPr>
          <w:rFonts w:ascii="Arial" w:hAnsi="Arial" w:cs="Arial"/>
          <w:sz w:val="22"/>
          <w:szCs w:val="22"/>
          <w:lang w:val="en-GB"/>
        </w:rPr>
        <w:t xml:space="preserve"> </w:t>
      </w:r>
      <w:r w:rsidR="00F730FA" w:rsidRPr="00924973">
        <w:rPr>
          <w:rFonts w:ascii="Arial" w:hAnsi="Arial" w:cs="Arial"/>
          <w:sz w:val="22"/>
          <w:szCs w:val="22"/>
          <w:lang w:val="en-GB"/>
        </w:rPr>
        <w:t xml:space="preserve">protect </w:t>
      </w:r>
      <w:r w:rsidR="00C41A0C" w:rsidRPr="00924973">
        <w:rPr>
          <w:rFonts w:ascii="Arial" w:hAnsi="Arial" w:cs="Arial"/>
          <w:sz w:val="22"/>
          <w:szCs w:val="22"/>
          <w:lang w:val="en-GB"/>
        </w:rPr>
        <w:t xml:space="preserve">itself </w:t>
      </w:r>
      <w:r w:rsidR="00F730FA" w:rsidRPr="00924973">
        <w:rPr>
          <w:rFonts w:ascii="Arial" w:hAnsi="Arial" w:cs="Arial"/>
          <w:sz w:val="22"/>
          <w:szCs w:val="22"/>
          <w:lang w:val="en-GB"/>
        </w:rPr>
        <w:t xml:space="preserve">and </w:t>
      </w:r>
      <w:r w:rsidRPr="00924973">
        <w:rPr>
          <w:rFonts w:ascii="Arial" w:hAnsi="Arial" w:cs="Arial"/>
          <w:sz w:val="22"/>
          <w:szCs w:val="22"/>
          <w:lang w:val="en-GB"/>
        </w:rPr>
        <w:t xml:space="preserve">seek to </w:t>
      </w:r>
      <w:r w:rsidR="007808EB" w:rsidRPr="00924973">
        <w:rPr>
          <w:rFonts w:ascii="Arial" w:hAnsi="Arial" w:cs="Arial"/>
          <w:sz w:val="22"/>
          <w:szCs w:val="22"/>
          <w:lang w:val="en-GB"/>
        </w:rPr>
        <w:t>restructure</w:t>
      </w:r>
      <w:r w:rsidR="00F730FA" w:rsidRPr="00924973">
        <w:rPr>
          <w:rFonts w:ascii="Arial" w:hAnsi="Arial" w:cs="Arial"/>
          <w:sz w:val="22"/>
          <w:szCs w:val="22"/>
          <w:lang w:val="en-GB"/>
        </w:rPr>
        <w:t>?</w:t>
      </w:r>
      <w:r w:rsidR="00C41A0C" w:rsidRPr="00924973">
        <w:rPr>
          <w:rFonts w:ascii="Arial" w:hAnsi="Arial" w:cs="Arial"/>
          <w:sz w:val="22"/>
          <w:szCs w:val="22"/>
          <w:lang w:val="en-GB"/>
        </w:rPr>
        <w:t xml:space="preserve"> </w:t>
      </w:r>
    </w:p>
    <w:p w14:paraId="5E9F761E" w14:textId="77777777" w:rsidR="00952187" w:rsidRPr="00952187" w:rsidRDefault="00952187" w:rsidP="00924973">
      <w:pPr>
        <w:ind w:left="426"/>
        <w:jc w:val="both"/>
        <w:rPr>
          <w:rFonts w:ascii="Arial" w:hAnsi="Arial" w:cs="Arial"/>
          <w:sz w:val="22"/>
          <w:szCs w:val="22"/>
          <w:lang w:val="en-GB"/>
        </w:rPr>
      </w:pPr>
    </w:p>
    <w:p w14:paraId="20A1D69F" w14:textId="1E736624" w:rsidR="00927C9D" w:rsidRPr="00924973" w:rsidRDefault="00C41A0C"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Following on from </w:t>
      </w:r>
      <w:r w:rsidR="00924973">
        <w:rPr>
          <w:rFonts w:ascii="Arial" w:hAnsi="Arial" w:cs="Arial"/>
          <w:sz w:val="22"/>
          <w:szCs w:val="22"/>
          <w:lang w:val="en-GB"/>
        </w:rPr>
        <w:t>(</w:t>
      </w:r>
      <w:r w:rsidRPr="00924973">
        <w:rPr>
          <w:rFonts w:ascii="Arial" w:hAnsi="Arial" w:cs="Arial"/>
          <w:sz w:val="22"/>
          <w:szCs w:val="22"/>
          <w:lang w:val="en-GB"/>
        </w:rPr>
        <w:t>e</w:t>
      </w:r>
      <w:r w:rsidR="00924973">
        <w:rPr>
          <w:rFonts w:ascii="Arial" w:hAnsi="Arial" w:cs="Arial"/>
          <w:sz w:val="22"/>
          <w:szCs w:val="22"/>
          <w:lang w:val="en-GB"/>
        </w:rPr>
        <w:t>) above</w:t>
      </w:r>
      <w:r w:rsidRPr="00924973">
        <w:rPr>
          <w:rFonts w:ascii="Arial" w:hAnsi="Arial" w:cs="Arial"/>
          <w:sz w:val="22"/>
          <w:szCs w:val="22"/>
          <w:lang w:val="en-GB"/>
        </w:rPr>
        <w:t>, c</w:t>
      </w:r>
      <w:r w:rsidR="00F730FA" w:rsidRPr="00924973">
        <w:rPr>
          <w:rFonts w:ascii="Arial" w:hAnsi="Arial" w:cs="Arial"/>
          <w:sz w:val="22"/>
          <w:szCs w:val="22"/>
          <w:lang w:val="en-GB"/>
        </w:rPr>
        <w:t xml:space="preserve">an the </w:t>
      </w:r>
      <w:r w:rsidR="00FE08A2" w:rsidRPr="00924973">
        <w:rPr>
          <w:rFonts w:ascii="Arial" w:hAnsi="Arial" w:cs="Arial"/>
          <w:sz w:val="22"/>
          <w:szCs w:val="22"/>
          <w:lang w:val="en-GB"/>
        </w:rPr>
        <w:t>Rackham</w:t>
      </w:r>
      <w:r w:rsidRPr="00924973">
        <w:rPr>
          <w:rFonts w:ascii="Arial" w:hAnsi="Arial" w:cs="Arial"/>
          <w:sz w:val="22"/>
          <w:szCs w:val="22"/>
          <w:lang w:val="en-GB"/>
        </w:rPr>
        <w:t xml:space="preserve"> </w:t>
      </w:r>
      <w:r w:rsidR="00F730FA" w:rsidRPr="00924973">
        <w:rPr>
          <w:rFonts w:ascii="Arial" w:hAnsi="Arial" w:cs="Arial"/>
          <w:sz w:val="22"/>
          <w:szCs w:val="22"/>
          <w:lang w:val="en-GB"/>
        </w:rPr>
        <w:t xml:space="preserve">family continue </w:t>
      </w:r>
      <w:r w:rsidR="00FE08A2" w:rsidRPr="00924973">
        <w:rPr>
          <w:rFonts w:ascii="Arial" w:hAnsi="Arial" w:cs="Arial"/>
          <w:sz w:val="22"/>
          <w:szCs w:val="22"/>
          <w:lang w:val="en-GB"/>
        </w:rPr>
        <w:t>play a part in</w:t>
      </w:r>
      <w:r w:rsidR="00F730FA" w:rsidRPr="00924973">
        <w:rPr>
          <w:rFonts w:ascii="Arial" w:hAnsi="Arial" w:cs="Arial"/>
          <w:sz w:val="22"/>
          <w:szCs w:val="22"/>
          <w:lang w:val="en-GB"/>
        </w:rPr>
        <w:t xml:space="preserve"> run</w:t>
      </w:r>
      <w:r w:rsidR="00FE08A2" w:rsidRPr="00924973">
        <w:rPr>
          <w:rFonts w:ascii="Arial" w:hAnsi="Arial" w:cs="Arial"/>
          <w:sz w:val="22"/>
          <w:szCs w:val="22"/>
          <w:lang w:val="en-GB"/>
        </w:rPr>
        <w:t>ning</w:t>
      </w:r>
      <w:r w:rsidR="00F730FA" w:rsidRPr="00924973">
        <w:rPr>
          <w:rFonts w:ascii="Arial" w:hAnsi="Arial" w:cs="Arial"/>
          <w:sz w:val="22"/>
          <w:szCs w:val="22"/>
          <w:lang w:val="en-GB"/>
        </w:rPr>
        <w:t xml:space="preserve">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00F730FA" w:rsidRPr="00924973">
        <w:rPr>
          <w:rFonts w:ascii="Arial" w:hAnsi="Arial" w:cs="Arial"/>
          <w:sz w:val="22"/>
          <w:szCs w:val="22"/>
          <w:lang w:val="en-GB"/>
        </w:rPr>
        <w:t xml:space="preserve"> during </w:t>
      </w:r>
      <w:r w:rsidR="00FE08A2" w:rsidRPr="00924973">
        <w:rPr>
          <w:rFonts w:ascii="Arial" w:hAnsi="Arial" w:cs="Arial"/>
          <w:sz w:val="22"/>
          <w:szCs w:val="22"/>
          <w:lang w:val="en-GB"/>
        </w:rPr>
        <w:t xml:space="preserve">any restructuring </w:t>
      </w:r>
      <w:r w:rsidR="00F730FA" w:rsidRPr="00924973">
        <w:rPr>
          <w:rFonts w:ascii="Arial" w:hAnsi="Arial" w:cs="Arial"/>
          <w:sz w:val="22"/>
          <w:szCs w:val="22"/>
          <w:lang w:val="en-GB"/>
        </w:rPr>
        <w:t>process?</w:t>
      </w:r>
    </w:p>
    <w:p w14:paraId="7ADDA549" w14:textId="77777777" w:rsidR="00952187" w:rsidRPr="00952187" w:rsidRDefault="00952187" w:rsidP="00924973">
      <w:pPr>
        <w:ind w:left="426"/>
        <w:jc w:val="both"/>
        <w:rPr>
          <w:rFonts w:ascii="Arial" w:hAnsi="Arial" w:cs="Arial"/>
          <w:sz w:val="22"/>
          <w:szCs w:val="22"/>
          <w:lang w:val="en-GB"/>
        </w:rPr>
      </w:pPr>
    </w:p>
    <w:p w14:paraId="5144D848" w14:textId="48FC7976" w:rsidR="00BC3A55"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W</w:t>
      </w:r>
      <w:r w:rsidR="00BC3A55" w:rsidRPr="00924973">
        <w:rPr>
          <w:rFonts w:ascii="Arial" w:hAnsi="Arial" w:cs="Arial"/>
          <w:sz w:val="22"/>
          <w:szCs w:val="22"/>
          <w:lang w:val="en-GB"/>
        </w:rPr>
        <w:t xml:space="preserve">hat factors </w:t>
      </w:r>
      <w:r w:rsidRPr="00924973">
        <w:rPr>
          <w:rFonts w:ascii="Arial" w:hAnsi="Arial" w:cs="Arial"/>
          <w:sz w:val="22"/>
          <w:szCs w:val="22"/>
          <w:lang w:val="en-GB"/>
        </w:rPr>
        <w:t xml:space="preserve">will </w:t>
      </w:r>
      <w:r w:rsidR="00BC3A55" w:rsidRPr="00924973">
        <w:rPr>
          <w:rFonts w:ascii="Arial" w:hAnsi="Arial" w:cs="Arial"/>
          <w:sz w:val="22"/>
          <w:szCs w:val="22"/>
          <w:lang w:val="en-GB"/>
        </w:rPr>
        <w:t xml:space="preserve">the </w:t>
      </w:r>
      <w:r w:rsidRPr="00924973">
        <w:rPr>
          <w:rFonts w:ascii="Arial" w:hAnsi="Arial" w:cs="Arial"/>
          <w:sz w:val="22"/>
          <w:szCs w:val="22"/>
          <w:lang w:val="en-GB"/>
        </w:rPr>
        <w:t xml:space="preserve">Cayman Islands </w:t>
      </w:r>
      <w:r w:rsidR="00BC3A55" w:rsidRPr="00924973">
        <w:rPr>
          <w:rFonts w:ascii="Arial" w:hAnsi="Arial" w:cs="Arial"/>
          <w:sz w:val="22"/>
          <w:szCs w:val="22"/>
          <w:lang w:val="en-GB"/>
        </w:rPr>
        <w:t xml:space="preserve">court take into consideration before approving </w:t>
      </w:r>
      <w:r w:rsidR="00927C9D" w:rsidRPr="00924973">
        <w:rPr>
          <w:rFonts w:ascii="Arial" w:hAnsi="Arial" w:cs="Arial"/>
          <w:sz w:val="22"/>
          <w:szCs w:val="22"/>
          <w:lang w:val="en-GB"/>
        </w:rPr>
        <w:t>any</w:t>
      </w:r>
      <w:r w:rsidR="00BC3A55" w:rsidRPr="00924973">
        <w:rPr>
          <w:rFonts w:ascii="Arial" w:hAnsi="Arial" w:cs="Arial"/>
          <w:sz w:val="22"/>
          <w:szCs w:val="22"/>
          <w:lang w:val="en-GB"/>
        </w:rPr>
        <w:t xml:space="preserve"> </w:t>
      </w:r>
      <w:r w:rsidR="00333CA0" w:rsidRPr="00924973">
        <w:rPr>
          <w:rFonts w:ascii="Arial" w:hAnsi="Arial" w:cs="Arial"/>
          <w:sz w:val="22"/>
          <w:szCs w:val="22"/>
          <w:lang w:val="en-GB"/>
        </w:rPr>
        <w:t xml:space="preserve">proposed </w:t>
      </w:r>
      <w:r w:rsidR="00BC3A55" w:rsidRPr="00924973">
        <w:rPr>
          <w:rFonts w:ascii="Arial" w:hAnsi="Arial" w:cs="Arial"/>
          <w:sz w:val="22"/>
          <w:szCs w:val="22"/>
          <w:lang w:val="en-GB"/>
        </w:rPr>
        <w:t>restructuring</w:t>
      </w:r>
      <w:r w:rsidR="00F730FA" w:rsidRPr="00924973">
        <w:rPr>
          <w:rFonts w:ascii="Arial" w:hAnsi="Arial" w:cs="Arial"/>
          <w:sz w:val="22"/>
          <w:szCs w:val="22"/>
          <w:lang w:val="en-GB"/>
        </w:rPr>
        <w:t>?</w:t>
      </w:r>
    </w:p>
    <w:bookmarkEnd w:id="1"/>
    <w:p w14:paraId="6E2F09E1" w14:textId="77777777" w:rsidR="00200937" w:rsidRDefault="00200937" w:rsidP="00952187">
      <w:pPr>
        <w:jc w:val="both"/>
        <w:rPr>
          <w:rFonts w:ascii="Arial" w:hAnsi="Arial" w:cs="Arial"/>
          <w:color w:val="808080" w:themeColor="background1" w:themeShade="80"/>
          <w:sz w:val="22"/>
          <w:szCs w:val="22"/>
          <w:lang w:val="en-GB"/>
        </w:rPr>
      </w:pPr>
    </w:p>
    <w:p w14:paraId="789B23C5" w14:textId="77777777" w:rsidR="00F902D4" w:rsidRDefault="00F902D4" w:rsidP="00F902D4">
      <w:pPr>
        <w:jc w:val="both"/>
        <w:rPr>
          <w:rFonts w:ascii="Arial" w:hAnsi="Arial" w:cs="Arial"/>
          <w:b/>
          <w:color w:val="808080" w:themeColor="background1" w:themeShade="80"/>
          <w:sz w:val="22"/>
          <w:szCs w:val="22"/>
          <w:lang w:val="en-GB"/>
        </w:rPr>
      </w:pPr>
      <w:r>
        <w:rPr>
          <w:rFonts w:ascii="Arial" w:hAnsi="Arial" w:cs="Arial"/>
          <w:b/>
          <w:color w:val="808080" w:themeColor="background1" w:themeShade="80"/>
          <w:sz w:val="22"/>
          <w:szCs w:val="22"/>
          <w:lang w:val="en-GB"/>
        </w:rPr>
        <w:t>4(a)</w:t>
      </w:r>
    </w:p>
    <w:p w14:paraId="72B82BC2" w14:textId="77777777" w:rsidR="00F902D4" w:rsidRDefault="00F902D4" w:rsidP="00F902D4">
      <w:pPr>
        <w:jc w:val="both"/>
        <w:rPr>
          <w:rFonts w:ascii="Arial" w:hAnsi="Arial" w:cs="Arial"/>
          <w:b/>
          <w:color w:val="808080" w:themeColor="background1" w:themeShade="80"/>
          <w:sz w:val="22"/>
          <w:szCs w:val="22"/>
          <w:lang w:val="en-GB"/>
        </w:rPr>
      </w:pPr>
    </w:p>
    <w:p w14:paraId="1E73A099" w14:textId="77777777" w:rsidR="00F902D4" w:rsidRDefault="00F902D4" w:rsidP="00F902D4">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Sparrow Treasure Bank (</w:t>
      </w:r>
      <w:r>
        <w:rPr>
          <w:rFonts w:ascii="Arial" w:hAnsi="Arial" w:cs="Arial"/>
          <w:b/>
          <w:color w:val="808080" w:themeColor="background1" w:themeShade="80"/>
          <w:sz w:val="22"/>
          <w:szCs w:val="22"/>
          <w:lang w:val="en-GB"/>
        </w:rPr>
        <w:t>Sparrow</w:t>
      </w:r>
      <w:r>
        <w:rPr>
          <w:rFonts w:ascii="Arial" w:hAnsi="Arial" w:cs="Arial"/>
          <w:color w:val="808080" w:themeColor="background1" w:themeShade="80"/>
          <w:sz w:val="22"/>
          <w:szCs w:val="22"/>
          <w:lang w:val="en-GB"/>
        </w:rPr>
        <w:t>), both a secured and unsecured creditor of Skull &amp; Crossbones (</w:t>
      </w:r>
      <w:r>
        <w:rPr>
          <w:rFonts w:ascii="Arial" w:hAnsi="Arial" w:cs="Arial"/>
          <w:b/>
          <w:color w:val="808080" w:themeColor="background1" w:themeShade="80"/>
          <w:sz w:val="22"/>
          <w:szCs w:val="22"/>
          <w:lang w:val="en-GB"/>
        </w:rPr>
        <w:t>S&amp;C</w:t>
      </w:r>
      <w:r>
        <w:rPr>
          <w:rFonts w:ascii="Arial" w:hAnsi="Arial" w:cs="Arial"/>
          <w:color w:val="808080" w:themeColor="background1" w:themeShade="80"/>
          <w:sz w:val="22"/>
          <w:szCs w:val="22"/>
          <w:lang w:val="en-GB"/>
        </w:rPr>
        <w:t>), has two options to protect its interest. Subject to the express terms of the security instrument, Sparrow as a secured creditor, is entitled to enforce its security against the vessels. This is so even where another creditor of S&amp;C has filed a petition to wind up S&amp;C, and the Grand Court subsequently makes a winding up order under s.142 of the CA (Revision 2020). Specifically, s.142 of the CA (Revision 2020) provides that:</w:t>
      </w:r>
    </w:p>
    <w:p w14:paraId="54E4CF71" w14:textId="77777777" w:rsidR="00F902D4" w:rsidRDefault="00F902D4" w:rsidP="00F902D4">
      <w:pPr>
        <w:jc w:val="both"/>
        <w:rPr>
          <w:rFonts w:ascii="Arial" w:hAnsi="Arial" w:cs="Arial"/>
          <w:color w:val="808080" w:themeColor="background1" w:themeShade="80"/>
          <w:sz w:val="22"/>
          <w:szCs w:val="22"/>
          <w:lang w:val="en-GB"/>
        </w:rPr>
      </w:pPr>
    </w:p>
    <w:p w14:paraId="68F7154A" w14:textId="77777777" w:rsidR="00F902D4" w:rsidRDefault="00F902D4" w:rsidP="00F902D4">
      <w:pPr>
        <w:ind w:left="720"/>
        <w:jc w:val="both"/>
        <w:rPr>
          <w:rFonts w:ascii="Arial" w:hAnsi="Arial" w:cs="Arial"/>
          <w:i/>
          <w:color w:val="808080" w:themeColor="background1" w:themeShade="80"/>
          <w:sz w:val="22"/>
          <w:szCs w:val="22"/>
          <w:lang w:val="en-GB"/>
        </w:rPr>
      </w:pPr>
      <w:r>
        <w:rPr>
          <w:rFonts w:ascii="Arial" w:hAnsi="Arial" w:cs="Arial"/>
          <w:i/>
          <w:color w:val="808080" w:themeColor="background1" w:themeShade="80"/>
          <w:sz w:val="22"/>
          <w:szCs w:val="22"/>
          <w:lang w:val="en-GB"/>
        </w:rPr>
        <w:t>“(1) Notwithstanding that a winding up order has been made, a creditor who has security over the whole or part of the assets of a company is entitled to enforce a person’s security without the leave of the Court and without reference to the liquidator.”</w:t>
      </w:r>
    </w:p>
    <w:p w14:paraId="69F89FA8" w14:textId="77777777" w:rsidR="00F902D4" w:rsidRDefault="00F902D4" w:rsidP="00F902D4">
      <w:pPr>
        <w:ind w:left="720"/>
        <w:jc w:val="both"/>
        <w:rPr>
          <w:rFonts w:ascii="Arial" w:hAnsi="Arial" w:cs="Arial"/>
          <w:i/>
          <w:color w:val="808080" w:themeColor="background1" w:themeShade="80"/>
          <w:sz w:val="22"/>
          <w:szCs w:val="22"/>
          <w:lang w:val="en-GB"/>
        </w:rPr>
      </w:pPr>
    </w:p>
    <w:p w14:paraId="0211DFD4" w14:textId="77777777" w:rsidR="00F902D4" w:rsidRDefault="00F902D4" w:rsidP="00F902D4">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Thus, the commencement of liquidation proceedings does not affect Sparrow’s contractual rights, nor does the automatic stay prevent Sparrow’s ability to enforce its security. If S&amp;C has entered the insolvency process and the liquidator sells the vessels, Sparrow is entitled to be paid in full after the liquidator's costs have been satisfied</w:t>
      </w:r>
      <w:r>
        <w:rPr>
          <w:rStyle w:val="FootnoteReference"/>
          <w:rFonts w:ascii="Arial" w:hAnsi="Arial" w:cs="Arial"/>
          <w:color w:val="808080" w:themeColor="background1" w:themeShade="80"/>
          <w:sz w:val="22"/>
          <w:szCs w:val="22"/>
          <w:lang w:val="en-GB"/>
        </w:rPr>
        <w:footnoteReference w:id="43"/>
      </w:r>
      <w:r>
        <w:rPr>
          <w:rFonts w:ascii="Arial" w:hAnsi="Arial" w:cs="Arial"/>
          <w:color w:val="808080" w:themeColor="background1" w:themeShade="80"/>
          <w:sz w:val="22"/>
          <w:szCs w:val="22"/>
          <w:lang w:val="en-GB"/>
        </w:rPr>
        <w:t>.</w:t>
      </w:r>
    </w:p>
    <w:p w14:paraId="02C47BCC" w14:textId="77777777" w:rsidR="00F902D4" w:rsidRDefault="00F902D4" w:rsidP="00F902D4">
      <w:pPr>
        <w:jc w:val="both"/>
        <w:rPr>
          <w:rFonts w:ascii="Arial" w:hAnsi="Arial" w:cs="Arial"/>
          <w:color w:val="808080" w:themeColor="background1" w:themeShade="80"/>
          <w:sz w:val="22"/>
          <w:szCs w:val="22"/>
          <w:lang w:val="en-GB"/>
        </w:rPr>
      </w:pPr>
    </w:p>
    <w:p w14:paraId="46CDE1EE" w14:textId="77777777" w:rsidR="00F902D4" w:rsidRDefault="00F902D4" w:rsidP="00F902D4">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As to the part of the unsecured loan (being $120m), again, subject to the terms of the security instrument, Sparrow may take the following steps to enforce its rights. First, provided that Sparrow has </w:t>
      </w:r>
      <w:r>
        <w:rPr>
          <w:rFonts w:ascii="Arial" w:hAnsi="Arial" w:cs="Arial"/>
          <w:i/>
          <w:color w:val="808080" w:themeColor="background1" w:themeShade="80"/>
          <w:sz w:val="22"/>
          <w:szCs w:val="22"/>
          <w:lang w:val="en-GB"/>
        </w:rPr>
        <w:t>locus standi</w:t>
      </w:r>
      <w:r>
        <w:rPr>
          <w:rFonts w:ascii="Arial" w:hAnsi="Arial" w:cs="Arial"/>
          <w:color w:val="808080" w:themeColor="background1" w:themeShade="80"/>
          <w:sz w:val="22"/>
          <w:szCs w:val="22"/>
          <w:lang w:val="en-GB"/>
        </w:rPr>
        <w:t xml:space="preserve"> to present a winding up petition, it may present a petition to seek an </w:t>
      </w:r>
      <w:r>
        <w:rPr>
          <w:rFonts w:ascii="Arial" w:hAnsi="Arial" w:cs="Arial"/>
          <w:color w:val="808080" w:themeColor="background1" w:themeShade="80"/>
          <w:sz w:val="22"/>
          <w:szCs w:val="22"/>
          <w:lang w:val="en-GB"/>
        </w:rPr>
        <w:lastRenderedPageBreak/>
        <w:t>order that the Grand Court winds up S&amp;C. In that regard, s.94 of the CA (Revision 2020) provides that a winding up petition may be presented by:</w:t>
      </w:r>
    </w:p>
    <w:p w14:paraId="6361475D" w14:textId="77777777" w:rsidR="00F902D4" w:rsidRDefault="00F902D4" w:rsidP="00F902D4">
      <w:pPr>
        <w:jc w:val="both"/>
        <w:rPr>
          <w:rFonts w:ascii="Arial" w:hAnsi="Arial" w:cs="Arial"/>
          <w:color w:val="808080" w:themeColor="background1" w:themeShade="80"/>
          <w:sz w:val="22"/>
          <w:szCs w:val="22"/>
          <w:lang w:val="en-GB"/>
        </w:rPr>
      </w:pPr>
    </w:p>
    <w:p w14:paraId="25FBA02A" w14:textId="77777777" w:rsidR="00F902D4" w:rsidRDefault="00F902D4" w:rsidP="00F902D4">
      <w:pPr>
        <w:jc w:val="both"/>
        <w:rPr>
          <w:rFonts w:ascii="Arial" w:hAnsi="Arial" w:cs="Arial"/>
          <w:i/>
          <w:color w:val="808080" w:themeColor="background1" w:themeShade="80"/>
          <w:sz w:val="22"/>
          <w:szCs w:val="22"/>
          <w:lang w:val="en-GB"/>
        </w:rPr>
      </w:pPr>
      <w:r>
        <w:rPr>
          <w:rFonts w:ascii="Arial" w:hAnsi="Arial" w:cs="Arial"/>
          <w:color w:val="808080" w:themeColor="background1" w:themeShade="80"/>
          <w:sz w:val="22"/>
          <w:szCs w:val="22"/>
          <w:lang w:val="en-GB"/>
        </w:rPr>
        <w:tab/>
      </w:r>
      <w:r>
        <w:rPr>
          <w:rFonts w:ascii="Arial" w:hAnsi="Arial" w:cs="Arial"/>
          <w:i/>
          <w:color w:val="808080" w:themeColor="background1" w:themeShade="80"/>
          <w:sz w:val="22"/>
          <w:szCs w:val="22"/>
          <w:lang w:val="en-GB"/>
        </w:rPr>
        <w:t>“(a) the company;</w:t>
      </w:r>
    </w:p>
    <w:p w14:paraId="413C3BE2" w14:textId="77777777" w:rsidR="00F902D4" w:rsidRDefault="00F902D4" w:rsidP="00F902D4">
      <w:pPr>
        <w:jc w:val="both"/>
        <w:rPr>
          <w:rFonts w:ascii="Arial" w:hAnsi="Arial" w:cs="Arial"/>
          <w:i/>
          <w:color w:val="808080" w:themeColor="background1" w:themeShade="80"/>
          <w:sz w:val="22"/>
          <w:szCs w:val="22"/>
          <w:lang w:val="en-GB"/>
        </w:rPr>
      </w:pPr>
      <w:r>
        <w:rPr>
          <w:rFonts w:ascii="Arial" w:hAnsi="Arial" w:cs="Arial"/>
          <w:i/>
          <w:color w:val="808080" w:themeColor="background1" w:themeShade="80"/>
          <w:sz w:val="22"/>
          <w:szCs w:val="22"/>
          <w:lang w:val="en-GB"/>
        </w:rPr>
        <w:tab/>
        <w:t xml:space="preserve">(b) any </w:t>
      </w:r>
      <w:r>
        <w:rPr>
          <w:rFonts w:ascii="Arial" w:hAnsi="Arial" w:cs="Arial"/>
          <w:b/>
          <w:i/>
          <w:color w:val="808080" w:themeColor="background1" w:themeShade="80"/>
          <w:sz w:val="22"/>
          <w:szCs w:val="22"/>
          <w:lang w:val="en-GB"/>
        </w:rPr>
        <w:t>creditor</w:t>
      </w:r>
      <w:r>
        <w:rPr>
          <w:rFonts w:ascii="Arial" w:hAnsi="Arial" w:cs="Arial"/>
          <w:i/>
          <w:color w:val="808080" w:themeColor="background1" w:themeShade="80"/>
          <w:sz w:val="22"/>
          <w:szCs w:val="22"/>
          <w:lang w:val="en-GB"/>
        </w:rPr>
        <w:t xml:space="preserve"> or </w:t>
      </w:r>
      <w:r>
        <w:rPr>
          <w:rFonts w:ascii="Arial" w:hAnsi="Arial" w:cs="Arial"/>
          <w:b/>
          <w:i/>
          <w:color w:val="808080" w:themeColor="background1" w:themeShade="80"/>
          <w:sz w:val="22"/>
          <w:szCs w:val="22"/>
          <w:lang w:val="en-GB"/>
        </w:rPr>
        <w:t>creditors</w:t>
      </w:r>
      <w:r>
        <w:rPr>
          <w:rFonts w:ascii="Arial" w:hAnsi="Arial" w:cs="Arial"/>
          <w:i/>
          <w:color w:val="808080" w:themeColor="background1" w:themeShade="80"/>
          <w:sz w:val="22"/>
          <w:szCs w:val="22"/>
          <w:lang w:val="en-GB"/>
        </w:rPr>
        <w:t xml:space="preserve"> or </w:t>
      </w:r>
      <w:r>
        <w:rPr>
          <w:rFonts w:ascii="Arial" w:hAnsi="Arial" w:cs="Arial"/>
          <w:b/>
          <w:i/>
          <w:color w:val="808080" w:themeColor="background1" w:themeShade="80"/>
          <w:sz w:val="22"/>
          <w:szCs w:val="22"/>
          <w:lang w:val="en-GB"/>
        </w:rPr>
        <w:t xml:space="preserve">prospective creditor </w:t>
      </w:r>
      <w:r>
        <w:rPr>
          <w:rFonts w:ascii="Arial" w:hAnsi="Arial" w:cs="Arial"/>
          <w:i/>
          <w:color w:val="808080" w:themeColor="background1" w:themeShade="80"/>
          <w:sz w:val="22"/>
          <w:szCs w:val="22"/>
          <w:lang w:val="en-GB"/>
        </w:rPr>
        <w:t xml:space="preserve">or </w:t>
      </w:r>
      <w:r>
        <w:rPr>
          <w:rFonts w:ascii="Arial" w:hAnsi="Arial" w:cs="Arial"/>
          <w:b/>
          <w:i/>
          <w:color w:val="808080" w:themeColor="background1" w:themeShade="80"/>
          <w:sz w:val="22"/>
          <w:szCs w:val="22"/>
          <w:lang w:val="en-GB"/>
        </w:rPr>
        <w:t>creditors</w:t>
      </w:r>
      <w:r>
        <w:rPr>
          <w:rFonts w:ascii="Arial" w:hAnsi="Arial" w:cs="Arial"/>
          <w:i/>
          <w:color w:val="808080" w:themeColor="background1" w:themeShade="80"/>
          <w:sz w:val="22"/>
          <w:szCs w:val="22"/>
          <w:lang w:val="en-GB"/>
        </w:rPr>
        <w:t>;</w:t>
      </w:r>
    </w:p>
    <w:p w14:paraId="3ED211A9" w14:textId="77777777" w:rsidR="00F902D4" w:rsidRDefault="00F902D4" w:rsidP="00F902D4">
      <w:pPr>
        <w:jc w:val="both"/>
        <w:rPr>
          <w:rFonts w:ascii="Arial" w:hAnsi="Arial" w:cs="Arial"/>
          <w:i/>
          <w:color w:val="808080" w:themeColor="background1" w:themeShade="80"/>
          <w:sz w:val="22"/>
          <w:szCs w:val="22"/>
          <w:lang w:val="en-GB"/>
        </w:rPr>
      </w:pPr>
      <w:r>
        <w:rPr>
          <w:rFonts w:ascii="Arial" w:hAnsi="Arial" w:cs="Arial"/>
          <w:i/>
          <w:color w:val="808080" w:themeColor="background1" w:themeShade="80"/>
          <w:sz w:val="22"/>
          <w:szCs w:val="22"/>
          <w:lang w:val="en-GB"/>
        </w:rPr>
        <w:tab/>
        <w:t>(c) any contributory or contributories; or</w:t>
      </w:r>
    </w:p>
    <w:p w14:paraId="1BFC61F4" w14:textId="77777777" w:rsidR="00F902D4" w:rsidRDefault="00F902D4" w:rsidP="00F902D4">
      <w:pPr>
        <w:jc w:val="both"/>
        <w:rPr>
          <w:rFonts w:ascii="Arial" w:hAnsi="Arial" w:cs="Arial"/>
          <w:color w:val="808080" w:themeColor="background1" w:themeShade="80"/>
          <w:sz w:val="22"/>
          <w:szCs w:val="22"/>
          <w:lang w:val="en-GB"/>
        </w:rPr>
      </w:pPr>
      <w:r>
        <w:rPr>
          <w:rFonts w:ascii="Arial" w:hAnsi="Arial" w:cs="Arial"/>
          <w:i/>
          <w:color w:val="808080" w:themeColor="background1" w:themeShade="80"/>
          <w:sz w:val="22"/>
          <w:szCs w:val="22"/>
          <w:lang w:val="en-GB"/>
        </w:rPr>
        <w:tab/>
        <w:t>(d) the Authority pursuant to the regulatory laws</w:t>
      </w:r>
      <w:r>
        <w:rPr>
          <w:rStyle w:val="FootnoteReference"/>
          <w:rFonts w:ascii="Arial" w:hAnsi="Arial" w:cs="Arial"/>
          <w:i/>
          <w:color w:val="808080" w:themeColor="background1" w:themeShade="80"/>
          <w:sz w:val="22"/>
          <w:szCs w:val="22"/>
          <w:lang w:val="en-GB"/>
        </w:rPr>
        <w:footnoteReference w:id="44"/>
      </w:r>
      <w:r>
        <w:rPr>
          <w:rFonts w:ascii="Arial" w:hAnsi="Arial" w:cs="Arial"/>
          <w:color w:val="808080" w:themeColor="background1" w:themeShade="80"/>
          <w:sz w:val="22"/>
          <w:szCs w:val="22"/>
          <w:lang w:val="en-GB"/>
        </w:rPr>
        <w:t>” (emphasis my own)</w:t>
      </w:r>
    </w:p>
    <w:p w14:paraId="3C469426" w14:textId="77777777" w:rsidR="00F902D4" w:rsidRDefault="00F902D4" w:rsidP="00F902D4">
      <w:pPr>
        <w:jc w:val="both"/>
        <w:rPr>
          <w:rFonts w:ascii="Arial" w:hAnsi="Arial" w:cs="Arial"/>
          <w:color w:val="808080" w:themeColor="background1" w:themeShade="80"/>
          <w:sz w:val="22"/>
          <w:szCs w:val="22"/>
          <w:lang w:val="en-GB"/>
        </w:rPr>
      </w:pPr>
    </w:p>
    <w:p w14:paraId="7AAE4CB8" w14:textId="77777777" w:rsidR="00F902D4" w:rsidRDefault="00F902D4" w:rsidP="00F902D4">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Accordingly, Sparrow, as a creditor of S&amp;C, has standing to present a winding up petition to the Grand Court. The Grand Court has the statutory power to make a winding up order against S&amp;C if it is satisfied that S&amp;C is “</w:t>
      </w:r>
      <w:r>
        <w:rPr>
          <w:rFonts w:ascii="Arial" w:hAnsi="Arial" w:cs="Arial"/>
          <w:i/>
          <w:color w:val="808080" w:themeColor="background1" w:themeShade="80"/>
          <w:sz w:val="22"/>
          <w:szCs w:val="22"/>
          <w:lang w:val="en-GB"/>
        </w:rPr>
        <w:t>unable to pay its debts</w:t>
      </w:r>
      <w:r>
        <w:rPr>
          <w:rStyle w:val="FootnoteReference"/>
          <w:rFonts w:ascii="Arial" w:hAnsi="Arial" w:cs="Arial"/>
          <w:i/>
          <w:color w:val="808080" w:themeColor="background1" w:themeShade="80"/>
          <w:sz w:val="22"/>
          <w:szCs w:val="22"/>
          <w:lang w:val="en-GB"/>
        </w:rPr>
        <w:footnoteReference w:id="45"/>
      </w:r>
      <w:r>
        <w:rPr>
          <w:rFonts w:ascii="Arial" w:hAnsi="Arial" w:cs="Arial"/>
          <w:color w:val="808080" w:themeColor="background1" w:themeShade="80"/>
          <w:sz w:val="22"/>
          <w:szCs w:val="22"/>
          <w:lang w:val="en-GB"/>
        </w:rPr>
        <w:t xml:space="preserve"> .”Section 93, in relevant part, states that a company shall be unable to pay its debts if:</w:t>
      </w:r>
    </w:p>
    <w:p w14:paraId="0BC223A9" w14:textId="77777777" w:rsidR="00F902D4" w:rsidRDefault="00F902D4" w:rsidP="00F902D4">
      <w:pPr>
        <w:jc w:val="both"/>
        <w:rPr>
          <w:rFonts w:ascii="Arial" w:hAnsi="Arial" w:cs="Arial"/>
          <w:color w:val="808080" w:themeColor="background1" w:themeShade="80"/>
          <w:sz w:val="22"/>
          <w:szCs w:val="22"/>
          <w:lang w:val="en-GB"/>
        </w:rPr>
      </w:pPr>
    </w:p>
    <w:p w14:paraId="31DEC4C4" w14:textId="77777777" w:rsidR="00F902D4" w:rsidRDefault="00F902D4" w:rsidP="00F902D4">
      <w:pPr>
        <w:ind w:left="720"/>
        <w:jc w:val="both"/>
        <w:rPr>
          <w:rFonts w:ascii="Arial" w:hAnsi="Arial" w:cs="Arial"/>
          <w:i/>
          <w:color w:val="808080" w:themeColor="background1" w:themeShade="80"/>
          <w:sz w:val="22"/>
          <w:szCs w:val="22"/>
          <w:lang w:val="en-GB"/>
        </w:rPr>
      </w:pPr>
      <w:r>
        <w:rPr>
          <w:rFonts w:ascii="Arial" w:hAnsi="Arial" w:cs="Arial"/>
          <w:i/>
          <w:color w:val="808080" w:themeColor="background1" w:themeShade="80"/>
          <w:sz w:val="22"/>
          <w:szCs w:val="22"/>
          <w:lang w:val="en-GB"/>
        </w:rPr>
        <w:t>“(1) a creditor who is owed a sum exceeding $100 serves a statutory demand on the company and the company fails to satisfy the statutory demand within 21 days after service of the statutory demand</w:t>
      </w:r>
      <w:r>
        <w:rPr>
          <w:rStyle w:val="FootnoteReference"/>
          <w:rFonts w:ascii="Arial" w:hAnsi="Arial" w:cs="Arial"/>
          <w:i/>
          <w:color w:val="808080" w:themeColor="background1" w:themeShade="80"/>
          <w:sz w:val="22"/>
          <w:szCs w:val="22"/>
          <w:lang w:val="en-GB"/>
        </w:rPr>
        <w:footnoteReference w:id="46"/>
      </w:r>
      <w:r>
        <w:rPr>
          <w:rFonts w:ascii="Arial" w:hAnsi="Arial" w:cs="Arial"/>
          <w:i/>
          <w:color w:val="808080" w:themeColor="background1" w:themeShade="80"/>
          <w:sz w:val="22"/>
          <w:szCs w:val="22"/>
          <w:lang w:val="en-GB"/>
        </w:rPr>
        <w:t>; or</w:t>
      </w:r>
    </w:p>
    <w:p w14:paraId="4A2F59C9" w14:textId="77777777" w:rsidR="00F902D4" w:rsidRDefault="00F902D4" w:rsidP="00F902D4">
      <w:pPr>
        <w:ind w:left="720"/>
        <w:jc w:val="both"/>
        <w:rPr>
          <w:rFonts w:ascii="Arial" w:hAnsi="Arial" w:cs="Arial"/>
          <w:i/>
          <w:color w:val="808080" w:themeColor="background1" w:themeShade="80"/>
          <w:sz w:val="22"/>
          <w:szCs w:val="22"/>
          <w:lang w:val="en-GB"/>
        </w:rPr>
      </w:pPr>
    </w:p>
    <w:p w14:paraId="159451E8" w14:textId="77777777" w:rsidR="00F902D4" w:rsidRDefault="00F902D4" w:rsidP="00F902D4">
      <w:pPr>
        <w:ind w:left="720"/>
        <w:jc w:val="both"/>
        <w:rPr>
          <w:rFonts w:ascii="Arial" w:hAnsi="Arial" w:cs="Arial"/>
          <w:i/>
          <w:color w:val="808080" w:themeColor="background1" w:themeShade="80"/>
          <w:sz w:val="22"/>
          <w:szCs w:val="22"/>
          <w:lang w:val="en-GB"/>
        </w:rPr>
      </w:pPr>
      <w:r>
        <w:rPr>
          <w:rFonts w:ascii="Arial" w:hAnsi="Arial" w:cs="Arial"/>
          <w:i/>
          <w:color w:val="808080" w:themeColor="background1" w:themeShade="80"/>
          <w:sz w:val="22"/>
          <w:szCs w:val="22"/>
          <w:lang w:val="en-GB"/>
        </w:rPr>
        <w:t>(2) it is proved by the creditor that the company is unable to pay its debts.”</w:t>
      </w:r>
    </w:p>
    <w:p w14:paraId="7616FB9B" w14:textId="77777777" w:rsidR="00F902D4" w:rsidRDefault="00F902D4" w:rsidP="00F902D4">
      <w:pPr>
        <w:ind w:left="720"/>
        <w:jc w:val="both"/>
        <w:rPr>
          <w:rFonts w:ascii="Arial" w:hAnsi="Arial" w:cs="Arial"/>
          <w:i/>
          <w:color w:val="808080" w:themeColor="background1" w:themeShade="80"/>
          <w:sz w:val="22"/>
          <w:szCs w:val="22"/>
          <w:lang w:val="en-GB"/>
        </w:rPr>
      </w:pPr>
    </w:p>
    <w:p w14:paraId="6ABF70B4" w14:textId="77777777" w:rsidR="00F902D4" w:rsidRDefault="00F902D4" w:rsidP="00F902D4">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Therefore, it is open to Sparrow to either serve a statutory demand seeking repayment of the $120m and, if not paid, present an application on deemed insolvency or bring an application relying on the grounds that the company is unable to pay its debts. If Sparrow wishes to bring an application on the grounds that S&amp;C is unable to pay its debts, the Grand Court will apply a cash flow test. In this respect, the Grand Court will consider whether Sparrow is unable to pay its debts as they fall due. In the present case, Sparrow should be in a position to satisfy the Grand Court that S&amp;C is cash flow insolvent by relying on the fact that S&amp;C has fallen behind its monthly repayments to Sparrow.</w:t>
      </w:r>
    </w:p>
    <w:p w14:paraId="4D538BEC" w14:textId="77777777" w:rsidR="00F902D4" w:rsidRDefault="00F902D4" w:rsidP="00F902D4">
      <w:pPr>
        <w:jc w:val="both"/>
        <w:rPr>
          <w:rFonts w:ascii="Arial" w:hAnsi="Arial" w:cs="Arial"/>
          <w:color w:val="808080" w:themeColor="background1" w:themeShade="80"/>
          <w:sz w:val="22"/>
          <w:szCs w:val="22"/>
          <w:lang w:val="en-GB"/>
        </w:rPr>
      </w:pPr>
    </w:p>
    <w:p w14:paraId="192BB11B" w14:textId="77777777" w:rsidR="00F902D4" w:rsidRDefault="00F902D4" w:rsidP="00F902D4">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the alternative, and as discussed above, Sparrow could serve a statutory demand for repayment. It should be noted, however, that in statutory demand cases, a court will not grant a winding up order if the debt is </w:t>
      </w:r>
      <w:r>
        <w:rPr>
          <w:rFonts w:ascii="Arial" w:hAnsi="Arial" w:cs="Arial"/>
          <w:i/>
          <w:color w:val="808080" w:themeColor="background1" w:themeShade="80"/>
          <w:sz w:val="22"/>
          <w:szCs w:val="22"/>
          <w:lang w:val="en-GB"/>
        </w:rPr>
        <w:t>bona fide</w:t>
      </w:r>
      <w:r>
        <w:rPr>
          <w:rFonts w:ascii="Arial" w:hAnsi="Arial" w:cs="Arial"/>
          <w:color w:val="808080" w:themeColor="background1" w:themeShade="80"/>
          <w:sz w:val="22"/>
          <w:szCs w:val="22"/>
          <w:lang w:val="en-GB"/>
        </w:rPr>
        <w:t xml:space="preserve"> disputed on substantial grounds. It is well established by the authorities that the threshold of what constitutes a disputed debt is not a high one. In </w:t>
      </w:r>
      <w:proofErr w:type="spellStart"/>
      <w:r>
        <w:rPr>
          <w:rFonts w:ascii="Arial" w:hAnsi="Arial" w:cs="Arial"/>
          <w:i/>
          <w:color w:val="808080" w:themeColor="background1" w:themeShade="80"/>
          <w:sz w:val="22"/>
          <w:szCs w:val="22"/>
          <w:lang w:val="en-GB"/>
        </w:rPr>
        <w:t>Tallington</w:t>
      </w:r>
      <w:proofErr w:type="spellEnd"/>
      <w:r>
        <w:rPr>
          <w:rFonts w:ascii="Arial" w:hAnsi="Arial" w:cs="Arial"/>
          <w:i/>
          <w:color w:val="808080" w:themeColor="background1" w:themeShade="80"/>
          <w:sz w:val="22"/>
          <w:szCs w:val="22"/>
          <w:lang w:val="en-GB"/>
        </w:rPr>
        <w:t xml:space="preserve"> Lakes v </w:t>
      </w:r>
      <w:proofErr w:type="spellStart"/>
      <w:r>
        <w:rPr>
          <w:rFonts w:ascii="Arial" w:hAnsi="Arial" w:cs="Arial"/>
          <w:i/>
          <w:color w:val="808080" w:themeColor="background1" w:themeShade="80"/>
          <w:sz w:val="22"/>
          <w:szCs w:val="22"/>
          <w:lang w:val="en-GB"/>
        </w:rPr>
        <w:t>Keveten</w:t>
      </w:r>
      <w:proofErr w:type="spellEnd"/>
      <w:r>
        <w:rPr>
          <w:rFonts w:ascii="Arial" w:hAnsi="Arial" w:cs="Arial"/>
          <w:i/>
          <w:color w:val="808080" w:themeColor="background1" w:themeShade="80"/>
          <w:sz w:val="22"/>
          <w:szCs w:val="22"/>
          <w:lang w:val="en-GB"/>
        </w:rPr>
        <w:t xml:space="preserve"> District Council </w:t>
      </w:r>
      <w:r>
        <w:rPr>
          <w:rFonts w:ascii="Arial" w:hAnsi="Arial" w:cs="Arial"/>
          <w:color w:val="808080" w:themeColor="background1" w:themeShade="80"/>
          <w:sz w:val="22"/>
          <w:szCs w:val="22"/>
          <w:lang w:val="en-GB"/>
        </w:rPr>
        <w:t xml:space="preserve">[2012] EWCA </w:t>
      </w:r>
      <w:proofErr w:type="spellStart"/>
      <w:r>
        <w:rPr>
          <w:rFonts w:ascii="Arial" w:hAnsi="Arial" w:cs="Arial"/>
          <w:color w:val="808080" w:themeColor="background1" w:themeShade="80"/>
          <w:sz w:val="22"/>
          <w:szCs w:val="22"/>
          <w:lang w:val="en-GB"/>
        </w:rPr>
        <w:t>Civ</w:t>
      </w:r>
      <w:proofErr w:type="spellEnd"/>
      <w:r>
        <w:rPr>
          <w:rFonts w:ascii="Arial" w:hAnsi="Arial" w:cs="Arial"/>
          <w:color w:val="808080" w:themeColor="background1" w:themeShade="80"/>
          <w:sz w:val="22"/>
          <w:szCs w:val="22"/>
          <w:lang w:val="en-GB"/>
        </w:rPr>
        <w:t xml:space="preserve"> 433, </w:t>
      </w:r>
      <w:proofErr w:type="spellStart"/>
      <w:r>
        <w:rPr>
          <w:rFonts w:ascii="Arial" w:hAnsi="Arial" w:cs="Arial"/>
          <w:color w:val="808080" w:themeColor="background1" w:themeShade="80"/>
          <w:sz w:val="22"/>
          <w:szCs w:val="22"/>
          <w:lang w:val="en-GB"/>
        </w:rPr>
        <w:t>Etherton</w:t>
      </w:r>
      <w:proofErr w:type="spellEnd"/>
      <w:r>
        <w:rPr>
          <w:rFonts w:ascii="Arial" w:hAnsi="Arial" w:cs="Arial"/>
          <w:color w:val="808080" w:themeColor="background1" w:themeShade="80"/>
          <w:sz w:val="22"/>
          <w:szCs w:val="22"/>
          <w:lang w:val="en-GB"/>
        </w:rPr>
        <w:t xml:space="preserve"> LJ explained that the threshold may be reached “</w:t>
      </w:r>
      <w:r>
        <w:rPr>
          <w:rFonts w:ascii="Arial" w:hAnsi="Arial" w:cs="Arial"/>
          <w:i/>
          <w:color w:val="808080" w:themeColor="background1" w:themeShade="80"/>
          <w:sz w:val="22"/>
          <w:szCs w:val="22"/>
          <w:lang w:val="en-GB"/>
        </w:rPr>
        <w:t>even if, on an application for summary judgment, the defence could be regarded as shadowy.”</w:t>
      </w:r>
    </w:p>
    <w:p w14:paraId="3C362084" w14:textId="77777777" w:rsidR="00F902D4" w:rsidRDefault="00F902D4" w:rsidP="00F902D4">
      <w:pPr>
        <w:jc w:val="both"/>
        <w:rPr>
          <w:rFonts w:ascii="Arial" w:hAnsi="Arial" w:cs="Arial"/>
          <w:color w:val="808080" w:themeColor="background1" w:themeShade="80"/>
          <w:sz w:val="22"/>
          <w:szCs w:val="22"/>
          <w:lang w:val="en-GB"/>
        </w:rPr>
      </w:pPr>
    </w:p>
    <w:p w14:paraId="038A3B47" w14:textId="77777777" w:rsidR="00F902D4" w:rsidRDefault="00F902D4" w:rsidP="00F902D4">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In the circumstances, if Sparrow can establish that S&amp;C is unable to pay its debts, the application should be made on these grounds.</w:t>
      </w:r>
    </w:p>
    <w:p w14:paraId="6910C5AB" w14:textId="77777777" w:rsidR="00F902D4" w:rsidRDefault="00F902D4" w:rsidP="00F902D4">
      <w:pPr>
        <w:jc w:val="both"/>
        <w:rPr>
          <w:rFonts w:ascii="Arial" w:hAnsi="Arial" w:cs="Arial"/>
          <w:color w:val="808080" w:themeColor="background1" w:themeShade="80"/>
          <w:sz w:val="22"/>
          <w:szCs w:val="22"/>
          <w:lang w:val="en-GB"/>
        </w:rPr>
      </w:pPr>
    </w:p>
    <w:p w14:paraId="437C17C6" w14:textId="77777777" w:rsidR="00F902D4" w:rsidRDefault="00F902D4" w:rsidP="00F902D4">
      <w:pPr>
        <w:jc w:val="both"/>
        <w:rPr>
          <w:rFonts w:ascii="Arial" w:hAnsi="Arial" w:cs="Arial"/>
          <w:b/>
          <w:color w:val="808080" w:themeColor="background1" w:themeShade="80"/>
          <w:sz w:val="22"/>
          <w:szCs w:val="22"/>
          <w:lang w:val="en-GB"/>
        </w:rPr>
      </w:pPr>
      <w:r>
        <w:rPr>
          <w:rFonts w:ascii="Arial" w:hAnsi="Arial" w:cs="Arial"/>
          <w:b/>
          <w:color w:val="808080" w:themeColor="background1" w:themeShade="80"/>
          <w:sz w:val="22"/>
          <w:szCs w:val="22"/>
          <w:lang w:val="en-GB"/>
        </w:rPr>
        <w:t>4(b)</w:t>
      </w:r>
    </w:p>
    <w:p w14:paraId="0AA8DAEE" w14:textId="77777777" w:rsidR="00F902D4" w:rsidRDefault="00F902D4" w:rsidP="00F902D4">
      <w:pPr>
        <w:jc w:val="both"/>
        <w:rPr>
          <w:rFonts w:ascii="Arial" w:hAnsi="Arial" w:cs="Arial"/>
          <w:b/>
          <w:color w:val="808080" w:themeColor="background1" w:themeShade="80"/>
          <w:sz w:val="22"/>
          <w:szCs w:val="22"/>
          <w:lang w:val="en-GB"/>
        </w:rPr>
      </w:pPr>
    </w:p>
    <w:p w14:paraId="0AE38154" w14:textId="77777777" w:rsidR="00F902D4" w:rsidRDefault="00F902D4" w:rsidP="00F902D4">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As a foreign creditor, Roger Jolly (</w:t>
      </w:r>
      <w:r>
        <w:rPr>
          <w:rFonts w:ascii="Arial" w:hAnsi="Arial" w:cs="Arial"/>
          <w:b/>
          <w:color w:val="808080" w:themeColor="background1" w:themeShade="80"/>
          <w:sz w:val="22"/>
          <w:szCs w:val="22"/>
          <w:lang w:val="en-GB"/>
        </w:rPr>
        <w:t>RJ</w:t>
      </w:r>
      <w:r>
        <w:rPr>
          <w:rFonts w:ascii="Arial" w:hAnsi="Arial" w:cs="Arial"/>
          <w:color w:val="808080" w:themeColor="background1" w:themeShade="80"/>
          <w:sz w:val="22"/>
          <w:szCs w:val="22"/>
          <w:lang w:val="en-GB"/>
        </w:rPr>
        <w:t>) must apply to the Grand Court for recognition and enforcement before it may take steps in the Cayman Islands to recover the judgment debt. There are two separate statutory frameworks for arbitral awards in the Cayman Islands. The Foreign Arbitral Awards Enforcement Act (1997 Revision) gives domestic effect to the New York Convention. In 2012, the Cayman Islands enacted the Arbitration Law 2012, which extended the Grand Court’s jurisdiction to enforce arbitral awards from any foreign state.</w:t>
      </w:r>
    </w:p>
    <w:p w14:paraId="54E53514" w14:textId="77777777" w:rsidR="00F902D4" w:rsidRDefault="00F902D4" w:rsidP="00F902D4">
      <w:pPr>
        <w:jc w:val="both"/>
        <w:rPr>
          <w:rFonts w:ascii="Arial" w:hAnsi="Arial" w:cs="Arial"/>
          <w:color w:val="808080" w:themeColor="background1" w:themeShade="80"/>
          <w:sz w:val="22"/>
          <w:szCs w:val="22"/>
          <w:lang w:val="en-GB"/>
        </w:rPr>
      </w:pPr>
    </w:p>
    <w:p w14:paraId="783217A1" w14:textId="77777777" w:rsidR="00F902D4" w:rsidRDefault="00F902D4" w:rsidP="00F902D4">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As discussed above, RJ must make an application seeking leave from the Grand Court to enforce the foreign arbitral award. The application must be supported by affidavit evidence that exhibits the arbitration agreement and arbitral award. If leave to enforce the award is </w:t>
      </w:r>
      <w:r>
        <w:rPr>
          <w:rFonts w:ascii="Arial" w:hAnsi="Arial" w:cs="Arial"/>
          <w:color w:val="808080" w:themeColor="background1" w:themeShade="80"/>
          <w:sz w:val="22"/>
          <w:szCs w:val="22"/>
          <w:lang w:val="en-GB"/>
        </w:rPr>
        <w:lastRenderedPageBreak/>
        <w:t xml:space="preserve">granted, the order must be served on S&amp;C. Once service has been </w:t>
      </w:r>
      <w:proofErr w:type="gramStart"/>
      <w:r>
        <w:rPr>
          <w:rFonts w:ascii="Arial" w:hAnsi="Arial" w:cs="Arial"/>
          <w:color w:val="808080" w:themeColor="background1" w:themeShade="80"/>
          <w:sz w:val="22"/>
          <w:szCs w:val="22"/>
          <w:lang w:val="en-GB"/>
        </w:rPr>
        <w:t>effected</w:t>
      </w:r>
      <w:proofErr w:type="gramEnd"/>
      <w:r>
        <w:rPr>
          <w:rFonts w:ascii="Arial" w:hAnsi="Arial" w:cs="Arial"/>
          <w:color w:val="808080" w:themeColor="background1" w:themeShade="80"/>
          <w:sz w:val="22"/>
          <w:szCs w:val="22"/>
          <w:lang w:val="en-GB"/>
        </w:rPr>
        <w:t>, S&amp;C will have a 14-day period to apply to set aside the order. The foreign arbitral award is not capable of enforcement until the expiry of this period.</w:t>
      </w:r>
    </w:p>
    <w:p w14:paraId="34C173C0" w14:textId="77777777" w:rsidR="00F902D4" w:rsidRDefault="00F902D4" w:rsidP="00F902D4">
      <w:pPr>
        <w:jc w:val="both"/>
        <w:rPr>
          <w:rFonts w:ascii="Arial" w:hAnsi="Arial" w:cs="Arial"/>
          <w:color w:val="808080" w:themeColor="background1" w:themeShade="80"/>
          <w:sz w:val="22"/>
          <w:szCs w:val="22"/>
          <w:lang w:val="en-GB"/>
        </w:rPr>
      </w:pPr>
    </w:p>
    <w:p w14:paraId="7C8254C1" w14:textId="77777777" w:rsidR="00F902D4" w:rsidRDefault="00F902D4" w:rsidP="00F902D4">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Upon recognition of the award, RJ may enforce the award in the Cayman Islands by using any or all of the relevant enforcement methods, </w:t>
      </w:r>
      <w:proofErr w:type="gramStart"/>
      <w:r>
        <w:rPr>
          <w:rFonts w:ascii="Arial" w:hAnsi="Arial" w:cs="Arial"/>
          <w:color w:val="808080" w:themeColor="background1" w:themeShade="80"/>
          <w:sz w:val="22"/>
          <w:szCs w:val="22"/>
          <w:lang w:val="en-GB"/>
        </w:rPr>
        <w:t>taking into account</w:t>
      </w:r>
      <w:proofErr w:type="gramEnd"/>
      <w:r>
        <w:rPr>
          <w:rFonts w:ascii="Arial" w:hAnsi="Arial" w:cs="Arial"/>
          <w:color w:val="808080" w:themeColor="background1" w:themeShade="80"/>
          <w:sz w:val="22"/>
          <w:szCs w:val="22"/>
          <w:lang w:val="en-GB"/>
        </w:rPr>
        <w:t xml:space="preserve"> the facts of this case, as follows:</w:t>
      </w:r>
    </w:p>
    <w:p w14:paraId="2EFA5F4F" w14:textId="77777777" w:rsidR="00F902D4" w:rsidRDefault="00F902D4" w:rsidP="00F902D4">
      <w:pPr>
        <w:jc w:val="both"/>
        <w:rPr>
          <w:rFonts w:ascii="Arial" w:hAnsi="Arial" w:cs="Arial"/>
          <w:color w:val="808080" w:themeColor="background1" w:themeShade="80"/>
          <w:sz w:val="22"/>
          <w:szCs w:val="22"/>
          <w:lang w:val="en-GB"/>
        </w:rPr>
      </w:pPr>
    </w:p>
    <w:p w14:paraId="56272274" w14:textId="77777777" w:rsidR="00F902D4" w:rsidRDefault="00F902D4" w:rsidP="00F902D4">
      <w:pPr>
        <w:jc w:val="both"/>
        <w:rPr>
          <w:rFonts w:ascii="Arial" w:hAnsi="Arial" w:cs="Arial"/>
          <w:i/>
          <w:color w:val="808080" w:themeColor="background1" w:themeShade="80"/>
          <w:sz w:val="22"/>
          <w:szCs w:val="22"/>
          <w:lang w:val="en-GB"/>
        </w:rPr>
      </w:pPr>
      <w:r>
        <w:rPr>
          <w:rFonts w:ascii="Arial" w:hAnsi="Arial" w:cs="Arial"/>
          <w:i/>
          <w:color w:val="808080" w:themeColor="background1" w:themeShade="80"/>
          <w:sz w:val="22"/>
          <w:szCs w:val="22"/>
          <w:lang w:val="en-GB"/>
        </w:rPr>
        <w:t>Appointment of Receivers</w:t>
      </w:r>
    </w:p>
    <w:p w14:paraId="3661A44B" w14:textId="77777777" w:rsidR="00F902D4" w:rsidRDefault="00F902D4" w:rsidP="00F902D4">
      <w:pPr>
        <w:jc w:val="both"/>
        <w:rPr>
          <w:rFonts w:ascii="Arial" w:hAnsi="Arial" w:cs="Arial"/>
          <w:i/>
          <w:color w:val="808080" w:themeColor="background1" w:themeShade="80"/>
          <w:sz w:val="22"/>
          <w:szCs w:val="22"/>
          <w:lang w:val="en-GB"/>
        </w:rPr>
      </w:pPr>
    </w:p>
    <w:p w14:paraId="5AE89727" w14:textId="77777777" w:rsidR="00F902D4" w:rsidRDefault="00F902D4" w:rsidP="00F902D4">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Under Order 51 of the Grand Court Law (1995 Revision), the Court has the power to appoint a receiver by equitable execution over S&amp;C’s assets where it appears to the Court to be “just and convenient” to do so. Such applications are to be made in accordance with Order 31 rule 1 of the Grand Court Law. </w:t>
      </w:r>
    </w:p>
    <w:p w14:paraId="27FB9F11" w14:textId="77777777" w:rsidR="00F902D4" w:rsidRDefault="00F902D4" w:rsidP="00F902D4">
      <w:pPr>
        <w:jc w:val="both"/>
        <w:rPr>
          <w:rFonts w:ascii="Arial" w:hAnsi="Arial" w:cs="Arial"/>
          <w:color w:val="808080" w:themeColor="background1" w:themeShade="80"/>
          <w:sz w:val="22"/>
          <w:szCs w:val="22"/>
          <w:lang w:val="en-GB"/>
        </w:rPr>
      </w:pPr>
    </w:p>
    <w:p w14:paraId="7B12183A" w14:textId="77777777" w:rsidR="00F902D4" w:rsidRPr="00B63E18" w:rsidRDefault="00F902D4" w:rsidP="00F902D4">
      <w:pPr>
        <w:jc w:val="both"/>
        <w:rPr>
          <w:rFonts w:ascii="Arial" w:hAnsi="Arial" w:cs="Arial"/>
          <w:i/>
          <w:color w:val="808080" w:themeColor="background1" w:themeShade="80"/>
          <w:sz w:val="22"/>
          <w:szCs w:val="22"/>
          <w:lang w:val="en-GB"/>
        </w:rPr>
      </w:pPr>
      <w:r>
        <w:rPr>
          <w:rFonts w:ascii="Arial" w:hAnsi="Arial" w:cs="Arial"/>
          <w:i/>
          <w:color w:val="808080" w:themeColor="background1" w:themeShade="80"/>
          <w:sz w:val="22"/>
          <w:szCs w:val="22"/>
          <w:lang w:val="en-GB"/>
        </w:rPr>
        <w:t xml:space="preserve">Writ of Sequestration </w:t>
      </w:r>
    </w:p>
    <w:p w14:paraId="00386D19" w14:textId="77777777" w:rsidR="00F902D4" w:rsidRDefault="00F902D4" w:rsidP="00F902D4">
      <w:pPr>
        <w:jc w:val="both"/>
        <w:rPr>
          <w:rFonts w:ascii="Arial" w:hAnsi="Arial" w:cs="Arial"/>
          <w:color w:val="808080" w:themeColor="background1" w:themeShade="80"/>
          <w:sz w:val="22"/>
          <w:szCs w:val="22"/>
          <w:lang w:val="en-GB"/>
        </w:rPr>
      </w:pPr>
    </w:p>
    <w:p w14:paraId="0FBE0DA9" w14:textId="77777777" w:rsidR="00F902D4" w:rsidRDefault="00F902D4" w:rsidP="00F902D4">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If S&amp;C fails to comply with a judgment of the Court (i.e., the recognized foreign arbitral awards), with leave, RJ may apply under Order 46, rule 5 of the Grand Court Law to have a sequester appointed to seize the assets of S&amp;C up to the value of the judgment.</w:t>
      </w:r>
    </w:p>
    <w:p w14:paraId="091EBB01" w14:textId="77777777" w:rsidR="00F902D4" w:rsidRDefault="00F902D4" w:rsidP="00F902D4">
      <w:pPr>
        <w:jc w:val="both"/>
        <w:rPr>
          <w:rFonts w:ascii="Arial" w:hAnsi="Arial" w:cs="Arial"/>
          <w:color w:val="808080" w:themeColor="background1" w:themeShade="80"/>
          <w:sz w:val="22"/>
          <w:szCs w:val="22"/>
          <w:lang w:val="en-GB"/>
        </w:rPr>
      </w:pPr>
    </w:p>
    <w:p w14:paraId="7AF8D674" w14:textId="77777777" w:rsidR="00F902D4" w:rsidRDefault="00F902D4" w:rsidP="00F902D4">
      <w:pPr>
        <w:jc w:val="both"/>
        <w:rPr>
          <w:rFonts w:ascii="Arial" w:hAnsi="Arial" w:cs="Arial"/>
          <w:i/>
          <w:color w:val="808080" w:themeColor="background1" w:themeShade="80"/>
          <w:sz w:val="22"/>
          <w:szCs w:val="22"/>
          <w:lang w:val="en-GB"/>
        </w:rPr>
      </w:pPr>
      <w:r>
        <w:rPr>
          <w:rFonts w:ascii="Arial" w:hAnsi="Arial" w:cs="Arial"/>
          <w:i/>
          <w:color w:val="808080" w:themeColor="background1" w:themeShade="80"/>
          <w:sz w:val="22"/>
          <w:szCs w:val="22"/>
          <w:lang w:val="en-GB"/>
        </w:rPr>
        <w:t>Charging Orders</w:t>
      </w:r>
    </w:p>
    <w:p w14:paraId="37482246" w14:textId="77777777" w:rsidR="00F902D4" w:rsidRDefault="00F902D4" w:rsidP="00F902D4">
      <w:pPr>
        <w:jc w:val="both"/>
        <w:rPr>
          <w:rFonts w:ascii="Arial" w:hAnsi="Arial" w:cs="Arial"/>
          <w:color w:val="808080" w:themeColor="background1" w:themeShade="80"/>
          <w:sz w:val="22"/>
          <w:szCs w:val="22"/>
          <w:lang w:val="en-GB"/>
        </w:rPr>
      </w:pPr>
    </w:p>
    <w:p w14:paraId="6557A654" w14:textId="77777777" w:rsidR="00F902D4" w:rsidRPr="00307707" w:rsidRDefault="00F902D4" w:rsidP="00F902D4">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Another method of enforcement available to RJ is a charging order. This method of enforcement may be deployed where a judgment debt has a beneficial interest in certain types of property, including, but not limited to, land or securities. Such applications may be made under Order 50 of the Grand Court Law. In practical terms, the effect of such an order creates a charge over the assets, which permits the judgment creditor (i.e., RJ) to obtain an order for sale to satisfy all or part of the judgment debt out of the proceeds of sale.</w:t>
      </w:r>
    </w:p>
    <w:p w14:paraId="6E94C89E" w14:textId="77777777" w:rsidR="00F902D4" w:rsidRDefault="00F902D4" w:rsidP="00F902D4">
      <w:pPr>
        <w:jc w:val="both"/>
        <w:rPr>
          <w:rFonts w:ascii="Arial" w:hAnsi="Arial" w:cs="Arial"/>
          <w:color w:val="808080" w:themeColor="background1" w:themeShade="80"/>
          <w:sz w:val="22"/>
          <w:szCs w:val="22"/>
          <w:lang w:val="en-GB"/>
        </w:rPr>
      </w:pPr>
    </w:p>
    <w:p w14:paraId="5CE14903" w14:textId="77777777" w:rsidR="00F902D4" w:rsidRDefault="00F902D4" w:rsidP="00F902D4">
      <w:pPr>
        <w:jc w:val="both"/>
        <w:rPr>
          <w:rFonts w:ascii="Arial" w:hAnsi="Arial" w:cs="Arial"/>
          <w:b/>
          <w:color w:val="808080" w:themeColor="background1" w:themeShade="80"/>
          <w:sz w:val="22"/>
          <w:szCs w:val="22"/>
          <w:lang w:val="en-GB"/>
        </w:rPr>
      </w:pPr>
      <w:r>
        <w:rPr>
          <w:rFonts w:ascii="Arial" w:hAnsi="Arial" w:cs="Arial"/>
          <w:b/>
          <w:color w:val="808080" w:themeColor="background1" w:themeShade="80"/>
          <w:sz w:val="22"/>
          <w:szCs w:val="22"/>
          <w:lang w:val="en-GB"/>
        </w:rPr>
        <w:t>4(c)</w:t>
      </w:r>
    </w:p>
    <w:p w14:paraId="49BADC6B" w14:textId="77777777" w:rsidR="00F902D4" w:rsidRDefault="00F902D4" w:rsidP="00F902D4">
      <w:pPr>
        <w:jc w:val="both"/>
        <w:rPr>
          <w:rFonts w:ascii="Arial" w:hAnsi="Arial" w:cs="Arial"/>
          <w:b/>
          <w:color w:val="808080" w:themeColor="background1" w:themeShade="80"/>
          <w:sz w:val="22"/>
          <w:szCs w:val="22"/>
          <w:lang w:val="en-GB"/>
        </w:rPr>
      </w:pPr>
    </w:p>
    <w:p w14:paraId="20A6D708" w14:textId="77777777" w:rsidR="00F902D4" w:rsidRDefault="00F902D4" w:rsidP="00F902D4">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In the event that S&amp;C enters formal or informal insolvency proceedings, the employees may have various claims against S&amp;C. In particular, these claims include:</w:t>
      </w:r>
    </w:p>
    <w:p w14:paraId="3B93FF6F" w14:textId="77777777" w:rsidR="00F902D4" w:rsidRDefault="00F902D4" w:rsidP="00F902D4">
      <w:pPr>
        <w:jc w:val="both"/>
        <w:rPr>
          <w:rFonts w:ascii="Arial" w:hAnsi="Arial" w:cs="Arial"/>
          <w:color w:val="808080" w:themeColor="background1" w:themeShade="80"/>
          <w:sz w:val="22"/>
          <w:szCs w:val="22"/>
          <w:lang w:val="en-GB"/>
        </w:rPr>
      </w:pPr>
    </w:p>
    <w:p w14:paraId="37BB21A3" w14:textId="77777777" w:rsidR="00F902D4" w:rsidRDefault="00F902D4" w:rsidP="00F902D4">
      <w:pPr>
        <w:pStyle w:val="ListParagraph"/>
        <w:numPr>
          <w:ilvl w:val="0"/>
          <w:numId w:val="45"/>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Unpaid salary accrued during the 4 months preceding the commencement of liquidation</w:t>
      </w:r>
      <w:r>
        <w:rPr>
          <w:rStyle w:val="FootnoteReference"/>
          <w:rFonts w:ascii="Arial" w:hAnsi="Arial" w:cs="Arial"/>
          <w:color w:val="808080" w:themeColor="background1" w:themeShade="80"/>
          <w:sz w:val="22"/>
          <w:szCs w:val="22"/>
          <w:lang w:val="en-GB"/>
        </w:rPr>
        <w:footnoteReference w:id="47"/>
      </w:r>
      <w:r>
        <w:rPr>
          <w:rFonts w:ascii="Arial" w:hAnsi="Arial" w:cs="Arial"/>
          <w:color w:val="808080" w:themeColor="background1" w:themeShade="80"/>
          <w:sz w:val="22"/>
          <w:szCs w:val="22"/>
          <w:lang w:val="en-GB"/>
        </w:rPr>
        <w:t>;</w:t>
      </w:r>
    </w:p>
    <w:p w14:paraId="21063BAA" w14:textId="77777777" w:rsidR="00F902D4" w:rsidRDefault="00F902D4" w:rsidP="00F902D4">
      <w:pPr>
        <w:pStyle w:val="ListParagraph"/>
        <w:numPr>
          <w:ilvl w:val="0"/>
          <w:numId w:val="45"/>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Benefits, including any sum payable by S&amp;C on behalf of an employee for medical health insurance premiums or pension fund contributions</w:t>
      </w:r>
      <w:r>
        <w:rPr>
          <w:rStyle w:val="FootnoteReference"/>
          <w:rFonts w:ascii="Arial" w:hAnsi="Arial" w:cs="Arial"/>
          <w:color w:val="808080" w:themeColor="background1" w:themeShade="80"/>
          <w:sz w:val="22"/>
          <w:szCs w:val="22"/>
          <w:lang w:val="en-GB"/>
        </w:rPr>
        <w:footnoteReference w:id="48"/>
      </w:r>
      <w:r>
        <w:rPr>
          <w:rFonts w:ascii="Arial" w:hAnsi="Arial" w:cs="Arial"/>
          <w:color w:val="808080" w:themeColor="background1" w:themeShade="80"/>
          <w:sz w:val="22"/>
          <w:szCs w:val="22"/>
          <w:lang w:val="en-GB"/>
        </w:rPr>
        <w:t>;</w:t>
      </w:r>
    </w:p>
    <w:p w14:paraId="072BAD3F" w14:textId="77777777" w:rsidR="00F902D4" w:rsidRDefault="00F902D4" w:rsidP="00F902D4">
      <w:pPr>
        <w:pStyle w:val="ListParagraph"/>
        <w:numPr>
          <w:ilvl w:val="0"/>
          <w:numId w:val="45"/>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If the employee’s contract of employment has been terminated due to S&amp;C entering liquidation, any sums due for severance pay and earned vacation leave</w:t>
      </w:r>
      <w:r>
        <w:rPr>
          <w:rStyle w:val="FootnoteReference"/>
          <w:rFonts w:ascii="Arial" w:hAnsi="Arial" w:cs="Arial"/>
          <w:color w:val="808080" w:themeColor="background1" w:themeShade="80"/>
          <w:sz w:val="22"/>
          <w:szCs w:val="22"/>
          <w:lang w:val="en-GB"/>
        </w:rPr>
        <w:footnoteReference w:id="49"/>
      </w:r>
      <w:r>
        <w:rPr>
          <w:rFonts w:ascii="Arial" w:hAnsi="Arial" w:cs="Arial"/>
          <w:color w:val="808080" w:themeColor="background1" w:themeShade="80"/>
          <w:sz w:val="22"/>
          <w:szCs w:val="22"/>
          <w:lang w:val="en-GB"/>
        </w:rPr>
        <w:t>; and/or</w:t>
      </w:r>
    </w:p>
    <w:p w14:paraId="31A1FE1D" w14:textId="77777777" w:rsidR="00F902D4" w:rsidRDefault="00F902D4" w:rsidP="00F902D4">
      <w:pPr>
        <w:pStyle w:val="ListParagraph"/>
        <w:numPr>
          <w:ilvl w:val="0"/>
          <w:numId w:val="45"/>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Claims against S&amp;C for breach of contract and/or tort</w:t>
      </w:r>
      <w:r>
        <w:rPr>
          <w:rStyle w:val="FootnoteReference"/>
          <w:rFonts w:ascii="Arial" w:hAnsi="Arial" w:cs="Arial"/>
          <w:color w:val="808080" w:themeColor="background1" w:themeShade="80"/>
          <w:sz w:val="22"/>
          <w:szCs w:val="22"/>
          <w:lang w:val="en-GB"/>
        </w:rPr>
        <w:footnoteReference w:id="50"/>
      </w:r>
      <w:r>
        <w:rPr>
          <w:rFonts w:ascii="Arial" w:hAnsi="Arial" w:cs="Arial"/>
          <w:color w:val="808080" w:themeColor="background1" w:themeShade="80"/>
          <w:sz w:val="22"/>
          <w:szCs w:val="22"/>
          <w:lang w:val="en-GB"/>
        </w:rPr>
        <w:t>.</w:t>
      </w:r>
    </w:p>
    <w:p w14:paraId="2E9E692A" w14:textId="77777777" w:rsidR="00F902D4" w:rsidRDefault="00F902D4" w:rsidP="00F902D4">
      <w:pPr>
        <w:jc w:val="both"/>
        <w:rPr>
          <w:rFonts w:ascii="Arial" w:hAnsi="Arial" w:cs="Arial"/>
          <w:color w:val="808080" w:themeColor="background1" w:themeShade="80"/>
          <w:sz w:val="22"/>
          <w:szCs w:val="22"/>
          <w:lang w:val="en-GB"/>
        </w:rPr>
      </w:pPr>
    </w:p>
    <w:p w14:paraId="0E3546CE" w14:textId="77777777" w:rsidR="00F902D4" w:rsidRDefault="00F902D4" w:rsidP="00F902D4">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employees have three potential routes to recover any of the above sums due and owing. Specifically, the options available to the employees include:</w:t>
      </w:r>
    </w:p>
    <w:p w14:paraId="2CE9F872" w14:textId="77777777" w:rsidR="00F902D4" w:rsidRDefault="00F902D4" w:rsidP="00F902D4">
      <w:pPr>
        <w:jc w:val="both"/>
        <w:rPr>
          <w:rFonts w:ascii="Arial" w:hAnsi="Arial" w:cs="Arial"/>
          <w:color w:val="808080" w:themeColor="background1" w:themeShade="80"/>
          <w:sz w:val="22"/>
          <w:szCs w:val="22"/>
          <w:lang w:val="en-GB"/>
        </w:rPr>
      </w:pPr>
    </w:p>
    <w:p w14:paraId="26ECFC51" w14:textId="77777777" w:rsidR="00F902D4" w:rsidRDefault="00F902D4" w:rsidP="00F902D4">
      <w:pPr>
        <w:pStyle w:val="ListParagraph"/>
        <w:numPr>
          <w:ilvl w:val="0"/>
          <w:numId w:val="4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Claim in S&amp;C’s liquidation;</w:t>
      </w:r>
    </w:p>
    <w:p w14:paraId="6C986D2A" w14:textId="77777777" w:rsidR="00F902D4" w:rsidRDefault="00F902D4" w:rsidP="00F902D4">
      <w:pPr>
        <w:pStyle w:val="ListParagraph"/>
        <w:numPr>
          <w:ilvl w:val="0"/>
          <w:numId w:val="4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If a winding-up order has been made, seek the court’s permission to continue or bring proceedings against S&amp;C; or</w:t>
      </w:r>
    </w:p>
    <w:p w14:paraId="2EA0D7E0" w14:textId="77777777" w:rsidR="00F902D4" w:rsidRDefault="00F902D4" w:rsidP="00F902D4">
      <w:pPr>
        <w:pStyle w:val="ListParagraph"/>
        <w:numPr>
          <w:ilvl w:val="0"/>
          <w:numId w:val="4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Sell and assign their claim.</w:t>
      </w:r>
    </w:p>
    <w:p w14:paraId="6B866A57" w14:textId="77777777" w:rsidR="00F902D4" w:rsidRDefault="00F902D4" w:rsidP="00F902D4">
      <w:pPr>
        <w:jc w:val="both"/>
        <w:rPr>
          <w:rFonts w:ascii="Arial" w:hAnsi="Arial" w:cs="Arial"/>
          <w:color w:val="808080" w:themeColor="background1" w:themeShade="80"/>
          <w:sz w:val="22"/>
          <w:szCs w:val="22"/>
          <w:lang w:val="en-GB"/>
        </w:rPr>
      </w:pPr>
    </w:p>
    <w:p w14:paraId="1EAA6DC4" w14:textId="77777777" w:rsidR="00F902D4" w:rsidRDefault="00F902D4" w:rsidP="00F902D4">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These options will be discussed in turn below.</w:t>
      </w:r>
    </w:p>
    <w:p w14:paraId="0B41A9E2" w14:textId="77777777" w:rsidR="00F902D4" w:rsidRDefault="00F902D4" w:rsidP="00F902D4">
      <w:pPr>
        <w:jc w:val="both"/>
        <w:rPr>
          <w:rFonts w:ascii="Arial" w:hAnsi="Arial" w:cs="Arial"/>
          <w:color w:val="808080" w:themeColor="background1" w:themeShade="80"/>
          <w:sz w:val="22"/>
          <w:szCs w:val="22"/>
          <w:lang w:val="en-GB"/>
        </w:rPr>
      </w:pPr>
    </w:p>
    <w:p w14:paraId="711F06FC" w14:textId="77777777" w:rsidR="00F902D4" w:rsidRDefault="00F902D4" w:rsidP="00F902D4">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employees may claim in S&amp;C’s liquidation as a creditor of S&amp;C. The priority for the payment of debts out of assets of the insolvency estate is mandated by statute. It is important to bear this in mind when considering the appropriate approach to adopt. First, any creditor who has security over the whole or any part of the assets (e.g., Sparrow over 4 vessels of S&amp;C) is entitled to enforce that security without leave of the Court or reference to the liquidator</w:t>
      </w:r>
      <w:r>
        <w:rPr>
          <w:rStyle w:val="FootnoteReference"/>
          <w:rFonts w:ascii="Arial" w:hAnsi="Arial" w:cs="Arial"/>
          <w:color w:val="808080" w:themeColor="background1" w:themeShade="80"/>
          <w:sz w:val="22"/>
          <w:szCs w:val="22"/>
          <w:lang w:val="en-GB"/>
        </w:rPr>
        <w:footnoteReference w:id="51"/>
      </w:r>
      <w:r>
        <w:rPr>
          <w:rFonts w:ascii="Arial" w:hAnsi="Arial" w:cs="Arial"/>
          <w:color w:val="808080" w:themeColor="background1" w:themeShade="80"/>
          <w:sz w:val="22"/>
          <w:szCs w:val="22"/>
          <w:lang w:val="en-GB"/>
        </w:rPr>
        <w:t>. Thus, these assets will not be available to satisfy the debts of S&amp;C’s unsecured creditors. Second, the liquidator’s expenses incurred in the winding up are payable out of the company’s assets in priority to all other claims</w:t>
      </w:r>
      <w:r>
        <w:rPr>
          <w:rStyle w:val="FootnoteReference"/>
          <w:rFonts w:ascii="Arial" w:hAnsi="Arial" w:cs="Arial"/>
          <w:color w:val="808080" w:themeColor="background1" w:themeShade="80"/>
          <w:sz w:val="22"/>
          <w:szCs w:val="22"/>
          <w:lang w:val="en-GB"/>
        </w:rPr>
        <w:footnoteReference w:id="52"/>
      </w:r>
      <w:r>
        <w:rPr>
          <w:rFonts w:ascii="Arial" w:hAnsi="Arial" w:cs="Arial"/>
          <w:color w:val="808080" w:themeColor="background1" w:themeShade="80"/>
          <w:sz w:val="22"/>
          <w:szCs w:val="22"/>
          <w:lang w:val="en-GB"/>
        </w:rPr>
        <w:t>. After the payment of a liquidator’s expenses, s. 141 of the CA (Revision 2020) provides that the debts due to employees are treated as preferential debts and are to be paid in priority to (</w:t>
      </w:r>
      <w:proofErr w:type="spellStart"/>
      <w:r>
        <w:rPr>
          <w:rFonts w:ascii="Arial" w:hAnsi="Arial" w:cs="Arial"/>
          <w:color w:val="808080" w:themeColor="background1" w:themeShade="80"/>
          <w:sz w:val="22"/>
          <w:szCs w:val="22"/>
          <w:lang w:val="en-GB"/>
        </w:rPr>
        <w:t>i</w:t>
      </w:r>
      <w:proofErr w:type="spellEnd"/>
      <w:r>
        <w:rPr>
          <w:rFonts w:ascii="Arial" w:hAnsi="Arial" w:cs="Arial"/>
          <w:color w:val="808080" w:themeColor="background1" w:themeShade="80"/>
          <w:sz w:val="22"/>
          <w:szCs w:val="22"/>
          <w:lang w:val="en-GB"/>
        </w:rPr>
        <w:t>) taxes due to the Cayman government; (ii) sums due to depositors; (iii) unsecured creditors; (iv) any amounts due to preferred shareholders; (v) debts incurred by the company redeeming or purchasing its own shares; and (vi) any available surplus due to the shareholders of the company</w:t>
      </w:r>
      <w:r>
        <w:rPr>
          <w:rStyle w:val="FootnoteReference"/>
          <w:rFonts w:ascii="Arial" w:hAnsi="Arial" w:cs="Arial"/>
          <w:color w:val="808080" w:themeColor="background1" w:themeShade="80"/>
          <w:sz w:val="22"/>
          <w:szCs w:val="22"/>
          <w:lang w:val="en-GB"/>
        </w:rPr>
        <w:footnoteReference w:id="53"/>
      </w:r>
      <w:r>
        <w:rPr>
          <w:rFonts w:ascii="Arial" w:hAnsi="Arial" w:cs="Arial"/>
          <w:color w:val="808080" w:themeColor="background1" w:themeShade="80"/>
          <w:sz w:val="22"/>
          <w:szCs w:val="22"/>
          <w:lang w:val="en-GB"/>
        </w:rPr>
        <w:t>.</w:t>
      </w:r>
    </w:p>
    <w:p w14:paraId="4E5BE11D" w14:textId="77777777" w:rsidR="00F902D4" w:rsidRDefault="00F902D4" w:rsidP="00F902D4">
      <w:pPr>
        <w:jc w:val="both"/>
        <w:rPr>
          <w:rFonts w:ascii="Arial" w:hAnsi="Arial" w:cs="Arial"/>
          <w:color w:val="808080" w:themeColor="background1" w:themeShade="80"/>
          <w:sz w:val="22"/>
          <w:szCs w:val="22"/>
          <w:lang w:val="en-GB"/>
        </w:rPr>
      </w:pPr>
    </w:p>
    <w:p w14:paraId="35D80135" w14:textId="77777777" w:rsidR="00F902D4" w:rsidRDefault="00F902D4" w:rsidP="00F902D4">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Section 141(2)(a) provides that preferential debts shall:</w:t>
      </w:r>
    </w:p>
    <w:p w14:paraId="3AB328C5" w14:textId="77777777" w:rsidR="00F902D4" w:rsidRDefault="00F902D4" w:rsidP="00F902D4">
      <w:pPr>
        <w:jc w:val="both"/>
        <w:rPr>
          <w:rFonts w:ascii="Arial" w:hAnsi="Arial" w:cs="Arial"/>
          <w:color w:val="808080" w:themeColor="background1" w:themeShade="80"/>
          <w:sz w:val="22"/>
          <w:szCs w:val="22"/>
          <w:lang w:val="en-GB"/>
        </w:rPr>
      </w:pPr>
    </w:p>
    <w:p w14:paraId="062FD13B" w14:textId="77777777" w:rsidR="00F902D4" w:rsidRDefault="00F902D4" w:rsidP="00F902D4">
      <w:pPr>
        <w:ind w:left="720"/>
        <w:jc w:val="both"/>
        <w:rPr>
          <w:rFonts w:ascii="Arial" w:hAnsi="Arial" w:cs="Arial"/>
          <w:color w:val="808080" w:themeColor="background1" w:themeShade="80"/>
          <w:sz w:val="22"/>
          <w:szCs w:val="22"/>
          <w:lang w:val="en-GB"/>
        </w:rPr>
      </w:pPr>
      <w:r>
        <w:rPr>
          <w:rFonts w:ascii="Arial" w:hAnsi="Arial" w:cs="Arial"/>
          <w:i/>
          <w:color w:val="808080" w:themeColor="background1" w:themeShade="80"/>
          <w:sz w:val="22"/>
          <w:szCs w:val="22"/>
          <w:lang w:val="en-GB"/>
        </w:rPr>
        <w:t>“rank equally amongst themselves and be paid in full unless the assets available…are insufficient to meet them, in which case they shall abate in equal proportions.”</w:t>
      </w:r>
    </w:p>
    <w:p w14:paraId="737A78BB" w14:textId="77777777" w:rsidR="00F902D4" w:rsidRDefault="00F902D4" w:rsidP="00F902D4">
      <w:pPr>
        <w:ind w:left="720"/>
        <w:jc w:val="both"/>
        <w:rPr>
          <w:rFonts w:ascii="Arial" w:hAnsi="Arial" w:cs="Arial"/>
          <w:color w:val="808080" w:themeColor="background1" w:themeShade="80"/>
          <w:sz w:val="22"/>
          <w:szCs w:val="22"/>
          <w:lang w:val="en-GB"/>
        </w:rPr>
      </w:pPr>
    </w:p>
    <w:p w14:paraId="3C7695E5" w14:textId="77777777" w:rsidR="00F902D4" w:rsidRDefault="00F902D4" w:rsidP="00F902D4">
      <w:pPr>
        <w:jc w:val="both"/>
        <w:rPr>
          <w:rFonts w:ascii="Arial" w:hAnsi="Arial" w:cs="Arial"/>
          <w:color w:val="808080" w:themeColor="background1" w:themeShade="80"/>
          <w:sz w:val="22"/>
          <w:szCs w:val="22"/>
          <w:lang w:val="en-GB"/>
        </w:rPr>
      </w:pPr>
    </w:p>
    <w:p w14:paraId="2C6144B0" w14:textId="77777777" w:rsidR="00F902D4" w:rsidRDefault="00F902D4" w:rsidP="00F902D4">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other words, if the company has sufficient assets available after the payment of liquidation expenses, employees of S&amp;C will be paid in full, otherwise, the employees should expect to receive pennies of every dollar owed to them under a liquidation scenario. </w:t>
      </w:r>
    </w:p>
    <w:p w14:paraId="2A94ED41" w14:textId="77777777" w:rsidR="00F902D4" w:rsidRDefault="00F902D4" w:rsidP="00F902D4">
      <w:pPr>
        <w:jc w:val="both"/>
        <w:rPr>
          <w:rFonts w:ascii="Arial" w:hAnsi="Arial" w:cs="Arial"/>
          <w:color w:val="808080" w:themeColor="background1" w:themeShade="80"/>
          <w:sz w:val="22"/>
          <w:szCs w:val="22"/>
          <w:lang w:val="en-GB"/>
        </w:rPr>
      </w:pPr>
    </w:p>
    <w:p w14:paraId="2E5E9DDF" w14:textId="77777777" w:rsidR="00F902D4" w:rsidRDefault="00F902D4" w:rsidP="00F902D4">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If a winding-up petition has not been presented to the Grand Court, the employees may issue proceedings against S&amp;C. In circumstances where a winding-up order has been made against S&amp;C, no legal proceedings may be commenced or continued against the company without the permission of the Grand Court</w:t>
      </w:r>
      <w:r>
        <w:rPr>
          <w:rStyle w:val="FootnoteReference"/>
          <w:rFonts w:ascii="Arial" w:hAnsi="Arial" w:cs="Arial"/>
          <w:color w:val="808080" w:themeColor="background1" w:themeShade="80"/>
          <w:sz w:val="22"/>
          <w:szCs w:val="22"/>
          <w:lang w:val="en-GB"/>
        </w:rPr>
        <w:footnoteReference w:id="54"/>
      </w:r>
      <w:r>
        <w:rPr>
          <w:rFonts w:ascii="Arial" w:hAnsi="Arial" w:cs="Arial"/>
          <w:color w:val="808080" w:themeColor="background1" w:themeShade="80"/>
          <w:sz w:val="22"/>
          <w:szCs w:val="22"/>
          <w:lang w:val="en-GB"/>
        </w:rPr>
        <w:t>.</w:t>
      </w:r>
    </w:p>
    <w:p w14:paraId="7EDB43E2" w14:textId="77777777" w:rsidR="00F902D4" w:rsidRDefault="00F902D4" w:rsidP="00F902D4">
      <w:pPr>
        <w:jc w:val="both"/>
        <w:rPr>
          <w:rFonts w:ascii="Arial" w:hAnsi="Arial" w:cs="Arial"/>
          <w:color w:val="808080" w:themeColor="background1" w:themeShade="80"/>
          <w:sz w:val="22"/>
          <w:szCs w:val="22"/>
          <w:lang w:val="en-GB"/>
        </w:rPr>
      </w:pPr>
    </w:p>
    <w:p w14:paraId="3CC82711" w14:textId="77777777" w:rsidR="00F902D4" w:rsidRDefault="00F902D4" w:rsidP="00F902D4">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Consideration must be given as to whether there are sufficient assets of the company and the likelihood a petition will be presented to justify the expense of issuing, or if a winding up order has been made, continuing proceedings against S&amp;C. As </w:t>
      </w:r>
      <w:r>
        <w:rPr>
          <w:rFonts w:ascii="Arial" w:hAnsi="Arial" w:cs="Arial"/>
          <w:i/>
          <w:color w:val="808080" w:themeColor="background1" w:themeShade="80"/>
          <w:sz w:val="22"/>
          <w:szCs w:val="22"/>
          <w:lang w:val="en-GB"/>
        </w:rPr>
        <w:t>Re Exchange Securities &amp; Commodities Ltd</w:t>
      </w:r>
      <w:r>
        <w:rPr>
          <w:rFonts w:ascii="Arial" w:hAnsi="Arial" w:cs="Arial"/>
          <w:color w:val="808080" w:themeColor="background1" w:themeShade="80"/>
          <w:sz w:val="22"/>
          <w:szCs w:val="22"/>
          <w:lang w:val="en-GB"/>
        </w:rPr>
        <w:t xml:space="preserve"> [1983] BCLC 186 makes clear, the employee will have to demonstrate to the court on an application for leave to continue proceedings why it is necessary to bring proceedings rather than claim a debt in insolvency. Based on the available facts, the sensible approach for the employees is to prove in S&amp;C’s liquidation.</w:t>
      </w:r>
    </w:p>
    <w:p w14:paraId="658F9BA7" w14:textId="77777777" w:rsidR="00F902D4" w:rsidRDefault="00F902D4" w:rsidP="00F902D4">
      <w:pPr>
        <w:jc w:val="both"/>
        <w:rPr>
          <w:rFonts w:ascii="Arial" w:hAnsi="Arial" w:cs="Arial"/>
          <w:color w:val="808080" w:themeColor="background1" w:themeShade="80"/>
          <w:sz w:val="22"/>
          <w:szCs w:val="22"/>
          <w:lang w:val="en-GB"/>
        </w:rPr>
      </w:pPr>
    </w:p>
    <w:p w14:paraId="515345C3" w14:textId="77777777" w:rsidR="00F902D4" w:rsidRDefault="00F902D4" w:rsidP="00F902D4">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 final route available to the employees to recover part of any debts owing would be for the employee to sell their claim and assign it to a third party. Permission from the Court is not required; however, notice of such assignment must be given to the company or where liquidators have been appointed to the liquidators on behalf of the company. Unless the company is going to have sufficient assets to satisfy its debts to the employees in a liquidation scenario, the assignment of their claims will allow the employees to recover something without incurring the further expense or participating in S&amp;C’s liquidation.</w:t>
      </w:r>
    </w:p>
    <w:p w14:paraId="02A8197E" w14:textId="77777777" w:rsidR="00F902D4" w:rsidRDefault="00F902D4" w:rsidP="00F902D4">
      <w:pPr>
        <w:jc w:val="both"/>
        <w:rPr>
          <w:rFonts w:ascii="Arial" w:hAnsi="Arial" w:cs="Arial"/>
          <w:color w:val="808080" w:themeColor="background1" w:themeShade="80"/>
          <w:sz w:val="22"/>
          <w:szCs w:val="22"/>
          <w:lang w:val="en-GB"/>
        </w:rPr>
      </w:pPr>
    </w:p>
    <w:p w14:paraId="05E6AD7A" w14:textId="77777777" w:rsidR="00F902D4" w:rsidRDefault="00F902D4" w:rsidP="00F902D4">
      <w:pPr>
        <w:jc w:val="both"/>
        <w:rPr>
          <w:rFonts w:ascii="Arial" w:hAnsi="Arial" w:cs="Arial"/>
          <w:b/>
          <w:color w:val="808080" w:themeColor="background1" w:themeShade="80"/>
          <w:sz w:val="22"/>
          <w:szCs w:val="22"/>
          <w:lang w:val="en-GB"/>
        </w:rPr>
      </w:pPr>
      <w:r>
        <w:rPr>
          <w:rFonts w:ascii="Arial" w:hAnsi="Arial" w:cs="Arial"/>
          <w:b/>
          <w:color w:val="808080" w:themeColor="background1" w:themeShade="80"/>
          <w:sz w:val="22"/>
          <w:szCs w:val="22"/>
          <w:lang w:val="en-GB"/>
        </w:rPr>
        <w:t>4(d)</w:t>
      </w:r>
    </w:p>
    <w:p w14:paraId="7D99C55C" w14:textId="77777777" w:rsidR="00F902D4" w:rsidRDefault="00F902D4" w:rsidP="00F902D4">
      <w:pPr>
        <w:jc w:val="both"/>
        <w:rPr>
          <w:rFonts w:ascii="Arial" w:hAnsi="Arial" w:cs="Arial"/>
          <w:b/>
          <w:color w:val="808080" w:themeColor="background1" w:themeShade="80"/>
          <w:sz w:val="22"/>
          <w:szCs w:val="22"/>
          <w:lang w:val="en-GB"/>
        </w:rPr>
      </w:pPr>
    </w:p>
    <w:p w14:paraId="0F35596B" w14:textId="77777777" w:rsidR="00F902D4" w:rsidRDefault="00F902D4" w:rsidP="00F902D4">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The short answer is that the Grand Court has jurisdiction over S&amp;C. The basis for this jurisdiction is grounded on the fact that S&amp;C is a company registered under the laws of the Cayman Islands. For the purposes of insolvency proceedings, the Grand Court will have jurisdiction to make a winding up order in respect of:</w:t>
      </w:r>
    </w:p>
    <w:p w14:paraId="0CB423EF" w14:textId="77777777" w:rsidR="00F902D4" w:rsidRDefault="00F902D4" w:rsidP="00F902D4">
      <w:pPr>
        <w:jc w:val="both"/>
        <w:rPr>
          <w:rFonts w:ascii="Arial" w:hAnsi="Arial" w:cs="Arial"/>
          <w:color w:val="808080" w:themeColor="background1" w:themeShade="80"/>
          <w:sz w:val="22"/>
          <w:szCs w:val="22"/>
          <w:lang w:val="en-GB"/>
        </w:rPr>
      </w:pPr>
    </w:p>
    <w:p w14:paraId="75D334EE" w14:textId="77777777" w:rsidR="00F902D4" w:rsidRDefault="00F902D4" w:rsidP="00F902D4">
      <w:pPr>
        <w:pStyle w:val="ListParagraph"/>
        <w:numPr>
          <w:ilvl w:val="0"/>
          <w:numId w:val="4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An existing company</w:t>
      </w:r>
      <w:r>
        <w:rPr>
          <w:rStyle w:val="FootnoteReference"/>
          <w:rFonts w:ascii="Arial" w:hAnsi="Arial" w:cs="Arial"/>
          <w:color w:val="808080" w:themeColor="background1" w:themeShade="80"/>
          <w:sz w:val="22"/>
          <w:szCs w:val="22"/>
          <w:lang w:val="en-GB"/>
        </w:rPr>
        <w:footnoteReference w:id="55"/>
      </w:r>
      <w:r>
        <w:rPr>
          <w:rFonts w:ascii="Arial" w:hAnsi="Arial" w:cs="Arial"/>
          <w:color w:val="808080" w:themeColor="background1" w:themeShade="80"/>
          <w:sz w:val="22"/>
          <w:szCs w:val="22"/>
          <w:lang w:val="en-GB"/>
        </w:rPr>
        <w:t>;</w:t>
      </w:r>
    </w:p>
    <w:p w14:paraId="42A275A3" w14:textId="77777777" w:rsidR="00F902D4" w:rsidRDefault="00F902D4" w:rsidP="00F902D4">
      <w:pPr>
        <w:pStyle w:val="ListParagraph"/>
        <w:numPr>
          <w:ilvl w:val="0"/>
          <w:numId w:val="4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 company incorporated and registered under the laws of the Cayman Islands</w:t>
      </w:r>
      <w:r>
        <w:rPr>
          <w:rStyle w:val="FootnoteReference"/>
          <w:rFonts w:ascii="Arial" w:hAnsi="Arial" w:cs="Arial"/>
          <w:color w:val="808080" w:themeColor="background1" w:themeShade="80"/>
          <w:sz w:val="22"/>
          <w:szCs w:val="22"/>
          <w:lang w:val="en-GB"/>
        </w:rPr>
        <w:footnoteReference w:id="56"/>
      </w:r>
      <w:r>
        <w:rPr>
          <w:rFonts w:ascii="Arial" w:hAnsi="Arial" w:cs="Arial"/>
          <w:color w:val="808080" w:themeColor="background1" w:themeShade="80"/>
          <w:sz w:val="22"/>
          <w:szCs w:val="22"/>
          <w:lang w:val="en-GB"/>
        </w:rPr>
        <w:t>.</w:t>
      </w:r>
    </w:p>
    <w:p w14:paraId="6D87CCB2" w14:textId="77777777" w:rsidR="00F902D4" w:rsidRDefault="00F902D4" w:rsidP="00F902D4">
      <w:pPr>
        <w:jc w:val="both"/>
        <w:rPr>
          <w:rFonts w:ascii="Arial" w:hAnsi="Arial" w:cs="Arial"/>
          <w:color w:val="808080" w:themeColor="background1" w:themeShade="80"/>
          <w:sz w:val="22"/>
          <w:szCs w:val="22"/>
          <w:lang w:val="en-GB"/>
        </w:rPr>
      </w:pPr>
    </w:p>
    <w:p w14:paraId="0DC4CABE" w14:textId="77777777" w:rsidR="00F902D4" w:rsidRDefault="00F902D4" w:rsidP="00F902D4">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Even if S&amp;C was not a Cayman-registered company, S&amp;C would still be subject to the winding up jurisdiction of the Grand Court:</w:t>
      </w:r>
    </w:p>
    <w:p w14:paraId="51A29B16" w14:textId="77777777" w:rsidR="00F902D4" w:rsidRDefault="00F902D4" w:rsidP="00F902D4">
      <w:pPr>
        <w:pStyle w:val="ListParagraph"/>
        <w:numPr>
          <w:ilvl w:val="0"/>
          <w:numId w:val="4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S&amp;C has property located in the Cayman</w:t>
      </w:r>
      <w:r>
        <w:rPr>
          <w:rStyle w:val="FootnoteReference"/>
          <w:rFonts w:ascii="Arial" w:hAnsi="Arial" w:cs="Arial"/>
          <w:color w:val="808080" w:themeColor="background1" w:themeShade="80"/>
          <w:sz w:val="22"/>
          <w:szCs w:val="22"/>
          <w:lang w:val="en-GB"/>
        </w:rPr>
        <w:footnoteReference w:id="57"/>
      </w:r>
      <w:r>
        <w:rPr>
          <w:rFonts w:ascii="Arial" w:hAnsi="Arial" w:cs="Arial"/>
          <w:color w:val="808080" w:themeColor="background1" w:themeShade="80"/>
          <w:sz w:val="22"/>
          <w:szCs w:val="22"/>
          <w:lang w:val="en-GB"/>
        </w:rPr>
        <w:t>; or</w:t>
      </w:r>
    </w:p>
    <w:p w14:paraId="66248071" w14:textId="77777777" w:rsidR="00F902D4" w:rsidRDefault="00F902D4" w:rsidP="00F902D4">
      <w:pPr>
        <w:pStyle w:val="ListParagraph"/>
        <w:numPr>
          <w:ilvl w:val="0"/>
          <w:numId w:val="4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S&amp;C is carrying on business in the Cayman</w:t>
      </w:r>
      <w:r>
        <w:rPr>
          <w:rStyle w:val="FootnoteReference"/>
          <w:rFonts w:ascii="Arial" w:hAnsi="Arial" w:cs="Arial"/>
          <w:color w:val="808080" w:themeColor="background1" w:themeShade="80"/>
          <w:sz w:val="22"/>
          <w:szCs w:val="22"/>
          <w:lang w:val="en-GB"/>
        </w:rPr>
        <w:footnoteReference w:id="58"/>
      </w:r>
      <w:r>
        <w:rPr>
          <w:rFonts w:ascii="Arial" w:hAnsi="Arial" w:cs="Arial"/>
          <w:color w:val="808080" w:themeColor="background1" w:themeShade="80"/>
          <w:sz w:val="22"/>
          <w:szCs w:val="22"/>
          <w:lang w:val="en-GB"/>
        </w:rPr>
        <w:t>.</w:t>
      </w:r>
    </w:p>
    <w:p w14:paraId="21606D02" w14:textId="77777777" w:rsidR="00F902D4" w:rsidRDefault="00F902D4" w:rsidP="00F902D4">
      <w:pPr>
        <w:jc w:val="both"/>
        <w:rPr>
          <w:rFonts w:ascii="Arial" w:hAnsi="Arial" w:cs="Arial"/>
          <w:color w:val="808080" w:themeColor="background1" w:themeShade="80"/>
          <w:sz w:val="22"/>
          <w:szCs w:val="22"/>
          <w:lang w:val="en-GB"/>
        </w:rPr>
      </w:pPr>
    </w:p>
    <w:p w14:paraId="0B42A62B" w14:textId="77777777" w:rsidR="00F902D4" w:rsidRDefault="00F902D4" w:rsidP="00F902D4">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Based on the available facts, S&amp;C operates its “pirate-themed party ships” in the Caribbean. While it is not readily apparent from the factual matrix of this case – it's reasonable to infer that S&amp;C either (</w:t>
      </w:r>
      <w:proofErr w:type="spellStart"/>
      <w:r>
        <w:rPr>
          <w:rFonts w:ascii="Arial" w:hAnsi="Arial" w:cs="Arial"/>
          <w:color w:val="808080" w:themeColor="background1" w:themeShade="80"/>
          <w:sz w:val="22"/>
          <w:szCs w:val="22"/>
          <w:lang w:val="en-GB"/>
        </w:rPr>
        <w:t>i</w:t>
      </w:r>
      <w:proofErr w:type="spellEnd"/>
      <w:r>
        <w:rPr>
          <w:rFonts w:ascii="Arial" w:hAnsi="Arial" w:cs="Arial"/>
          <w:color w:val="808080" w:themeColor="background1" w:themeShade="80"/>
          <w:sz w:val="22"/>
          <w:szCs w:val="22"/>
          <w:lang w:val="en-GB"/>
        </w:rPr>
        <w:t xml:space="preserve">) has property within the Cayman; and/or (ii) carrying on business in the Cayman Islands. </w:t>
      </w:r>
    </w:p>
    <w:p w14:paraId="16ED7B31" w14:textId="77777777" w:rsidR="00F902D4" w:rsidRDefault="00F902D4" w:rsidP="00F902D4">
      <w:pPr>
        <w:jc w:val="both"/>
        <w:rPr>
          <w:rFonts w:ascii="Arial" w:hAnsi="Arial" w:cs="Arial"/>
          <w:color w:val="808080" w:themeColor="background1" w:themeShade="80"/>
          <w:sz w:val="22"/>
          <w:szCs w:val="22"/>
          <w:lang w:val="en-GB"/>
        </w:rPr>
      </w:pPr>
    </w:p>
    <w:p w14:paraId="2F9BC9CA" w14:textId="77777777" w:rsidR="00F902D4" w:rsidRDefault="00F902D4" w:rsidP="00F902D4">
      <w:pPr>
        <w:jc w:val="both"/>
        <w:rPr>
          <w:rFonts w:ascii="Arial" w:hAnsi="Arial" w:cs="Arial"/>
          <w:b/>
          <w:color w:val="808080" w:themeColor="background1" w:themeShade="80"/>
          <w:sz w:val="22"/>
          <w:szCs w:val="22"/>
          <w:lang w:val="en-GB"/>
        </w:rPr>
      </w:pPr>
      <w:r>
        <w:rPr>
          <w:rFonts w:ascii="Arial" w:hAnsi="Arial" w:cs="Arial"/>
          <w:b/>
          <w:color w:val="808080" w:themeColor="background1" w:themeShade="80"/>
          <w:sz w:val="22"/>
          <w:szCs w:val="22"/>
          <w:lang w:val="en-GB"/>
        </w:rPr>
        <w:t>4(e)</w:t>
      </w:r>
    </w:p>
    <w:p w14:paraId="06990CB3" w14:textId="77777777" w:rsidR="00F902D4" w:rsidRDefault="00F902D4" w:rsidP="00F902D4">
      <w:pPr>
        <w:jc w:val="both"/>
        <w:rPr>
          <w:rFonts w:ascii="Arial" w:hAnsi="Arial" w:cs="Arial"/>
          <w:b/>
          <w:color w:val="808080" w:themeColor="background1" w:themeShade="80"/>
          <w:sz w:val="22"/>
          <w:szCs w:val="22"/>
          <w:lang w:val="en-GB"/>
        </w:rPr>
      </w:pPr>
    </w:p>
    <w:p w14:paraId="3888D8FD" w14:textId="77777777" w:rsidR="00F902D4" w:rsidRDefault="00F902D4" w:rsidP="00F902D4">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Under the Cayman insolvency regime, provisional liquidators (</w:t>
      </w:r>
      <w:r>
        <w:rPr>
          <w:rFonts w:ascii="Arial" w:hAnsi="Arial" w:cs="Arial"/>
          <w:b/>
          <w:color w:val="808080" w:themeColor="background1" w:themeShade="80"/>
          <w:sz w:val="22"/>
          <w:szCs w:val="22"/>
          <w:lang w:val="en-GB"/>
        </w:rPr>
        <w:t>PLs</w:t>
      </w:r>
      <w:r>
        <w:rPr>
          <w:rFonts w:ascii="Arial" w:hAnsi="Arial" w:cs="Arial"/>
          <w:color w:val="808080" w:themeColor="background1" w:themeShade="80"/>
          <w:sz w:val="22"/>
          <w:szCs w:val="22"/>
          <w:lang w:val="en-GB"/>
        </w:rPr>
        <w:t>) may be appointed upon an application of a creditor or contributory of the company (s. 104(2) of the CA (Revision 2020)) or the company pursuant to s. 104(3) of the CA (Revision 2020). For completeness, the purpose of an application for the appointment of PLs by a creditor or contributory is to preserve and/or protect the assets of the company pending the making of a winding up order</w:t>
      </w:r>
      <w:r>
        <w:rPr>
          <w:rStyle w:val="FootnoteReference"/>
          <w:rFonts w:ascii="Arial" w:hAnsi="Arial" w:cs="Arial"/>
          <w:color w:val="808080" w:themeColor="background1" w:themeShade="80"/>
          <w:sz w:val="22"/>
          <w:szCs w:val="22"/>
          <w:lang w:val="en-GB"/>
        </w:rPr>
        <w:footnoteReference w:id="59"/>
      </w:r>
      <w:r>
        <w:rPr>
          <w:rFonts w:ascii="Arial" w:hAnsi="Arial" w:cs="Arial"/>
          <w:color w:val="808080" w:themeColor="background1" w:themeShade="80"/>
          <w:sz w:val="22"/>
          <w:szCs w:val="22"/>
          <w:lang w:val="en-GB"/>
        </w:rPr>
        <w:t xml:space="preserve"> and/or displace the board of directors to prevent the mismanagement or misconduct on the part of the directors of the company</w:t>
      </w:r>
      <w:r>
        <w:rPr>
          <w:rStyle w:val="FootnoteReference"/>
          <w:rFonts w:ascii="Arial" w:hAnsi="Arial" w:cs="Arial"/>
          <w:color w:val="808080" w:themeColor="background1" w:themeShade="80"/>
          <w:sz w:val="22"/>
          <w:szCs w:val="22"/>
          <w:lang w:val="en-GB"/>
        </w:rPr>
        <w:footnoteReference w:id="60"/>
      </w:r>
      <w:r>
        <w:rPr>
          <w:rFonts w:ascii="Arial" w:hAnsi="Arial" w:cs="Arial"/>
          <w:color w:val="808080" w:themeColor="background1" w:themeShade="80"/>
          <w:sz w:val="22"/>
          <w:szCs w:val="22"/>
          <w:lang w:val="en-GB"/>
        </w:rPr>
        <w:t>.</w:t>
      </w:r>
    </w:p>
    <w:p w14:paraId="74F930F5" w14:textId="77777777" w:rsidR="00F902D4" w:rsidRDefault="00F902D4" w:rsidP="00F902D4">
      <w:pPr>
        <w:jc w:val="both"/>
        <w:rPr>
          <w:rFonts w:ascii="Arial" w:hAnsi="Arial" w:cs="Arial"/>
          <w:color w:val="808080" w:themeColor="background1" w:themeShade="80"/>
          <w:sz w:val="22"/>
          <w:szCs w:val="22"/>
          <w:lang w:val="en-GB"/>
        </w:rPr>
      </w:pPr>
    </w:p>
    <w:p w14:paraId="16D8190C" w14:textId="77777777" w:rsidR="00F902D4" w:rsidRDefault="00F902D4" w:rsidP="00F902D4">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Where a company is in financial distress (i.e., insolvent and/or in the ‘zone of insolvency’) the CA (Revision 2020) provides for the appointment of PLs on a “soft touch” basis to afford the company an opportunity to implement a formal restructuring of the company’s debts. The appointment of PLs will trigger a statutory moratorium to prevent the company's creditors, without the leave of the Grand Court, from enforcing its debts against the company. During the moratorium, the distressed company, under the supervision of court-appointed officers (i.e., PLs), can negotiate and hopefully present a scheme to the Grand Court for its approval. </w:t>
      </w:r>
    </w:p>
    <w:p w14:paraId="7B45A684" w14:textId="77777777" w:rsidR="00F902D4" w:rsidRDefault="00F902D4" w:rsidP="00F902D4">
      <w:pPr>
        <w:jc w:val="both"/>
        <w:rPr>
          <w:rFonts w:ascii="Arial" w:hAnsi="Arial" w:cs="Arial"/>
          <w:color w:val="808080" w:themeColor="background1" w:themeShade="80"/>
          <w:sz w:val="22"/>
          <w:szCs w:val="22"/>
          <w:lang w:val="en-GB"/>
        </w:rPr>
      </w:pPr>
    </w:p>
    <w:p w14:paraId="3A1208E5" w14:textId="77777777" w:rsidR="00F902D4" w:rsidRDefault="00F902D4" w:rsidP="00F902D4">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Section 104(3) of the CA (Revision 2020) provides that:</w:t>
      </w:r>
    </w:p>
    <w:p w14:paraId="60EC053E" w14:textId="77777777" w:rsidR="00F902D4" w:rsidRDefault="00F902D4" w:rsidP="00F902D4">
      <w:pPr>
        <w:jc w:val="both"/>
        <w:rPr>
          <w:rFonts w:ascii="Arial" w:hAnsi="Arial" w:cs="Arial"/>
          <w:color w:val="808080" w:themeColor="background1" w:themeShade="80"/>
          <w:sz w:val="22"/>
          <w:szCs w:val="22"/>
          <w:lang w:val="en-GB"/>
        </w:rPr>
      </w:pPr>
    </w:p>
    <w:p w14:paraId="5992035F" w14:textId="77777777" w:rsidR="00F902D4" w:rsidRDefault="00F902D4" w:rsidP="00F902D4">
      <w:pPr>
        <w:ind w:left="720"/>
        <w:jc w:val="both"/>
        <w:rPr>
          <w:rFonts w:ascii="Arial" w:hAnsi="Arial" w:cs="Arial"/>
          <w:i/>
          <w:color w:val="808080" w:themeColor="background1" w:themeShade="80"/>
          <w:sz w:val="22"/>
          <w:szCs w:val="22"/>
          <w:lang w:val="en-GB"/>
        </w:rPr>
      </w:pPr>
      <w:r>
        <w:rPr>
          <w:rFonts w:ascii="Arial" w:hAnsi="Arial" w:cs="Arial"/>
          <w:color w:val="808080" w:themeColor="background1" w:themeShade="80"/>
          <w:sz w:val="22"/>
          <w:szCs w:val="22"/>
          <w:lang w:val="en-GB"/>
        </w:rPr>
        <w:t>“</w:t>
      </w:r>
      <w:r>
        <w:rPr>
          <w:rFonts w:ascii="Arial" w:hAnsi="Arial" w:cs="Arial"/>
          <w:i/>
          <w:color w:val="808080" w:themeColor="background1" w:themeShade="80"/>
          <w:sz w:val="22"/>
          <w:szCs w:val="22"/>
          <w:lang w:val="en-GB"/>
        </w:rPr>
        <w:t xml:space="preserve">(3) An application for the appointment of a provisional liquidator may be made under sub-section (1) by the company ex </w:t>
      </w:r>
      <w:proofErr w:type="spellStart"/>
      <w:r>
        <w:rPr>
          <w:rFonts w:ascii="Arial" w:hAnsi="Arial" w:cs="Arial"/>
          <w:i/>
          <w:color w:val="808080" w:themeColor="background1" w:themeShade="80"/>
          <w:sz w:val="22"/>
          <w:szCs w:val="22"/>
          <w:lang w:val="en-GB"/>
        </w:rPr>
        <w:t>parte</w:t>
      </w:r>
      <w:proofErr w:type="spellEnd"/>
      <w:r>
        <w:rPr>
          <w:rFonts w:ascii="Arial" w:hAnsi="Arial" w:cs="Arial"/>
          <w:i/>
          <w:color w:val="808080" w:themeColor="background1" w:themeShade="80"/>
          <w:sz w:val="22"/>
          <w:szCs w:val="22"/>
          <w:lang w:val="en-GB"/>
        </w:rPr>
        <w:t xml:space="preserve"> on the grounds that –</w:t>
      </w:r>
    </w:p>
    <w:p w14:paraId="51984A46" w14:textId="77777777" w:rsidR="00F902D4" w:rsidRDefault="00F902D4" w:rsidP="00F902D4">
      <w:pPr>
        <w:ind w:left="720"/>
        <w:jc w:val="both"/>
        <w:rPr>
          <w:rFonts w:ascii="Arial" w:hAnsi="Arial" w:cs="Arial"/>
          <w:color w:val="808080" w:themeColor="background1" w:themeShade="80"/>
          <w:sz w:val="22"/>
          <w:szCs w:val="22"/>
          <w:lang w:val="en-GB"/>
        </w:rPr>
      </w:pPr>
    </w:p>
    <w:p w14:paraId="5A663572" w14:textId="77777777" w:rsidR="00F902D4" w:rsidRPr="005123A3" w:rsidRDefault="00F902D4" w:rsidP="00F902D4">
      <w:pPr>
        <w:pStyle w:val="ListParagraph"/>
        <w:numPr>
          <w:ilvl w:val="0"/>
          <w:numId w:val="48"/>
        </w:numPr>
        <w:jc w:val="both"/>
        <w:rPr>
          <w:rFonts w:ascii="Arial" w:hAnsi="Arial" w:cs="Arial"/>
          <w:i/>
          <w:color w:val="808080" w:themeColor="background1" w:themeShade="80"/>
          <w:sz w:val="22"/>
          <w:szCs w:val="22"/>
          <w:lang w:val="en-GB"/>
        </w:rPr>
      </w:pPr>
      <w:r>
        <w:rPr>
          <w:rFonts w:ascii="Arial" w:hAnsi="Arial" w:cs="Arial"/>
          <w:i/>
          <w:color w:val="808080" w:themeColor="background1" w:themeShade="80"/>
          <w:sz w:val="22"/>
          <w:szCs w:val="22"/>
          <w:lang w:val="en-GB"/>
        </w:rPr>
        <w:t>the company is or is likely to be unable to pay its debts within the meaning of s. 93</w:t>
      </w:r>
      <w:r>
        <w:rPr>
          <w:rStyle w:val="FootnoteReference"/>
          <w:rFonts w:ascii="Arial" w:hAnsi="Arial" w:cs="Arial"/>
          <w:i/>
          <w:color w:val="808080" w:themeColor="background1" w:themeShade="80"/>
          <w:sz w:val="22"/>
          <w:szCs w:val="22"/>
          <w:lang w:val="en-GB"/>
        </w:rPr>
        <w:footnoteReference w:id="61"/>
      </w:r>
      <w:r w:rsidRPr="005827ED">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 xml:space="preserve">; </w:t>
      </w:r>
      <w:r w:rsidRPr="005123A3">
        <w:rPr>
          <w:rFonts w:ascii="Arial" w:hAnsi="Arial" w:cs="Arial"/>
          <w:i/>
          <w:color w:val="808080" w:themeColor="background1" w:themeShade="80"/>
          <w:sz w:val="22"/>
          <w:szCs w:val="22"/>
          <w:lang w:val="en-GB"/>
        </w:rPr>
        <w:t>and</w:t>
      </w:r>
    </w:p>
    <w:p w14:paraId="1E1D4456" w14:textId="77777777" w:rsidR="00F902D4" w:rsidRPr="00765706" w:rsidRDefault="00F902D4" w:rsidP="00F902D4">
      <w:pPr>
        <w:pStyle w:val="ListParagraph"/>
        <w:numPr>
          <w:ilvl w:val="0"/>
          <w:numId w:val="48"/>
        </w:numPr>
        <w:jc w:val="both"/>
        <w:rPr>
          <w:rFonts w:ascii="Arial" w:hAnsi="Arial" w:cs="Arial"/>
          <w:color w:val="808080" w:themeColor="background1" w:themeShade="80"/>
          <w:sz w:val="22"/>
          <w:szCs w:val="22"/>
          <w:lang w:val="en-GB"/>
        </w:rPr>
      </w:pPr>
      <w:r>
        <w:rPr>
          <w:rFonts w:ascii="Arial" w:hAnsi="Arial" w:cs="Arial"/>
          <w:i/>
          <w:color w:val="808080" w:themeColor="background1" w:themeShade="80"/>
          <w:sz w:val="22"/>
          <w:szCs w:val="22"/>
          <w:lang w:val="en-GB"/>
        </w:rPr>
        <w:lastRenderedPageBreak/>
        <w:t>the company intends to present a compromise or arrangement to its creditors.”</w:t>
      </w:r>
    </w:p>
    <w:p w14:paraId="63D35CA0" w14:textId="77777777" w:rsidR="00F902D4" w:rsidRDefault="00F902D4" w:rsidP="00F902D4">
      <w:pPr>
        <w:pStyle w:val="ListParagraph"/>
        <w:ind w:left="1800"/>
        <w:jc w:val="both"/>
        <w:rPr>
          <w:rFonts w:ascii="Arial" w:hAnsi="Arial" w:cs="Arial"/>
          <w:color w:val="808080" w:themeColor="background1" w:themeShade="80"/>
          <w:sz w:val="22"/>
          <w:szCs w:val="22"/>
          <w:lang w:val="en-GB"/>
        </w:rPr>
      </w:pPr>
    </w:p>
    <w:p w14:paraId="3E95479B" w14:textId="77777777" w:rsidR="00F902D4" w:rsidRDefault="00F902D4" w:rsidP="00F902D4">
      <w:pPr>
        <w:jc w:val="both"/>
        <w:rPr>
          <w:rFonts w:ascii="Arial" w:hAnsi="Arial" w:cs="Arial"/>
          <w:color w:val="808080" w:themeColor="background1" w:themeShade="80"/>
          <w:sz w:val="22"/>
          <w:szCs w:val="22"/>
          <w:lang w:val="en-GB"/>
        </w:rPr>
      </w:pPr>
    </w:p>
    <w:p w14:paraId="7FE8EB35" w14:textId="77777777" w:rsidR="00F902D4" w:rsidRDefault="00F902D4" w:rsidP="00F902D4">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Thus, following the presentation of a winding up petition by a creditor or contributory of S&amp;C, under s. 104(3) of the CA (Revision 2020), S&amp;C may make an application for the appointment of </w:t>
      </w:r>
      <w:proofErr w:type="spellStart"/>
      <w:r>
        <w:rPr>
          <w:rFonts w:ascii="Arial" w:hAnsi="Arial" w:cs="Arial"/>
          <w:color w:val="808080" w:themeColor="background1" w:themeShade="80"/>
          <w:sz w:val="22"/>
          <w:szCs w:val="22"/>
          <w:lang w:val="en-GB"/>
        </w:rPr>
        <w:t>PLs.</w:t>
      </w:r>
      <w:proofErr w:type="spellEnd"/>
      <w:r>
        <w:rPr>
          <w:rFonts w:ascii="Arial" w:hAnsi="Arial" w:cs="Arial"/>
          <w:color w:val="808080" w:themeColor="background1" w:themeShade="80"/>
          <w:sz w:val="22"/>
          <w:szCs w:val="22"/>
          <w:lang w:val="en-GB"/>
        </w:rPr>
        <w:t xml:space="preserve"> As it appears from the available facts, S&amp;C has reasonable prospects of satisfying s.104(3)(a) on the grounds that: (</w:t>
      </w:r>
      <w:proofErr w:type="spellStart"/>
      <w:r>
        <w:rPr>
          <w:rFonts w:ascii="Arial" w:hAnsi="Arial" w:cs="Arial"/>
          <w:color w:val="808080" w:themeColor="background1" w:themeShade="80"/>
          <w:sz w:val="22"/>
          <w:szCs w:val="22"/>
          <w:lang w:val="en-GB"/>
        </w:rPr>
        <w:t>i</w:t>
      </w:r>
      <w:proofErr w:type="spellEnd"/>
      <w:r>
        <w:rPr>
          <w:rFonts w:ascii="Arial" w:hAnsi="Arial" w:cs="Arial"/>
          <w:color w:val="808080" w:themeColor="background1" w:themeShade="80"/>
          <w:sz w:val="22"/>
          <w:szCs w:val="22"/>
          <w:lang w:val="en-GB"/>
        </w:rPr>
        <w:t xml:space="preserve">) it is unable to meet its ongoing expenses to maintain its fleet of ships and has fallen behind on its monthly payments to Sparrow. As a consequence, if S&amp;C wishes to continue its business as the world comes out of the global pandemic - S&amp;C should present a compromise or arrangement to its creditors. </w:t>
      </w:r>
    </w:p>
    <w:p w14:paraId="259451A8" w14:textId="77777777" w:rsidR="00F902D4" w:rsidRDefault="00F902D4" w:rsidP="00F902D4">
      <w:pPr>
        <w:jc w:val="both"/>
        <w:rPr>
          <w:rFonts w:ascii="Arial" w:hAnsi="Arial" w:cs="Arial"/>
          <w:color w:val="808080" w:themeColor="background1" w:themeShade="80"/>
          <w:sz w:val="22"/>
          <w:szCs w:val="22"/>
          <w:lang w:val="en-GB"/>
        </w:rPr>
      </w:pPr>
    </w:p>
    <w:p w14:paraId="460D682E" w14:textId="77777777" w:rsidR="00F902D4" w:rsidRDefault="00F902D4" w:rsidP="00F902D4">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w:t>
      </w:r>
      <w:r>
        <w:rPr>
          <w:rFonts w:ascii="Arial" w:hAnsi="Arial" w:cs="Arial"/>
          <w:i/>
          <w:color w:val="808080" w:themeColor="background1" w:themeShade="80"/>
          <w:sz w:val="22"/>
          <w:szCs w:val="22"/>
          <w:lang w:val="en-GB"/>
        </w:rPr>
        <w:t xml:space="preserve">Sun Cheong Creative Development Holdings </w:t>
      </w:r>
      <w:r>
        <w:rPr>
          <w:rFonts w:ascii="Arial" w:hAnsi="Arial" w:cs="Arial"/>
          <w:color w:val="808080" w:themeColor="background1" w:themeShade="80"/>
          <w:sz w:val="22"/>
          <w:szCs w:val="22"/>
          <w:lang w:val="en-GB"/>
        </w:rPr>
        <w:t>[2020] CIGC J1020-1, the Grand Court confirmed that the court has an ‘extensive discretionary power’ for the appointment of provisional liquidators to enable the rescue of a company where it is just to do so. Having reviewed the authorities, the Court considered the matters which the Court should have regard to:</w:t>
      </w:r>
    </w:p>
    <w:p w14:paraId="0B6297DD" w14:textId="77777777" w:rsidR="00F902D4" w:rsidRDefault="00F902D4" w:rsidP="00F902D4">
      <w:pPr>
        <w:jc w:val="both"/>
        <w:rPr>
          <w:rFonts w:ascii="Arial" w:hAnsi="Arial" w:cs="Arial"/>
          <w:color w:val="808080" w:themeColor="background1" w:themeShade="80"/>
          <w:sz w:val="22"/>
          <w:szCs w:val="22"/>
          <w:lang w:val="en-GB"/>
        </w:rPr>
      </w:pPr>
    </w:p>
    <w:p w14:paraId="6068A305" w14:textId="77777777" w:rsidR="00F902D4" w:rsidRDefault="00F902D4" w:rsidP="00F902D4">
      <w:pPr>
        <w:pStyle w:val="ListParagraph"/>
        <w:numPr>
          <w:ilvl w:val="0"/>
          <w:numId w:val="4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express wishes of the creditors;</w:t>
      </w:r>
    </w:p>
    <w:p w14:paraId="2942D753" w14:textId="77777777" w:rsidR="00F902D4" w:rsidRDefault="00F902D4" w:rsidP="00F902D4">
      <w:pPr>
        <w:pStyle w:val="ListParagraph"/>
        <w:numPr>
          <w:ilvl w:val="0"/>
          <w:numId w:val="4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whether the refinancing is likely to be more beneficial than a winding up order;</w:t>
      </w:r>
    </w:p>
    <w:p w14:paraId="044B6332" w14:textId="77777777" w:rsidR="00F902D4" w:rsidRDefault="00F902D4" w:rsidP="00F902D4">
      <w:pPr>
        <w:pStyle w:val="ListParagraph"/>
        <w:numPr>
          <w:ilvl w:val="0"/>
          <w:numId w:val="4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there is a real prospect of refinancing and/or sale as a going concern being </w:t>
      </w:r>
      <w:proofErr w:type="gramStart"/>
      <w:r>
        <w:rPr>
          <w:rFonts w:ascii="Arial" w:hAnsi="Arial" w:cs="Arial"/>
          <w:color w:val="808080" w:themeColor="background1" w:themeShade="80"/>
          <w:sz w:val="22"/>
          <w:szCs w:val="22"/>
          <w:lang w:val="en-GB"/>
        </w:rPr>
        <w:t>effected</w:t>
      </w:r>
      <w:proofErr w:type="gramEnd"/>
      <w:r>
        <w:rPr>
          <w:rFonts w:ascii="Arial" w:hAnsi="Arial" w:cs="Arial"/>
          <w:color w:val="808080" w:themeColor="background1" w:themeShade="80"/>
          <w:sz w:val="22"/>
          <w:szCs w:val="22"/>
          <w:lang w:val="en-GB"/>
        </w:rPr>
        <w:t xml:space="preserve"> for the benefit of the general body of creditors; and</w:t>
      </w:r>
    </w:p>
    <w:p w14:paraId="5B29390C" w14:textId="77777777" w:rsidR="00F902D4" w:rsidRPr="0092598C" w:rsidRDefault="00F902D4" w:rsidP="00F902D4">
      <w:pPr>
        <w:pStyle w:val="ListParagraph"/>
        <w:numPr>
          <w:ilvl w:val="0"/>
          <w:numId w:val="4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considered views of the board as the best way forward</w:t>
      </w:r>
      <w:r>
        <w:rPr>
          <w:rStyle w:val="FootnoteReference"/>
          <w:rFonts w:ascii="Arial" w:hAnsi="Arial" w:cs="Arial"/>
          <w:color w:val="808080" w:themeColor="background1" w:themeShade="80"/>
          <w:sz w:val="22"/>
          <w:szCs w:val="22"/>
          <w:lang w:val="en-GB"/>
        </w:rPr>
        <w:footnoteReference w:id="62"/>
      </w:r>
      <w:r>
        <w:rPr>
          <w:rFonts w:ascii="Arial" w:hAnsi="Arial" w:cs="Arial"/>
          <w:color w:val="808080" w:themeColor="background1" w:themeShade="80"/>
          <w:sz w:val="22"/>
          <w:szCs w:val="22"/>
          <w:lang w:val="en-GB"/>
        </w:rPr>
        <w:t>.</w:t>
      </w:r>
    </w:p>
    <w:p w14:paraId="577E70ED" w14:textId="77777777" w:rsidR="00F902D4" w:rsidRDefault="00F902D4" w:rsidP="00F902D4">
      <w:pPr>
        <w:jc w:val="both"/>
        <w:rPr>
          <w:rFonts w:ascii="Arial" w:hAnsi="Arial" w:cs="Arial"/>
          <w:color w:val="808080" w:themeColor="background1" w:themeShade="80"/>
          <w:sz w:val="22"/>
          <w:szCs w:val="22"/>
          <w:lang w:val="en-GB"/>
        </w:rPr>
      </w:pPr>
    </w:p>
    <w:p w14:paraId="28BF1FB2" w14:textId="77777777" w:rsidR="00F902D4" w:rsidRDefault="00F902D4" w:rsidP="00F902D4">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If S&amp;C enters into the provisional liquidation process under Cayman law, upon a successful restructure, S&amp;C would not be wound up and will continue as a going concern. However, if an agreement cannot be reached with S&amp;C’s creditors, then a winding-up order will be made, and S&amp;C will be dissolved. </w:t>
      </w:r>
    </w:p>
    <w:p w14:paraId="472FC336" w14:textId="77777777" w:rsidR="00F902D4" w:rsidRDefault="00F902D4" w:rsidP="00F902D4">
      <w:pPr>
        <w:jc w:val="both"/>
        <w:rPr>
          <w:rFonts w:ascii="Arial" w:hAnsi="Arial" w:cs="Arial"/>
          <w:color w:val="808080" w:themeColor="background1" w:themeShade="80"/>
          <w:sz w:val="22"/>
          <w:szCs w:val="22"/>
          <w:lang w:val="en-GB"/>
        </w:rPr>
      </w:pPr>
    </w:p>
    <w:p w14:paraId="0E60B667" w14:textId="77777777" w:rsidR="00F902D4" w:rsidRDefault="00F902D4" w:rsidP="00F902D4">
      <w:pPr>
        <w:jc w:val="both"/>
        <w:rPr>
          <w:rFonts w:ascii="Arial" w:hAnsi="Arial" w:cs="Arial"/>
          <w:color w:val="808080" w:themeColor="background1" w:themeShade="80"/>
          <w:sz w:val="22"/>
          <w:szCs w:val="22"/>
          <w:lang w:val="en-GB"/>
        </w:rPr>
      </w:pPr>
      <w:r>
        <w:rPr>
          <w:rFonts w:ascii="Arial" w:hAnsi="Arial" w:cs="Arial"/>
          <w:b/>
          <w:color w:val="808080" w:themeColor="background1" w:themeShade="80"/>
          <w:sz w:val="22"/>
          <w:szCs w:val="22"/>
          <w:lang w:val="en-GB"/>
        </w:rPr>
        <w:t>4(f)</w:t>
      </w:r>
    </w:p>
    <w:p w14:paraId="2F424158" w14:textId="77777777" w:rsidR="00F902D4" w:rsidRDefault="00F902D4" w:rsidP="00F902D4">
      <w:pPr>
        <w:jc w:val="both"/>
        <w:rPr>
          <w:rFonts w:ascii="Arial" w:hAnsi="Arial" w:cs="Arial"/>
          <w:color w:val="808080" w:themeColor="background1" w:themeShade="80"/>
          <w:sz w:val="22"/>
          <w:szCs w:val="22"/>
          <w:lang w:val="en-GB"/>
        </w:rPr>
      </w:pPr>
    </w:p>
    <w:p w14:paraId="1BD1A217" w14:textId="77777777" w:rsidR="00F902D4" w:rsidRDefault="00F902D4" w:rsidP="00F902D4">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Rackham family may continue to play a part in S&amp;C provided that the Grand Court appoints PLs on a “soft touch” basis. In a ‘soft touch’ liquidation</w:t>
      </w:r>
      <w:r>
        <w:rPr>
          <w:rStyle w:val="FootnoteReference"/>
          <w:rFonts w:ascii="Arial" w:hAnsi="Arial" w:cs="Arial"/>
          <w:color w:val="808080" w:themeColor="background1" w:themeShade="80"/>
          <w:sz w:val="22"/>
          <w:szCs w:val="22"/>
          <w:lang w:val="en-GB"/>
        </w:rPr>
        <w:footnoteReference w:id="63"/>
      </w:r>
      <w:r>
        <w:rPr>
          <w:rFonts w:ascii="Arial" w:hAnsi="Arial" w:cs="Arial"/>
          <w:color w:val="808080" w:themeColor="background1" w:themeShade="80"/>
          <w:sz w:val="22"/>
          <w:szCs w:val="22"/>
          <w:lang w:val="en-GB"/>
        </w:rPr>
        <w:t xml:space="preserve">, the directors of the S&amp;C remain in day-to-day control of the company. The extent of the directors' powers, as well as the powers of the PLs, will be provided for in the Order appointing the </w:t>
      </w:r>
      <w:proofErr w:type="spellStart"/>
      <w:r>
        <w:rPr>
          <w:rFonts w:ascii="Arial" w:hAnsi="Arial" w:cs="Arial"/>
          <w:color w:val="808080" w:themeColor="background1" w:themeShade="80"/>
          <w:sz w:val="22"/>
          <w:szCs w:val="22"/>
          <w:lang w:val="en-GB"/>
        </w:rPr>
        <w:t>PLs.</w:t>
      </w:r>
      <w:proofErr w:type="spellEnd"/>
      <w:r>
        <w:rPr>
          <w:rFonts w:ascii="Arial" w:hAnsi="Arial" w:cs="Arial"/>
          <w:color w:val="808080" w:themeColor="background1" w:themeShade="80"/>
          <w:sz w:val="22"/>
          <w:szCs w:val="22"/>
          <w:lang w:val="en-GB"/>
        </w:rPr>
        <w:t xml:space="preserve"> It should be noted, however, that if the creditors of S&amp;C are of the view that there has been mismanagement of the company and/or dissipation of the company’s assets – it is likely the Grand Court would appoint PLs and displace the current directors of S&amp;C</w:t>
      </w:r>
      <w:r>
        <w:rPr>
          <w:rStyle w:val="FootnoteReference"/>
          <w:rFonts w:ascii="Arial" w:hAnsi="Arial" w:cs="Arial"/>
          <w:color w:val="808080" w:themeColor="background1" w:themeShade="80"/>
          <w:sz w:val="22"/>
          <w:szCs w:val="22"/>
          <w:lang w:val="en-GB"/>
        </w:rPr>
        <w:footnoteReference w:id="64"/>
      </w:r>
      <w:r>
        <w:rPr>
          <w:rFonts w:ascii="Arial" w:hAnsi="Arial" w:cs="Arial"/>
          <w:color w:val="808080" w:themeColor="background1" w:themeShade="80"/>
          <w:sz w:val="22"/>
          <w:szCs w:val="22"/>
          <w:lang w:val="en-GB"/>
        </w:rPr>
        <w:t xml:space="preserve">. </w:t>
      </w:r>
    </w:p>
    <w:p w14:paraId="54440D05" w14:textId="77777777" w:rsidR="00F902D4" w:rsidRDefault="00F902D4" w:rsidP="00F902D4">
      <w:pPr>
        <w:jc w:val="both"/>
        <w:rPr>
          <w:rFonts w:ascii="Arial" w:hAnsi="Arial" w:cs="Arial"/>
          <w:b/>
          <w:color w:val="808080" w:themeColor="background1" w:themeShade="80"/>
          <w:sz w:val="22"/>
          <w:szCs w:val="22"/>
          <w:lang w:val="en-GB"/>
        </w:rPr>
      </w:pPr>
    </w:p>
    <w:p w14:paraId="51B4494A" w14:textId="77777777" w:rsidR="00F902D4" w:rsidRDefault="00F902D4" w:rsidP="00F902D4">
      <w:pPr>
        <w:jc w:val="both"/>
        <w:rPr>
          <w:rFonts w:ascii="Arial" w:hAnsi="Arial" w:cs="Arial"/>
          <w:b/>
          <w:color w:val="808080" w:themeColor="background1" w:themeShade="80"/>
          <w:sz w:val="22"/>
          <w:szCs w:val="22"/>
          <w:lang w:val="en-GB"/>
        </w:rPr>
      </w:pPr>
      <w:r>
        <w:rPr>
          <w:rFonts w:ascii="Arial" w:hAnsi="Arial" w:cs="Arial"/>
          <w:b/>
          <w:color w:val="808080" w:themeColor="background1" w:themeShade="80"/>
          <w:sz w:val="22"/>
          <w:szCs w:val="22"/>
          <w:lang w:val="en-GB"/>
        </w:rPr>
        <w:t>4(g)</w:t>
      </w:r>
    </w:p>
    <w:p w14:paraId="0C6C78DF" w14:textId="77777777" w:rsidR="00F902D4" w:rsidRDefault="00F902D4" w:rsidP="00F902D4">
      <w:pPr>
        <w:jc w:val="both"/>
        <w:rPr>
          <w:rFonts w:ascii="Arial" w:hAnsi="Arial" w:cs="Arial"/>
          <w:b/>
          <w:color w:val="808080" w:themeColor="background1" w:themeShade="80"/>
          <w:sz w:val="22"/>
          <w:szCs w:val="22"/>
          <w:lang w:val="en-GB"/>
        </w:rPr>
      </w:pPr>
    </w:p>
    <w:p w14:paraId="3865C673" w14:textId="77777777" w:rsidR="00F902D4" w:rsidRDefault="00F902D4" w:rsidP="00F902D4">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If S&amp;C’s scheme has the requisite support of the creditors (over 50% of the creditors representing at least 75% in value</w:t>
      </w:r>
      <w:r>
        <w:rPr>
          <w:rStyle w:val="FootnoteReference"/>
          <w:rFonts w:ascii="Arial" w:hAnsi="Arial" w:cs="Arial"/>
          <w:color w:val="808080" w:themeColor="background1" w:themeShade="80"/>
          <w:sz w:val="22"/>
          <w:szCs w:val="22"/>
          <w:lang w:val="en-GB"/>
        </w:rPr>
        <w:footnoteReference w:id="65"/>
      </w:r>
      <w:r>
        <w:rPr>
          <w:rFonts w:ascii="Arial" w:hAnsi="Arial" w:cs="Arial"/>
          <w:color w:val="808080" w:themeColor="background1" w:themeShade="80"/>
          <w:sz w:val="22"/>
          <w:szCs w:val="22"/>
          <w:lang w:val="en-GB"/>
        </w:rPr>
        <w:t xml:space="preserve">), the scheme must be presented to the Grand Court for approval. </w:t>
      </w:r>
    </w:p>
    <w:p w14:paraId="337AEF89" w14:textId="77777777" w:rsidR="00F902D4" w:rsidRDefault="00F902D4" w:rsidP="00F902D4">
      <w:pPr>
        <w:jc w:val="both"/>
        <w:rPr>
          <w:rFonts w:ascii="Arial" w:hAnsi="Arial" w:cs="Arial"/>
          <w:color w:val="808080" w:themeColor="background1" w:themeShade="80"/>
          <w:sz w:val="22"/>
          <w:szCs w:val="22"/>
          <w:lang w:val="en-GB"/>
        </w:rPr>
      </w:pPr>
    </w:p>
    <w:p w14:paraId="0E4438BC" w14:textId="77777777" w:rsidR="00F902D4" w:rsidRDefault="00F902D4" w:rsidP="00F902D4">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 xml:space="preserve">The principles to be applied by the Grand Court considering an application to sanction a scheme were recently reviewed and considered by Doyle J in </w:t>
      </w:r>
      <w:r>
        <w:rPr>
          <w:rFonts w:ascii="Arial" w:hAnsi="Arial" w:cs="Arial"/>
          <w:i/>
          <w:color w:val="808080" w:themeColor="background1" w:themeShade="80"/>
          <w:sz w:val="22"/>
          <w:szCs w:val="22"/>
          <w:lang w:val="en-GB"/>
        </w:rPr>
        <w:t xml:space="preserve">Bestway Global Holdings Inc </w:t>
      </w:r>
      <w:r>
        <w:rPr>
          <w:rFonts w:ascii="Arial" w:hAnsi="Arial" w:cs="Arial"/>
          <w:color w:val="808080" w:themeColor="background1" w:themeShade="80"/>
          <w:sz w:val="22"/>
          <w:szCs w:val="22"/>
          <w:lang w:val="en-GB"/>
        </w:rPr>
        <w:t xml:space="preserve">(FSD 208 of 2021 – unreported). In </w:t>
      </w:r>
      <w:r>
        <w:rPr>
          <w:rFonts w:ascii="Arial" w:hAnsi="Arial" w:cs="Arial"/>
          <w:i/>
          <w:color w:val="808080" w:themeColor="background1" w:themeShade="80"/>
          <w:sz w:val="22"/>
          <w:szCs w:val="22"/>
          <w:lang w:val="en-GB"/>
        </w:rPr>
        <w:t>Bestway</w:t>
      </w:r>
      <w:r>
        <w:rPr>
          <w:rFonts w:ascii="Arial" w:hAnsi="Arial" w:cs="Arial"/>
          <w:color w:val="808080" w:themeColor="background1" w:themeShade="80"/>
          <w:sz w:val="22"/>
          <w:szCs w:val="22"/>
          <w:lang w:val="en-GB"/>
        </w:rPr>
        <w:t>, the Grand Court sanctioned the scheme, being satisfied that:</w:t>
      </w:r>
    </w:p>
    <w:p w14:paraId="6A412F3B" w14:textId="77777777" w:rsidR="00F902D4" w:rsidRDefault="00F902D4" w:rsidP="00F902D4">
      <w:pPr>
        <w:jc w:val="both"/>
        <w:rPr>
          <w:rFonts w:ascii="Arial" w:hAnsi="Arial" w:cs="Arial"/>
          <w:color w:val="808080" w:themeColor="background1" w:themeShade="80"/>
          <w:sz w:val="22"/>
          <w:szCs w:val="22"/>
          <w:lang w:val="en-GB"/>
        </w:rPr>
      </w:pPr>
    </w:p>
    <w:p w14:paraId="61BDC758" w14:textId="77777777" w:rsidR="00F902D4" w:rsidRDefault="00F902D4" w:rsidP="00F902D4">
      <w:pPr>
        <w:pStyle w:val="ListParagraph"/>
        <w:numPr>
          <w:ilvl w:val="0"/>
          <w:numId w:val="4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proposed scheme was a scheme of arrangement within the meaning of s.86 of the CA (Revision 2020) – noting </w:t>
      </w:r>
      <w:r>
        <w:rPr>
          <w:rFonts w:ascii="Arial" w:hAnsi="Arial" w:cs="Arial"/>
          <w:i/>
          <w:color w:val="808080" w:themeColor="background1" w:themeShade="80"/>
          <w:sz w:val="22"/>
          <w:szCs w:val="22"/>
          <w:lang w:val="en-GB"/>
        </w:rPr>
        <w:t>Re SIIC Medical Science and Technology Group Ltd 2003; Euro Bank Corporation (In Liquidation) 2003 CILR 205;</w:t>
      </w:r>
    </w:p>
    <w:p w14:paraId="48955DCD" w14:textId="77777777" w:rsidR="00F902D4" w:rsidRDefault="00F902D4" w:rsidP="00F902D4">
      <w:pPr>
        <w:pStyle w:val="ListParagraph"/>
        <w:jc w:val="both"/>
        <w:rPr>
          <w:rFonts w:ascii="Arial" w:hAnsi="Arial" w:cs="Arial"/>
          <w:color w:val="808080" w:themeColor="background1" w:themeShade="80"/>
          <w:sz w:val="22"/>
          <w:szCs w:val="22"/>
          <w:lang w:val="en-GB"/>
        </w:rPr>
      </w:pPr>
    </w:p>
    <w:p w14:paraId="253C4B5B" w14:textId="77777777" w:rsidR="00F902D4" w:rsidRDefault="00F902D4" w:rsidP="00F902D4">
      <w:pPr>
        <w:pStyle w:val="ListParagraph"/>
        <w:numPr>
          <w:ilvl w:val="0"/>
          <w:numId w:val="4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scheme document provided all the material information reasonably required to enable the scheme shareholders to come to an informed view on the merits of the scheme (as required by Order 102 rule 21(4)(e) of the Grand Court Rules, Practice Direction No 2 of 2010 at [3.7] and </w:t>
      </w:r>
      <w:r>
        <w:rPr>
          <w:rFonts w:ascii="Arial" w:hAnsi="Arial" w:cs="Arial"/>
          <w:i/>
          <w:color w:val="808080" w:themeColor="background1" w:themeShade="80"/>
          <w:sz w:val="22"/>
          <w:szCs w:val="22"/>
          <w:lang w:val="en-GB"/>
        </w:rPr>
        <w:t>Re XL Capital Limited 2010</w:t>
      </w:r>
      <w:r>
        <w:rPr>
          <w:rFonts w:ascii="Arial" w:hAnsi="Arial" w:cs="Arial"/>
          <w:color w:val="808080" w:themeColor="background1" w:themeShade="80"/>
          <w:sz w:val="22"/>
          <w:szCs w:val="22"/>
          <w:lang w:val="en-GB"/>
        </w:rPr>
        <w:t xml:space="preserve"> </w:t>
      </w:r>
      <w:r>
        <w:rPr>
          <w:rFonts w:ascii="Arial" w:hAnsi="Arial" w:cs="Arial"/>
          <w:i/>
          <w:color w:val="808080" w:themeColor="background1" w:themeShade="80"/>
          <w:sz w:val="22"/>
          <w:szCs w:val="22"/>
          <w:lang w:val="en-GB"/>
        </w:rPr>
        <w:t>Vol 1 CILR 52</w:t>
      </w:r>
      <w:r>
        <w:rPr>
          <w:rFonts w:ascii="Arial" w:hAnsi="Arial" w:cs="Arial"/>
          <w:color w:val="808080" w:themeColor="background1" w:themeShade="80"/>
          <w:sz w:val="22"/>
          <w:szCs w:val="22"/>
          <w:lang w:val="en-GB"/>
        </w:rPr>
        <w:t>.</w:t>
      </w:r>
    </w:p>
    <w:p w14:paraId="15239949" w14:textId="77777777" w:rsidR="00F902D4" w:rsidRPr="005407C5" w:rsidRDefault="00F902D4" w:rsidP="00F902D4">
      <w:pPr>
        <w:pStyle w:val="ListParagraph"/>
        <w:rPr>
          <w:rFonts w:ascii="Arial" w:hAnsi="Arial" w:cs="Arial"/>
          <w:color w:val="808080" w:themeColor="background1" w:themeShade="80"/>
          <w:sz w:val="22"/>
          <w:szCs w:val="22"/>
          <w:lang w:val="en-GB"/>
        </w:rPr>
      </w:pPr>
    </w:p>
    <w:p w14:paraId="11BC33FA" w14:textId="77777777" w:rsidR="00F902D4" w:rsidRDefault="00F902D4" w:rsidP="00F902D4">
      <w:pPr>
        <w:pStyle w:val="ListParagraph"/>
        <w:numPr>
          <w:ilvl w:val="0"/>
          <w:numId w:val="4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Court meeting was properly held, and the statutory majorities were achieved;</w:t>
      </w:r>
    </w:p>
    <w:p w14:paraId="7C22C8F8" w14:textId="77777777" w:rsidR="00F902D4" w:rsidRPr="005407C5" w:rsidRDefault="00F902D4" w:rsidP="00F902D4">
      <w:pPr>
        <w:pStyle w:val="ListParagraph"/>
        <w:rPr>
          <w:rFonts w:ascii="Arial" w:hAnsi="Arial" w:cs="Arial"/>
          <w:color w:val="808080" w:themeColor="background1" w:themeShade="80"/>
          <w:sz w:val="22"/>
          <w:szCs w:val="22"/>
          <w:lang w:val="en-GB"/>
        </w:rPr>
      </w:pPr>
    </w:p>
    <w:p w14:paraId="5D84D96A" w14:textId="77777777" w:rsidR="00F902D4" w:rsidRDefault="00F902D4" w:rsidP="00F902D4">
      <w:pPr>
        <w:pStyle w:val="ListParagraph"/>
        <w:numPr>
          <w:ilvl w:val="0"/>
          <w:numId w:val="4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There was no reason to believe that the views of the overwhelming </w:t>
      </w:r>
      <w:proofErr w:type="gramStart"/>
      <w:r>
        <w:rPr>
          <w:rFonts w:ascii="Arial" w:hAnsi="Arial" w:cs="Arial"/>
          <w:color w:val="808080" w:themeColor="background1" w:themeShade="80"/>
          <w:sz w:val="22"/>
          <w:szCs w:val="22"/>
          <w:lang w:val="en-GB"/>
        </w:rPr>
        <w:t>majority  of</w:t>
      </w:r>
      <w:proofErr w:type="gramEnd"/>
      <w:r>
        <w:rPr>
          <w:rFonts w:ascii="Arial" w:hAnsi="Arial" w:cs="Arial"/>
          <w:color w:val="808080" w:themeColor="background1" w:themeShade="80"/>
          <w:sz w:val="22"/>
          <w:szCs w:val="22"/>
          <w:lang w:val="en-GB"/>
        </w:rPr>
        <w:t xml:space="preserve"> those who voted in favour of the scheme did not fairly represent the views of the scheme shareholders as a whole, that they were not acting </w:t>
      </w:r>
      <w:r>
        <w:rPr>
          <w:rFonts w:ascii="Arial" w:hAnsi="Arial" w:cs="Arial"/>
          <w:i/>
          <w:color w:val="808080" w:themeColor="background1" w:themeShade="80"/>
          <w:sz w:val="22"/>
          <w:szCs w:val="22"/>
          <w:lang w:val="en-GB"/>
        </w:rPr>
        <w:t>bona fide,</w:t>
      </w:r>
      <w:r>
        <w:rPr>
          <w:rFonts w:ascii="Arial" w:hAnsi="Arial" w:cs="Arial"/>
          <w:color w:val="808080" w:themeColor="background1" w:themeShade="80"/>
          <w:sz w:val="22"/>
          <w:szCs w:val="22"/>
          <w:lang w:val="en-GB"/>
        </w:rPr>
        <w:t xml:space="preserve"> or that they were subject to coercion;</w:t>
      </w:r>
    </w:p>
    <w:p w14:paraId="4C959325" w14:textId="77777777" w:rsidR="00F902D4" w:rsidRPr="005407C5" w:rsidRDefault="00F902D4" w:rsidP="00F902D4">
      <w:pPr>
        <w:pStyle w:val="ListParagraph"/>
        <w:rPr>
          <w:rFonts w:ascii="Arial" w:hAnsi="Arial" w:cs="Arial"/>
          <w:color w:val="808080" w:themeColor="background1" w:themeShade="80"/>
          <w:sz w:val="22"/>
          <w:szCs w:val="22"/>
          <w:lang w:val="en-GB"/>
        </w:rPr>
      </w:pPr>
    </w:p>
    <w:p w14:paraId="213AD1E7" w14:textId="77777777" w:rsidR="00F902D4" w:rsidRDefault="00F902D4" w:rsidP="00F902D4">
      <w:pPr>
        <w:pStyle w:val="ListParagraph"/>
        <w:numPr>
          <w:ilvl w:val="0"/>
          <w:numId w:val="4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arrangement scheme was fair because an intelligent and honest person acting in respect of his relevant interest might reasonably approve it. Those voting are the best judges of their own commercial interest and reasonableness of the terms of the scheme of arrangement. Being fully informed, an overwhelming majority had voted in favour of the scheme at the Court meeting. In commercial matters, members and creditors are generally much better judges of their own interest than the courts; and</w:t>
      </w:r>
    </w:p>
    <w:p w14:paraId="68934E20" w14:textId="77777777" w:rsidR="00F902D4" w:rsidRPr="000F58C0" w:rsidRDefault="00F902D4" w:rsidP="00F902D4">
      <w:pPr>
        <w:pStyle w:val="ListParagraph"/>
        <w:rPr>
          <w:rFonts w:ascii="Arial" w:hAnsi="Arial" w:cs="Arial"/>
          <w:color w:val="808080" w:themeColor="background1" w:themeShade="80"/>
          <w:sz w:val="22"/>
          <w:szCs w:val="22"/>
          <w:lang w:val="en-GB"/>
        </w:rPr>
      </w:pPr>
    </w:p>
    <w:p w14:paraId="76291F34" w14:textId="77777777" w:rsidR="00F902D4" w:rsidRPr="005D5842" w:rsidRDefault="00F902D4" w:rsidP="00F902D4">
      <w:pPr>
        <w:pStyle w:val="ListParagraph"/>
        <w:numPr>
          <w:ilvl w:val="0"/>
          <w:numId w:val="4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There was no good reason for the court to exercise its residual discretion not to sanction the scheme. The Court should give due recognition to the commercial judgment of others directly involved in the scheme and that the details of the scheme are not a matter for the court provided the scheme as a whole is found to be fair</w:t>
      </w:r>
      <w:r>
        <w:rPr>
          <w:rStyle w:val="FootnoteReference"/>
          <w:rFonts w:ascii="Arial" w:hAnsi="Arial" w:cs="Arial"/>
          <w:color w:val="808080" w:themeColor="background1" w:themeShade="80"/>
          <w:sz w:val="22"/>
          <w:szCs w:val="22"/>
          <w:lang w:val="en-GB"/>
        </w:rPr>
        <w:footnoteReference w:id="66"/>
      </w:r>
      <w:r>
        <w:rPr>
          <w:rFonts w:ascii="Arial" w:hAnsi="Arial" w:cs="Arial"/>
          <w:color w:val="808080" w:themeColor="background1" w:themeShade="80"/>
          <w:sz w:val="22"/>
          <w:szCs w:val="22"/>
          <w:lang w:val="en-GB"/>
        </w:rPr>
        <w:t>.”</w:t>
      </w:r>
    </w:p>
    <w:p w14:paraId="35854929" w14:textId="55548B27" w:rsidR="00952187" w:rsidRDefault="00952187" w:rsidP="00087F21">
      <w:pPr>
        <w:jc w:val="both"/>
        <w:rPr>
          <w:rFonts w:ascii="Arial" w:hAnsi="Arial" w:cs="Arial"/>
          <w:color w:val="000000" w:themeColor="text1"/>
          <w:sz w:val="22"/>
          <w:szCs w:val="22"/>
          <w:lang w:val="en-GB"/>
        </w:rPr>
      </w:pPr>
    </w:p>
    <w:p w14:paraId="276B282B" w14:textId="77777777" w:rsidR="00952187" w:rsidRPr="002A37BB" w:rsidRDefault="00952187" w:rsidP="00087F21">
      <w:pPr>
        <w:jc w:val="both"/>
        <w:rPr>
          <w:rFonts w:ascii="Arial" w:hAnsi="Arial" w:cs="Arial"/>
          <w:color w:val="000000" w:themeColor="text1"/>
          <w:sz w:val="22"/>
          <w:szCs w:val="22"/>
          <w:lang w:val="en-GB"/>
        </w:rPr>
      </w:pPr>
    </w:p>
    <w:p w14:paraId="181826D4"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B0800" w14:textId="77777777" w:rsidR="002B3449" w:rsidRDefault="002B3449" w:rsidP="00241B44">
      <w:r>
        <w:separator/>
      </w:r>
    </w:p>
  </w:endnote>
  <w:endnote w:type="continuationSeparator" w:id="0">
    <w:p w14:paraId="067CEECD" w14:textId="77777777" w:rsidR="002B3449" w:rsidRDefault="002B344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C5576E" w:rsidRPr="00FC7B47" w:rsidRDefault="00C5576E"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C5576E" w:rsidRPr="00FC7B47" w:rsidRDefault="00C5576E"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C5576E" w:rsidRPr="009B4976" w:rsidRDefault="00C5576E"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14:paraId="4652DD67" w14:textId="4DD4C9DA" w:rsidR="00C5576E" w:rsidRPr="009B4976" w:rsidRDefault="00C5576E" w:rsidP="009B4976">
    <w:pPr>
      <w:pStyle w:val="Footer"/>
      <w:ind w:right="360"/>
      <w:rPr>
        <w:rFonts w:ascii="Arial" w:hAnsi="Arial" w:cs="Arial"/>
        <w:sz w:val="18"/>
        <w:szCs w:val="18"/>
        <w:lang w:val="en-GB"/>
      </w:rPr>
    </w:pPr>
    <w:r>
      <w:rPr>
        <w:rFonts w:ascii="Arial" w:hAnsi="Arial" w:cs="Arial"/>
        <w:sz w:val="18"/>
        <w:szCs w:val="18"/>
        <w:lang w:val="en-GB"/>
      </w:rPr>
      <w:fldChar w:fldCharType="begin"/>
    </w:r>
    <w:r>
      <w:rPr>
        <w:rFonts w:ascii="Arial" w:hAnsi="Arial" w:cs="Arial"/>
        <w:sz w:val="18"/>
        <w:szCs w:val="18"/>
        <w:lang w:val="en-GB"/>
      </w:rPr>
      <w:instrText xml:space="preserve"> DOCPROPERTY iManageFooter \* MERGEFORMAT </w:instrText>
    </w:r>
    <w:r>
      <w:rPr>
        <w:rFonts w:ascii="Arial" w:hAnsi="Arial" w:cs="Arial"/>
        <w:sz w:val="18"/>
        <w:szCs w:val="18"/>
        <w:lang w:val="en-GB"/>
      </w:rPr>
      <w:fldChar w:fldCharType="end"/>
    </w:r>
    <w:r>
      <w:rPr>
        <w:rFonts w:ascii="Arial" w:hAnsi="Arial" w:cs="Arial"/>
        <w:sz w:val="18"/>
        <w:szCs w:val="18"/>
        <w:lang w:val="en-GB"/>
      </w:rPr>
      <w:t>202122-544.assessment5C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CFA4C" w14:textId="77777777" w:rsidR="002B3449" w:rsidRDefault="002B3449" w:rsidP="00241B44">
      <w:r>
        <w:separator/>
      </w:r>
    </w:p>
  </w:footnote>
  <w:footnote w:type="continuationSeparator" w:id="0">
    <w:p w14:paraId="67D8889D" w14:textId="77777777" w:rsidR="002B3449" w:rsidRDefault="002B3449" w:rsidP="00241B44">
      <w:r>
        <w:continuationSeparator/>
      </w:r>
    </w:p>
  </w:footnote>
  <w:footnote w:id="1">
    <w:p w14:paraId="0300278C" w14:textId="77777777" w:rsidR="00C5576E" w:rsidRDefault="00C5576E" w:rsidP="00C5576E">
      <w:pPr>
        <w:pStyle w:val="FootnoteText"/>
      </w:pPr>
      <w:r>
        <w:rPr>
          <w:rStyle w:val="FootnoteReference"/>
        </w:rPr>
        <w:footnoteRef/>
      </w:r>
      <w:r>
        <w:t xml:space="preserve"> Module at [5.3]</w:t>
      </w:r>
    </w:p>
  </w:footnote>
  <w:footnote w:id="2">
    <w:p w14:paraId="37F9D5BD" w14:textId="77777777" w:rsidR="00C5576E" w:rsidRDefault="00C5576E" w:rsidP="00C5576E">
      <w:pPr>
        <w:pStyle w:val="FootnoteText"/>
      </w:pPr>
      <w:r>
        <w:rPr>
          <w:rStyle w:val="FootnoteReference"/>
        </w:rPr>
        <w:footnoteRef/>
      </w:r>
      <w:r>
        <w:t xml:space="preserve"> S. 54 of CA (2020 Revision).</w:t>
      </w:r>
    </w:p>
  </w:footnote>
  <w:footnote w:id="3">
    <w:p w14:paraId="06899021" w14:textId="77777777" w:rsidR="00C5576E" w:rsidRDefault="00C5576E" w:rsidP="00C5576E">
      <w:pPr>
        <w:pStyle w:val="FootnoteText"/>
      </w:pPr>
      <w:r>
        <w:rPr>
          <w:rStyle w:val="FootnoteReference"/>
        </w:rPr>
        <w:footnoteRef/>
      </w:r>
      <w:r>
        <w:t xml:space="preserve"> S. 54(1) CA (2020 Revision).</w:t>
      </w:r>
    </w:p>
  </w:footnote>
  <w:footnote w:id="4">
    <w:p w14:paraId="666AEBA5" w14:textId="77777777" w:rsidR="00C5576E" w:rsidRDefault="00C5576E" w:rsidP="00C5576E">
      <w:pPr>
        <w:pStyle w:val="FootnoteText"/>
      </w:pPr>
      <w:r>
        <w:rPr>
          <w:rStyle w:val="FootnoteReference"/>
        </w:rPr>
        <w:footnoteRef/>
      </w:r>
      <w:r>
        <w:t xml:space="preserve"> S.54(2) CA (2020 Revision).</w:t>
      </w:r>
    </w:p>
  </w:footnote>
  <w:footnote w:id="5">
    <w:p w14:paraId="2EDF18D8" w14:textId="77777777" w:rsidR="00C5576E" w:rsidRDefault="00C5576E" w:rsidP="00C5576E">
      <w:pPr>
        <w:pStyle w:val="FootnoteText"/>
      </w:pPr>
      <w:r>
        <w:rPr>
          <w:rStyle w:val="FootnoteReference"/>
        </w:rPr>
        <w:footnoteRef/>
      </w:r>
      <w:r>
        <w:t xml:space="preserve"> Module at [5.3].</w:t>
      </w:r>
    </w:p>
  </w:footnote>
  <w:footnote w:id="6">
    <w:p w14:paraId="3FC8F2A2" w14:textId="77777777" w:rsidR="00C5576E" w:rsidRDefault="00C5576E" w:rsidP="00C5576E">
      <w:pPr>
        <w:pStyle w:val="FootnoteText"/>
      </w:pPr>
      <w:r>
        <w:rPr>
          <w:rStyle w:val="FootnoteReference"/>
        </w:rPr>
        <w:footnoteRef/>
      </w:r>
      <w:r>
        <w:t xml:space="preserve"> Ibid.</w:t>
      </w:r>
    </w:p>
  </w:footnote>
  <w:footnote w:id="7">
    <w:p w14:paraId="25F00A15" w14:textId="77777777" w:rsidR="006C7E36" w:rsidRDefault="006C7E36" w:rsidP="006C7E36">
      <w:pPr>
        <w:pStyle w:val="FootnoteText"/>
      </w:pPr>
      <w:r>
        <w:rPr>
          <w:rStyle w:val="FootnoteReference"/>
        </w:rPr>
        <w:footnoteRef/>
      </w:r>
      <w:r>
        <w:t xml:space="preserve"> S.240 CA (Revision 2020).</w:t>
      </w:r>
    </w:p>
  </w:footnote>
  <w:footnote w:id="8">
    <w:p w14:paraId="04BF8E71" w14:textId="77777777" w:rsidR="006C7E36" w:rsidRDefault="006C7E36" w:rsidP="006C7E36">
      <w:pPr>
        <w:pStyle w:val="FootnoteText"/>
      </w:pPr>
      <w:r>
        <w:rPr>
          <w:rStyle w:val="FootnoteReference"/>
        </w:rPr>
        <w:footnoteRef/>
      </w:r>
      <w:r>
        <w:t xml:space="preserve"> S.241(1)(a) CA (Revision 2020).</w:t>
      </w:r>
    </w:p>
  </w:footnote>
  <w:footnote w:id="9">
    <w:p w14:paraId="43C82B1D" w14:textId="77777777" w:rsidR="006C7E36" w:rsidRDefault="006C7E36" w:rsidP="006C7E36">
      <w:pPr>
        <w:pStyle w:val="FootnoteText"/>
      </w:pPr>
      <w:r>
        <w:rPr>
          <w:rStyle w:val="FootnoteReference"/>
        </w:rPr>
        <w:footnoteRef/>
      </w:r>
      <w:r>
        <w:t xml:space="preserve"> S.241(1)(b) CA (Revision 2020).</w:t>
      </w:r>
    </w:p>
  </w:footnote>
  <w:footnote w:id="10">
    <w:p w14:paraId="712ADBDD" w14:textId="77777777" w:rsidR="006C7E36" w:rsidRDefault="006C7E36" w:rsidP="006C7E36">
      <w:pPr>
        <w:pStyle w:val="FootnoteText"/>
      </w:pPr>
      <w:r>
        <w:rPr>
          <w:rStyle w:val="FootnoteReference"/>
        </w:rPr>
        <w:footnoteRef/>
      </w:r>
      <w:r>
        <w:t xml:space="preserve"> S.241(1)(c) CA (Revision 2020).</w:t>
      </w:r>
    </w:p>
  </w:footnote>
  <w:footnote w:id="11">
    <w:p w14:paraId="14418F72" w14:textId="77777777" w:rsidR="006C7E36" w:rsidRDefault="006C7E36" w:rsidP="006C7E36">
      <w:pPr>
        <w:pStyle w:val="FootnoteText"/>
      </w:pPr>
      <w:r>
        <w:rPr>
          <w:rStyle w:val="FootnoteReference"/>
        </w:rPr>
        <w:footnoteRef/>
      </w:r>
      <w:r>
        <w:t xml:space="preserve"> S.241(1)(d) CA (Revision 2020).</w:t>
      </w:r>
    </w:p>
  </w:footnote>
  <w:footnote w:id="12">
    <w:p w14:paraId="3228BA18" w14:textId="77777777" w:rsidR="006C7E36" w:rsidRDefault="006C7E36" w:rsidP="006C7E36">
      <w:pPr>
        <w:pStyle w:val="FootnoteText"/>
      </w:pPr>
      <w:r>
        <w:rPr>
          <w:rStyle w:val="FootnoteReference"/>
        </w:rPr>
        <w:footnoteRef/>
      </w:r>
      <w:r>
        <w:t xml:space="preserve"> S.241(1)(e) CA (Revision 2020).</w:t>
      </w:r>
    </w:p>
  </w:footnote>
  <w:footnote w:id="13">
    <w:p w14:paraId="5F77EE9A" w14:textId="77777777" w:rsidR="006C7E36" w:rsidRDefault="006C7E36" w:rsidP="006C7E36">
      <w:pPr>
        <w:pStyle w:val="FootnoteText"/>
      </w:pPr>
      <w:r>
        <w:rPr>
          <w:rStyle w:val="FootnoteReference"/>
        </w:rPr>
        <w:footnoteRef/>
      </w:r>
      <w:r>
        <w:t xml:space="preserve"> S.240 CA (Revision 2020).</w:t>
      </w:r>
    </w:p>
  </w:footnote>
  <w:footnote w:id="14">
    <w:p w14:paraId="17097984" w14:textId="77777777" w:rsidR="006C7E36" w:rsidRDefault="006C7E36" w:rsidP="006C7E36">
      <w:pPr>
        <w:pStyle w:val="FootnoteText"/>
      </w:pPr>
      <w:r>
        <w:rPr>
          <w:rStyle w:val="FootnoteReference"/>
        </w:rPr>
        <w:footnoteRef/>
      </w:r>
      <w:r>
        <w:t xml:space="preserve"> </w:t>
      </w:r>
      <w:hyperlink r:id="rId1" w:history="1">
        <w:r w:rsidRPr="00F2535C">
          <w:rPr>
            <w:rStyle w:val="Hyperlink"/>
          </w:rPr>
          <w:t>https://www.ogier.com/publications/cayman-court-grants-recognition-and-assiatnce-to-foreign-liquidators-appointed-over-a-cayman-company</w:t>
        </w:r>
      </w:hyperlink>
      <w:r>
        <w:t xml:space="preserve"> </w:t>
      </w:r>
    </w:p>
  </w:footnote>
  <w:footnote w:id="15">
    <w:p w14:paraId="084BA9DF" w14:textId="77777777" w:rsidR="00732E7D" w:rsidRDefault="00732E7D" w:rsidP="00732E7D">
      <w:pPr>
        <w:pStyle w:val="FootnoteText"/>
      </w:pPr>
      <w:r>
        <w:rPr>
          <w:rStyle w:val="FootnoteReference"/>
        </w:rPr>
        <w:footnoteRef/>
      </w:r>
      <w:r>
        <w:t xml:space="preserve"> S. 4(2) Enforcement Act </w:t>
      </w:r>
    </w:p>
  </w:footnote>
  <w:footnote w:id="16">
    <w:p w14:paraId="59C089A1" w14:textId="77777777" w:rsidR="00732E7D" w:rsidRDefault="00732E7D" w:rsidP="00732E7D">
      <w:pPr>
        <w:pStyle w:val="FootnoteText"/>
      </w:pPr>
      <w:r>
        <w:rPr>
          <w:rStyle w:val="FootnoteReference"/>
        </w:rPr>
        <w:footnoteRef/>
      </w:r>
      <w:r>
        <w:t xml:space="preserve"> S. 4(2)(a) Enforcement Act</w:t>
      </w:r>
    </w:p>
  </w:footnote>
  <w:footnote w:id="17">
    <w:p w14:paraId="4A6CD97A" w14:textId="77777777" w:rsidR="00732E7D" w:rsidRDefault="00732E7D" w:rsidP="00732E7D">
      <w:pPr>
        <w:pStyle w:val="FootnoteText"/>
      </w:pPr>
      <w:r>
        <w:rPr>
          <w:rStyle w:val="FootnoteReference"/>
        </w:rPr>
        <w:footnoteRef/>
      </w:r>
      <w:r>
        <w:t xml:space="preserve"> S. 4(2)(b) Enforcement Act</w:t>
      </w:r>
    </w:p>
  </w:footnote>
  <w:footnote w:id="18">
    <w:p w14:paraId="4CDFFE0D" w14:textId="77777777" w:rsidR="00732E7D" w:rsidRDefault="00732E7D" w:rsidP="00732E7D">
      <w:pPr>
        <w:pStyle w:val="FootnoteText"/>
      </w:pPr>
      <w:r>
        <w:rPr>
          <w:rStyle w:val="FootnoteReference"/>
        </w:rPr>
        <w:footnoteRef/>
      </w:r>
      <w:r>
        <w:t xml:space="preserve"> S.3(3) Enforcement Act.</w:t>
      </w:r>
    </w:p>
  </w:footnote>
  <w:footnote w:id="19">
    <w:p w14:paraId="482225AB" w14:textId="77777777" w:rsidR="00732E7D" w:rsidRPr="0014728C" w:rsidRDefault="00732E7D" w:rsidP="00732E7D">
      <w:pPr>
        <w:pStyle w:val="FootnoteText"/>
      </w:pPr>
      <w:r>
        <w:rPr>
          <w:rStyle w:val="FootnoteReference"/>
        </w:rPr>
        <w:footnoteRef/>
      </w:r>
      <w:r>
        <w:t xml:space="preserve"> </w:t>
      </w:r>
      <w:proofErr w:type="spellStart"/>
      <w:r>
        <w:rPr>
          <w:i/>
        </w:rPr>
        <w:t>Bandone</w:t>
      </w:r>
      <w:proofErr w:type="spellEnd"/>
      <w:r>
        <w:rPr>
          <w:i/>
        </w:rPr>
        <w:t xml:space="preserve"> v Sol Properties Incorporated </w:t>
      </w:r>
      <w:r>
        <w:t>[2008] CILR 301 at [60] to [64]</w:t>
      </w:r>
    </w:p>
  </w:footnote>
  <w:footnote w:id="20">
    <w:p w14:paraId="610BEF01" w14:textId="77777777" w:rsidR="00732E7D" w:rsidRDefault="00732E7D" w:rsidP="00732E7D">
      <w:pPr>
        <w:pStyle w:val="FootnoteText"/>
      </w:pPr>
      <w:r>
        <w:rPr>
          <w:rStyle w:val="FootnoteReference"/>
        </w:rPr>
        <w:footnoteRef/>
      </w:r>
      <w:r>
        <w:t xml:space="preserve"> Module at [8.3].</w:t>
      </w:r>
    </w:p>
  </w:footnote>
  <w:footnote w:id="21">
    <w:p w14:paraId="21DCEA0F" w14:textId="77777777" w:rsidR="00732E7D" w:rsidRDefault="00732E7D" w:rsidP="00732E7D">
      <w:pPr>
        <w:pStyle w:val="FootnoteText"/>
      </w:pPr>
      <w:r>
        <w:rPr>
          <w:rStyle w:val="FootnoteReference"/>
        </w:rPr>
        <w:footnoteRef/>
      </w:r>
      <w:r>
        <w:t xml:space="preserve"> Grand Court Law (1995 Revision) Order 71, r 2-3</w:t>
      </w:r>
    </w:p>
  </w:footnote>
  <w:footnote w:id="22">
    <w:p w14:paraId="1BC05104" w14:textId="77777777" w:rsidR="00732E7D" w:rsidRDefault="00732E7D" w:rsidP="00732E7D">
      <w:pPr>
        <w:pStyle w:val="FootnoteText"/>
      </w:pPr>
      <w:r>
        <w:rPr>
          <w:rStyle w:val="FootnoteReference"/>
        </w:rPr>
        <w:footnoteRef/>
      </w:r>
      <w:r>
        <w:t xml:space="preserve"> S.147(2) CA (Revision 2020).</w:t>
      </w:r>
    </w:p>
  </w:footnote>
  <w:footnote w:id="23">
    <w:p w14:paraId="3BF0BDD3" w14:textId="77777777" w:rsidR="00732E7D" w:rsidRDefault="00732E7D" w:rsidP="00732E7D">
      <w:pPr>
        <w:pStyle w:val="FootnoteText"/>
      </w:pPr>
      <w:r>
        <w:rPr>
          <w:rStyle w:val="FootnoteReference"/>
        </w:rPr>
        <w:footnoteRef/>
      </w:r>
      <w:r>
        <w:t xml:space="preserve"> S.147(1) CA (Revision 2020).</w:t>
      </w:r>
    </w:p>
  </w:footnote>
  <w:footnote w:id="24">
    <w:p w14:paraId="1DAF2A69" w14:textId="77777777" w:rsidR="00732E7D" w:rsidRDefault="00732E7D" w:rsidP="00732E7D">
      <w:pPr>
        <w:pStyle w:val="FootnoteText"/>
      </w:pPr>
      <w:r>
        <w:rPr>
          <w:rStyle w:val="FootnoteReference"/>
        </w:rPr>
        <w:footnoteRef/>
      </w:r>
      <w:r>
        <w:t xml:space="preserve"> S.147(2) CA (Revision 2020).</w:t>
      </w:r>
    </w:p>
  </w:footnote>
  <w:footnote w:id="25">
    <w:p w14:paraId="63FAC10E" w14:textId="77777777" w:rsidR="00732E7D" w:rsidRDefault="00732E7D" w:rsidP="00732E7D">
      <w:pPr>
        <w:pStyle w:val="FootnoteText"/>
      </w:pPr>
      <w:r>
        <w:rPr>
          <w:rStyle w:val="FootnoteReference"/>
        </w:rPr>
        <w:footnoteRef/>
      </w:r>
      <w:r>
        <w:t xml:space="preserve"> S.100(2) CA (Revision 2020).</w:t>
      </w:r>
    </w:p>
  </w:footnote>
  <w:footnote w:id="26">
    <w:p w14:paraId="25CD17CB" w14:textId="77777777" w:rsidR="00732E7D" w:rsidRDefault="00732E7D" w:rsidP="00732E7D">
      <w:pPr>
        <w:pStyle w:val="FootnoteText"/>
      </w:pPr>
      <w:r>
        <w:rPr>
          <w:rStyle w:val="FootnoteReference"/>
        </w:rPr>
        <w:footnoteRef/>
      </w:r>
      <w:r>
        <w:t xml:space="preserve"> S.99 CA (Revision 2020).</w:t>
      </w:r>
    </w:p>
  </w:footnote>
  <w:footnote w:id="27">
    <w:p w14:paraId="48169B31" w14:textId="77777777" w:rsidR="00732E7D" w:rsidRDefault="00732E7D" w:rsidP="00732E7D">
      <w:pPr>
        <w:pStyle w:val="FootnoteText"/>
      </w:pPr>
      <w:r>
        <w:rPr>
          <w:rStyle w:val="FootnoteReference"/>
        </w:rPr>
        <w:footnoteRef/>
      </w:r>
      <w:r>
        <w:t xml:space="preserve"> Module at [39].</w:t>
      </w:r>
    </w:p>
  </w:footnote>
  <w:footnote w:id="28">
    <w:p w14:paraId="264C757A" w14:textId="77777777" w:rsidR="00732E7D" w:rsidRDefault="00732E7D" w:rsidP="00732E7D">
      <w:pPr>
        <w:pStyle w:val="FootnoteText"/>
      </w:pPr>
      <w:r>
        <w:rPr>
          <w:rStyle w:val="FootnoteReference"/>
        </w:rPr>
        <w:footnoteRef/>
      </w:r>
      <w:r>
        <w:t xml:space="preserve"> Module at [39]</w:t>
      </w:r>
    </w:p>
  </w:footnote>
  <w:footnote w:id="29">
    <w:p w14:paraId="5E439885" w14:textId="77777777" w:rsidR="00732E7D" w:rsidRDefault="00732E7D" w:rsidP="00732E7D">
      <w:pPr>
        <w:pStyle w:val="FootnoteText"/>
      </w:pPr>
      <w:r>
        <w:rPr>
          <w:rStyle w:val="FootnoteReference"/>
        </w:rPr>
        <w:footnoteRef/>
      </w:r>
      <w:r>
        <w:t xml:space="preserve"> Section. 146(2) CA (Revision 2020)</w:t>
      </w:r>
    </w:p>
  </w:footnote>
  <w:footnote w:id="30">
    <w:p w14:paraId="623EFFEE" w14:textId="77777777" w:rsidR="00732E7D" w:rsidRDefault="00732E7D" w:rsidP="00732E7D">
      <w:pPr>
        <w:pStyle w:val="FootnoteText"/>
      </w:pPr>
      <w:r>
        <w:rPr>
          <w:rStyle w:val="FootnoteReference"/>
        </w:rPr>
        <w:footnoteRef/>
      </w:r>
      <w:r>
        <w:t xml:space="preserve"> Section 146(1) CA (Revision 2020)</w:t>
      </w:r>
    </w:p>
  </w:footnote>
  <w:footnote w:id="31">
    <w:p w14:paraId="25ED3098" w14:textId="77777777" w:rsidR="00732E7D" w:rsidRDefault="00732E7D" w:rsidP="00732E7D">
      <w:pPr>
        <w:pStyle w:val="FootnoteText"/>
      </w:pPr>
      <w:r>
        <w:rPr>
          <w:rStyle w:val="FootnoteReference"/>
        </w:rPr>
        <w:footnoteRef/>
      </w:r>
      <w:r>
        <w:t xml:space="preserve"> Section 146(2) CA (Revision 2020); Module [39].</w:t>
      </w:r>
    </w:p>
  </w:footnote>
  <w:footnote w:id="32">
    <w:p w14:paraId="176DF69C" w14:textId="77777777" w:rsidR="00732E7D" w:rsidRDefault="00732E7D" w:rsidP="00732E7D">
      <w:pPr>
        <w:pStyle w:val="FootnoteText"/>
      </w:pPr>
      <w:r>
        <w:rPr>
          <w:rStyle w:val="FootnoteReference"/>
        </w:rPr>
        <w:footnoteRef/>
      </w:r>
      <w:r>
        <w:t xml:space="preserve"> Section 146(3) CA (Revision 2020)</w:t>
      </w:r>
    </w:p>
  </w:footnote>
  <w:footnote w:id="33">
    <w:p w14:paraId="709A8BC5" w14:textId="77777777" w:rsidR="00732E7D" w:rsidRDefault="00732E7D" w:rsidP="00732E7D">
      <w:pPr>
        <w:pStyle w:val="FootnoteText"/>
      </w:pPr>
      <w:r>
        <w:rPr>
          <w:rStyle w:val="FootnoteReference"/>
        </w:rPr>
        <w:footnoteRef/>
      </w:r>
      <w:r>
        <w:t xml:space="preserve"> Section 146(4) CA (Revision 2020)</w:t>
      </w:r>
    </w:p>
  </w:footnote>
  <w:footnote w:id="34">
    <w:p w14:paraId="73F1013F" w14:textId="77777777" w:rsidR="00732E7D" w:rsidRDefault="00732E7D" w:rsidP="00732E7D">
      <w:pPr>
        <w:pStyle w:val="FootnoteText"/>
      </w:pPr>
      <w:r>
        <w:rPr>
          <w:rStyle w:val="FootnoteReference"/>
        </w:rPr>
        <w:footnoteRef/>
      </w:r>
      <w:r>
        <w:t xml:space="preserve"> Section 146(5) CA (Revision 2020)</w:t>
      </w:r>
    </w:p>
  </w:footnote>
  <w:footnote w:id="35">
    <w:p w14:paraId="7FC9B150" w14:textId="77777777" w:rsidR="00732E7D" w:rsidRDefault="00732E7D" w:rsidP="00732E7D">
      <w:pPr>
        <w:pStyle w:val="FootnoteText"/>
      </w:pPr>
      <w:r>
        <w:rPr>
          <w:rStyle w:val="FootnoteReference"/>
        </w:rPr>
        <w:footnoteRef/>
      </w:r>
      <w:r>
        <w:t xml:space="preserve"> S. 93: </w:t>
      </w:r>
      <w:r>
        <w:rPr>
          <w:i/>
        </w:rPr>
        <w:t xml:space="preserve">“A company shall be deemed to be unable to pay its debts if – (a) a creditor by assignment or otherwise to whom the company is indebted at law or in equity in a sum exceeding one hundred dollars then due, has served on the company by leaving at its registered office a demand under that person’s hand requiring the company to pay the sum due, and the company has for the space of three weeks succeeding the service of such demand, neglected to pay such sum or to secure or compound for the same to the satisfaction of the creditor; (b) execution of other process issued on a judgment, decree or order obtained in the Court in </w:t>
      </w:r>
      <w:proofErr w:type="spellStart"/>
      <w:r>
        <w:rPr>
          <w:i/>
        </w:rPr>
        <w:t>favour</w:t>
      </w:r>
      <w:proofErr w:type="spellEnd"/>
      <w:r>
        <w:rPr>
          <w:i/>
        </w:rPr>
        <w:t xml:space="preserve"> of any creditor at law or in equity in any proceedings instituted by such creditor against the company, is returned unsatisfied in whole or in part; or (c) it is proved to the satisfaction of the Court that the company is unable to pay its debts.”</w:t>
      </w:r>
    </w:p>
  </w:footnote>
  <w:footnote w:id="36">
    <w:p w14:paraId="77A44BC3" w14:textId="77777777" w:rsidR="00732E7D" w:rsidRDefault="00732E7D" w:rsidP="00732E7D">
      <w:pPr>
        <w:pStyle w:val="FootnoteText"/>
      </w:pPr>
      <w:r>
        <w:rPr>
          <w:rStyle w:val="FootnoteReference"/>
        </w:rPr>
        <w:footnoteRef/>
      </w:r>
      <w:r>
        <w:t xml:space="preserve"> S. 145(1) CA (Revision 2020)</w:t>
      </w:r>
    </w:p>
  </w:footnote>
  <w:footnote w:id="37">
    <w:p w14:paraId="74FB61DC" w14:textId="77777777" w:rsidR="00732E7D" w:rsidRDefault="00732E7D" w:rsidP="00732E7D">
      <w:pPr>
        <w:pStyle w:val="FootnoteText"/>
      </w:pPr>
      <w:r>
        <w:rPr>
          <w:rStyle w:val="FootnoteReference"/>
        </w:rPr>
        <w:footnoteRef/>
      </w:r>
      <w:r>
        <w:t xml:space="preserve"> S. 145(2) CA (Revision 2020)</w:t>
      </w:r>
    </w:p>
  </w:footnote>
  <w:footnote w:id="38">
    <w:p w14:paraId="67BA16D6" w14:textId="77777777" w:rsidR="00F6278C" w:rsidRDefault="00F6278C" w:rsidP="00F6278C">
      <w:pPr>
        <w:pStyle w:val="FootnoteText"/>
      </w:pPr>
      <w:r>
        <w:rPr>
          <w:rStyle w:val="FootnoteReference"/>
        </w:rPr>
        <w:footnoteRef/>
      </w:r>
      <w:r>
        <w:t xml:space="preserve"> Module at [42] to [44].</w:t>
      </w:r>
    </w:p>
  </w:footnote>
  <w:footnote w:id="39">
    <w:p w14:paraId="690B0D65" w14:textId="77777777" w:rsidR="00F6278C" w:rsidRDefault="00F6278C" w:rsidP="00F6278C">
      <w:pPr>
        <w:pStyle w:val="FootnoteText"/>
      </w:pPr>
      <w:r>
        <w:rPr>
          <w:rStyle w:val="FootnoteReference"/>
        </w:rPr>
        <w:footnoteRef/>
      </w:r>
      <w:r>
        <w:t xml:space="preserve"> Https://www.walkersglobal.com/images/Publications/Articles 2019/January/SGP-IDR-Article-International Corporate Rescue Secured Rights and Receiverships Windfalls and Pitfalls – 22 Jan 2019.pdf</w:t>
      </w:r>
    </w:p>
    <w:p w14:paraId="680DCCFB" w14:textId="77777777" w:rsidR="00F6278C" w:rsidRDefault="00F6278C" w:rsidP="00F6278C">
      <w:pPr>
        <w:pStyle w:val="FootnoteText"/>
      </w:pPr>
      <w:r>
        <w:t xml:space="preserve"> </w:t>
      </w:r>
    </w:p>
  </w:footnote>
  <w:footnote w:id="40">
    <w:p w14:paraId="747DAB99" w14:textId="77777777" w:rsidR="00F6278C" w:rsidRDefault="00F6278C" w:rsidP="00F6278C">
      <w:pPr>
        <w:pStyle w:val="FootnoteText"/>
      </w:pPr>
      <w:r>
        <w:rPr>
          <w:rStyle w:val="FootnoteReference"/>
        </w:rPr>
        <w:footnoteRef/>
      </w:r>
      <w:r>
        <w:t xml:space="preserve"> Module at [44].</w:t>
      </w:r>
    </w:p>
  </w:footnote>
  <w:footnote w:id="41">
    <w:p w14:paraId="142CF470" w14:textId="77777777" w:rsidR="00F6278C" w:rsidRDefault="00F6278C" w:rsidP="00F6278C">
      <w:pPr>
        <w:pStyle w:val="FootnoteText"/>
      </w:pPr>
      <w:r>
        <w:rPr>
          <w:rStyle w:val="FootnoteReference"/>
        </w:rPr>
        <w:footnoteRef/>
      </w:r>
      <w:r>
        <w:t xml:space="preserve"> S.226(5) CA (Revision 2020).</w:t>
      </w:r>
    </w:p>
  </w:footnote>
  <w:footnote w:id="42">
    <w:p w14:paraId="1BAA16E0" w14:textId="77777777" w:rsidR="00F6278C" w:rsidRDefault="00F6278C" w:rsidP="00F6278C">
      <w:pPr>
        <w:pStyle w:val="FootnoteText"/>
      </w:pPr>
      <w:r>
        <w:rPr>
          <w:rStyle w:val="FootnoteReference"/>
        </w:rPr>
        <w:footnoteRef/>
      </w:r>
      <w:r>
        <w:t xml:space="preserve"> S.226(6) CA (Revision 2020).</w:t>
      </w:r>
    </w:p>
  </w:footnote>
  <w:footnote w:id="43">
    <w:p w14:paraId="229EF837" w14:textId="77777777" w:rsidR="00F902D4" w:rsidRDefault="00F902D4" w:rsidP="00F902D4">
      <w:pPr>
        <w:pStyle w:val="FootnoteText"/>
      </w:pPr>
      <w:r>
        <w:rPr>
          <w:rStyle w:val="FootnoteReference"/>
        </w:rPr>
        <w:footnoteRef/>
      </w:r>
      <w:r>
        <w:t xml:space="preserve"> S. 142(2) CA (Revision 2020)</w:t>
      </w:r>
    </w:p>
  </w:footnote>
  <w:footnote w:id="44">
    <w:p w14:paraId="47A5263B" w14:textId="77777777" w:rsidR="00F902D4" w:rsidRDefault="00F902D4" w:rsidP="00F902D4">
      <w:pPr>
        <w:pStyle w:val="FootnoteText"/>
      </w:pPr>
      <w:r>
        <w:rPr>
          <w:rStyle w:val="FootnoteReference"/>
        </w:rPr>
        <w:footnoteRef/>
      </w:r>
      <w:r>
        <w:t xml:space="preserve"> S 94(a) to (d) CA (Revision 2020)</w:t>
      </w:r>
    </w:p>
  </w:footnote>
  <w:footnote w:id="45">
    <w:p w14:paraId="25B86D84" w14:textId="77777777" w:rsidR="00F902D4" w:rsidRDefault="00F902D4" w:rsidP="00F902D4">
      <w:pPr>
        <w:pStyle w:val="FootnoteText"/>
      </w:pPr>
      <w:r>
        <w:rPr>
          <w:rStyle w:val="FootnoteReference"/>
        </w:rPr>
        <w:footnoteRef/>
      </w:r>
      <w:r>
        <w:t xml:space="preserve"> S 92(d) CA (Revision 2020)</w:t>
      </w:r>
    </w:p>
  </w:footnote>
  <w:footnote w:id="46">
    <w:p w14:paraId="2F4E30C1" w14:textId="77777777" w:rsidR="00F902D4" w:rsidRDefault="00F902D4" w:rsidP="00F902D4">
      <w:pPr>
        <w:pStyle w:val="FootnoteText"/>
      </w:pPr>
      <w:r>
        <w:rPr>
          <w:rStyle w:val="FootnoteReference"/>
        </w:rPr>
        <w:footnoteRef/>
      </w:r>
      <w:r>
        <w:t xml:space="preserve"> S 93(a) CA (Revision 2020)</w:t>
      </w:r>
    </w:p>
  </w:footnote>
  <w:footnote w:id="47">
    <w:p w14:paraId="65B120BF" w14:textId="77777777" w:rsidR="00F902D4" w:rsidRDefault="00F902D4" w:rsidP="00F902D4">
      <w:pPr>
        <w:pStyle w:val="FootnoteText"/>
      </w:pPr>
      <w:r>
        <w:rPr>
          <w:rStyle w:val="FootnoteReference"/>
        </w:rPr>
        <w:footnoteRef/>
      </w:r>
      <w:r>
        <w:t xml:space="preserve"> Schedule 2(1) of the CA (Revision 2020)</w:t>
      </w:r>
    </w:p>
  </w:footnote>
  <w:footnote w:id="48">
    <w:p w14:paraId="574227E9" w14:textId="77777777" w:rsidR="00F902D4" w:rsidRDefault="00F902D4" w:rsidP="00F902D4">
      <w:pPr>
        <w:pStyle w:val="FootnoteText"/>
      </w:pPr>
      <w:r>
        <w:rPr>
          <w:rStyle w:val="FootnoteReference"/>
        </w:rPr>
        <w:footnoteRef/>
      </w:r>
      <w:r>
        <w:t xml:space="preserve"> Schedule 2(2) of the CA (Revision 2020)</w:t>
      </w:r>
    </w:p>
  </w:footnote>
  <w:footnote w:id="49">
    <w:p w14:paraId="2001FE66" w14:textId="77777777" w:rsidR="00F902D4" w:rsidRDefault="00F902D4" w:rsidP="00F902D4">
      <w:pPr>
        <w:pStyle w:val="FootnoteText"/>
      </w:pPr>
      <w:r>
        <w:rPr>
          <w:rStyle w:val="FootnoteReference"/>
        </w:rPr>
        <w:footnoteRef/>
      </w:r>
      <w:r>
        <w:t xml:space="preserve"> Schedule 2(3) of the CA (Revision 2020)</w:t>
      </w:r>
    </w:p>
  </w:footnote>
  <w:footnote w:id="50">
    <w:p w14:paraId="07893FFD" w14:textId="77777777" w:rsidR="00F902D4" w:rsidRDefault="00F902D4" w:rsidP="00F902D4">
      <w:pPr>
        <w:pStyle w:val="FootnoteText"/>
      </w:pPr>
      <w:r>
        <w:rPr>
          <w:rStyle w:val="FootnoteReference"/>
        </w:rPr>
        <w:footnoteRef/>
      </w:r>
      <w:r>
        <w:t xml:space="preserve"> Schedule 2(5) of the CA (Revision 2020)</w:t>
      </w:r>
    </w:p>
  </w:footnote>
  <w:footnote w:id="51">
    <w:p w14:paraId="3768717A" w14:textId="77777777" w:rsidR="00F902D4" w:rsidRDefault="00F902D4" w:rsidP="00F902D4">
      <w:pPr>
        <w:pStyle w:val="FootnoteText"/>
      </w:pPr>
      <w:r>
        <w:rPr>
          <w:rStyle w:val="FootnoteReference"/>
        </w:rPr>
        <w:footnoteRef/>
      </w:r>
      <w:r>
        <w:t xml:space="preserve"> Section 142(1) of the CA (Revision 2020)</w:t>
      </w:r>
    </w:p>
  </w:footnote>
  <w:footnote w:id="52">
    <w:p w14:paraId="3CD62160" w14:textId="77777777" w:rsidR="00F902D4" w:rsidRDefault="00F902D4" w:rsidP="00F902D4">
      <w:pPr>
        <w:pStyle w:val="FootnoteText"/>
      </w:pPr>
      <w:r>
        <w:rPr>
          <w:rStyle w:val="FootnoteReference"/>
        </w:rPr>
        <w:footnoteRef/>
      </w:r>
      <w:r>
        <w:t xml:space="preserve"> Section 109(1) of the CA (Revision 2020)</w:t>
      </w:r>
    </w:p>
  </w:footnote>
  <w:footnote w:id="53">
    <w:p w14:paraId="7DCB215C" w14:textId="77777777" w:rsidR="00F902D4" w:rsidRDefault="00F902D4" w:rsidP="00F902D4">
      <w:pPr>
        <w:pStyle w:val="FootnoteText"/>
      </w:pPr>
      <w:r>
        <w:rPr>
          <w:rStyle w:val="FootnoteReference"/>
        </w:rPr>
        <w:footnoteRef/>
      </w:r>
      <w:r>
        <w:t xml:space="preserve"> Section 141 of the CA (Revision 2020); see also Schedule 2(1) of the CA (Revision 2020).</w:t>
      </w:r>
    </w:p>
  </w:footnote>
  <w:footnote w:id="54">
    <w:p w14:paraId="74CBBD2E" w14:textId="77777777" w:rsidR="00F902D4" w:rsidRDefault="00F902D4" w:rsidP="00F902D4">
      <w:pPr>
        <w:pStyle w:val="FootnoteText"/>
      </w:pPr>
      <w:r>
        <w:rPr>
          <w:rStyle w:val="FootnoteReference"/>
        </w:rPr>
        <w:footnoteRef/>
      </w:r>
      <w:r>
        <w:t xml:space="preserve"> Section 97 of the CA (Revision 2020)</w:t>
      </w:r>
    </w:p>
  </w:footnote>
  <w:footnote w:id="55">
    <w:p w14:paraId="47258A2B" w14:textId="77777777" w:rsidR="00F902D4" w:rsidRDefault="00F902D4" w:rsidP="00F902D4">
      <w:pPr>
        <w:pStyle w:val="FootnoteText"/>
      </w:pPr>
      <w:r>
        <w:rPr>
          <w:rStyle w:val="FootnoteReference"/>
        </w:rPr>
        <w:footnoteRef/>
      </w:r>
      <w:r>
        <w:t xml:space="preserve"> S. 91(a) of the CA (Revision 2020)</w:t>
      </w:r>
    </w:p>
  </w:footnote>
  <w:footnote w:id="56">
    <w:p w14:paraId="0632623A" w14:textId="77777777" w:rsidR="00F902D4" w:rsidRDefault="00F902D4" w:rsidP="00F902D4">
      <w:pPr>
        <w:pStyle w:val="FootnoteText"/>
      </w:pPr>
      <w:r>
        <w:rPr>
          <w:rStyle w:val="FootnoteReference"/>
        </w:rPr>
        <w:footnoteRef/>
      </w:r>
      <w:r>
        <w:t xml:space="preserve"> S. 91(b) of the CA (Revision 2020)</w:t>
      </w:r>
    </w:p>
  </w:footnote>
  <w:footnote w:id="57">
    <w:p w14:paraId="55EEECF0" w14:textId="77777777" w:rsidR="00F902D4" w:rsidRDefault="00F902D4" w:rsidP="00F902D4">
      <w:pPr>
        <w:pStyle w:val="FootnoteText"/>
      </w:pPr>
      <w:r>
        <w:rPr>
          <w:rStyle w:val="FootnoteReference"/>
        </w:rPr>
        <w:footnoteRef/>
      </w:r>
      <w:r>
        <w:t xml:space="preserve"> S.91(d)(</w:t>
      </w:r>
      <w:proofErr w:type="spellStart"/>
      <w:r>
        <w:t>i</w:t>
      </w:r>
      <w:proofErr w:type="spellEnd"/>
      <w:r>
        <w:t>) of the CA (Revision 2020)</w:t>
      </w:r>
    </w:p>
  </w:footnote>
  <w:footnote w:id="58">
    <w:p w14:paraId="4A0490EC" w14:textId="77777777" w:rsidR="00F902D4" w:rsidRDefault="00F902D4" w:rsidP="00F902D4">
      <w:pPr>
        <w:pStyle w:val="FootnoteText"/>
      </w:pPr>
      <w:r>
        <w:rPr>
          <w:rStyle w:val="FootnoteReference"/>
        </w:rPr>
        <w:footnoteRef/>
      </w:r>
      <w:r>
        <w:t xml:space="preserve"> S.91(d)(ii) of the CA (Revision 2020)</w:t>
      </w:r>
    </w:p>
  </w:footnote>
  <w:footnote w:id="59">
    <w:p w14:paraId="2C38907E" w14:textId="77777777" w:rsidR="00F902D4" w:rsidRDefault="00F902D4" w:rsidP="00F902D4">
      <w:pPr>
        <w:pStyle w:val="FootnoteText"/>
      </w:pPr>
      <w:r>
        <w:rPr>
          <w:rStyle w:val="FootnoteReference"/>
        </w:rPr>
        <w:footnoteRef/>
      </w:r>
      <w:r>
        <w:t xml:space="preserve"> S. 104(2)(b)(</w:t>
      </w:r>
      <w:proofErr w:type="spellStart"/>
      <w:r>
        <w:t>i</w:t>
      </w:r>
      <w:proofErr w:type="spellEnd"/>
      <w:r>
        <w:t>) of the CA (Revision 2020)</w:t>
      </w:r>
    </w:p>
  </w:footnote>
  <w:footnote w:id="60">
    <w:p w14:paraId="110BF4B0" w14:textId="77777777" w:rsidR="00F902D4" w:rsidRDefault="00F902D4" w:rsidP="00F902D4">
      <w:pPr>
        <w:pStyle w:val="FootnoteText"/>
      </w:pPr>
      <w:r>
        <w:rPr>
          <w:rStyle w:val="FootnoteReference"/>
        </w:rPr>
        <w:footnoteRef/>
      </w:r>
      <w:r>
        <w:t xml:space="preserve"> S. 104(2)(b)(iii) of the CA (Revision 2020)</w:t>
      </w:r>
    </w:p>
  </w:footnote>
  <w:footnote w:id="61">
    <w:p w14:paraId="12B6BF49" w14:textId="77777777" w:rsidR="00F902D4" w:rsidRPr="005827ED" w:rsidRDefault="00F902D4" w:rsidP="00F902D4">
      <w:pPr>
        <w:pStyle w:val="FootnoteText"/>
        <w:rPr>
          <w:i/>
        </w:rPr>
      </w:pPr>
      <w:r>
        <w:rPr>
          <w:rStyle w:val="FootnoteReference"/>
        </w:rPr>
        <w:footnoteRef/>
      </w:r>
      <w:r>
        <w:t xml:space="preserve"> S. 93: </w:t>
      </w:r>
      <w:r>
        <w:rPr>
          <w:i/>
        </w:rPr>
        <w:t xml:space="preserve">“A company shall be deemed to be unable to pay its debts if – (a) a creditor by assignment or otherwise to whom the company is indebted at law or in equity in a sum exceeding one hundred dollars then due, has served on the company by leaving at its registered office a demand under that person’s hand requiring the company to pay the sum due, and the company has for the space of three weeks succeeding the service of such demand, neglected to pay such sum or to secure or compound for the same to the satisfaction of the creditor; (b) execution of other process issued on a judgment, decree or order obtained in the Court in </w:t>
      </w:r>
      <w:proofErr w:type="spellStart"/>
      <w:r>
        <w:rPr>
          <w:i/>
        </w:rPr>
        <w:t>favour</w:t>
      </w:r>
      <w:proofErr w:type="spellEnd"/>
      <w:r>
        <w:rPr>
          <w:i/>
        </w:rPr>
        <w:t xml:space="preserve"> of any creditor at law or in equity in any proceedings instituted by such creditor against the company, is returned unsatisfied in whole or in part; or (c) it is proved to the satisfaction of the Court that the company is unable to pay its debts.”</w:t>
      </w:r>
    </w:p>
  </w:footnote>
  <w:footnote w:id="62">
    <w:p w14:paraId="07D5019B" w14:textId="77777777" w:rsidR="00F902D4" w:rsidRDefault="00F902D4" w:rsidP="00F902D4">
      <w:pPr>
        <w:pStyle w:val="FootnoteText"/>
      </w:pPr>
      <w:r>
        <w:rPr>
          <w:rStyle w:val="FootnoteReference"/>
        </w:rPr>
        <w:footnoteRef/>
      </w:r>
      <w:r>
        <w:t xml:space="preserve"> At [36] –[37]</w:t>
      </w:r>
    </w:p>
  </w:footnote>
  <w:footnote w:id="63">
    <w:p w14:paraId="11AB3FA0" w14:textId="77777777" w:rsidR="00F902D4" w:rsidRDefault="00F902D4" w:rsidP="00F902D4">
      <w:pPr>
        <w:pStyle w:val="FootnoteText"/>
      </w:pPr>
      <w:r>
        <w:rPr>
          <w:rStyle w:val="FootnoteReference"/>
        </w:rPr>
        <w:footnoteRef/>
      </w:r>
      <w:r>
        <w:t xml:space="preserve"> Module at [6.5.2.4]</w:t>
      </w:r>
    </w:p>
  </w:footnote>
  <w:footnote w:id="64">
    <w:p w14:paraId="71B485F5" w14:textId="77777777" w:rsidR="00F902D4" w:rsidRDefault="00F902D4" w:rsidP="00F902D4">
      <w:pPr>
        <w:pStyle w:val="FootnoteText"/>
      </w:pPr>
      <w:r>
        <w:rPr>
          <w:rStyle w:val="FootnoteReference"/>
        </w:rPr>
        <w:footnoteRef/>
      </w:r>
      <w:r>
        <w:t xml:space="preserve"> Cayman Restructuring Toolkit: Exploring the Flexible Restructuring Options on Offer in the Cayman Islands  </w:t>
      </w:r>
    </w:p>
  </w:footnote>
  <w:footnote w:id="65">
    <w:p w14:paraId="358407FB" w14:textId="77777777" w:rsidR="00F902D4" w:rsidRDefault="00F902D4" w:rsidP="00F902D4">
      <w:pPr>
        <w:pStyle w:val="FootnoteText"/>
      </w:pPr>
      <w:r>
        <w:rPr>
          <w:rStyle w:val="FootnoteReference"/>
        </w:rPr>
        <w:footnoteRef/>
      </w:r>
      <w:r>
        <w:t xml:space="preserve"> S. 86(2) CA (Revision 2020)</w:t>
      </w:r>
    </w:p>
  </w:footnote>
  <w:footnote w:id="66">
    <w:p w14:paraId="25330B51" w14:textId="77777777" w:rsidR="00F902D4" w:rsidRDefault="00F902D4" w:rsidP="00F902D4">
      <w:pPr>
        <w:pStyle w:val="FootnoteText"/>
      </w:pPr>
      <w:r>
        <w:rPr>
          <w:rStyle w:val="FootnoteReference"/>
        </w:rPr>
        <w:footnoteRef/>
      </w:r>
      <w:r>
        <w:t xml:space="preserve"> Bestway Global Holdings Inc: A Summary of the Principles Applied When Considering Applications For Schemes of Arrangement and Capital Reductions: </w:t>
      </w:r>
      <w:proofErr w:type="spellStart"/>
      <w:r>
        <w:t>Ms</w:t>
      </w:r>
      <w:proofErr w:type="spellEnd"/>
      <w:r>
        <w:t xml:space="preserve"> Sarah McLennan.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0FF9"/>
    <w:multiLevelType w:val="hybridMultilevel"/>
    <w:tmpl w:val="0B7043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F653E"/>
    <w:multiLevelType w:val="hybridMultilevel"/>
    <w:tmpl w:val="BF220668"/>
    <w:lvl w:ilvl="0" w:tplc="8B4E9000">
      <w:start w:val="24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16EC6"/>
    <w:multiLevelType w:val="hybridMultilevel"/>
    <w:tmpl w:val="DFF8BBB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C1711E"/>
    <w:multiLevelType w:val="hybridMultilevel"/>
    <w:tmpl w:val="52143938"/>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7E4A03"/>
    <w:multiLevelType w:val="hybridMultilevel"/>
    <w:tmpl w:val="6B005C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AF36DA"/>
    <w:multiLevelType w:val="hybridMultilevel"/>
    <w:tmpl w:val="1C7AB9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7D6B69"/>
    <w:multiLevelType w:val="hybridMultilevel"/>
    <w:tmpl w:val="863040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A704A0"/>
    <w:multiLevelType w:val="hybridMultilevel"/>
    <w:tmpl w:val="24BE075A"/>
    <w:lvl w:ilvl="0" w:tplc="BFACC70E">
      <w:start w:val="1"/>
      <w:numFmt w:val="lowerLetter"/>
      <w:lvlText w:val="(%1)"/>
      <w:lvlJc w:val="left"/>
      <w:pPr>
        <w:ind w:left="720" w:hanging="360"/>
      </w:pPr>
      <w:rPr>
        <w:rFonts w:ascii="Arial" w:eastAsia="Arial" w:hAnsi="Arial" w:cs="Arial" w:hint="default"/>
        <w:w w:val="100"/>
        <w:sz w:val="22"/>
        <w:szCs w:val="22"/>
      </w:rPr>
    </w:lvl>
    <w:lvl w:ilvl="1" w:tplc="BFACC70E">
      <w:start w:val="1"/>
      <w:numFmt w:val="lowerLetter"/>
      <w:lvlText w:val="(%2)"/>
      <w:lvlJc w:val="left"/>
      <w:pPr>
        <w:ind w:left="2160" w:hanging="360"/>
      </w:pPr>
      <w:rPr>
        <w:rFonts w:ascii="Arial" w:eastAsia="Arial" w:hAnsi="Arial" w:cs="Arial" w:hint="default"/>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BD55DB"/>
    <w:multiLevelType w:val="hybridMultilevel"/>
    <w:tmpl w:val="6AC47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6B3C45"/>
    <w:multiLevelType w:val="hybridMultilevel"/>
    <w:tmpl w:val="A3AA5AE2"/>
    <w:lvl w:ilvl="0" w:tplc="168409D4">
      <w:start w:val="1"/>
      <w:numFmt w:val="bullet"/>
      <w:lvlText w:val=""/>
      <w:lvlJc w:val="left"/>
      <w:pPr>
        <w:ind w:left="360" w:hanging="360"/>
      </w:pPr>
      <w:rPr>
        <w:rFonts w:ascii="Symbol" w:hAnsi="Symbol" w:hint="default"/>
        <w:color w:val="44546A" w:themeColor="tex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70711E9"/>
    <w:multiLevelType w:val="hybridMultilevel"/>
    <w:tmpl w:val="92625330"/>
    <w:lvl w:ilvl="0" w:tplc="B1B4E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1CE94316"/>
    <w:multiLevelType w:val="hybridMultilevel"/>
    <w:tmpl w:val="08D05942"/>
    <w:lvl w:ilvl="0" w:tplc="F9CEDA2A">
      <w:start w:val="1"/>
      <w:numFmt w:val="lowerLetter"/>
      <w:lvlText w:val="%1)"/>
      <w:lvlJc w:val="left"/>
      <w:pPr>
        <w:ind w:left="360" w:hanging="360"/>
      </w:pPr>
      <w:rPr>
        <w:rFonts w:hint="default"/>
        <w:color w:val="7B7B7B" w:themeColor="accent3" w:themeShade="BF"/>
      </w:rPr>
    </w:lvl>
    <w:lvl w:ilvl="1" w:tplc="168409D4">
      <w:start w:val="1"/>
      <w:numFmt w:val="bullet"/>
      <w:lvlText w:val=""/>
      <w:lvlJc w:val="left"/>
      <w:pPr>
        <w:ind w:left="360" w:hanging="360"/>
      </w:pPr>
      <w:rPr>
        <w:rFonts w:ascii="Symbol" w:hAnsi="Symbol" w:hint="default"/>
        <w:color w:val="44546A" w:themeColor="text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DA45A4E"/>
    <w:multiLevelType w:val="hybridMultilevel"/>
    <w:tmpl w:val="F5405C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021501F"/>
    <w:multiLevelType w:val="hybridMultilevel"/>
    <w:tmpl w:val="8E0E2F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22A5D37"/>
    <w:multiLevelType w:val="hybridMultilevel"/>
    <w:tmpl w:val="D0E46052"/>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15:restartNumberingAfterBreak="0">
    <w:nsid w:val="25A2629B"/>
    <w:multiLevelType w:val="hybridMultilevel"/>
    <w:tmpl w:val="1E18DFD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277A39E8"/>
    <w:multiLevelType w:val="hybridMultilevel"/>
    <w:tmpl w:val="0A1A01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9B07AFE"/>
    <w:multiLevelType w:val="hybridMultilevel"/>
    <w:tmpl w:val="8118D83C"/>
    <w:lvl w:ilvl="0" w:tplc="BFA848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2C6A144C"/>
    <w:multiLevelType w:val="hybridMultilevel"/>
    <w:tmpl w:val="1E64682C"/>
    <w:lvl w:ilvl="0" w:tplc="24090017">
      <w:start w:val="1"/>
      <w:numFmt w:val="lowerLetter"/>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24" w15:restartNumberingAfterBreak="0">
    <w:nsid w:val="2C7414D0"/>
    <w:multiLevelType w:val="hybridMultilevel"/>
    <w:tmpl w:val="6852AF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6" w15:restartNumberingAfterBreak="0">
    <w:nsid w:val="311C2E4E"/>
    <w:multiLevelType w:val="hybridMultilevel"/>
    <w:tmpl w:val="67E6484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31AC5EB1"/>
    <w:multiLevelType w:val="hybridMultilevel"/>
    <w:tmpl w:val="D66A1D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9571124"/>
    <w:multiLevelType w:val="hybridMultilevel"/>
    <w:tmpl w:val="019E6B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A022128"/>
    <w:multiLevelType w:val="hybridMultilevel"/>
    <w:tmpl w:val="AFD87DB6"/>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1917C1"/>
    <w:multiLevelType w:val="hybridMultilevel"/>
    <w:tmpl w:val="1B0841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6EB5A95"/>
    <w:multiLevelType w:val="hybridMultilevel"/>
    <w:tmpl w:val="03B48A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7845272"/>
    <w:multiLevelType w:val="hybridMultilevel"/>
    <w:tmpl w:val="3A84655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3" w15:restartNumberingAfterBreak="0">
    <w:nsid w:val="4A777E1D"/>
    <w:multiLevelType w:val="hybridMultilevel"/>
    <w:tmpl w:val="D67861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A8B0C8C"/>
    <w:multiLevelType w:val="hybridMultilevel"/>
    <w:tmpl w:val="962C99C6"/>
    <w:lvl w:ilvl="0" w:tplc="E612D172">
      <w:start w:val="24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0E18D4"/>
    <w:multiLevelType w:val="hybridMultilevel"/>
    <w:tmpl w:val="4FE8CB66"/>
    <w:lvl w:ilvl="0" w:tplc="A6C6AB92">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26A6DAE"/>
    <w:multiLevelType w:val="hybridMultilevel"/>
    <w:tmpl w:val="1D20B08C"/>
    <w:lvl w:ilvl="0" w:tplc="148805B4">
      <w:start w:val="1"/>
      <w:numFmt w:val="lowerLetter"/>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58073B1F"/>
    <w:multiLevelType w:val="hybridMultilevel"/>
    <w:tmpl w:val="FB0CBE3E"/>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8" w15:restartNumberingAfterBreak="0">
    <w:nsid w:val="59305AF2"/>
    <w:multiLevelType w:val="hybridMultilevel"/>
    <w:tmpl w:val="4CC80FF4"/>
    <w:lvl w:ilvl="0" w:tplc="DF38232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B440D5C"/>
    <w:multiLevelType w:val="hybridMultilevel"/>
    <w:tmpl w:val="77767E7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0"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4F37807"/>
    <w:multiLevelType w:val="hybridMultilevel"/>
    <w:tmpl w:val="E44A77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2" w15:restartNumberingAfterBreak="0">
    <w:nsid w:val="67422D78"/>
    <w:multiLevelType w:val="hybridMultilevel"/>
    <w:tmpl w:val="E820C1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4"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5" w15:restartNumberingAfterBreak="0">
    <w:nsid w:val="6CE85E7B"/>
    <w:multiLevelType w:val="hybridMultilevel"/>
    <w:tmpl w:val="3FD2A906"/>
    <w:lvl w:ilvl="0" w:tplc="DAE8B936">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64332AC"/>
    <w:multiLevelType w:val="hybridMultilevel"/>
    <w:tmpl w:val="BC8E3826"/>
    <w:lvl w:ilvl="0" w:tplc="2FF0675C">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FF48E2"/>
    <w:multiLevelType w:val="hybridMultilevel"/>
    <w:tmpl w:val="0368FA78"/>
    <w:lvl w:ilvl="0" w:tplc="D22ECD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25"/>
  </w:num>
  <w:num w:numId="3">
    <w:abstractNumId w:val="21"/>
  </w:num>
  <w:num w:numId="4">
    <w:abstractNumId w:val="43"/>
  </w:num>
  <w:num w:numId="5">
    <w:abstractNumId w:val="22"/>
  </w:num>
  <w:num w:numId="6">
    <w:abstractNumId w:val="35"/>
  </w:num>
  <w:num w:numId="7">
    <w:abstractNumId w:val="44"/>
  </w:num>
  <w:num w:numId="8">
    <w:abstractNumId w:val="40"/>
  </w:num>
  <w:num w:numId="9">
    <w:abstractNumId w:val="18"/>
  </w:num>
  <w:num w:numId="10">
    <w:abstractNumId w:val="12"/>
  </w:num>
  <w:num w:numId="11">
    <w:abstractNumId w:val="14"/>
  </w:num>
  <w:num w:numId="12">
    <w:abstractNumId w:val="19"/>
  </w:num>
  <w:num w:numId="13">
    <w:abstractNumId w:val="28"/>
  </w:num>
  <w:num w:numId="14">
    <w:abstractNumId w:val="4"/>
  </w:num>
  <w:num w:numId="15">
    <w:abstractNumId w:val="15"/>
  </w:num>
  <w:num w:numId="16">
    <w:abstractNumId w:val="42"/>
  </w:num>
  <w:num w:numId="17">
    <w:abstractNumId w:val="7"/>
  </w:num>
  <w:num w:numId="18">
    <w:abstractNumId w:val="9"/>
  </w:num>
  <w:num w:numId="19">
    <w:abstractNumId w:val="31"/>
  </w:num>
  <w:num w:numId="20">
    <w:abstractNumId w:val="29"/>
  </w:num>
  <w:num w:numId="21">
    <w:abstractNumId w:val="3"/>
  </w:num>
  <w:num w:numId="22">
    <w:abstractNumId w:val="13"/>
  </w:num>
  <w:num w:numId="23">
    <w:abstractNumId w:val="47"/>
  </w:num>
  <w:num w:numId="24">
    <w:abstractNumId w:val="0"/>
  </w:num>
  <w:num w:numId="25">
    <w:abstractNumId w:val="37"/>
  </w:num>
  <w:num w:numId="26">
    <w:abstractNumId w:val="10"/>
  </w:num>
  <w:num w:numId="27">
    <w:abstractNumId w:val="16"/>
  </w:num>
  <w:num w:numId="28">
    <w:abstractNumId w:val="5"/>
  </w:num>
  <w:num w:numId="29">
    <w:abstractNumId w:val="8"/>
  </w:num>
  <w:num w:numId="30">
    <w:abstractNumId w:val="23"/>
  </w:num>
  <w:num w:numId="31">
    <w:abstractNumId w:val="30"/>
  </w:num>
  <w:num w:numId="32">
    <w:abstractNumId w:val="26"/>
  </w:num>
  <w:num w:numId="33">
    <w:abstractNumId w:val="32"/>
  </w:num>
  <w:num w:numId="34">
    <w:abstractNumId w:val="24"/>
  </w:num>
  <w:num w:numId="35">
    <w:abstractNumId w:val="17"/>
  </w:num>
  <w:num w:numId="36">
    <w:abstractNumId w:val="2"/>
  </w:num>
  <w:num w:numId="37">
    <w:abstractNumId w:val="33"/>
  </w:num>
  <w:num w:numId="38">
    <w:abstractNumId w:val="27"/>
  </w:num>
  <w:num w:numId="39">
    <w:abstractNumId w:val="41"/>
  </w:num>
  <w:num w:numId="40">
    <w:abstractNumId w:val="39"/>
  </w:num>
  <w:num w:numId="41">
    <w:abstractNumId w:val="6"/>
  </w:num>
  <w:num w:numId="42">
    <w:abstractNumId w:val="11"/>
  </w:num>
  <w:num w:numId="43">
    <w:abstractNumId w:val="34"/>
  </w:num>
  <w:num w:numId="44">
    <w:abstractNumId w:val="1"/>
  </w:num>
  <w:num w:numId="45">
    <w:abstractNumId w:val="20"/>
  </w:num>
  <w:num w:numId="46">
    <w:abstractNumId w:val="38"/>
  </w:num>
  <w:num w:numId="47">
    <w:abstractNumId w:val="46"/>
  </w:num>
  <w:num w:numId="48">
    <w:abstractNumId w:val="3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6DA"/>
    <w:rsid w:val="00007BF3"/>
    <w:rsid w:val="00010BA0"/>
    <w:rsid w:val="00016475"/>
    <w:rsid w:val="00020557"/>
    <w:rsid w:val="00021FC2"/>
    <w:rsid w:val="00023705"/>
    <w:rsid w:val="000250C7"/>
    <w:rsid w:val="00025BA2"/>
    <w:rsid w:val="00026F16"/>
    <w:rsid w:val="00033F56"/>
    <w:rsid w:val="00037621"/>
    <w:rsid w:val="00044D46"/>
    <w:rsid w:val="00045088"/>
    <w:rsid w:val="00045904"/>
    <w:rsid w:val="000502FD"/>
    <w:rsid w:val="000577D2"/>
    <w:rsid w:val="00065166"/>
    <w:rsid w:val="000659CF"/>
    <w:rsid w:val="00082609"/>
    <w:rsid w:val="000851CC"/>
    <w:rsid w:val="00087F21"/>
    <w:rsid w:val="00093BE8"/>
    <w:rsid w:val="000A407B"/>
    <w:rsid w:val="000A68ED"/>
    <w:rsid w:val="000A7BE7"/>
    <w:rsid w:val="000B5FF1"/>
    <w:rsid w:val="000B609F"/>
    <w:rsid w:val="000B65FD"/>
    <w:rsid w:val="000C3F26"/>
    <w:rsid w:val="000D33BB"/>
    <w:rsid w:val="000D55A8"/>
    <w:rsid w:val="000E374E"/>
    <w:rsid w:val="000E4841"/>
    <w:rsid w:val="000E5219"/>
    <w:rsid w:val="000F1677"/>
    <w:rsid w:val="000F3D6C"/>
    <w:rsid w:val="000F58C0"/>
    <w:rsid w:val="000F6063"/>
    <w:rsid w:val="00101707"/>
    <w:rsid w:val="00102CC9"/>
    <w:rsid w:val="0010593A"/>
    <w:rsid w:val="001108F8"/>
    <w:rsid w:val="0011473D"/>
    <w:rsid w:val="00115C85"/>
    <w:rsid w:val="00123855"/>
    <w:rsid w:val="00126A4D"/>
    <w:rsid w:val="0014171F"/>
    <w:rsid w:val="0014622C"/>
    <w:rsid w:val="001463D6"/>
    <w:rsid w:val="0014728C"/>
    <w:rsid w:val="00152348"/>
    <w:rsid w:val="0015456D"/>
    <w:rsid w:val="00155FA2"/>
    <w:rsid w:val="00157B58"/>
    <w:rsid w:val="00161F1B"/>
    <w:rsid w:val="00162829"/>
    <w:rsid w:val="00163644"/>
    <w:rsid w:val="00180548"/>
    <w:rsid w:val="00180AC4"/>
    <w:rsid w:val="00180CCE"/>
    <w:rsid w:val="0018267A"/>
    <w:rsid w:val="00182779"/>
    <w:rsid w:val="001830DF"/>
    <w:rsid w:val="0018424C"/>
    <w:rsid w:val="00184677"/>
    <w:rsid w:val="00192E2C"/>
    <w:rsid w:val="001966D9"/>
    <w:rsid w:val="001A007A"/>
    <w:rsid w:val="001A125A"/>
    <w:rsid w:val="001A7E9A"/>
    <w:rsid w:val="001B0F70"/>
    <w:rsid w:val="001B1C6D"/>
    <w:rsid w:val="001B5016"/>
    <w:rsid w:val="001C11C8"/>
    <w:rsid w:val="001C45FC"/>
    <w:rsid w:val="001D0469"/>
    <w:rsid w:val="001D054E"/>
    <w:rsid w:val="001D13A8"/>
    <w:rsid w:val="001D29C0"/>
    <w:rsid w:val="001D4862"/>
    <w:rsid w:val="001E0E5B"/>
    <w:rsid w:val="001E25B9"/>
    <w:rsid w:val="001E49E0"/>
    <w:rsid w:val="001E7937"/>
    <w:rsid w:val="001E7B5A"/>
    <w:rsid w:val="001F16A2"/>
    <w:rsid w:val="001F7412"/>
    <w:rsid w:val="0020090A"/>
    <w:rsid w:val="00200937"/>
    <w:rsid w:val="00202DFE"/>
    <w:rsid w:val="0020725B"/>
    <w:rsid w:val="00210493"/>
    <w:rsid w:val="002110F1"/>
    <w:rsid w:val="0021466E"/>
    <w:rsid w:val="002172B8"/>
    <w:rsid w:val="0023485E"/>
    <w:rsid w:val="002356EA"/>
    <w:rsid w:val="00236D5B"/>
    <w:rsid w:val="0024116D"/>
    <w:rsid w:val="00241B44"/>
    <w:rsid w:val="00241BC4"/>
    <w:rsid w:val="00241DD1"/>
    <w:rsid w:val="00241FA3"/>
    <w:rsid w:val="00245EFB"/>
    <w:rsid w:val="002476AF"/>
    <w:rsid w:val="0025386E"/>
    <w:rsid w:val="00253DDF"/>
    <w:rsid w:val="00262D92"/>
    <w:rsid w:val="002638B0"/>
    <w:rsid w:val="0026647A"/>
    <w:rsid w:val="0026678C"/>
    <w:rsid w:val="002668D3"/>
    <w:rsid w:val="0027299F"/>
    <w:rsid w:val="00284EBE"/>
    <w:rsid w:val="002903A7"/>
    <w:rsid w:val="0029433F"/>
    <w:rsid w:val="00294829"/>
    <w:rsid w:val="0029690F"/>
    <w:rsid w:val="00297C8A"/>
    <w:rsid w:val="002A2A60"/>
    <w:rsid w:val="002A2C21"/>
    <w:rsid w:val="002A37BB"/>
    <w:rsid w:val="002A465F"/>
    <w:rsid w:val="002A4B95"/>
    <w:rsid w:val="002B1C45"/>
    <w:rsid w:val="002B3449"/>
    <w:rsid w:val="002B3A96"/>
    <w:rsid w:val="002C13C8"/>
    <w:rsid w:val="002C3547"/>
    <w:rsid w:val="002C3808"/>
    <w:rsid w:val="002C4B43"/>
    <w:rsid w:val="002D0021"/>
    <w:rsid w:val="002D299D"/>
    <w:rsid w:val="002D3473"/>
    <w:rsid w:val="002E5F72"/>
    <w:rsid w:val="002F1956"/>
    <w:rsid w:val="002F3440"/>
    <w:rsid w:val="002F372D"/>
    <w:rsid w:val="002F75A3"/>
    <w:rsid w:val="00303C2F"/>
    <w:rsid w:val="003042CB"/>
    <w:rsid w:val="00305564"/>
    <w:rsid w:val="00307707"/>
    <w:rsid w:val="00311983"/>
    <w:rsid w:val="003144EF"/>
    <w:rsid w:val="00326292"/>
    <w:rsid w:val="00326415"/>
    <w:rsid w:val="00330937"/>
    <w:rsid w:val="00330F31"/>
    <w:rsid w:val="00333CA0"/>
    <w:rsid w:val="00334648"/>
    <w:rsid w:val="0033768C"/>
    <w:rsid w:val="00337938"/>
    <w:rsid w:val="00340769"/>
    <w:rsid w:val="00341AA6"/>
    <w:rsid w:val="003563F4"/>
    <w:rsid w:val="00361A0A"/>
    <w:rsid w:val="00364836"/>
    <w:rsid w:val="0036565C"/>
    <w:rsid w:val="0036625E"/>
    <w:rsid w:val="0037465A"/>
    <w:rsid w:val="00377065"/>
    <w:rsid w:val="00382C98"/>
    <w:rsid w:val="0038464E"/>
    <w:rsid w:val="0038533C"/>
    <w:rsid w:val="00386568"/>
    <w:rsid w:val="00387824"/>
    <w:rsid w:val="00390B57"/>
    <w:rsid w:val="00391C9D"/>
    <w:rsid w:val="003938A1"/>
    <w:rsid w:val="003948D5"/>
    <w:rsid w:val="00396821"/>
    <w:rsid w:val="00397D3A"/>
    <w:rsid w:val="003A051E"/>
    <w:rsid w:val="003A2780"/>
    <w:rsid w:val="003B170F"/>
    <w:rsid w:val="003B3C5F"/>
    <w:rsid w:val="003C2370"/>
    <w:rsid w:val="003C4471"/>
    <w:rsid w:val="003D0A6D"/>
    <w:rsid w:val="003D49A7"/>
    <w:rsid w:val="003D4A20"/>
    <w:rsid w:val="003E0B16"/>
    <w:rsid w:val="003E67D1"/>
    <w:rsid w:val="003E7675"/>
    <w:rsid w:val="003F2554"/>
    <w:rsid w:val="003F6280"/>
    <w:rsid w:val="00404329"/>
    <w:rsid w:val="00405DC1"/>
    <w:rsid w:val="00406382"/>
    <w:rsid w:val="00415F1F"/>
    <w:rsid w:val="00416D2B"/>
    <w:rsid w:val="0042108F"/>
    <w:rsid w:val="00430FED"/>
    <w:rsid w:val="00434A8C"/>
    <w:rsid w:val="00435419"/>
    <w:rsid w:val="00437297"/>
    <w:rsid w:val="00444284"/>
    <w:rsid w:val="00445CE6"/>
    <w:rsid w:val="004534C2"/>
    <w:rsid w:val="0045446F"/>
    <w:rsid w:val="0045683E"/>
    <w:rsid w:val="00457D45"/>
    <w:rsid w:val="00460F33"/>
    <w:rsid w:val="0047688A"/>
    <w:rsid w:val="00477C72"/>
    <w:rsid w:val="00484ECB"/>
    <w:rsid w:val="0048787C"/>
    <w:rsid w:val="00491675"/>
    <w:rsid w:val="00493855"/>
    <w:rsid w:val="004943BE"/>
    <w:rsid w:val="00495E79"/>
    <w:rsid w:val="004A26C9"/>
    <w:rsid w:val="004A2D83"/>
    <w:rsid w:val="004A57DD"/>
    <w:rsid w:val="004A7B51"/>
    <w:rsid w:val="004A7D71"/>
    <w:rsid w:val="004A7EF3"/>
    <w:rsid w:val="004B11FD"/>
    <w:rsid w:val="004B23A2"/>
    <w:rsid w:val="004B73CF"/>
    <w:rsid w:val="004C558E"/>
    <w:rsid w:val="004C5EAD"/>
    <w:rsid w:val="004D1A5A"/>
    <w:rsid w:val="004D2FFF"/>
    <w:rsid w:val="004D3721"/>
    <w:rsid w:val="004D4774"/>
    <w:rsid w:val="004D64F9"/>
    <w:rsid w:val="004E39B7"/>
    <w:rsid w:val="004E3A6B"/>
    <w:rsid w:val="004E622C"/>
    <w:rsid w:val="004F30B3"/>
    <w:rsid w:val="004F5FDF"/>
    <w:rsid w:val="00501EDC"/>
    <w:rsid w:val="005123A3"/>
    <w:rsid w:val="005177FE"/>
    <w:rsid w:val="0052263B"/>
    <w:rsid w:val="00524728"/>
    <w:rsid w:val="00527EDC"/>
    <w:rsid w:val="00532230"/>
    <w:rsid w:val="005327B7"/>
    <w:rsid w:val="005331CA"/>
    <w:rsid w:val="00534D12"/>
    <w:rsid w:val="00536845"/>
    <w:rsid w:val="00536CBB"/>
    <w:rsid w:val="00537970"/>
    <w:rsid w:val="005407C5"/>
    <w:rsid w:val="00540E3A"/>
    <w:rsid w:val="00544127"/>
    <w:rsid w:val="00545760"/>
    <w:rsid w:val="005463A9"/>
    <w:rsid w:val="00551038"/>
    <w:rsid w:val="00553EB2"/>
    <w:rsid w:val="00560534"/>
    <w:rsid w:val="0056391B"/>
    <w:rsid w:val="005650E2"/>
    <w:rsid w:val="00567AD7"/>
    <w:rsid w:val="0057027A"/>
    <w:rsid w:val="00571747"/>
    <w:rsid w:val="00575B2D"/>
    <w:rsid w:val="005827ED"/>
    <w:rsid w:val="005833D0"/>
    <w:rsid w:val="005846F3"/>
    <w:rsid w:val="0058622F"/>
    <w:rsid w:val="00592F82"/>
    <w:rsid w:val="00593903"/>
    <w:rsid w:val="005A0CCA"/>
    <w:rsid w:val="005A2E18"/>
    <w:rsid w:val="005A6FF2"/>
    <w:rsid w:val="005A726D"/>
    <w:rsid w:val="005B2D98"/>
    <w:rsid w:val="005B67AC"/>
    <w:rsid w:val="005B79F4"/>
    <w:rsid w:val="005C5A6D"/>
    <w:rsid w:val="005D16DD"/>
    <w:rsid w:val="005D43E0"/>
    <w:rsid w:val="005D54E9"/>
    <w:rsid w:val="005D5842"/>
    <w:rsid w:val="005D58A3"/>
    <w:rsid w:val="005E1AA7"/>
    <w:rsid w:val="005E1B79"/>
    <w:rsid w:val="005E6076"/>
    <w:rsid w:val="005E7008"/>
    <w:rsid w:val="005F026D"/>
    <w:rsid w:val="005F2AEA"/>
    <w:rsid w:val="005F2D0B"/>
    <w:rsid w:val="005F4B31"/>
    <w:rsid w:val="00610388"/>
    <w:rsid w:val="00610AC7"/>
    <w:rsid w:val="00612CA5"/>
    <w:rsid w:val="00613305"/>
    <w:rsid w:val="006153EC"/>
    <w:rsid w:val="006201EB"/>
    <w:rsid w:val="00621A17"/>
    <w:rsid w:val="00623ADC"/>
    <w:rsid w:val="00627CC9"/>
    <w:rsid w:val="00627E7B"/>
    <w:rsid w:val="00630542"/>
    <w:rsid w:val="00632E44"/>
    <w:rsid w:val="00633808"/>
    <w:rsid w:val="00634622"/>
    <w:rsid w:val="00636808"/>
    <w:rsid w:val="00641515"/>
    <w:rsid w:val="00650CB6"/>
    <w:rsid w:val="00650FE1"/>
    <w:rsid w:val="0065388A"/>
    <w:rsid w:val="00654C2F"/>
    <w:rsid w:val="00657087"/>
    <w:rsid w:val="006574C0"/>
    <w:rsid w:val="00661556"/>
    <w:rsid w:val="00662420"/>
    <w:rsid w:val="006630A2"/>
    <w:rsid w:val="006639DB"/>
    <w:rsid w:val="006661EF"/>
    <w:rsid w:val="00677AEB"/>
    <w:rsid w:val="00680EF2"/>
    <w:rsid w:val="00687A1D"/>
    <w:rsid w:val="00697EA1"/>
    <w:rsid w:val="006A2373"/>
    <w:rsid w:val="006A2646"/>
    <w:rsid w:val="006A5375"/>
    <w:rsid w:val="006A6530"/>
    <w:rsid w:val="006B28CB"/>
    <w:rsid w:val="006B435A"/>
    <w:rsid w:val="006B4C64"/>
    <w:rsid w:val="006B6505"/>
    <w:rsid w:val="006C7E36"/>
    <w:rsid w:val="006D36D6"/>
    <w:rsid w:val="006D3C0D"/>
    <w:rsid w:val="006D3DC9"/>
    <w:rsid w:val="006D6BD5"/>
    <w:rsid w:val="006E0123"/>
    <w:rsid w:val="006E2D4D"/>
    <w:rsid w:val="006E481A"/>
    <w:rsid w:val="006E5298"/>
    <w:rsid w:val="006F4A78"/>
    <w:rsid w:val="006F734A"/>
    <w:rsid w:val="00700D83"/>
    <w:rsid w:val="00704852"/>
    <w:rsid w:val="007074E9"/>
    <w:rsid w:val="00713DA4"/>
    <w:rsid w:val="00714BF1"/>
    <w:rsid w:val="00721383"/>
    <w:rsid w:val="0073158B"/>
    <w:rsid w:val="00732E7D"/>
    <w:rsid w:val="007333CC"/>
    <w:rsid w:val="0073399A"/>
    <w:rsid w:val="00740DAD"/>
    <w:rsid w:val="00755403"/>
    <w:rsid w:val="00756650"/>
    <w:rsid w:val="007603F5"/>
    <w:rsid w:val="00761ABB"/>
    <w:rsid w:val="00761FD6"/>
    <w:rsid w:val="00764DB0"/>
    <w:rsid w:val="00765706"/>
    <w:rsid w:val="007660D8"/>
    <w:rsid w:val="0076764D"/>
    <w:rsid w:val="0077498C"/>
    <w:rsid w:val="00775E93"/>
    <w:rsid w:val="007808EB"/>
    <w:rsid w:val="007809BC"/>
    <w:rsid w:val="00784128"/>
    <w:rsid w:val="00787BCC"/>
    <w:rsid w:val="00793173"/>
    <w:rsid w:val="007A25D4"/>
    <w:rsid w:val="007A2A33"/>
    <w:rsid w:val="007B22CF"/>
    <w:rsid w:val="007B3A5E"/>
    <w:rsid w:val="007B5C89"/>
    <w:rsid w:val="007C067C"/>
    <w:rsid w:val="007C1FCC"/>
    <w:rsid w:val="007C6201"/>
    <w:rsid w:val="007D11EE"/>
    <w:rsid w:val="007D7C92"/>
    <w:rsid w:val="007E03FA"/>
    <w:rsid w:val="007E1154"/>
    <w:rsid w:val="007E3906"/>
    <w:rsid w:val="007E6BA4"/>
    <w:rsid w:val="007F41F8"/>
    <w:rsid w:val="007F46D3"/>
    <w:rsid w:val="007F659B"/>
    <w:rsid w:val="0080245E"/>
    <w:rsid w:val="00803C72"/>
    <w:rsid w:val="0080454E"/>
    <w:rsid w:val="00804C32"/>
    <w:rsid w:val="00806302"/>
    <w:rsid w:val="00807119"/>
    <w:rsid w:val="0082483F"/>
    <w:rsid w:val="008279C0"/>
    <w:rsid w:val="00833565"/>
    <w:rsid w:val="00853516"/>
    <w:rsid w:val="00853B56"/>
    <w:rsid w:val="00867701"/>
    <w:rsid w:val="008723F3"/>
    <w:rsid w:val="00876F56"/>
    <w:rsid w:val="00881DE6"/>
    <w:rsid w:val="008837A6"/>
    <w:rsid w:val="00883E66"/>
    <w:rsid w:val="00891116"/>
    <w:rsid w:val="0089145D"/>
    <w:rsid w:val="00891CE2"/>
    <w:rsid w:val="008A1AE6"/>
    <w:rsid w:val="008A28B2"/>
    <w:rsid w:val="008A3D34"/>
    <w:rsid w:val="008A4DF2"/>
    <w:rsid w:val="008A6CFE"/>
    <w:rsid w:val="008B5333"/>
    <w:rsid w:val="008B6223"/>
    <w:rsid w:val="008C5612"/>
    <w:rsid w:val="008C66E0"/>
    <w:rsid w:val="008D7C65"/>
    <w:rsid w:val="008E3339"/>
    <w:rsid w:val="008F20FC"/>
    <w:rsid w:val="008F5FFE"/>
    <w:rsid w:val="008F6CAB"/>
    <w:rsid w:val="008F6CF2"/>
    <w:rsid w:val="00901FA6"/>
    <w:rsid w:val="00903135"/>
    <w:rsid w:val="00905A43"/>
    <w:rsid w:val="00906006"/>
    <w:rsid w:val="00912C79"/>
    <w:rsid w:val="009200A9"/>
    <w:rsid w:val="00920BE7"/>
    <w:rsid w:val="00920E89"/>
    <w:rsid w:val="00921B8C"/>
    <w:rsid w:val="00924973"/>
    <w:rsid w:val="0092598C"/>
    <w:rsid w:val="00927C9D"/>
    <w:rsid w:val="00927FC3"/>
    <w:rsid w:val="00931FD7"/>
    <w:rsid w:val="00933A56"/>
    <w:rsid w:val="00942123"/>
    <w:rsid w:val="0095207B"/>
    <w:rsid w:val="00952187"/>
    <w:rsid w:val="00962045"/>
    <w:rsid w:val="00980E61"/>
    <w:rsid w:val="009858FC"/>
    <w:rsid w:val="00991428"/>
    <w:rsid w:val="0099169D"/>
    <w:rsid w:val="00992676"/>
    <w:rsid w:val="009954B2"/>
    <w:rsid w:val="00996691"/>
    <w:rsid w:val="009A3AB7"/>
    <w:rsid w:val="009B0723"/>
    <w:rsid w:val="009B07AD"/>
    <w:rsid w:val="009B0883"/>
    <w:rsid w:val="009B15E2"/>
    <w:rsid w:val="009B3DF5"/>
    <w:rsid w:val="009B4976"/>
    <w:rsid w:val="009C01D1"/>
    <w:rsid w:val="009C0B8E"/>
    <w:rsid w:val="009C1BC8"/>
    <w:rsid w:val="009C2442"/>
    <w:rsid w:val="009C483B"/>
    <w:rsid w:val="009D0811"/>
    <w:rsid w:val="009D0EE1"/>
    <w:rsid w:val="009D20B1"/>
    <w:rsid w:val="009D3F45"/>
    <w:rsid w:val="009D47B8"/>
    <w:rsid w:val="009D5A96"/>
    <w:rsid w:val="009D702F"/>
    <w:rsid w:val="009D7CC3"/>
    <w:rsid w:val="009E2AEB"/>
    <w:rsid w:val="009E2E27"/>
    <w:rsid w:val="009E45DF"/>
    <w:rsid w:val="009E4DE3"/>
    <w:rsid w:val="009E6599"/>
    <w:rsid w:val="009F275E"/>
    <w:rsid w:val="009F5DDF"/>
    <w:rsid w:val="009F601A"/>
    <w:rsid w:val="009F6442"/>
    <w:rsid w:val="00A02163"/>
    <w:rsid w:val="00A047EE"/>
    <w:rsid w:val="00A2274A"/>
    <w:rsid w:val="00A235B7"/>
    <w:rsid w:val="00A25392"/>
    <w:rsid w:val="00A26898"/>
    <w:rsid w:val="00A27A7A"/>
    <w:rsid w:val="00A34ABE"/>
    <w:rsid w:val="00A407EF"/>
    <w:rsid w:val="00A46B4C"/>
    <w:rsid w:val="00A46FE2"/>
    <w:rsid w:val="00A5117B"/>
    <w:rsid w:val="00A5277B"/>
    <w:rsid w:val="00A56D34"/>
    <w:rsid w:val="00A60074"/>
    <w:rsid w:val="00A604D5"/>
    <w:rsid w:val="00A6240E"/>
    <w:rsid w:val="00A6627C"/>
    <w:rsid w:val="00A71019"/>
    <w:rsid w:val="00A81029"/>
    <w:rsid w:val="00A845F5"/>
    <w:rsid w:val="00A96489"/>
    <w:rsid w:val="00AB0E3A"/>
    <w:rsid w:val="00AB2425"/>
    <w:rsid w:val="00AB685C"/>
    <w:rsid w:val="00AB6C2D"/>
    <w:rsid w:val="00AC08F7"/>
    <w:rsid w:val="00AC2F1F"/>
    <w:rsid w:val="00AC3839"/>
    <w:rsid w:val="00AC43F8"/>
    <w:rsid w:val="00AC5321"/>
    <w:rsid w:val="00AC7082"/>
    <w:rsid w:val="00AD12C7"/>
    <w:rsid w:val="00AD1529"/>
    <w:rsid w:val="00AD4BE8"/>
    <w:rsid w:val="00AE57F2"/>
    <w:rsid w:val="00AE5C03"/>
    <w:rsid w:val="00AF228E"/>
    <w:rsid w:val="00AF360E"/>
    <w:rsid w:val="00B015F9"/>
    <w:rsid w:val="00B016A8"/>
    <w:rsid w:val="00B021DF"/>
    <w:rsid w:val="00B14819"/>
    <w:rsid w:val="00B15E2F"/>
    <w:rsid w:val="00B17AA9"/>
    <w:rsid w:val="00B2498E"/>
    <w:rsid w:val="00B43A57"/>
    <w:rsid w:val="00B44713"/>
    <w:rsid w:val="00B51B95"/>
    <w:rsid w:val="00B53FBE"/>
    <w:rsid w:val="00B56103"/>
    <w:rsid w:val="00B63E18"/>
    <w:rsid w:val="00B64929"/>
    <w:rsid w:val="00B70966"/>
    <w:rsid w:val="00B736DF"/>
    <w:rsid w:val="00B743D6"/>
    <w:rsid w:val="00B74FBD"/>
    <w:rsid w:val="00B77F46"/>
    <w:rsid w:val="00B82586"/>
    <w:rsid w:val="00B829A3"/>
    <w:rsid w:val="00B8406D"/>
    <w:rsid w:val="00B86DB1"/>
    <w:rsid w:val="00B87869"/>
    <w:rsid w:val="00B9639B"/>
    <w:rsid w:val="00BA3AE6"/>
    <w:rsid w:val="00BA4008"/>
    <w:rsid w:val="00BB0F2B"/>
    <w:rsid w:val="00BC3A55"/>
    <w:rsid w:val="00BE4FF3"/>
    <w:rsid w:val="00BF18D9"/>
    <w:rsid w:val="00BF50F7"/>
    <w:rsid w:val="00C0177E"/>
    <w:rsid w:val="00C02F29"/>
    <w:rsid w:val="00C17718"/>
    <w:rsid w:val="00C20AFE"/>
    <w:rsid w:val="00C22A25"/>
    <w:rsid w:val="00C35671"/>
    <w:rsid w:val="00C35B77"/>
    <w:rsid w:val="00C376EB"/>
    <w:rsid w:val="00C41A0C"/>
    <w:rsid w:val="00C42221"/>
    <w:rsid w:val="00C46A92"/>
    <w:rsid w:val="00C46EC1"/>
    <w:rsid w:val="00C52796"/>
    <w:rsid w:val="00C53E2C"/>
    <w:rsid w:val="00C550C8"/>
    <w:rsid w:val="00C5576E"/>
    <w:rsid w:val="00C55824"/>
    <w:rsid w:val="00C55E93"/>
    <w:rsid w:val="00C56B61"/>
    <w:rsid w:val="00C606C3"/>
    <w:rsid w:val="00C620F4"/>
    <w:rsid w:val="00C72848"/>
    <w:rsid w:val="00C7736C"/>
    <w:rsid w:val="00C82D87"/>
    <w:rsid w:val="00C84DAC"/>
    <w:rsid w:val="00C8712A"/>
    <w:rsid w:val="00C902C8"/>
    <w:rsid w:val="00C919D1"/>
    <w:rsid w:val="00C963D3"/>
    <w:rsid w:val="00CB1983"/>
    <w:rsid w:val="00CB2364"/>
    <w:rsid w:val="00CB2CBB"/>
    <w:rsid w:val="00CB4842"/>
    <w:rsid w:val="00CB7CAC"/>
    <w:rsid w:val="00CC5335"/>
    <w:rsid w:val="00CC5BA4"/>
    <w:rsid w:val="00CC6748"/>
    <w:rsid w:val="00CC6E3D"/>
    <w:rsid w:val="00CD3811"/>
    <w:rsid w:val="00CD4998"/>
    <w:rsid w:val="00CE1035"/>
    <w:rsid w:val="00CE6E50"/>
    <w:rsid w:val="00CF2819"/>
    <w:rsid w:val="00CF4F9D"/>
    <w:rsid w:val="00CF70DC"/>
    <w:rsid w:val="00D03463"/>
    <w:rsid w:val="00D0486B"/>
    <w:rsid w:val="00D063C2"/>
    <w:rsid w:val="00D06A87"/>
    <w:rsid w:val="00D148DC"/>
    <w:rsid w:val="00D17FDC"/>
    <w:rsid w:val="00D21D8C"/>
    <w:rsid w:val="00D27CBC"/>
    <w:rsid w:val="00D30FBA"/>
    <w:rsid w:val="00D53719"/>
    <w:rsid w:val="00D53B2D"/>
    <w:rsid w:val="00D540C7"/>
    <w:rsid w:val="00D60EDE"/>
    <w:rsid w:val="00D6188D"/>
    <w:rsid w:val="00D63EFD"/>
    <w:rsid w:val="00D73BA5"/>
    <w:rsid w:val="00D73E9C"/>
    <w:rsid w:val="00D84752"/>
    <w:rsid w:val="00D86B3B"/>
    <w:rsid w:val="00D8736A"/>
    <w:rsid w:val="00D8748A"/>
    <w:rsid w:val="00D93196"/>
    <w:rsid w:val="00DA0DC0"/>
    <w:rsid w:val="00DB243C"/>
    <w:rsid w:val="00DB304F"/>
    <w:rsid w:val="00DB482A"/>
    <w:rsid w:val="00DB50FB"/>
    <w:rsid w:val="00DB56F2"/>
    <w:rsid w:val="00DB6EF5"/>
    <w:rsid w:val="00DC3089"/>
    <w:rsid w:val="00DC4420"/>
    <w:rsid w:val="00DD0802"/>
    <w:rsid w:val="00DD262A"/>
    <w:rsid w:val="00DD2E11"/>
    <w:rsid w:val="00DD6317"/>
    <w:rsid w:val="00DE03AF"/>
    <w:rsid w:val="00DE121C"/>
    <w:rsid w:val="00DE6633"/>
    <w:rsid w:val="00DF75F8"/>
    <w:rsid w:val="00DF7A3A"/>
    <w:rsid w:val="00E00C00"/>
    <w:rsid w:val="00E07C5A"/>
    <w:rsid w:val="00E11C54"/>
    <w:rsid w:val="00E14C55"/>
    <w:rsid w:val="00E15BA9"/>
    <w:rsid w:val="00E16683"/>
    <w:rsid w:val="00E177F0"/>
    <w:rsid w:val="00E25582"/>
    <w:rsid w:val="00E26E19"/>
    <w:rsid w:val="00E31DF3"/>
    <w:rsid w:val="00E372F8"/>
    <w:rsid w:val="00E4294D"/>
    <w:rsid w:val="00E450A4"/>
    <w:rsid w:val="00E45C5C"/>
    <w:rsid w:val="00E506BE"/>
    <w:rsid w:val="00E55547"/>
    <w:rsid w:val="00E55912"/>
    <w:rsid w:val="00E6156A"/>
    <w:rsid w:val="00E6302B"/>
    <w:rsid w:val="00E6452F"/>
    <w:rsid w:val="00E64F45"/>
    <w:rsid w:val="00E6742D"/>
    <w:rsid w:val="00E70471"/>
    <w:rsid w:val="00E71CB0"/>
    <w:rsid w:val="00E73A74"/>
    <w:rsid w:val="00E75599"/>
    <w:rsid w:val="00E77C3D"/>
    <w:rsid w:val="00E90991"/>
    <w:rsid w:val="00E909F0"/>
    <w:rsid w:val="00E90D47"/>
    <w:rsid w:val="00E93993"/>
    <w:rsid w:val="00E9597C"/>
    <w:rsid w:val="00E96067"/>
    <w:rsid w:val="00EA0913"/>
    <w:rsid w:val="00EA2838"/>
    <w:rsid w:val="00EA5B00"/>
    <w:rsid w:val="00EA6EC9"/>
    <w:rsid w:val="00EB146B"/>
    <w:rsid w:val="00EB45AC"/>
    <w:rsid w:val="00EC441F"/>
    <w:rsid w:val="00EC44DC"/>
    <w:rsid w:val="00EC4755"/>
    <w:rsid w:val="00EC6D86"/>
    <w:rsid w:val="00ED0BC4"/>
    <w:rsid w:val="00ED447D"/>
    <w:rsid w:val="00ED5BDC"/>
    <w:rsid w:val="00EE425D"/>
    <w:rsid w:val="00EE4971"/>
    <w:rsid w:val="00EE4F1C"/>
    <w:rsid w:val="00EE6CB0"/>
    <w:rsid w:val="00EF0724"/>
    <w:rsid w:val="00EF090E"/>
    <w:rsid w:val="00EF5572"/>
    <w:rsid w:val="00F02036"/>
    <w:rsid w:val="00F033DA"/>
    <w:rsid w:val="00F10810"/>
    <w:rsid w:val="00F13691"/>
    <w:rsid w:val="00F13FB1"/>
    <w:rsid w:val="00F1439D"/>
    <w:rsid w:val="00F27CD8"/>
    <w:rsid w:val="00F30351"/>
    <w:rsid w:val="00F3323E"/>
    <w:rsid w:val="00F341F4"/>
    <w:rsid w:val="00F34F9D"/>
    <w:rsid w:val="00F35CCE"/>
    <w:rsid w:val="00F5524B"/>
    <w:rsid w:val="00F60538"/>
    <w:rsid w:val="00F61DD2"/>
    <w:rsid w:val="00F6278C"/>
    <w:rsid w:val="00F633DE"/>
    <w:rsid w:val="00F64A02"/>
    <w:rsid w:val="00F66AFF"/>
    <w:rsid w:val="00F67CF5"/>
    <w:rsid w:val="00F71433"/>
    <w:rsid w:val="00F730FA"/>
    <w:rsid w:val="00F902D4"/>
    <w:rsid w:val="00F961F6"/>
    <w:rsid w:val="00F97C5B"/>
    <w:rsid w:val="00FA18CF"/>
    <w:rsid w:val="00FA3D50"/>
    <w:rsid w:val="00FA5600"/>
    <w:rsid w:val="00FB380E"/>
    <w:rsid w:val="00FB7FBD"/>
    <w:rsid w:val="00FC1814"/>
    <w:rsid w:val="00FC374A"/>
    <w:rsid w:val="00FC434E"/>
    <w:rsid w:val="00FC74C8"/>
    <w:rsid w:val="00FC7B47"/>
    <w:rsid w:val="00FD035C"/>
    <w:rsid w:val="00FD1A35"/>
    <w:rsid w:val="00FD2EA4"/>
    <w:rsid w:val="00FD3340"/>
    <w:rsid w:val="00FD36C5"/>
    <w:rsid w:val="00FD39D2"/>
    <w:rsid w:val="00FD6310"/>
    <w:rsid w:val="00FD6EEE"/>
    <w:rsid w:val="00FD7C7B"/>
    <w:rsid w:val="00FE08A2"/>
    <w:rsid w:val="00FE1494"/>
    <w:rsid w:val="00FE1D12"/>
    <w:rsid w:val="00FE2122"/>
    <w:rsid w:val="00FE2A86"/>
    <w:rsid w:val="00FE2DE2"/>
    <w:rsid w:val="00FF213E"/>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 w:type="paragraph" w:styleId="Revision">
    <w:name w:val="Revision"/>
    <w:hidden/>
    <w:uiPriority w:val="99"/>
    <w:semiHidden/>
    <w:rsid w:val="006B28CB"/>
    <w:rPr>
      <w:rFonts w:eastAsia="Times New Roman"/>
      <w:sz w:val="20"/>
    </w:rPr>
  </w:style>
  <w:style w:type="character" w:styleId="UnresolvedMention">
    <w:name w:val="Unresolved Mention"/>
    <w:basedOn w:val="DefaultParagraphFont"/>
    <w:uiPriority w:val="99"/>
    <w:semiHidden/>
    <w:unhideWhenUsed/>
    <w:rsid w:val="009E65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ogier.com/publications/cayman-court-grants-recognition-and-assiatnce-to-foreign-liquidators-appointed-over-a-cayman-compa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C7145-F306-1D47-B2DB-36D79E84A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19</Pages>
  <Words>6628</Words>
  <Characters>37786</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44326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37</cp:revision>
  <cp:lastPrinted>2019-08-27T05:42:00Z</cp:lastPrinted>
  <dcterms:created xsi:type="dcterms:W3CDTF">2022-06-27T13:26:00Z</dcterms:created>
  <dcterms:modified xsi:type="dcterms:W3CDTF">2022-07-20T13:40:00Z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133807v1_x000d_
</vt:lpwstr>
  </property>
</Properties>
</file>