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2146" w14:textId="77777777" w:rsidR="00B22774" w:rsidRDefault="00B22774" w:rsidP="00524728">
      <w:pPr>
        <w:jc w:val="center"/>
        <w:rPr>
          <w:rFonts w:ascii="Arial" w:hAnsi="Arial" w:cs="Arial"/>
          <w:b/>
          <w:sz w:val="22"/>
          <w:szCs w:val="22"/>
          <w:lang w:val="en-GB"/>
        </w:rPr>
      </w:pPr>
    </w:p>
    <w:p w14:paraId="425B7968" w14:textId="1F0E2BAC"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890096" w:rsidRDefault="00D21F62" w:rsidP="003C4BCB">
      <w:pPr>
        <w:pStyle w:val="ListParagraph"/>
        <w:numPr>
          <w:ilvl w:val="0"/>
          <w:numId w:val="2"/>
        </w:numPr>
        <w:ind w:left="426"/>
        <w:jc w:val="both"/>
        <w:rPr>
          <w:rFonts w:ascii="Arial" w:hAnsi="Arial" w:cs="Arial"/>
          <w:sz w:val="22"/>
          <w:szCs w:val="22"/>
          <w:lang w:val="en-GB"/>
        </w:rPr>
      </w:pPr>
      <w:r w:rsidRPr="00890096">
        <w:rPr>
          <w:rFonts w:ascii="Arial" w:hAnsi="Arial" w:cs="Arial"/>
          <w:sz w:val="22"/>
          <w:szCs w:val="22"/>
          <w:lang w:val="en-GB"/>
        </w:rPr>
        <w:t xml:space="preserve">True. Since the entry into force of the EIR 2000, the insolvency laws of the Member States are similar. </w:t>
      </w:r>
      <w:r w:rsidR="00C7729F" w:rsidRPr="00890096">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4745B1" w:rsidRDefault="00D21F62" w:rsidP="003C4BCB">
      <w:pPr>
        <w:pStyle w:val="ListParagraph"/>
        <w:numPr>
          <w:ilvl w:val="0"/>
          <w:numId w:val="2"/>
        </w:numPr>
        <w:ind w:left="426"/>
        <w:jc w:val="both"/>
        <w:rPr>
          <w:rFonts w:ascii="Arial" w:hAnsi="Arial" w:cs="Arial"/>
          <w:sz w:val="22"/>
          <w:szCs w:val="22"/>
          <w:highlight w:val="yellow"/>
          <w:lang w:val="en-GB"/>
        </w:rPr>
      </w:pPr>
      <w:r w:rsidRPr="004745B1">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4745B1">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196CBC" w:rsidRDefault="006D217A" w:rsidP="006D217A">
      <w:pPr>
        <w:pStyle w:val="ListParagraph"/>
        <w:numPr>
          <w:ilvl w:val="0"/>
          <w:numId w:val="3"/>
        </w:numPr>
        <w:ind w:left="426"/>
        <w:jc w:val="both"/>
        <w:rPr>
          <w:rFonts w:ascii="Arial" w:hAnsi="Arial" w:cs="Arial"/>
          <w:iCs/>
          <w:sz w:val="22"/>
          <w:szCs w:val="22"/>
          <w:highlight w:val="yellow"/>
          <w:lang w:val="en-GB"/>
        </w:rPr>
      </w:pPr>
      <w:r w:rsidRPr="00196CBC">
        <w:rPr>
          <w:rFonts w:ascii="Arial" w:hAnsi="Arial" w:cs="Arial"/>
          <w:iCs/>
          <w:sz w:val="22"/>
          <w:szCs w:val="22"/>
          <w:highlight w:val="yellow"/>
          <w:lang w:val="en-GB"/>
        </w:rPr>
        <w:t>False</w:t>
      </w:r>
      <w:r w:rsidR="00D21F62" w:rsidRPr="00196CBC">
        <w:rPr>
          <w:rFonts w:ascii="Arial" w:hAnsi="Arial" w:cs="Arial"/>
          <w:iCs/>
          <w:sz w:val="22"/>
          <w:szCs w:val="22"/>
          <w:highlight w:val="yellow"/>
          <w:lang w:val="en-GB"/>
        </w:rPr>
        <w:t>.</w:t>
      </w:r>
      <w:r w:rsidRPr="00196CBC">
        <w:rPr>
          <w:rFonts w:ascii="Arial" w:hAnsi="Arial" w:cs="Arial"/>
          <w:iCs/>
          <w:sz w:val="22"/>
          <w:szCs w:val="22"/>
          <w:highlight w:val="yellow"/>
          <w:lang w:val="en-GB"/>
        </w:rPr>
        <w:t xml:space="preserve"> </w:t>
      </w:r>
      <w:r w:rsidR="00D21F62" w:rsidRPr="00196CBC">
        <w:rPr>
          <w:rFonts w:ascii="Arial" w:hAnsi="Arial" w:cs="Arial"/>
          <w:sz w:val="22"/>
          <w:szCs w:val="22"/>
          <w:highlight w:val="yellow"/>
          <w:lang w:val="en-GB"/>
        </w:rPr>
        <w:t>T</w:t>
      </w:r>
      <w:r w:rsidRPr="00196CBC">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A65586" w:rsidRDefault="00D21F62" w:rsidP="003C4BCB">
      <w:pPr>
        <w:pStyle w:val="ListParagraph"/>
        <w:numPr>
          <w:ilvl w:val="0"/>
          <w:numId w:val="4"/>
        </w:numPr>
        <w:ind w:left="426"/>
        <w:jc w:val="both"/>
        <w:rPr>
          <w:rFonts w:ascii="Arial" w:hAnsi="Arial" w:cs="Arial"/>
          <w:sz w:val="22"/>
          <w:szCs w:val="22"/>
          <w:highlight w:val="yellow"/>
          <w:lang w:val="en-GB"/>
        </w:rPr>
      </w:pPr>
      <w:r w:rsidRPr="00A65586">
        <w:rPr>
          <w:rFonts w:ascii="Arial" w:hAnsi="Arial" w:cs="Arial"/>
          <w:sz w:val="22"/>
          <w:szCs w:val="22"/>
          <w:highlight w:val="yellow"/>
          <w:lang w:val="en-GB"/>
        </w:rPr>
        <w:lastRenderedPageBreak/>
        <w:t xml:space="preserve">False. While </w:t>
      </w:r>
      <w:proofErr w:type="gramStart"/>
      <w:r w:rsidRPr="00A65586">
        <w:rPr>
          <w:rFonts w:ascii="Arial" w:hAnsi="Arial" w:cs="Arial"/>
          <w:sz w:val="22"/>
          <w:szCs w:val="22"/>
          <w:highlight w:val="yellow"/>
          <w:lang w:val="en-GB"/>
        </w:rPr>
        <w:t>a number of</w:t>
      </w:r>
      <w:proofErr w:type="gramEnd"/>
      <w:r w:rsidRPr="00A65586">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B32BA0" w:rsidRDefault="00971896" w:rsidP="003C4BCB">
      <w:pPr>
        <w:pStyle w:val="ListParagraph"/>
        <w:numPr>
          <w:ilvl w:val="0"/>
          <w:numId w:val="5"/>
        </w:numPr>
        <w:ind w:left="426"/>
        <w:jc w:val="both"/>
        <w:rPr>
          <w:rFonts w:ascii="Arial" w:hAnsi="Arial" w:cs="Arial"/>
          <w:sz w:val="22"/>
          <w:szCs w:val="22"/>
          <w:highlight w:val="yellow"/>
          <w:lang w:val="en-GB"/>
        </w:rPr>
      </w:pPr>
      <w:r w:rsidRPr="00B32BA0">
        <w:rPr>
          <w:rFonts w:ascii="Arial" w:hAnsi="Arial" w:cs="Arial"/>
          <w:sz w:val="22"/>
          <w:szCs w:val="22"/>
          <w:highlight w:val="yellow"/>
          <w:lang w:val="en-GB"/>
        </w:rPr>
        <w:t xml:space="preserve">Although the EIR Recast includes relevant and useful innovations, it has stuck with the framework of the </w:t>
      </w:r>
      <w:r w:rsidR="006F0106" w:rsidRPr="00B32BA0">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380E79" w:rsidRDefault="008E7371" w:rsidP="003C4BCB">
      <w:pPr>
        <w:pStyle w:val="ListParagraph"/>
        <w:numPr>
          <w:ilvl w:val="0"/>
          <w:numId w:val="6"/>
        </w:numPr>
        <w:ind w:left="426"/>
        <w:jc w:val="both"/>
        <w:rPr>
          <w:rFonts w:ascii="Arial" w:hAnsi="Arial" w:cs="Arial"/>
          <w:sz w:val="22"/>
          <w:szCs w:val="22"/>
          <w:highlight w:val="yellow"/>
          <w:lang w:val="en-GB"/>
        </w:rPr>
      </w:pPr>
      <w:r w:rsidRPr="00380E79">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FD264F" w:rsidRDefault="00113E29" w:rsidP="00D509A5">
      <w:pPr>
        <w:pStyle w:val="ListParagraph"/>
        <w:numPr>
          <w:ilvl w:val="0"/>
          <w:numId w:val="7"/>
        </w:numPr>
        <w:ind w:left="426"/>
        <w:jc w:val="both"/>
        <w:rPr>
          <w:rFonts w:ascii="Arial" w:hAnsi="Arial" w:cs="Arial"/>
          <w:sz w:val="22"/>
          <w:szCs w:val="22"/>
          <w:highlight w:val="yellow"/>
          <w:lang w:val="en-GB"/>
        </w:rPr>
      </w:pPr>
      <w:r w:rsidRPr="00FD264F">
        <w:rPr>
          <w:rFonts w:ascii="Arial" w:hAnsi="Arial" w:cs="Arial"/>
          <w:sz w:val="22"/>
          <w:szCs w:val="22"/>
          <w:highlight w:val="yellow"/>
          <w:lang w:val="en-GB"/>
        </w:rPr>
        <w:t xml:space="preserve">The </w:t>
      </w:r>
      <w:r w:rsidR="008E7371" w:rsidRPr="00FD264F">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733821" w:rsidRDefault="0034705B" w:rsidP="003C4BCB">
      <w:pPr>
        <w:pStyle w:val="ListParagraph"/>
        <w:numPr>
          <w:ilvl w:val="0"/>
          <w:numId w:val="8"/>
        </w:numPr>
        <w:ind w:left="426"/>
        <w:jc w:val="both"/>
        <w:rPr>
          <w:rFonts w:ascii="Arial" w:hAnsi="Arial" w:cs="Arial"/>
          <w:sz w:val="22"/>
          <w:szCs w:val="22"/>
          <w:highlight w:val="yellow"/>
          <w:lang w:val="en-GB"/>
        </w:rPr>
      </w:pPr>
      <w:r w:rsidRPr="00733821">
        <w:rPr>
          <w:rFonts w:ascii="Arial" w:hAnsi="Arial" w:cs="Arial"/>
          <w:sz w:val="22"/>
          <w:szCs w:val="22"/>
          <w:highlight w:val="yellow"/>
          <w:lang w:val="en-GB"/>
        </w:rPr>
        <w:t>“</w:t>
      </w:r>
      <w:r w:rsidR="00F814B4" w:rsidRPr="00733821">
        <w:rPr>
          <w:rFonts w:ascii="Arial" w:hAnsi="Arial" w:cs="Arial"/>
          <w:sz w:val="22"/>
          <w:szCs w:val="22"/>
          <w:highlight w:val="yellow"/>
          <w:lang w:val="en-GB"/>
        </w:rPr>
        <w:t>Synthetic proceedings</w:t>
      </w:r>
      <w:r w:rsidRPr="00733821">
        <w:rPr>
          <w:rFonts w:ascii="Arial" w:hAnsi="Arial" w:cs="Arial"/>
          <w:sz w:val="22"/>
          <w:szCs w:val="22"/>
          <w:highlight w:val="yellow"/>
          <w:lang w:val="en-GB"/>
        </w:rPr>
        <w:t>”</w:t>
      </w:r>
      <w:r w:rsidR="00F814B4" w:rsidRPr="00733821">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CF1B9A" w:rsidRDefault="00F814B4" w:rsidP="00F814B4">
      <w:pPr>
        <w:pStyle w:val="ListParagraph"/>
        <w:numPr>
          <w:ilvl w:val="0"/>
          <w:numId w:val="10"/>
        </w:numPr>
        <w:ind w:left="426"/>
        <w:jc w:val="both"/>
        <w:rPr>
          <w:rFonts w:ascii="Arial" w:hAnsi="Arial" w:cs="Arial"/>
          <w:sz w:val="22"/>
          <w:szCs w:val="22"/>
          <w:highlight w:val="yellow"/>
          <w:lang w:val="en-GB"/>
        </w:rPr>
      </w:pPr>
      <w:r w:rsidRPr="00CF1B9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CE258F" w:rsidRDefault="00967219" w:rsidP="003C4BCB">
      <w:pPr>
        <w:pStyle w:val="ListParagraph"/>
        <w:numPr>
          <w:ilvl w:val="0"/>
          <w:numId w:val="9"/>
        </w:numPr>
        <w:ind w:left="426"/>
        <w:jc w:val="both"/>
        <w:rPr>
          <w:rFonts w:ascii="Arial" w:hAnsi="Arial" w:cs="Arial"/>
          <w:sz w:val="22"/>
          <w:szCs w:val="22"/>
          <w:lang w:val="en-GB"/>
        </w:rPr>
      </w:pPr>
      <w:r w:rsidRPr="00CE258F">
        <w:rPr>
          <w:rFonts w:ascii="Arial" w:hAnsi="Arial" w:cs="Arial"/>
          <w:sz w:val="22"/>
          <w:szCs w:val="22"/>
          <w:lang w:val="en-GB"/>
        </w:rPr>
        <w:t xml:space="preserve">The </w:t>
      </w:r>
      <w:r w:rsidR="00375D11" w:rsidRPr="00CE258F">
        <w:rPr>
          <w:rFonts w:ascii="Arial" w:hAnsi="Arial" w:cs="Arial"/>
          <w:sz w:val="22"/>
          <w:szCs w:val="22"/>
          <w:lang w:val="en-GB"/>
        </w:rPr>
        <w:t xml:space="preserve">insolvency practitioner will always succeed in his claim if he can clearly prove that under the </w:t>
      </w:r>
      <w:r w:rsidR="00375D11" w:rsidRPr="00CE258F">
        <w:rPr>
          <w:rFonts w:ascii="Arial" w:hAnsi="Arial" w:cs="Arial"/>
          <w:i/>
          <w:sz w:val="22"/>
          <w:szCs w:val="22"/>
          <w:lang w:val="en-GB"/>
        </w:rPr>
        <w:t>lex concursus</w:t>
      </w:r>
      <w:r w:rsidR="00375D11" w:rsidRPr="00CE258F">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CE258F" w:rsidRDefault="00375D11" w:rsidP="00375D11">
      <w:pPr>
        <w:pStyle w:val="ListParagraph"/>
        <w:numPr>
          <w:ilvl w:val="0"/>
          <w:numId w:val="9"/>
        </w:numPr>
        <w:ind w:left="426"/>
        <w:jc w:val="both"/>
        <w:rPr>
          <w:rFonts w:ascii="Arial" w:hAnsi="Arial" w:cs="Arial"/>
          <w:sz w:val="22"/>
          <w:szCs w:val="22"/>
          <w:highlight w:val="yellow"/>
          <w:lang w:val="en-GB"/>
        </w:rPr>
      </w:pPr>
      <w:r w:rsidRPr="00CE258F">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CE258F">
        <w:rPr>
          <w:rFonts w:ascii="Arial" w:hAnsi="Arial" w:cs="Arial"/>
          <w:sz w:val="22"/>
          <w:szCs w:val="22"/>
          <w:highlight w:val="yellow"/>
          <w:lang w:val="en-GB"/>
        </w:rPr>
        <w:t>on the basis of</w:t>
      </w:r>
      <w:proofErr w:type="gramEnd"/>
      <w:r w:rsidRPr="00CE258F">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F25A10" w:rsidRDefault="00FC48D8" w:rsidP="003C4BCB">
      <w:pPr>
        <w:pStyle w:val="ListParagraph"/>
        <w:numPr>
          <w:ilvl w:val="0"/>
          <w:numId w:val="11"/>
        </w:numPr>
        <w:ind w:left="426"/>
        <w:jc w:val="both"/>
        <w:rPr>
          <w:rFonts w:ascii="Arial" w:hAnsi="Arial" w:cs="Arial"/>
          <w:sz w:val="22"/>
          <w:szCs w:val="22"/>
          <w:highlight w:val="yellow"/>
          <w:lang w:val="en-GB"/>
        </w:rPr>
      </w:pPr>
      <w:r w:rsidRPr="00F25A10">
        <w:rPr>
          <w:rFonts w:ascii="Arial" w:hAnsi="Arial" w:cs="Arial"/>
          <w:sz w:val="22"/>
          <w:szCs w:val="22"/>
          <w:highlight w:val="yellow"/>
          <w:lang w:val="en-GB"/>
        </w:rPr>
        <w:t xml:space="preserve">Within the time limit prescribed by the </w:t>
      </w:r>
      <w:r w:rsidRPr="00F25A10">
        <w:rPr>
          <w:rFonts w:ascii="Arial" w:hAnsi="Arial" w:cs="Arial"/>
          <w:i/>
          <w:sz w:val="22"/>
          <w:szCs w:val="22"/>
          <w:highlight w:val="yellow"/>
          <w:lang w:val="en-GB"/>
        </w:rPr>
        <w:t>lex concursus</w:t>
      </w:r>
      <w:r w:rsidRPr="00F25A10">
        <w:rPr>
          <w:rFonts w:ascii="Arial" w:hAnsi="Arial" w:cs="Arial"/>
          <w:sz w:val="22"/>
          <w:szCs w:val="22"/>
          <w:highlight w:val="yellow"/>
          <w:lang w:val="en-GB"/>
        </w:rPr>
        <w:t xml:space="preserve"> of the main insolvency proceeding (</w:t>
      </w:r>
      <w:r w:rsidR="007772BD" w:rsidRPr="00F25A10">
        <w:rPr>
          <w:rFonts w:ascii="Arial" w:hAnsi="Arial" w:cs="Arial"/>
          <w:sz w:val="22"/>
          <w:szCs w:val="22"/>
          <w:highlight w:val="yellow"/>
          <w:lang w:val="en-GB"/>
        </w:rPr>
        <w:t>Irish</w:t>
      </w:r>
      <w:r w:rsidRPr="00F25A10">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50DFB984" w:rsidR="00636C15" w:rsidRDefault="00B259DB" w:rsidP="00EE74C9">
      <w:pPr>
        <w:pStyle w:val="ListParagraph"/>
        <w:numPr>
          <w:ilvl w:val="0"/>
          <w:numId w:val="12"/>
        </w:numPr>
        <w:jc w:val="both"/>
        <w:rPr>
          <w:rFonts w:ascii="Arial" w:hAnsi="Arial" w:cs="Arial"/>
          <w:sz w:val="22"/>
          <w:szCs w:val="22"/>
        </w:rPr>
      </w:pPr>
      <w:r>
        <w:rPr>
          <w:rFonts w:ascii="Arial" w:hAnsi="Arial" w:cs="Arial"/>
          <w:sz w:val="22"/>
          <w:szCs w:val="22"/>
        </w:rPr>
        <w:t>Right to give an undertaking</w:t>
      </w:r>
      <w:r w:rsidR="00654B1D">
        <w:rPr>
          <w:rFonts w:ascii="Arial" w:hAnsi="Arial" w:cs="Arial"/>
          <w:sz w:val="22"/>
          <w:szCs w:val="22"/>
        </w:rPr>
        <w:t xml:space="preserve"> to avoid secondary insolvency proceedings</w:t>
      </w:r>
      <w:r>
        <w:rPr>
          <w:rFonts w:ascii="Arial" w:hAnsi="Arial" w:cs="Arial"/>
          <w:sz w:val="22"/>
          <w:szCs w:val="22"/>
        </w:rPr>
        <w:t xml:space="preserve"> – articl</w:t>
      </w:r>
      <w:r w:rsidR="00B33323">
        <w:rPr>
          <w:rFonts w:ascii="Arial" w:hAnsi="Arial" w:cs="Arial"/>
          <w:sz w:val="22"/>
          <w:szCs w:val="22"/>
        </w:rPr>
        <w:t>e 36</w:t>
      </w:r>
      <w:r>
        <w:rPr>
          <w:rFonts w:ascii="Arial" w:hAnsi="Arial" w:cs="Arial"/>
          <w:sz w:val="22"/>
          <w:szCs w:val="22"/>
        </w:rPr>
        <w:t xml:space="preserve"> EIR Recast</w:t>
      </w:r>
    </w:p>
    <w:p w14:paraId="61D7D8E3" w14:textId="0BED0A6E" w:rsidR="00B259DB" w:rsidRPr="00EE74C9" w:rsidRDefault="00440A80" w:rsidP="00EE74C9">
      <w:pPr>
        <w:pStyle w:val="ListParagraph"/>
        <w:numPr>
          <w:ilvl w:val="0"/>
          <w:numId w:val="12"/>
        </w:numPr>
        <w:jc w:val="both"/>
        <w:rPr>
          <w:rFonts w:ascii="Arial" w:hAnsi="Arial" w:cs="Arial"/>
          <w:sz w:val="22"/>
          <w:szCs w:val="22"/>
        </w:rPr>
      </w:pPr>
      <w:r>
        <w:rPr>
          <w:rFonts w:ascii="Arial" w:hAnsi="Arial" w:cs="Arial"/>
          <w:sz w:val="22"/>
          <w:szCs w:val="22"/>
        </w:rPr>
        <w:t xml:space="preserve">Preamble to the regulation </w:t>
      </w:r>
      <w:r w:rsidR="00DB4C15">
        <w:rPr>
          <w:rFonts w:ascii="Arial" w:hAnsi="Arial" w:cs="Arial"/>
          <w:sz w:val="22"/>
          <w:szCs w:val="22"/>
        </w:rPr>
        <w:t>– recital 3 EIR Recast</w:t>
      </w:r>
      <w:r w:rsidR="003314F7">
        <w:rPr>
          <w:rFonts w:ascii="Arial" w:hAnsi="Arial" w:cs="Arial"/>
          <w:sz w:val="22"/>
          <w:szCs w:val="22"/>
        </w:rPr>
        <w:t>,</w:t>
      </w:r>
      <w:r w:rsidR="00251A3B">
        <w:rPr>
          <w:rFonts w:ascii="Arial" w:hAnsi="Arial" w:cs="Arial"/>
          <w:sz w:val="22"/>
          <w:szCs w:val="22"/>
        </w:rPr>
        <w:t xml:space="preserve"> </w:t>
      </w:r>
      <w:proofErr w:type="gramStart"/>
      <w:r w:rsidR="00251A3B">
        <w:rPr>
          <w:rFonts w:ascii="Arial" w:hAnsi="Arial" w:cs="Arial"/>
          <w:sz w:val="22"/>
          <w:szCs w:val="22"/>
        </w:rPr>
        <w:t>and</w:t>
      </w:r>
      <w:r w:rsidR="003314F7">
        <w:rPr>
          <w:rFonts w:ascii="Arial" w:hAnsi="Arial" w:cs="Arial"/>
          <w:sz w:val="22"/>
          <w:szCs w:val="22"/>
        </w:rPr>
        <w:t>,</w:t>
      </w:r>
      <w:proofErr w:type="gramEnd"/>
      <w:r w:rsidR="00251A3B">
        <w:rPr>
          <w:rFonts w:ascii="Arial" w:hAnsi="Arial" w:cs="Arial"/>
          <w:sz w:val="22"/>
          <w:szCs w:val="22"/>
        </w:rPr>
        <w:t xml:space="preserve"> Article 41</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5C3FF46E" w14:textId="15F46002" w:rsidR="00D35285" w:rsidRPr="00831241" w:rsidRDefault="00155BAE" w:rsidP="00D35285">
      <w:pPr>
        <w:pStyle w:val="ListParagraph"/>
        <w:numPr>
          <w:ilvl w:val="0"/>
          <w:numId w:val="13"/>
        </w:numPr>
        <w:jc w:val="both"/>
        <w:rPr>
          <w:rFonts w:ascii="Arial" w:hAnsi="Arial" w:cs="Arial"/>
          <w:sz w:val="22"/>
          <w:szCs w:val="22"/>
          <w:lang w:val="en-GB"/>
        </w:rPr>
      </w:pPr>
      <w:r w:rsidRPr="00831241">
        <w:rPr>
          <w:rFonts w:ascii="Arial" w:hAnsi="Arial" w:cs="Arial"/>
          <w:sz w:val="22"/>
          <w:szCs w:val="22"/>
          <w:lang w:val="en-GB"/>
        </w:rPr>
        <w:t>Article 8 EIR Recast provides an exception to the general application of lex con</w:t>
      </w:r>
      <w:r w:rsidR="006E057E" w:rsidRPr="00831241">
        <w:rPr>
          <w:rFonts w:ascii="Arial" w:hAnsi="Arial" w:cs="Arial"/>
          <w:sz w:val="22"/>
          <w:szCs w:val="22"/>
          <w:lang w:val="en-GB"/>
        </w:rPr>
        <w:t>cursus (</w:t>
      </w:r>
      <w:proofErr w:type="gramStart"/>
      <w:r w:rsidR="006E057E" w:rsidRPr="00831241">
        <w:rPr>
          <w:rFonts w:ascii="Arial" w:hAnsi="Arial" w:cs="Arial"/>
          <w:sz w:val="22"/>
          <w:szCs w:val="22"/>
          <w:lang w:val="en-GB"/>
        </w:rPr>
        <w:t>i.e.</w:t>
      </w:r>
      <w:proofErr w:type="gramEnd"/>
      <w:r w:rsidR="006E057E" w:rsidRPr="00831241">
        <w:rPr>
          <w:rFonts w:ascii="Arial" w:hAnsi="Arial" w:cs="Arial"/>
          <w:sz w:val="22"/>
          <w:szCs w:val="22"/>
          <w:lang w:val="en-GB"/>
        </w:rPr>
        <w:t xml:space="preserve"> universalism)</w:t>
      </w:r>
      <w:r w:rsidR="00A74E9F" w:rsidRPr="00831241">
        <w:rPr>
          <w:rFonts w:ascii="Arial" w:hAnsi="Arial" w:cs="Arial"/>
          <w:sz w:val="22"/>
          <w:szCs w:val="22"/>
          <w:lang w:val="en-GB"/>
        </w:rPr>
        <w:t xml:space="preserve">. Under this exception the opening of insolvency proceedings does not </w:t>
      </w:r>
      <w:proofErr w:type="gramStart"/>
      <w:r w:rsidR="00A74E9F" w:rsidRPr="00831241">
        <w:rPr>
          <w:rFonts w:ascii="Arial" w:hAnsi="Arial" w:cs="Arial"/>
          <w:sz w:val="22"/>
          <w:szCs w:val="22"/>
          <w:lang w:val="en-GB"/>
        </w:rPr>
        <w:t>effect</w:t>
      </w:r>
      <w:proofErr w:type="gramEnd"/>
      <w:r w:rsidR="00F94623" w:rsidRPr="00831241">
        <w:rPr>
          <w:rFonts w:ascii="Arial" w:hAnsi="Arial" w:cs="Arial"/>
          <w:sz w:val="22"/>
          <w:szCs w:val="22"/>
          <w:lang w:val="en-GB"/>
        </w:rPr>
        <w:t xml:space="preserve"> the rights in rem of creditors or third part</w:t>
      </w:r>
      <w:r w:rsidR="00544C6F" w:rsidRPr="00831241">
        <w:rPr>
          <w:rFonts w:ascii="Arial" w:hAnsi="Arial" w:cs="Arial"/>
          <w:sz w:val="22"/>
          <w:szCs w:val="22"/>
          <w:lang w:val="en-GB"/>
        </w:rPr>
        <w:t xml:space="preserve">ies in respect of </w:t>
      </w:r>
      <w:r w:rsidR="00332D2A" w:rsidRPr="00831241">
        <w:rPr>
          <w:rFonts w:ascii="Arial" w:hAnsi="Arial" w:cs="Arial"/>
          <w:sz w:val="22"/>
          <w:szCs w:val="22"/>
          <w:lang w:val="en-GB"/>
        </w:rPr>
        <w:t>tangible</w:t>
      </w:r>
      <w:r w:rsidR="00544C6F" w:rsidRPr="00831241">
        <w:rPr>
          <w:rFonts w:ascii="Arial" w:hAnsi="Arial" w:cs="Arial"/>
          <w:sz w:val="22"/>
          <w:szCs w:val="22"/>
          <w:lang w:val="en-GB"/>
        </w:rPr>
        <w:t xml:space="preserve"> or intangible movable of immovable assets</w:t>
      </w:r>
      <w:r w:rsidR="00332D2A" w:rsidRPr="00831241">
        <w:rPr>
          <w:rFonts w:ascii="Arial" w:hAnsi="Arial" w:cs="Arial"/>
          <w:sz w:val="22"/>
          <w:szCs w:val="22"/>
          <w:lang w:val="en-GB"/>
        </w:rPr>
        <w:t xml:space="preserve"> belonging to the debtor situated within </w:t>
      </w:r>
      <w:r w:rsidR="00D35285" w:rsidRPr="00831241">
        <w:rPr>
          <w:rFonts w:ascii="Arial" w:hAnsi="Arial" w:cs="Arial"/>
          <w:sz w:val="22"/>
          <w:szCs w:val="22"/>
          <w:lang w:val="en-GB"/>
        </w:rPr>
        <w:t>another member state at the time of opening of proceedings.</w:t>
      </w:r>
      <w:r w:rsidR="00F443F0" w:rsidRPr="00831241">
        <w:rPr>
          <w:rFonts w:ascii="Arial" w:hAnsi="Arial" w:cs="Arial"/>
          <w:sz w:val="22"/>
          <w:szCs w:val="22"/>
          <w:lang w:val="en-GB"/>
        </w:rPr>
        <w:t xml:space="preserve"> The right must be established pre the opening of proceedings.</w:t>
      </w:r>
    </w:p>
    <w:p w14:paraId="7953CB0F" w14:textId="72E2F74A" w:rsidR="00D35285" w:rsidRPr="00831241" w:rsidRDefault="0012656E" w:rsidP="00D35285">
      <w:pPr>
        <w:pStyle w:val="ListParagraph"/>
        <w:numPr>
          <w:ilvl w:val="0"/>
          <w:numId w:val="13"/>
        </w:numPr>
        <w:jc w:val="both"/>
        <w:rPr>
          <w:rFonts w:ascii="Arial" w:hAnsi="Arial" w:cs="Arial"/>
          <w:sz w:val="22"/>
          <w:szCs w:val="22"/>
          <w:lang w:val="en-GB"/>
        </w:rPr>
      </w:pPr>
      <w:r w:rsidRPr="00831241">
        <w:rPr>
          <w:rFonts w:ascii="Arial" w:hAnsi="Arial" w:cs="Arial"/>
          <w:sz w:val="22"/>
          <w:szCs w:val="22"/>
          <w:lang w:val="en-GB"/>
        </w:rPr>
        <w:t xml:space="preserve">Article 16 EIR Recast </w:t>
      </w:r>
      <w:r w:rsidR="00FA746C" w:rsidRPr="00831241">
        <w:rPr>
          <w:rFonts w:ascii="Arial" w:hAnsi="Arial" w:cs="Arial"/>
          <w:sz w:val="22"/>
          <w:szCs w:val="22"/>
          <w:lang w:val="en-GB"/>
        </w:rPr>
        <w:t xml:space="preserve">provides </w:t>
      </w:r>
      <w:r w:rsidR="008F6B51" w:rsidRPr="00831241">
        <w:rPr>
          <w:rFonts w:ascii="Arial" w:hAnsi="Arial" w:cs="Arial"/>
          <w:sz w:val="22"/>
          <w:szCs w:val="22"/>
          <w:lang w:val="en-GB"/>
        </w:rPr>
        <w:t xml:space="preserve">that </w:t>
      </w:r>
      <w:r w:rsidR="00533F01" w:rsidRPr="00831241">
        <w:rPr>
          <w:rFonts w:ascii="Arial" w:hAnsi="Arial" w:cs="Arial"/>
          <w:sz w:val="22"/>
          <w:szCs w:val="22"/>
          <w:lang w:val="en-GB"/>
        </w:rPr>
        <w:t>the lex concursus</w:t>
      </w:r>
      <w:r w:rsidR="00C37758" w:rsidRPr="00831241">
        <w:rPr>
          <w:rFonts w:ascii="Arial" w:hAnsi="Arial" w:cs="Arial"/>
          <w:sz w:val="22"/>
          <w:szCs w:val="22"/>
          <w:lang w:val="en-GB"/>
        </w:rPr>
        <w:t xml:space="preserve"> relating to voidness, voidability </w:t>
      </w:r>
      <w:r w:rsidR="00F34FFF" w:rsidRPr="00831241">
        <w:rPr>
          <w:rFonts w:ascii="Arial" w:hAnsi="Arial" w:cs="Arial"/>
          <w:sz w:val="22"/>
          <w:szCs w:val="22"/>
          <w:lang w:val="en-GB"/>
        </w:rPr>
        <w:t xml:space="preserve">or unenforceability of legal acts </w:t>
      </w:r>
      <w:r w:rsidR="0031340C" w:rsidRPr="00831241">
        <w:rPr>
          <w:rFonts w:ascii="Arial" w:hAnsi="Arial" w:cs="Arial"/>
          <w:sz w:val="22"/>
          <w:szCs w:val="22"/>
          <w:lang w:val="en-GB"/>
        </w:rPr>
        <w:t>detrimental to creditors does not apply where the person who benefitted from an a</w:t>
      </w:r>
      <w:r w:rsidR="00D82B74" w:rsidRPr="00831241">
        <w:rPr>
          <w:rFonts w:ascii="Arial" w:hAnsi="Arial" w:cs="Arial"/>
          <w:sz w:val="22"/>
          <w:szCs w:val="22"/>
          <w:lang w:val="en-GB"/>
        </w:rPr>
        <w:t xml:space="preserve">ct detrimental to all creditors provides proof that the act is subject to the law of another member state </w:t>
      </w:r>
      <w:r w:rsidR="00615734" w:rsidRPr="00831241">
        <w:rPr>
          <w:rFonts w:ascii="Arial" w:hAnsi="Arial" w:cs="Arial"/>
          <w:sz w:val="22"/>
          <w:szCs w:val="22"/>
          <w:lang w:val="en-GB"/>
        </w:rPr>
        <w:t>other than the state of the opening o</w:t>
      </w:r>
      <w:r w:rsidR="001652AC" w:rsidRPr="00831241">
        <w:rPr>
          <w:rFonts w:ascii="Arial" w:hAnsi="Arial" w:cs="Arial"/>
          <w:sz w:val="22"/>
          <w:szCs w:val="22"/>
          <w:lang w:val="en-GB"/>
        </w:rPr>
        <w:t>f</w:t>
      </w:r>
      <w:r w:rsidR="00615734" w:rsidRPr="00831241">
        <w:rPr>
          <w:rFonts w:ascii="Arial" w:hAnsi="Arial" w:cs="Arial"/>
          <w:sz w:val="22"/>
          <w:szCs w:val="22"/>
          <w:lang w:val="en-GB"/>
        </w:rPr>
        <w:t xml:space="preserve"> the proceedings and the law of that other member state</w:t>
      </w:r>
      <w:r w:rsidR="001652AC" w:rsidRPr="00831241">
        <w:rPr>
          <w:rFonts w:ascii="Arial" w:hAnsi="Arial" w:cs="Arial"/>
          <w:sz w:val="22"/>
          <w:szCs w:val="22"/>
          <w:lang w:val="en-GB"/>
        </w:rPr>
        <w:t xml:space="preserve"> does not allow any means to challenge the </w:t>
      </w:r>
      <w:r w:rsidR="0055562B" w:rsidRPr="00831241">
        <w:rPr>
          <w:rFonts w:ascii="Arial" w:hAnsi="Arial" w:cs="Arial"/>
          <w:sz w:val="22"/>
          <w:szCs w:val="22"/>
          <w:lang w:val="en-GB"/>
        </w:rPr>
        <w:t xml:space="preserve">detrimental act. </w:t>
      </w:r>
      <w:r w:rsidR="00AE7F3D" w:rsidRPr="00831241">
        <w:rPr>
          <w:rFonts w:ascii="Arial" w:hAnsi="Arial" w:cs="Arial"/>
          <w:sz w:val="22"/>
          <w:szCs w:val="22"/>
          <w:lang w:val="en-GB"/>
        </w:rPr>
        <w:t xml:space="preserve">The transaction must have concluded pre the opening of proceedings. </w:t>
      </w:r>
    </w:p>
    <w:p w14:paraId="0835C25B" w14:textId="19C594BA" w:rsidR="006506BF" w:rsidRPr="00831241" w:rsidRDefault="006506BF" w:rsidP="00D35285">
      <w:pPr>
        <w:pStyle w:val="ListParagraph"/>
        <w:numPr>
          <w:ilvl w:val="0"/>
          <w:numId w:val="13"/>
        </w:numPr>
        <w:jc w:val="both"/>
        <w:rPr>
          <w:rFonts w:ascii="Arial" w:hAnsi="Arial" w:cs="Arial"/>
          <w:sz w:val="22"/>
          <w:szCs w:val="22"/>
          <w:lang w:val="en-GB"/>
        </w:rPr>
      </w:pPr>
      <w:r w:rsidRPr="00831241">
        <w:rPr>
          <w:rFonts w:ascii="Arial" w:hAnsi="Arial" w:cs="Arial"/>
          <w:sz w:val="22"/>
          <w:szCs w:val="22"/>
          <w:lang w:val="en-GB"/>
        </w:rPr>
        <w:t xml:space="preserve">Article 13 EIR Recast </w:t>
      </w:r>
      <w:r w:rsidR="00351750" w:rsidRPr="00831241">
        <w:rPr>
          <w:rFonts w:ascii="Arial" w:hAnsi="Arial" w:cs="Arial"/>
          <w:sz w:val="22"/>
          <w:szCs w:val="22"/>
          <w:lang w:val="en-GB"/>
        </w:rPr>
        <w:t>provides</w:t>
      </w:r>
      <w:r w:rsidR="00B9020D" w:rsidRPr="00831241">
        <w:rPr>
          <w:rFonts w:ascii="Arial" w:hAnsi="Arial" w:cs="Arial"/>
          <w:sz w:val="22"/>
          <w:szCs w:val="22"/>
          <w:lang w:val="en-GB"/>
        </w:rPr>
        <w:t xml:space="preserve"> further</w:t>
      </w:r>
      <w:r w:rsidR="00351750" w:rsidRPr="00831241">
        <w:rPr>
          <w:rFonts w:ascii="Arial" w:hAnsi="Arial" w:cs="Arial"/>
          <w:sz w:val="22"/>
          <w:szCs w:val="22"/>
          <w:lang w:val="en-GB"/>
        </w:rPr>
        <w:t xml:space="preserve"> </w:t>
      </w:r>
      <w:r w:rsidR="00E17CF3" w:rsidRPr="00831241">
        <w:rPr>
          <w:rFonts w:ascii="Arial" w:hAnsi="Arial" w:cs="Arial"/>
          <w:sz w:val="22"/>
          <w:szCs w:val="22"/>
          <w:lang w:val="en-GB"/>
        </w:rPr>
        <w:t xml:space="preserve">evidence of the concept of modified universalism </w:t>
      </w:r>
      <w:r w:rsidR="00D50454" w:rsidRPr="00831241">
        <w:rPr>
          <w:rFonts w:ascii="Arial" w:hAnsi="Arial" w:cs="Arial"/>
          <w:sz w:val="22"/>
          <w:szCs w:val="22"/>
          <w:lang w:val="en-GB"/>
        </w:rPr>
        <w:t>which provides th</w:t>
      </w:r>
      <w:r w:rsidR="00512D2B" w:rsidRPr="00831241">
        <w:rPr>
          <w:rFonts w:ascii="Arial" w:hAnsi="Arial" w:cs="Arial"/>
          <w:sz w:val="22"/>
          <w:szCs w:val="22"/>
          <w:lang w:val="en-GB"/>
        </w:rPr>
        <w:t>at employment contracts are governed by the law of the member state</w:t>
      </w:r>
      <w:r w:rsidR="00487452" w:rsidRPr="00831241">
        <w:rPr>
          <w:rFonts w:ascii="Arial" w:hAnsi="Arial" w:cs="Arial"/>
          <w:sz w:val="22"/>
          <w:szCs w:val="22"/>
          <w:lang w:val="en-GB"/>
        </w:rPr>
        <w:t xml:space="preserve"> applicable to the contract of employment</w:t>
      </w:r>
      <w:r w:rsidR="00350FB5" w:rsidRPr="00831241">
        <w:rPr>
          <w:rFonts w:ascii="Arial" w:hAnsi="Arial" w:cs="Arial"/>
          <w:sz w:val="22"/>
          <w:szCs w:val="22"/>
          <w:lang w:val="en-GB"/>
        </w:rPr>
        <w:t xml:space="preserve"> not the lex concursus. </w:t>
      </w:r>
      <w:r w:rsidR="00487452" w:rsidRPr="00831241">
        <w:rPr>
          <w:rFonts w:ascii="Arial" w:hAnsi="Arial" w:cs="Arial"/>
          <w:sz w:val="22"/>
          <w:szCs w:val="22"/>
          <w:lang w:val="en-GB"/>
        </w:rPr>
        <w:t xml:space="preserve"> </w:t>
      </w:r>
    </w:p>
    <w:p w14:paraId="558F85BF" w14:textId="77777777" w:rsidR="0065470A" w:rsidRDefault="0065470A" w:rsidP="002A37BB">
      <w:pPr>
        <w:ind w:left="720" w:hanging="720"/>
        <w:jc w:val="both"/>
        <w:rPr>
          <w:rFonts w:ascii="Arial" w:hAnsi="Arial" w:cs="Arial"/>
          <w:color w:val="7B7B7B" w:themeColor="accent3" w:themeShade="BF"/>
          <w:sz w:val="22"/>
          <w:szCs w:val="22"/>
          <w:lang w:val="en-GB"/>
        </w:rPr>
      </w:pPr>
    </w:p>
    <w:p w14:paraId="009E06DA" w14:textId="77777777" w:rsidR="0065470A" w:rsidRDefault="0065470A" w:rsidP="002A37BB">
      <w:pPr>
        <w:ind w:left="720" w:hanging="720"/>
        <w:jc w:val="both"/>
        <w:rPr>
          <w:rFonts w:ascii="Arial" w:hAnsi="Arial" w:cs="Arial"/>
          <w:color w:val="7B7B7B" w:themeColor="accent3" w:themeShade="BF"/>
          <w:sz w:val="22"/>
          <w:szCs w:val="22"/>
          <w:lang w:val="en-GB"/>
        </w:rPr>
      </w:pPr>
    </w:p>
    <w:p w14:paraId="7716F496" w14:textId="77777777" w:rsidR="0065470A" w:rsidRPr="005D2CD6" w:rsidRDefault="0065470A"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441005CB" w:rsidR="00962045" w:rsidRDefault="00962045" w:rsidP="002A37BB">
      <w:pPr>
        <w:ind w:left="720" w:hanging="720"/>
        <w:jc w:val="both"/>
        <w:rPr>
          <w:rFonts w:ascii="Arial" w:hAnsi="Arial" w:cs="Arial"/>
          <w:sz w:val="22"/>
          <w:szCs w:val="22"/>
          <w:lang w:val="en-GB"/>
        </w:rPr>
      </w:pPr>
    </w:p>
    <w:p w14:paraId="35BB263F" w14:textId="36D05A32" w:rsidR="00FF6887" w:rsidRDefault="00C977BA" w:rsidP="00DF2C8C">
      <w:pPr>
        <w:jc w:val="both"/>
        <w:rPr>
          <w:rFonts w:ascii="Arial" w:hAnsi="Arial" w:cs="Arial"/>
          <w:sz w:val="22"/>
          <w:szCs w:val="22"/>
          <w:lang w:val="en-GB"/>
        </w:rPr>
      </w:pPr>
      <w:r>
        <w:rPr>
          <w:rFonts w:ascii="Arial" w:hAnsi="Arial" w:cs="Arial"/>
          <w:sz w:val="22"/>
          <w:szCs w:val="22"/>
          <w:lang w:val="en-GB"/>
        </w:rPr>
        <w:t xml:space="preserve">Article </w:t>
      </w:r>
      <w:r w:rsidR="003453B2">
        <w:rPr>
          <w:rFonts w:ascii="Arial" w:hAnsi="Arial" w:cs="Arial"/>
          <w:sz w:val="22"/>
          <w:szCs w:val="22"/>
          <w:lang w:val="en-GB"/>
        </w:rPr>
        <w:t>4</w:t>
      </w:r>
      <w:r>
        <w:rPr>
          <w:rFonts w:ascii="Arial" w:hAnsi="Arial" w:cs="Arial"/>
          <w:sz w:val="22"/>
          <w:szCs w:val="22"/>
          <w:lang w:val="en-GB"/>
        </w:rPr>
        <w:t>2 deals with co-operation between cou</w:t>
      </w:r>
      <w:r w:rsidR="00E256EB">
        <w:rPr>
          <w:rFonts w:ascii="Arial" w:hAnsi="Arial" w:cs="Arial"/>
          <w:sz w:val="22"/>
          <w:szCs w:val="22"/>
          <w:lang w:val="en-GB"/>
        </w:rPr>
        <w:t>rts and sets out a framework. Court to court co-operation can take place in many forms</w:t>
      </w:r>
      <w:r w:rsidR="00BA7550">
        <w:rPr>
          <w:rFonts w:ascii="Arial" w:hAnsi="Arial" w:cs="Arial"/>
          <w:sz w:val="22"/>
          <w:szCs w:val="22"/>
          <w:lang w:val="en-GB"/>
        </w:rPr>
        <w:t xml:space="preserve">. </w:t>
      </w:r>
      <w:r w:rsidR="00204F01">
        <w:rPr>
          <w:rFonts w:ascii="Arial" w:hAnsi="Arial" w:cs="Arial"/>
          <w:sz w:val="22"/>
          <w:szCs w:val="22"/>
          <w:lang w:val="en-GB"/>
        </w:rPr>
        <w:t xml:space="preserve"> </w:t>
      </w:r>
      <w:r w:rsidR="003453B2">
        <w:rPr>
          <w:rFonts w:ascii="Arial" w:hAnsi="Arial" w:cs="Arial"/>
          <w:sz w:val="22"/>
          <w:szCs w:val="22"/>
          <w:lang w:val="en-GB"/>
        </w:rPr>
        <w:t>Article 42(3) EIR Recast</w:t>
      </w:r>
      <w:r w:rsidR="00DD3B4E">
        <w:rPr>
          <w:rFonts w:ascii="Arial" w:hAnsi="Arial" w:cs="Arial"/>
          <w:sz w:val="22"/>
          <w:szCs w:val="22"/>
          <w:lang w:val="en-GB"/>
        </w:rPr>
        <w:t xml:space="preserve"> states that the courts are empowered to co-ordinate the administration and supervision of the </w:t>
      </w:r>
      <w:proofErr w:type="gramStart"/>
      <w:r w:rsidR="00DD3B4E">
        <w:rPr>
          <w:rFonts w:ascii="Arial" w:hAnsi="Arial" w:cs="Arial"/>
          <w:sz w:val="22"/>
          <w:szCs w:val="22"/>
          <w:lang w:val="en-GB"/>
        </w:rPr>
        <w:t>debtors</w:t>
      </w:r>
      <w:proofErr w:type="gramEnd"/>
      <w:r w:rsidR="00DD3B4E">
        <w:rPr>
          <w:rFonts w:ascii="Arial" w:hAnsi="Arial" w:cs="Arial"/>
          <w:sz w:val="22"/>
          <w:szCs w:val="22"/>
          <w:lang w:val="en-GB"/>
        </w:rPr>
        <w:t xml:space="preserve"> assets</w:t>
      </w:r>
      <w:r w:rsidR="00C7282F">
        <w:rPr>
          <w:rFonts w:ascii="Arial" w:hAnsi="Arial" w:cs="Arial"/>
          <w:sz w:val="22"/>
          <w:szCs w:val="22"/>
          <w:lang w:val="en-GB"/>
        </w:rPr>
        <w:t xml:space="preserve"> and affairs. </w:t>
      </w:r>
      <w:r w:rsidR="00C7282F">
        <w:rPr>
          <w:rFonts w:ascii="Arial" w:hAnsi="Arial" w:cs="Arial"/>
          <w:sz w:val="22"/>
          <w:szCs w:val="22"/>
          <w:lang w:val="en-GB"/>
        </w:rPr>
        <w:lastRenderedPageBreak/>
        <w:t>They can synchronise hearings</w:t>
      </w:r>
      <w:r w:rsidR="00AD31F1">
        <w:rPr>
          <w:rFonts w:ascii="Arial" w:hAnsi="Arial" w:cs="Arial"/>
          <w:sz w:val="22"/>
          <w:szCs w:val="22"/>
          <w:lang w:val="en-GB"/>
        </w:rPr>
        <w:t xml:space="preserve"> for example. The courts are given flexibility on how they achieve co-ope</w:t>
      </w:r>
      <w:r w:rsidR="000625F2">
        <w:rPr>
          <w:rFonts w:ascii="Arial" w:hAnsi="Arial" w:cs="Arial"/>
          <w:sz w:val="22"/>
          <w:szCs w:val="22"/>
          <w:lang w:val="en-GB"/>
        </w:rPr>
        <w:t>ration by such means as they deem appropriate</w:t>
      </w:r>
      <w:r w:rsidR="00201E7C">
        <w:rPr>
          <w:rFonts w:ascii="Arial" w:hAnsi="Arial" w:cs="Arial"/>
          <w:sz w:val="22"/>
          <w:szCs w:val="22"/>
          <w:lang w:val="en-GB"/>
        </w:rPr>
        <w:t xml:space="preserve"> with the framework mentioned above set out in Article 42(3).</w:t>
      </w:r>
    </w:p>
    <w:p w14:paraId="58CC7B1A" w14:textId="03C4C3E2" w:rsidR="003D1876" w:rsidRDefault="003D1876" w:rsidP="000936B5">
      <w:pPr>
        <w:jc w:val="both"/>
        <w:rPr>
          <w:rFonts w:ascii="Arial" w:hAnsi="Arial" w:cs="Arial"/>
          <w:sz w:val="22"/>
          <w:szCs w:val="22"/>
          <w:lang w:val="en-GB"/>
        </w:rPr>
      </w:pPr>
      <w:r>
        <w:rPr>
          <w:rFonts w:ascii="Arial" w:hAnsi="Arial" w:cs="Arial"/>
          <w:sz w:val="22"/>
          <w:szCs w:val="22"/>
          <w:lang w:val="en-GB"/>
        </w:rPr>
        <w:t xml:space="preserve">Recital 48 points out that proper co-operation between all actors involved in the </w:t>
      </w:r>
      <w:proofErr w:type="gramStart"/>
      <w:r>
        <w:rPr>
          <w:rFonts w:ascii="Arial" w:hAnsi="Arial" w:cs="Arial"/>
          <w:sz w:val="22"/>
          <w:szCs w:val="22"/>
          <w:lang w:val="en-GB"/>
        </w:rPr>
        <w:t>debtors</w:t>
      </w:r>
      <w:proofErr w:type="gramEnd"/>
      <w:r>
        <w:rPr>
          <w:rFonts w:ascii="Arial" w:hAnsi="Arial" w:cs="Arial"/>
          <w:sz w:val="22"/>
          <w:szCs w:val="22"/>
          <w:lang w:val="en-GB"/>
        </w:rPr>
        <w:t xml:space="preserve"> estate (which includes the court) </w:t>
      </w:r>
      <w:r w:rsidR="003336CC">
        <w:rPr>
          <w:rFonts w:ascii="Arial" w:hAnsi="Arial" w:cs="Arial"/>
          <w:sz w:val="22"/>
          <w:szCs w:val="22"/>
          <w:lang w:val="en-GB"/>
        </w:rPr>
        <w:t xml:space="preserve">is important to the efficient realisation of the debtors assets and administration of its estate. </w:t>
      </w:r>
    </w:p>
    <w:p w14:paraId="2E9B57F2" w14:textId="040B9FAC" w:rsidR="004A6853" w:rsidRDefault="004A6853" w:rsidP="002A37BB">
      <w:pPr>
        <w:ind w:left="720" w:hanging="720"/>
        <w:jc w:val="both"/>
        <w:rPr>
          <w:rFonts w:ascii="Arial" w:hAnsi="Arial" w:cs="Arial"/>
          <w:sz w:val="22"/>
          <w:szCs w:val="22"/>
          <w:lang w:val="en-GB"/>
        </w:rPr>
      </w:pPr>
      <w:r>
        <w:rPr>
          <w:rFonts w:ascii="Arial" w:hAnsi="Arial" w:cs="Arial"/>
          <w:sz w:val="22"/>
          <w:szCs w:val="22"/>
          <w:lang w:val="en-GB"/>
        </w:rPr>
        <w:t xml:space="preserve">Article </w:t>
      </w:r>
      <w:r w:rsidR="00F6095A">
        <w:rPr>
          <w:rFonts w:ascii="Arial" w:hAnsi="Arial" w:cs="Arial"/>
          <w:sz w:val="22"/>
          <w:szCs w:val="22"/>
          <w:lang w:val="en-GB"/>
        </w:rPr>
        <w:t xml:space="preserve">42(1) </w:t>
      </w:r>
      <w:r w:rsidR="000568DB">
        <w:rPr>
          <w:rFonts w:ascii="Arial" w:hAnsi="Arial" w:cs="Arial"/>
          <w:sz w:val="22"/>
          <w:szCs w:val="22"/>
          <w:lang w:val="en-GB"/>
        </w:rPr>
        <w:t>extends</w:t>
      </w:r>
      <w:r w:rsidR="00024BCF">
        <w:rPr>
          <w:rFonts w:ascii="Arial" w:hAnsi="Arial" w:cs="Arial"/>
          <w:sz w:val="22"/>
          <w:szCs w:val="22"/>
          <w:lang w:val="en-GB"/>
        </w:rPr>
        <w:t xml:space="preserve"> co-operation to the time before proceedi</w:t>
      </w:r>
      <w:r w:rsidR="007E4566">
        <w:rPr>
          <w:rFonts w:ascii="Arial" w:hAnsi="Arial" w:cs="Arial"/>
          <w:sz w:val="22"/>
          <w:szCs w:val="22"/>
          <w:lang w:val="en-GB"/>
        </w:rPr>
        <w:t>ngs are opened</w:t>
      </w:r>
      <w:r w:rsidR="000936B5">
        <w:rPr>
          <w:rFonts w:ascii="Arial" w:hAnsi="Arial" w:cs="Arial"/>
          <w:sz w:val="22"/>
          <w:szCs w:val="22"/>
          <w:lang w:val="en-GB"/>
        </w:rPr>
        <w:t>.</w:t>
      </w:r>
    </w:p>
    <w:p w14:paraId="4CF92CA0" w14:textId="41A38DA8" w:rsidR="00E30F13" w:rsidRPr="005D2CD6" w:rsidRDefault="00222E2A" w:rsidP="00831241">
      <w:pPr>
        <w:jc w:val="both"/>
        <w:rPr>
          <w:rFonts w:ascii="Arial" w:hAnsi="Arial" w:cs="Arial"/>
          <w:sz w:val="22"/>
          <w:szCs w:val="22"/>
          <w:lang w:val="en-GB"/>
        </w:rPr>
      </w:pPr>
      <w:r>
        <w:rPr>
          <w:rFonts w:ascii="Arial" w:hAnsi="Arial" w:cs="Arial"/>
          <w:sz w:val="22"/>
          <w:szCs w:val="22"/>
          <w:lang w:val="en-GB"/>
        </w:rPr>
        <w:t xml:space="preserve">Taken together, Articles </w:t>
      </w:r>
      <w:r w:rsidR="00A3775D">
        <w:rPr>
          <w:rFonts w:ascii="Arial" w:hAnsi="Arial" w:cs="Arial"/>
          <w:sz w:val="22"/>
          <w:szCs w:val="22"/>
          <w:lang w:val="en-GB"/>
        </w:rPr>
        <w:t>56-60 and Articles 61-77 EIR Recast</w:t>
      </w:r>
      <w:r w:rsidR="00E42369">
        <w:rPr>
          <w:rFonts w:ascii="Arial" w:hAnsi="Arial" w:cs="Arial"/>
          <w:sz w:val="22"/>
          <w:szCs w:val="22"/>
          <w:lang w:val="en-GB"/>
        </w:rPr>
        <w:t xml:space="preserve"> prescribe cooperation and communication duties on courts and practitioners</w:t>
      </w:r>
      <w:r w:rsidR="00604318">
        <w:rPr>
          <w:rFonts w:ascii="Arial" w:hAnsi="Arial" w:cs="Arial"/>
          <w:sz w:val="22"/>
          <w:szCs w:val="22"/>
          <w:lang w:val="en-GB"/>
        </w:rPr>
        <w:t>, including the figure of a group co-</w:t>
      </w:r>
      <w:proofErr w:type="gramStart"/>
      <w:r w:rsidR="00604318">
        <w:rPr>
          <w:rFonts w:ascii="Arial" w:hAnsi="Arial" w:cs="Arial"/>
          <w:sz w:val="22"/>
          <w:szCs w:val="22"/>
          <w:lang w:val="en-GB"/>
        </w:rPr>
        <w:t>ordinator  when</w:t>
      </w:r>
      <w:proofErr w:type="gramEnd"/>
      <w:r w:rsidR="00604318">
        <w:rPr>
          <w:rFonts w:ascii="Arial" w:hAnsi="Arial" w:cs="Arial"/>
          <w:sz w:val="22"/>
          <w:szCs w:val="22"/>
          <w:lang w:val="en-GB"/>
        </w:rPr>
        <w:t xml:space="preserve"> it comes to </w:t>
      </w:r>
      <w:r w:rsidR="00831241">
        <w:rPr>
          <w:rFonts w:ascii="Arial" w:hAnsi="Arial" w:cs="Arial"/>
          <w:sz w:val="22"/>
          <w:szCs w:val="22"/>
          <w:lang w:val="en-GB"/>
        </w:rPr>
        <w:t xml:space="preserve">insolvency of groups of companies. </w:t>
      </w:r>
    </w:p>
    <w:p w14:paraId="78DB9FD8" w14:textId="6AE7CF40" w:rsidR="00C72848" w:rsidRPr="005D2CD6" w:rsidRDefault="00C72848" w:rsidP="002A37BB">
      <w:pPr>
        <w:ind w:left="720" w:hanging="720"/>
        <w:jc w:val="both"/>
        <w:rPr>
          <w:rFonts w:ascii="Arial" w:hAnsi="Arial" w:cs="Arial"/>
          <w:sz w:val="22"/>
          <w:szCs w:val="22"/>
          <w:lang w:val="en-GB"/>
        </w:rPr>
      </w:pP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612F8249" w:rsidR="009954B2" w:rsidRPr="00522279" w:rsidRDefault="008B27B7" w:rsidP="00B856EC">
      <w:pPr>
        <w:jc w:val="both"/>
        <w:rPr>
          <w:rFonts w:ascii="Arial" w:hAnsi="Arial" w:cs="Arial"/>
          <w:sz w:val="22"/>
          <w:szCs w:val="22"/>
          <w:lang w:val="en-GB"/>
        </w:rPr>
      </w:pPr>
      <w:r w:rsidRPr="00522279">
        <w:rPr>
          <w:rFonts w:ascii="Arial" w:hAnsi="Arial" w:cs="Arial"/>
          <w:sz w:val="22"/>
          <w:szCs w:val="22"/>
          <w:lang w:val="en-GB"/>
        </w:rPr>
        <w:t xml:space="preserve">Article 36 </w:t>
      </w:r>
      <w:r w:rsidR="00657B83" w:rsidRPr="00522279">
        <w:rPr>
          <w:rFonts w:ascii="Arial" w:hAnsi="Arial" w:cs="Arial"/>
          <w:sz w:val="22"/>
          <w:szCs w:val="22"/>
          <w:lang w:val="en-GB"/>
        </w:rPr>
        <w:t xml:space="preserve">provides the insolvency practitioner in the main insolvency proceedings with the ability to furnish an undertaking </w:t>
      </w:r>
      <w:r w:rsidR="00884F7A" w:rsidRPr="00522279">
        <w:rPr>
          <w:rFonts w:ascii="Arial" w:hAnsi="Arial" w:cs="Arial"/>
          <w:sz w:val="22"/>
          <w:szCs w:val="22"/>
          <w:lang w:val="en-GB"/>
        </w:rPr>
        <w:t xml:space="preserve">to the effect that when distributing </w:t>
      </w:r>
      <w:proofErr w:type="gramStart"/>
      <w:r w:rsidR="00884F7A" w:rsidRPr="00522279">
        <w:rPr>
          <w:rFonts w:ascii="Arial" w:hAnsi="Arial" w:cs="Arial"/>
          <w:sz w:val="22"/>
          <w:szCs w:val="22"/>
          <w:lang w:val="en-GB"/>
        </w:rPr>
        <w:t>assets</w:t>
      </w:r>
      <w:proofErr w:type="gramEnd"/>
      <w:r w:rsidR="00884F7A" w:rsidRPr="00522279">
        <w:rPr>
          <w:rFonts w:ascii="Arial" w:hAnsi="Arial" w:cs="Arial"/>
          <w:sz w:val="22"/>
          <w:szCs w:val="22"/>
          <w:lang w:val="en-GB"/>
        </w:rPr>
        <w:t xml:space="preserve"> he will have regard to local national law</w:t>
      </w:r>
      <w:r w:rsidR="00D55790" w:rsidRPr="00522279">
        <w:rPr>
          <w:rFonts w:ascii="Arial" w:hAnsi="Arial" w:cs="Arial"/>
          <w:sz w:val="22"/>
          <w:szCs w:val="22"/>
          <w:lang w:val="en-GB"/>
        </w:rPr>
        <w:t xml:space="preserve"> </w:t>
      </w:r>
      <w:r w:rsidR="00081016" w:rsidRPr="00522279">
        <w:rPr>
          <w:rFonts w:ascii="Arial" w:hAnsi="Arial" w:cs="Arial"/>
          <w:sz w:val="22"/>
          <w:szCs w:val="22"/>
          <w:lang w:val="en-GB"/>
        </w:rPr>
        <w:t xml:space="preserve">and comply with </w:t>
      </w:r>
      <w:r w:rsidR="003C200F" w:rsidRPr="00522279">
        <w:rPr>
          <w:rFonts w:ascii="Arial" w:hAnsi="Arial" w:cs="Arial"/>
          <w:sz w:val="22"/>
          <w:szCs w:val="22"/>
          <w:lang w:val="en-GB"/>
        </w:rPr>
        <w:t>the distribution rights that creditors would have if secondary insolvency proceedings</w:t>
      </w:r>
      <w:r w:rsidR="00E0006C" w:rsidRPr="00522279">
        <w:rPr>
          <w:rFonts w:ascii="Arial" w:hAnsi="Arial" w:cs="Arial"/>
          <w:sz w:val="22"/>
          <w:szCs w:val="22"/>
          <w:lang w:val="en-GB"/>
        </w:rPr>
        <w:t xml:space="preserve"> were opened in that member state.</w:t>
      </w:r>
      <w:r w:rsidR="00B16AA3" w:rsidRPr="00522279">
        <w:rPr>
          <w:rFonts w:ascii="Arial" w:hAnsi="Arial" w:cs="Arial"/>
          <w:sz w:val="22"/>
          <w:szCs w:val="22"/>
          <w:lang w:val="en-GB"/>
        </w:rPr>
        <w:t xml:space="preserve"> Creditors may rely on this undertaking with such reliance removing the need to </w:t>
      </w:r>
      <w:r w:rsidR="00B856EC" w:rsidRPr="00522279">
        <w:rPr>
          <w:rFonts w:ascii="Arial" w:hAnsi="Arial" w:cs="Arial"/>
          <w:sz w:val="22"/>
          <w:szCs w:val="22"/>
          <w:lang w:val="en-GB"/>
        </w:rPr>
        <w:t xml:space="preserve">take action in the form of secondary proceedings against the </w:t>
      </w:r>
      <w:proofErr w:type="gramStart"/>
      <w:r w:rsidR="00B856EC" w:rsidRPr="00522279">
        <w:rPr>
          <w:rFonts w:ascii="Arial" w:hAnsi="Arial" w:cs="Arial"/>
          <w:sz w:val="22"/>
          <w:szCs w:val="22"/>
          <w:lang w:val="en-GB"/>
        </w:rPr>
        <w:t>debtors</w:t>
      </w:r>
      <w:proofErr w:type="gramEnd"/>
      <w:r w:rsidR="00B856EC" w:rsidRPr="00522279">
        <w:rPr>
          <w:rFonts w:ascii="Arial" w:hAnsi="Arial" w:cs="Arial"/>
          <w:sz w:val="22"/>
          <w:szCs w:val="22"/>
          <w:lang w:val="en-GB"/>
        </w:rPr>
        <w:t xml:space="preserve"> estate in that jurisdiction.</w:t>
      </w:r>
    </w:p>
    <w:p w14:paraId="76A61178" w14:textId="77777777" w:rsidR="00B856EC" w:rsidRPr="00522279" w:rsidRDefault="00B856EC" w:rsidP="00B856EC">
      <w:pPr>
        <w:jc w:val="both"/>
        <w:rPr>
          <w:rFonts w:ascii="Arial" w:hAnsi="Arial" w:cs="Arial"/>
          <w:sz w:val="22"/>
          <w:szCs w:val="22"/>
          <w:lang w:val="en-GB"/>
        </w:rPr>
      </w:pPr>
    </w:p>
    <w:p w14:paraId="78B00B15" w14:textId="3CD511B1" w:rsidR="00783E04" w:rsidRPr="00522279" w:rsidRDefault="00F441D7" w:rsidP="00F441D7">
      <w:pPr>
        <w:jc w:val="both"/>
        <w:rPr>
          <w:rFonts w:ascii="Arial" w:hAnsi="Arial" w:cs="Arial"/>
          <w:sz w:val="22"/>
          <w:szCs w:val="22"/>
          <w:lang w:val="en-GB"/>
        </w:rPr>
      </w:pPr>
      <w:r w:rsidRPr="00522279">
        <w:rPr>
          <w:rFonts w:ascii="Arial" w:hAnsi="Arial" w:cs="Arial"/>
          <w:sz w:val="22"/>
          <w:szCs w:val="22"/>
          <w:lang w:val="en-GB"/>
        </w:rPr>
        <w:t>Secondly, t</w:t>
      </w:r>
      <w:r w:rsidR="00BC2C14" w:rsidRPr="00522279">
        <w:rPr>
          <w:rFonts w:ascii="Arial" w:hAnsi="Arial" w:cs="Arial"/>
          <w:sz w:val="22"/>
          <w:szCs w:val="22"/>
          <w:lang w:val="en-GB"/>
        </w:rPr>
        <w:t>he insolvency practitioner may apply to court in the main insolvency proceedings for a stay on the opening of secondary insolvency proceedin</w:t>
      </w:r>
      <w:r w:rsidR="00FA2BAB" w:rsidRPr="00522279">
        <w:rPr>
          <w:rFonts w:ascii="Arial" w:hAnsi="Arial" w:cs="Arial"/>
          <w:sz w:val="22"/>
          <w:szCs w:val="22"/>
          <w:lang w:val="en-GB"/>
        </w:rPr>
        <w:t>gs</w:t>
      </w:r>
      <w:r w:rsidR="006B6DA8" w:rsidRPr="00522279">
        <w:rPr>
          <w:rFonts w:ascii="Arial" w:hAnsi="Arial" w:cs="Arial"/>
          <w:sz w:val="22"/>
          <w:szCs w:val="22"/>
          <w:lang w:val="en-GB"/>
        </w:rPr>
        <w:t xml:space="preserve"> thereby preserving the efficiency of the stay granted in the main proceedings</w:t>
      </w:r>
      <w:r w:rsidR="00E618E5" w:rsidRPr="00522279">
        <w:rPr>
          <w:rFonts w:ascii="Arial" w:hAnsi="Arial" w:cs="Arial"/>
          <w:sz w:val="22"/>
          <w:szCs w:val="22"/>
          <w:lang w:val="en-GB"/>
        </w:rPr>
        <w:t xml:space="preserve"> – Article </w:t>
      </w:r>
      <w:r w:rsidR="001912DB" w:rsidRPr="00522279">
        <w:rPr>
          <w:rFonts w:ascii="Arial" w:hAnsi="Arial" w:cs="Arial"/>
          <w:sz w:val="22"/>
          <w:szCs w:val="22"/>
          <w:lang w:val="en-GB"/>
        </w:rPr>
        <w:t xml:space="preserve">38(3) EIR Recast. The stay may be imposed for a period not exceeding 3 months.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41156F62" w:rsidR="00241FA3" w:rsidRDefault="00241FA3" w:rsidP="002A37BB">
      <w:pPr>
        <w:jc w:val="both"/>
        <w:rPr>
          <w:rFonts w:ascii="Arial" w:hAnsi="Arial" w:cs="Arial"/>
          <w:sz w:val="22"/>
          <w:szCs w:val="22"/>
        </w:rPr>
      </w:pPr>
    </w:p>
    <w:p w14:paraId="6E5EE7E7" w14:textId="286412DD" w:rsidR="00B4184A" w:rsidRDefault="00B4184A" w:rsidP="002A37BB">
      <w:pPr>
        <w:jc w:val="both"/>
        <w:rPr>
          <w:rFonts w:ascii="Arial" w:hAnsi="Arial" w:cs="Arial"/>
          <w:sz w:val="22"/>
          <w:szCs w:val="22"/>
        </w:rPr>
      </w:pPr>
      <w:r>
        <w:rPr>
          <w:rFonts w:ascii="Arial" w:hAnsi="Arial" w:cs="Arial"/>
          <w:sz w:val="22"/>
          <w:szCs w:val="22"/>
        </w:rPr>
        <w:t xml:space="preserve">The European Insolvency Regulation (EIR) </w:t>
      </w:r>
      <w:r w:rsidR="00A743D6">
        <w:rPr>
          <w:rFonts w:ascii="Arial" w:hAnsi="Arial" w:cs="Arial"/>
          <w:sz w:val="22"/>
          <w:szCs w:val="22"/>
        </w:rPr>
        <w:t>did not cover the restructuring of a company at the pre-insolvency stage</w:t>
      </w:r>
      <w:r w:rsidR="00F17AAA">
        <w:rPr>
          <w:rFonts w:ascii="Arial" w:hAnsi="Arial" w:cs="Arial"/>
          <w:sz w:val="22"/>
          <w:szCs w:val="22"/>
        </w:rPr>
        <w:t xml:space="preserve">. Further, there were difficulties in applying the concept of COMI in practice. The COMI rules under the EIR were </w:t>
      </w:r>
      <w:r w:rsidR="00654C80">
        <w:rPr>
          <w:rFonts w:ascii="Arial" w:hAnsi="Arial" w:cs="Arial"/>
          <w:sz w:val="22"/>
          <w:szCs w:val="22"/>
        </w:rPr>
        <w:t>criticized as facilitating forum shopping and so called ‘bankruptcy tourism’</w:t>
      </w:r>
      <w:r w:rsidR="00EB62AB">
        <w:rPr>
          <w:rFonts w:ascii="Arial" w:hAnsi="Arial" w:cs="Arial"/>
          <w:sz w:val="22"/>
          <w:szCs w:val="22"/>
        </w:rPr>
        <w:t xml:space="preserve"> with debtors engaging in COMI relocation in order to avail of </w:t>
      </w:r>
      <w:r w:rsidR="00AE12B3">
        <w:rPr>
          <w:rFonts w:ascii="Arial" w:hAnsi="Arial" w:cs="Arial"/>
          <w:sz w:val="22"/>
          <w:szCs w:val="22"/>
        </w:rPr>
        <w:t xml:space="preserve">more </w:t>
      </w:r>
      <w:proofErr w:type="spellStart"/>
      <w:r w:rsidR="00AE12B3">
        <w:rPr>
          <w:rFonts w:ascii="Arial" w:hAnsi="Arial" w:cs="Arial"/>
          <w:sz w:val="22"/>
          <w:szCs w:val="22"/>
        </w:rPr>
        <w:t>favourable</w:t>
      </w:r>
      <w:proofErr w:type="spellEnd"/>
      <w:r w:rsidR="00AE12B3">
        <w:rPr>
          <w:rFonts w:ascii="Arial" w:hAnsi="Arial" w:cs="Arial"/>
          <w:sz w:val="22"/>
          <w:szCs w:val="22"/>
        </w:rPr>
        <w:t xml:space="preserve"> jurisdictions within which to enter an insolvency proceeding. </w:t>
      </w:r>
    </w:p>
    <w:p w14:paraId="22346787" w14:textId="4F746535" w:rsidR="004656AB" w:rsidRDefault="004656AB" w:rsidP="002A37BB">
      <w:pPr>
        <w:jc w:val="both"/>
        <w:rPr>
          <w:rFonts w:ascii="Arial" w:hAnsi="Arial" w:cs="Arial"/>
          <w:sz w:val="22"/>
          <w:szCs w:val="22"/>
        </w:rPr>
      </w:pPr>
    </w:p>
    <w:p w14:paraId="3F5B80D0" w14:textId="58C51BED" w:rsidR="004656AB" w:rsidRDefault="002E3995" w:rsidP="002A37BB">
      <w:pPr>
        <w:jc w:val="both"/>
        <w:rPr>
          <w:rFonts w:ascii="Arial" w:hAnsi="Arial" w:cs="Arial"/>
          <w:sz w:val="22"/>
          <w:szCs w:val="22"/>
        </w:rPr>
      </w:pPr>
      <w:r>
        <w:rPr>
          <w:rFonts w:ascii="Arial" w:hAnsi="Arial" w:cs="Arial"/>
          <w:sz w:val="22"/>
          <w:szCs w:val="22"/>
        </w:rPr>
        <w:lastRenderedPageBreak/>
        <w:t>In addition, secondary proceedings under the EIR must be winding up proceedings</w:t>
      </w:r>
      <w:r w:rsidR="00A41133">
        <w:rPr>
          <w:rFonts w:ascii="Arial" w:hAnsi="Arial" w:cs="Arial"/>
          <w:sz w:val="22"/>
          <w:szCs w:val="22"/>
        </w:rPr>
        <w:t>. Insolvency practitioners in the main proceedings would lose control over the asset</w:t>
      </w:r>
      <w:r w:rsidR="00A367D5">
        <w:rPr>
          <w:rFonts w:ascii="Arial" w:hAnsi="Arial" w:cs="Arial"/>
          <w:sz w:val="22"/>
          <w:szCs w:val="22"/>
        </w:rPr>
        <w:t xml:space="preserve">s located in other member states. </w:t>
      </w:r>
    </w:p>
    <w:p w14:paraId="1B1B1F44" w14:textId="24C5E0C5" w:rsidR="00AA020A" w:rsidRDefault="00AA020A" w:rsidP="002A37BB">
      <w:pPr>
        <w:jc w:val="both"/>
        <w:rPr>
          <w:rFonts w:ascii="Arial" w:hAnsi="Arial" w:cs="Arial"/>
          <w:sz w:val="22"/>
          <w:szCs w:val="22"/>
        </w:rPr>
      </w:pPr>
    </w:p>
    <w:p w14:paraId="564CB67D" w14:textId="6CAB797A" w:rsidR="00AA020A" w:rsidRDefault="00AA020A" w:rsidP="002A37BB">
      <w:pPr>
        <w:jc w:val="both"/>
        <w:rPr>
          <w:rFonts w:ascii="Arial" w:hAnsi="Arial" w:cs="Arial"/>
          <w:sz w:val="22"/>
          <w:szCs w:val="22"/>
        </w:rPr>
      </w:pPr>
      <w:r>
        <w:rPr>
          <w:rFonts w:ascii="Arial" w:hAnsi="Arial" w:cs="Arial"/>
          <w:sz w:val="22"/>
          <w:szCs w:val="22"/>
        </w:rPr>
        <w:t xml:space="preserve">There was no </w:t>
      </w:r>
      <w:r w:rsidR="0013167E">
        <w:rPr>
          <w:rFonts w:ascii="Arial" w:hAnsi="Arial" w:cs="Arial"/>
          <w:sz w:val="22"/>
          <w:szCs w:val="22"/>
        </w:rPr>
        <w:t xml:space="preserve">mandatory </w:t>
      </w:r>
      <w:r>
        <w:rPr>
          <w:rFonts w:ascii="Arial" w:hAnsi="Arial" w:cs="Arial"/>
          <w:sz w:val="22"/>
          <w:szCs w:val="22"/>
        </w:rPr>
        <w:t>provision for the publication of insolvency proceedings under the EIR</w:t>
      </w:r>
      <w:r w:rsidR="0013167E">
        <w:rPr>
          <w:rFonts w:ascii="Arial" w:hAnsi="Arial" w:cs="Arial"/>
          <w:sz w:val="22"/>
          <w:szCs w:val="22"/>
        </w:rPr>
        <w:t xml:space="preserve"> with the effect being that judges and creditors were largely unaware if insolvency proceedings had been opened in another member state – there was no publicly accessible register that could be searched. </w:t>
      </w:r>
      <w:r w:rsidR="000A3CD1">
        <w:rPr>
          <w:rFonts w:ascii="Arial" w:hAnsi="Arial" w:cs="Arial"/>
          <w:sz w:val="22"/>
          <w:szCs w:val="22"/>
        </w:rPr>
        <w:t xml:space="preserve">The smooth functioning of a European insolvency system requires the availability or readily accessible information. Judges and creditors need to be able to find out if proceedings have </w:t>
      </w:r>
      <w:r w:rsidR="001B61E7">
        <w:rPr>
          <w:rFonts w:ascii="Arial" w:hAnsi="Arial" w:cs="Arial"/>
          <w:sz w:val="22"/>
          <w:szCs w:val="22"/>
        </w:rPr>
        <w:t>opened in another jurisdiction.</w:t>
      </w:r>
    </w:p>
    <w:p w14:paraId="096024BA" w14:textId="486D9A28" w:rsidR="00010964" w:rsidRDefault="00010964" w:rsidP="002A37BB">
      <w:pPr>
        <w:jc w:val="both"/>
        <w:rPr>
          <w:rFonts w:ascii="Arial" w:hAnsi="Arial" w:cs="Arial"/>
          <w:sz w:val="22"/>
          <w:szCs w:val="22"/>
        </w:rPr>
      </w:pPr>
    </w:p>
    <w:p w14:paraId="2FBFDF47" w14:textId="42DF1D4D" w:rsidR="00010964" w:rsidRDefault="00010964" w:rsidP="002A37BB">
      <w:pPr>
        <w:jc w:val="both"/>
        <w:rPr>
          <w:rFonts w:ascii="Arial" w:hAnsi="Arial" w:cs="Arial"/>
          <w:sz w:val="22"/>
          <w:szCs w:val="22"/>
        </w:rPr>
      </w:pPr>
      <w:r>
        <w:rPr>
          <w:rFonts w:ascii="Arial" w:hAnsi="Arial" w:cs="Arial"/>
          <w:sz w:val="22"/>
          <w:szCs w:val="22"/>
        </w:rPr>
        <w:t>The EIR did not provide specific rules</w:t>
      </w:r>
      <w:r w:rsidR="00AB2230">
        <w:rPr>
          <w:rFonts w:ascii="Arial" w:hAnsi="Arial" w:cs="Arial"/>
          <w:sz w:val="22"/>
          <w:szCs w:val="22"/>
        </w:rPr>
        <w:t xml:space="preserve"> for dealing with insolvency of group companies operating across multiple jurisdictions</w:t>
      </w:r>
      <w:r w:rsidR="00B9293D">
        <w:rPr>
          <w:rFonts w:ascii="Arial" w:hAnsi="Arial" w:cs="Arial"/>
          <w:sz w:val="22"/>
          <w:szCs w:val="22"/>
        </w:rPr>
        <w:t xml:space="preserve"> reducing the prospect of a successful group restructuring </w:t>
      </w:r>
      <w:proofErr w:type="gramStart"/>
      <w:r w:rsidR="00B9293D">
        <w:rPr>
          <w:rFonts w:ascii="Arial" w:hAnsi="Arial" w:cs="Arial"/>
          <w:sz w:val="22"/>
          <w:szCs w:val="22"/>
        </w:rPr>
        <w:t>as a whole which</w:t>
      </w:r>
      <w:proofErr w:type="gramEnd"/>
      <w:r w:rsidR="00B9293D">
        <w:rPr>
          <w:rFonts w:ascii="Arial" w:hAnsi="Arial" w:cs="Arial"/>
          <w:sz w:val="22"/>
          <w:szCs w:val="22"/>
        </w:rPr>
        <w:t xml:space="preserve"> would potentially </w:t>
      </w:r>
      <w:r w:rsidR="002F738B">
        <w:rPr>
          <w:rFonts w:ascii="Arial" w:hAnsi="Arial" w:cs="Arial"/>
          <w:sz w:val="22"/>
          <w:szCs w:val="22"/>
        </w:rPr>
        <w:t>harm creditor value and return.</w:t>
      </w:r>
    </w:p>
    <w:p w14:paraId="0473F3A2" w14:textId="6F564D77" w:rsidR="00DE25F1" w:rsidRDefault="00DE25F1" w:rsidP="002A37BB">
      <w:pPr>
        <w:jc w:val="both"/>
        <w:rPr>
          <w:rFonts w:ascii="Arial" w:hAnsi="Arial" w:cs="Arial"/>
          <w:sz w:val="22"/>
          <w:szCs w:val="22"/>
        </w:rPr>
      </w:pPr>
    </w:p>
    <w:p w14:paraId="5CE6B03C" w14:textId="4D5A4357" w:rsidR="00DE25F1" w:rsidRDefault="00DE25F1" w:rsidP="002A37BB">
      <w:pPr>
        <w:jc w:val="both"/>
        <w:rPr>
          <w:rFonts w:ascii="Arial" w:hAnsi="Arial" w:cs="Arial"/>
          <w:sz w:val="22"/>
          <w:szCs w:val="22"/>
        </w:rPr>
      </w:pPr>
      <w:r>
        <w:rPr>
          <w:rFonts w:ascii="Arial" w:hAnsi="Arial" w:cs="Arial"/>
          <w:sz w:val="22"/>
          <w:szCs w:val="22"/>
        </w:rPr>
        <w:t>Taken together these issues highlighted by the Commission negatively impact on the smooth fu</w:t>
      </w:r>
      <w:r w:rsidR="003F4621">
        <w:rPr>
          <w:rFonts w:ascii="Arial" w:hAnsi="Arial" w:cs="Arial"/>
          <w:sz w:val="22"/>
          <w:szCs w:val="22"/>
        </w:rPr>
        <w:t>nctioning of the internal market and its resilience to economic crises.</w:t>
      </w:r>
    </w:p>
    <w:p w14:paraId="1AD64E3A" w14:textId="2A83D6F2" w:rsidR="003F4621" w:rsidRDefault="003F4621" w:rsidP="002A37BB">
      <w:pPr>
        <w:jc w:val="both"/>
        <w:rPr>
          <w:rFonts w:ascii="Arial" w:hAnsi="Arial" w:cs="Arial"/>
          <w:sz w:val="22"/>
          <w:szCs w:val="22"/>
        </w:rPr>
      </w:pPr>
    </w:p>
    <w:p w14:paraId="1ED9CD85" w14:textId="2A1CD42A" w:rsidR="003F4621" w:rsidRDefault="003F4621" w:rsidP="002A37BB">
      <w:pPr>
        <w:jc w:val="both"/>
        <w:rPr>
          <w:rFonts w:ascii="Arial" w:hAnsi="Arial" w:cs="Arial"/>
          <w:sz w:val="22"/>
          <w:szCs w:val="22"/>
        </w:rPr>
      </w:pPr>
      <w:r>
        <w:rPr>
          <w:rFonts w:ascii="Arial" w:hAnsi="Arial" w:cs="Arial"/>
          <w:sz w:val="22"/>
          <w:szCs w:val="22"/>
        </w:rPr>
        <w:t>In response, the EIR Recast</w:t>
      </w:r>
      <w:r w:rsidR="00892790">
        <w:rPr>
          <w:rFonts w:ascii="Arial" w:hAnsi="Arial" w:cs="Arial"/>
          <w:sz w:val="22"/>
          <w:szCs w:val="22"/>
        </w:rPr>
        <w:t>:</w:t>
      </w:r>
    </w:p>
    <w:p w14:paraId="2F040EE0" w14:textId="75F1CFBE" w:rsidR="00892790" w:rsidRDefault="00892790" w:rsidP="00892790">
      <w:pPr>
        <w:pStyle w:val="ListParagraph"/>
        <w:numPr>
          <w:ilvl w:val="0"/>
          <w:numId w:val="14"/>
        </w:numPr>
        <w:jc w:val="both"/>
        <w:rPr>
          <w:rFonts w:ascii="Arial" w:hAnsi="Arial" w:cs="Arial"/>
          <w:sz w:val="22"/>
          <w:szCs w:val="22"/>
        </w:rPr>
      </w:pPr>
      <w:r>
        <w:rPr>
          <w:rFonts w:ascii="Arial" w:hAnsi="Arial" w:cs="Arial"/>
          <w:sz w:val="22"/>
          <w:szCs w:val="22"/>
        </w:rPr>
        <w:t>Extended the scope of the Regulation by revising the definition of insolvency proceedings to include pre-insolvency proceedings</w:t>
      </w:r>
      <w:r w:rsidR="002C64C8">
        <w:rPr>
          <w:rFonts w:ascii="Arial" w:hAnsi="Arial" w:cs="Arial"/>
          <w:sz w:val="22"/>
          <w:szCs w:val="22"/>
        </w:rPr>
        <w:t xml:space="preserve"> and debt discharge proceedings. Th EIR Recast was made applicable to natural persons.</w:t>
      </w:r>
    </w:p>
    <w:p w14:paraId="58BB9047" w14:textId="54962611" w:rsidR="002C64C8" w:rsidRDefault="002C64C8" w:rsidP="00892790">
      <w:pPr>
        <w:pStyle w:val="ListParagraph"/>
        <w:numPr>
          <w:ilvl w:val="0"/>
          <w:numId w:val="14"/>
        </w:numPr>
        <w:jc w:val="both"/>
        <w:rPr>
          <w:rFonts w:ascii="Arial" w:hAnsi="Arial" w:cs="Arial"/>
          <w:sz w:val="22"/>
          <w:szCs w:val="22"/>
        </w:rPr>
      </w:pPr>
      <w:r>
        <w:rPr>
          <w:rFonts w:ascii="Arial" w:hAnsi="Arial" w:cs="Arial"/>
          <w:sz w:val="22"/>
          <w:szCs w:val="22"/>
        </w:rPr>
        <w:t>It clarified the rules on jurisdiction</w:t>
      </w:r>
      <w:r w:rsidR="001F4EF4">
        <w:rPr>
          <w:rFonts w:ascii="Arial" w:hAnsi="Arial" w:cs="Arial"/>
          <w:sz w:val="22"/>
          <w:szCs w:val="22"/>
        </w:rPr>
        <w:t xml:space="preserve"> including the circumstances in which the presumption </w:t>
      </w:r>
      <w:r w:rsidR="006547A6">
        <w:rPr>
          <w:rFonts w:ascii="Arial" w:hAnsi="Arial" w:cs="Arial"/>
          <w:sz w:val="22"/>
          <w:szCs w:val="22"/>
        </w:rPr>
        <w:t>that the COMI is where the registered office is located</w:t>
      </w:r>
      <w:r w:rsidR="00FC1524">
        <w:rPr>
          <w:rFonts w:ascii="Arial" w:hAnsi="Arial" w:cs="Arial"/>
          <w:sz w:val="22"/>
          <w:szCs w:val="22"/>
        </w:rPr>
        <w:t xml:space="preserve"> may be rebutted.</w:t>
      </w:r>
      <w:r w:rsidR="009E5D6B">
        <w:rPr>
          <w:rFonts w:ascii="Arial" w:hAnsi="Arial" w:cs="Arial"/>
          <w:sz w:val="22"/>
          <w:szCs w:val="22"/>
        </w:rPr>
        <w:t xml:space="preserve"> It provided for a </w:t>
      </w:r>
      <w:proofErr w:type="gramStart"/>
      <w:r w:rsidR="009E5D6B">
        <w:rPr>
          <w:rFonts w:ascii="Arial" w:hAnsi="Arial" w:cs="Arial"/>
          <w:sz w:val="22"/>
          <w:szCs w:val="22"/>
        </w:rPr>
        <w:t>3 month</w:t>
      </w:r>
      <w:proofErr w:type="gramEnd"/>
      <w:r w:rsidR="009E5D6B">
        <w:rPr>
          <w:rFonts w:ascii="Arial" w:hAnsi="Arial" w:cs="Arial"/>
          <w:sz w:val="22"/>
          <w:szCs w:val="22"/>
        </w:rPr>
        <w:t xml:space="preserve"> </w:t>
      </w:r>
      <w:r w:rsidR="00522279">
        <w:rPr>
          <w:rFonts w:ascii="Arial" w:hAnsi="Arial" w:cs="Arial"/>
          <w:sz w:val="22"/>
          <w:szCs w:val="22"/>
        </w:rPr>
        <w:t xml:space="preserve">minimum </w:t>
      </w:r>
      <w:r w:rsidR="009E5D6B">
        <w:rPr>
          <w:rFonts w:ascii="Arial" w:hAnsi="Arial" w:cs="Arial"/>
          <w:sz w:val="22"/>
          <w:szCs w:val="22"/>
        </w:rPr>
        <w:t>time period</w:t>
      </w:r>
      <w:r w:rsidR="00522279">
        <w:rPr>
          <w:rFonts w:ascii="Arial" w:hAnsi="Arial" w:cs="Arial"/>
          <w:sz w:val="22"/>
          <w:szCs w:val="22"/>
        </w:rPr>
        <w:t xml:space="preserve"> for the establishment of a COMI before proceedings are opened. </w:t>
      </w:r>
    </w:p>
    <w:p w14:paraId="5A431B31" w14:textId="1E907B6A" w:rsidR="00FC1524" w:rsidRDefault="00FC1524" w:rsidP="00892790">
      <w:pPr>
        <w:pStyle w:val="ListParagraph"/>
        <w:numPr>
          <w:ilvl w:val="0"/>
          <w:numId w:val="14"/>
        </w:numPr>
        <w:jc w:val="both"/>
        <w:rPr>
          <w:rFonts w:ascii="Arial" w:hAnsi="Arial" w:cs="Arial"/>
          <w:sz w:val="22"/>
          <w:szCs w:val="22"/>
        </w:rPr>
      </w:pPr>
      <w:r>
        <w:rPr>
          <w:rFonts w:ascii="Arial" w:hAnsi="Arial" w:cs="Arial"/>
          <w:sz w:val="22"/>
          <w:szCs w:val="22"/>
        </w:rPr>
        <w:t>It removed the requirement that secondary proceedings must be winding up proceedings</w:t>
      </w:r>
      <w:r w:rsidR="00D75B58">
        <w:rPr>
          <w:rFonts w:ascii="Arial" w:hAnsi="Arial" w:cs="Arial"/>
          <w:sz w:val="22"/>
          <w:szCs w:val="22"/>
        </w:rPr>
        <w:t>; introduced an obligation to co-operate between courts and between insolvency practitioners</w:t>
      </w:r>
      <w:r w:rsidR="004B70AF">
        <w:rPr>
          <w:rFonts w:ascii="Arial" w:hAnsi="Arial" w:cs="Arial"/>
          <w:sz w:val="22"/>
          <w:szCs w:val="22"/>
        </w:rPr>
        <w:t>. It introduced the ‘synthetic proceedings/undertaking procedure.</w:t>
      </w:r>
    </w:p>
    <w:p w14:paraId="492384D7" w14:textId="77777777" w:rsidR="0044760F" w:rsidRDefault="004B70AF" w:rsidP="00892790">
      <w:pPr>
        <w:pStyle w:val="ListParagraph"/>
        <w:numPr>
          <w:ilvl w:val="0"/>
          <w:numId w:val="14"/>
        </w:numPr>
        <w:jc w:val="both"/>
        <w:rPr>
          <w:rFonts w:ascii="Arial" w:hAnsi="Arial" w:cs="Arial"/>
          <w:sz w:val="22"/>
          <w:szCs w:val="22"/>
        </w:rPr>
      </w:pPr>
      <w:r>
        <w:rPr>
          <w:rFonts w:ascii="Arial" w:hAnsi="Arial" w:cs="Arial"/>
          <w:sz w:val="22"/>
          <w:szCs w:val="22"/>
        </w:rPr>
        <w:t>It estab</w:t>
      </w:r>
      <w:r w:rsidR="003B5152">
        <w:rPr>
          <w:rFonts w:ascii="Arial" w:hAnsi="Arial" w:cs="Arial"/>
          <w:sz w:val="22"/>
          <w:szCs w:val="22"/>
        </w:rPr>
        <w:t xml:space="preserve">lished the requirement to </w:t>
      </w:r>
      <w:r w:rsidR="00E3218E">
        <w:rPr>
          <w:rFonts w:ascii="Arial" w:hAnsi="Arial" w:cs="Arial"/>
          <w:sz w:val="22"/>
          <w:szCs w:val="22"/>
        </w:rPr>
        <w:t>publish insolvency proceedings in a publicly</w:t>
      </w:r>
      <w:r w:rsidR="0044760F">
        <w:rPr>
          <w:rFonts w:ascii="Arial" w:hAnsi="Arial" w:cs="Arial"/>
          <w:sz w:val="22"/>
          <w:szCs w:val="22"/>
        </w:rPr>
        <w:t xml:space="preserve"> accessible electronic register and the interconnection of national registers. </w:t>
      </w:r>
    </w:p>
    <w:p w14:paraId="27DB5745" w14:textId="0BBF68C8" w:rsidR="004B70AF" w:rsidRPr="0044760F" w:rsidRDefault="00E3218E" w:rsidP="0044760F">
      <w:pPr>
        <w:jc w:val="both"/>
        <w:rPr>
          <w:rFonts w:ascii="Arial" w:hAnsi="Arial" w:cs="Arial"/>
          <w:sz w:val="22"/>
          <w:szCs w:val="22"/>
        </w:rPr>
      </w:pPr>
      <w:r w:rsidRPr="0044760F">
        <w:rPr>
          <w:rFonts w:ascii="Arial" w:hAnsi="Arial" w:cs="Arial"/>
          <w:sz w:val="22"/>
          <w:szCs w:val="22"/>
        </w:rPr>
        <w:t xml:space="preserve"> </w:t>
      </w:r>
    </w:p>
    <w:p w14:paraId="4024A332" w14:textId="2DBF9423" w:rsidR="00544127" w:rsidRPr="005D2CD6" w:rsidRDefault="00544127" w:rsidP="002A37BB">
      <w:pPr>
        <w:jc w:val="both"/>
        <w:rPr>
          <w:rFonts w:ascii="Arial" w:hAnsi="Arial" w:cs="Arial"/>
          <w:sz w:val="22"/>
          <w:szCs w:val="22"/>
        </w:rPr>
      </w:pP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D8739B" w:rsidRDefault="00DF75F8" w:rsidP="002A37BB">
      <w:pPr>
        <w:jc w:val="both"/>
        <w:rPr>
          <w:rFonts w:ascii="Arial" w:hAnsi="Arial" w:cs="Arial"/>
          <w:sz w:val="22"/>
          <w:szCs w:val="22"/>
        </w:rPr>
      </w:pPr>
    </w:p>
    <w:p w14:paraId="3DAA6780" w14:textId="12FEE9BA" w:rsidR="00962045" w:rsidRDefault="00361805" w:rsidP="002A37BB">
      <w:pPr>
        <w:jc w:val="both"/>
        <w:rPr>
          <w:rFonts w:ascii="Arial" w:hAnsi="Arial" w:cs="Arial"/>
          <w:sz w:val="22"/>
          <w:szCs w:val="28"/>
        </w:rPr>
      </w:pPr>
      <w:r w:rsidRPr="00D8739B">
        <w:rPr>
          <w:rFonts w:ascii="Arial" w:hAnsi="Arial" w:cs="Arial"/>
          <w:sz w:val="22"/>
          <w:szCs w:val="22"/>
          <w:lang w:val="en-GB"/>
        </w:rPr>
        <w:t>Undoubtedly the introduction of the concept of ‘synthetic</w:t>
      </w:r>
      <w:r w:rsidR="00EE58EC" w:rsidRPr="00D8739B">
        <w:rPr>
          <w:rFonts w:ascii="Arial" w:hAnsi="Arial" w:cs="Arial"/>
          <w:sz w:val="22"/>
          <w:szCs w:val="22"/>
          <w:lang w:val="en-GB"/>
        </w:rPr>
        <w:t xml:space="preserve"> secondary</w:t>
      </w:r>
      <w:r w:rsidRPr="00D8739B">
        <w:rPr>
          <w:rFonts w:ascii="Arial" w:hAnsi="Arial" w:cs="Arial"/>
          <w:sz w:val="22"/>
          <w:szCs w:val="22"/>
          <w:lang w:val="en-GB"/>
        </w:rPr>
        <w:t xml:space="preserve"> proceedings’ is an </w:t>
      </w:r>
      <w:r w:rsidR="00AA0B11" w:rsidRPr="00D8739B">
        <w:rPr>
          <w:rFonts w:ascii="Arial" w:hAnsi="Arial" w:cs="Arial"/>
          <w:sz w:val="22"/>
          <w:szCs w:val="22"/>
          <w:lang w:val="en-GB"/>
        </w:rPr>
        <w:t>innovation.</w:t>
      </w:r>
      <w:r w:rsidR="00EE58EC" w:rsidRPr="00D8739B">
        <w:rPr>
          <w:rFonts w:ascii="Arial" w:hAnsi="Arial" w:cs="Arial"/>
          <w:sz w:val="22"/>
          <w:szCs w:val="22"/>
          <w:lang w:val="en-GB"/>
        </w:rPr>
        <w:t xml:space="preserve"> </w:t>
      </w:r>
      <w:r w:rsidR="00EE58EC" w:rsidRPr="00D8739B">
        <w:rPr>
          <w:rFonts w:ascii="Arial" w:hAnsi="Arial" w:cs="Arial"/>
          <w:sz w:val="22"/>
          <w:szCs w:val="22"/>
        </w:rPr>
        <w:t xml:space="preserve">The opening of secondary proceedings </w:t>
      </w:r>
      <w:r w:rsidR="00EF5B40">
        <w:rPr>
          <w:rFonts w:ascii="Arial" w:hAnsi="Arial" w:cs="Arial"/>
          <w:sz w:val="22"/>
          <w:szCs w:val="22"/>
        </w:rPr>
        <w:t>is</w:t>
      </w:r>
      <w:r w:rsidR="000D070E">
        <w:rPr>
          <w:rFonts w:ascii="Arial" w:hAnsi="Arial" w:cs="Arial"/>
          <w:sz w:val="22"/>
          <w:szCs w:val="22"/>
        </w:rPr>
        <w:t xml:space="preserve"> </w:t>
      </w:r>
      <w:r w:rsidR="00EE58EC" w:rsidRPr="00D8739B">
        <w:rPr>
          <w:rFonts w:ascii="Arial" w:hAnsi="Arial" w:cs="Arial"/>
          <w:sz w:val="22"/>
          <w:szCs w:val="22"/>
        </w:rPr>
        <w:t xml:space="preserve">not necessary, </w:t>
      </w:r>
      <w:r w:rsidR="000D070E">
        <w:rPr>
          <w:rFonts w:ascii="Arial" w:hAnsi="Arial" w:cs="Arial"/>
          <w:sz w:val="22"/>
          <w:szCs w:val="22"/>
        </w:rPr>
        <w:t>where</w:t>
      </w:r>
      <w:r w:rsidR="00EE58EC" w:rsidRPr="00D8739B">
        <w:rPr>
          <w:rFonts w:ascii="Arial" w:hAnsi="Arial" w:cs="Arial"/>
          <w:sz w:val="22"/>
          <w:szCs w:val="22"/>
        </w:rPr>
        <w:t xml:space="preserve"> the liquidator of the main proceedings promises to the local creditors that they would be treated in the main proceedings as if secondary proceedings had been opened and that the </w:t>
      </w:r>
      <w:proofErr w:type="gramStart"/>
      <w:r w:rsidR="00EE58EC" w:rsidRPr="00D8739B">
        <w:rPr>
          <w:rFonts w:ascii="Arial" w:hAnsi="Arial" w:cs="Arial"/>
          <w:sz w:val="22"/>
          <w:szCs w:val="22"/>
        </w:rPr>
        <w:t>rights</w:t>
      </w:r>
      <w:proofErr w:type="gramEnd"/>
      <w:r w:rsidR="00EE58EC" w:rsidRPr="00D8739B">
        <w:rPr>
          <w:rFonts w:ascii="Arial" w:hAnsi="Arial" w:cs="Arial"/>
          <w:sz w:val="22"/>
          <w:szCs w:val="22"/>
        </w:rPr>
        <w:t xml:space="preserve"> they would have had in such a case with respect to the determination and ranking of their claims would be respected in the distribution of the assets</w:t>
      </w:r>
      <w:r w:rsidR="00EE58EC" w:rsidRPr="00D8739B">
        <w:rPr>
          <w:rFonts w:ascii="Arial" w:hAnsi="Arial" w:cs="Arial"/>
        </w:rPr>
        <w:t xml:space="preserve">. </w:t>
      </w:r>
      <w:r w:rsidR="007A0432" w:rsidRPr="007A0432">
        <w:rPr>
          <w:rFonts w:ascii="Arial" w:hAnsi="Arial" w:cs="Arial"/>
          <w:sz w:val="22"/>
          <w:szCs w:val="28"/>
        </w:rPr>
        <w:t xml:space="preserve">Articles 36 and 38 of the EIR Recast refer. </w:t>
      </w:r>
      <w:r w:rsidR="007A0432">
        <w:rPr>
          <w:rFonts w:ascii="Arial" w:hAnsi="Arial" w:cs="Arial"/>
          <w:sz w:val="22"/>
          <w:szCs w:val="28"/>
        </w:rPr>
        <w:t xml:space="preserve">Where such an undertaking is given the court should refuse to </w:t>
      </w:r>
      <w:r w:rsidR="00C6021B">
        <w:rPr>
          <w:rFonts w:ascii="Arial" w:hAnsi="Arial" w:cs="Arial"/>
          <w:sz w:val="22"/>
          <w:szCs w:val="28"/>
        </w:rPr>
        <w:t xml:space="preserve">commence secondary proceedings </w:t>
      </w:r>
      <w:proofErr w:type="gramStart"/>
      <w:r w:rsidR="00C6021B">
        <w:rPr>
          <w:rFonts w:ascii="Arial" w:hAnsi="Arial" w:cs="Arial"/>
          <w:sz w:val="22"/>
          <w:szCs w:val="28"/>
        </w:rPr>
        <w:t>provided that</w:t>
      </w:r>
      <w:proofErr w:type="gramEnd"/>
      <w:r w:rsidR="00C6021B">
        <w:rPr>
          <w:rFonts w:ascii="Arial" w:hAnsi="Arial" w:cs="Arial"/>
          <w:sz w:val="22"/>
          <w:szCs w:val="28"/>
        </w:rPr>
        <w:t xml:space="preserve"> it is satisfied that creditor interests are adequate</w:t>
      </w:r>
      <w:r w:rsidR="009F6BE1">
        <w:rPr>
          <w:rFonts w:ascii="Arial" w:hAnsi="Arial" w:cs="Arial"/>
          <w:sz w:val="22"/>
          <w:szCs w:val="28"/>
        </w:rPr>
        <w:t xml:space="preserve"> protected.</w:t>
      </w:r>
    </w:p>
    <w:p w14:paraId="5859495A" w14:textId="745FF827" w:rsidR="009F6BE1" w:rsidRDefault="009F6BE1" w:rsidP="002A37BB">
      <w:pPr>
        <w:jc w:val="both"/>
        <w:rPr>
          <w:rFonts w:ascii="Arial" w:hAnsi="Arial" w:cs="Arial"/>
          <w:sz w:val="22"/>
          <w:szCs w:val="28"/>
        </w:rPr>
      </w:pPr>
    </w:p>
    <w:p w14:paraId="20BFF70B" w14:textId="7D5F15C9" w:rsidR="009F6BE1" w:rsidRDefault="009F6BE1" w:rsidP="002A37BB">
      <w:pPr>
        <w:jc w:val="both"/>
        <w:rPr>
          <w:rFonts w:ascii="Arial" w:hAnsi="Arial" w:cs="Arial"/>
          <w:sz w:val="22"/>
          <w:szCs w:val="28"/>
        </w:rPr>
      </w:pPr>
      <w:r>
        <w:rPr>
          <w:rFonts w:ascii="Arial" w:hAnsi="Arial" w:cs="Arial"/>
          <w:sz w:val="22"/>
          <w:szCs w:val="28"/>
        </w:rPr>
        <w:t>As alluded to above, a large improvement is the establishment of a publicly sear</w:t>
      </w:r>
      <w:r w:rsidR="004645E3">
        <w:rPr>
          <w:rFonts w:ascii="Arial" w:hAnsi="Arial" w:cs="Arial"/>
          <w:sz w:val="22"/>
          <w:szCs w:val="28"/>
        </w:rPr>
        <w:t xml:space="preserve">chable electronic register of insolvency proceedings. The efficient flow of information between </w:t>
      </w:r>
      <w:r w:rsidR="004645E3">
        <w:rPr>
          <w:rFonts w:ascii="Arial" w:hAnsi="Arial" w:cs="Arial"/>
          <w:sz w:val="22"/>
          <w:szCs w:val="28"/>
        </w:rPr>
        <w:lastRenderedPageBreak/>
        <w:t xml:space="preserve">stakeholders assists in the efficient functioning of insolvency proceedings and in turn the efficient allocation of capital within the single market. </w:t>
      </w:r>
    </w:p>
    <w:p w14:paraId="43D3C385" w14:textId="2E0096C4" w:rsidR="004B70ED" w:rsidRDefault="004B70ED" w:rsidP="002A37BB">
      <w:pPr>
        <w:jc w:val="both"/>
        <w:rPr>
          <w:rFonts w:ascii="Arial" w:hAnsi="Arial" w:cs="Arial"/>
          <w:sz w:val="22"/>
          <w:szCs w:val="28"/>
        </w:rPr>
      </w:pPr>
    </w:p>
    <w:p w14:paraId="67A4A1AF" w14:textId="00DBA3AE" w:rsidR="004B70ED" w:rsidRDefault="00B8724A" w:rsidP="002A37BB">
      <w:pPr>
        <w:jc w:val="both"/>
        <w:rPr>
          <w:rFonts w:ascii="Arial" w:hAnsi="Arial" w:cs="Arial"/>
          <w:sz w:val="22"/>
          <w:szCs w:val="28"/>
        </w:rPr>
      </w:pPr>
      <w:r>
        <w:rPr>
          <w:rFonts w:ascii="Arial" w:hAnsi="Arial" w:cs="Arial"/>
          <w:sz w:val="22"/>
          <w:szCs w:val="28"/>
        </w:rPr>
        <w:t xml:space="preserve">Under EIR </w:t>
      </w:r>
      <w:proofErr w:type="gramStart"/>
      <w:r>
        <w:rPr>
          <w:rFonts w:ascii="Arial" w:hAnsi="Arial" w:cs="Arial"/>
          <w:sz w:val="22"/>
          <w:szCs w:val="28"/>
        </w:rPr>
        <w:t>Recast ,</w:t>
      </w:r>
      <w:proofErr w:type="gramEnd"/>
      <w:r>
        <w:rPr>
          <w:rFonts w:ascii="Arial" w:hAnsi="Arial" w:cs="Arial"/>
          <w:sz w:val="22"/>
          <w:szCs w:val="28"/>
        </w:rPr>
        <w:t xml:space="preserve"> c</w:t>
      </w:r>
      <w:r w:rsidR="00BF33CB">
        <w:rPr>
          <w:rFonts w:ascii="Arial" w:hAnsi="Arial" w:cs="Arial"/>
          <w:sz w:val="22"/>
          <w:szCs w:val="28"/>
        </w:rPr>
        <w:t>reditor</w:t>
      </w:r>
      <w:r w:rsidR="00AF199B">
        <w:rPr>
          <w:rFonts w:ascii="Arial" w:hAnsi="Arial" w:cs="Arial"/>
          <w:sz w:val="22"/>
          <w:szCs w:val="28"/>
        </w:rPr>
        <w:t>s are free to file claims in as many jurisdictions as they wish</w:t>
      </w:r>
      <w:r w:rsidR="00713315">
        <w:rPr>
          <w:rFonts w:ascii="Arial" w:hAnsi="Arial" w:cs="Arial"/>
          <w:sz w:val="22"/>
          <w:szCs w:val="28"/>
        </w:rPr>
        <w:t xml:space="preserve"> (Article 45)</w:t>
      </w:r>
      <w:r w:rsidR="00AF199B">
        <w:rPr>
          <w:rFonts w:ascii="Arial" w:hAnsi="Arial" w:cs="Arial"/>
          <w:sz w:val="22"/>
          <w:szCs w:val="28"/>
        </w:rPr>
        <w:t>.</w:t>
      </w:r>
      <w:r w:rsidR="00713315">
        <w:rPr>
          <w:rFonts w:ascii="Arial" w:hAnsi="Arial" w:cs="Arial"/>
          <w:sz w:val="22"/>
          <w:szCs w:val="28"/>
        </w:rPr>
        <w:t xml:space="preserve"> </w:t>
      </w:r>
      <w:r w:rsidR="00AF199B">
        <w:rPr>
          <w:rFonts w:ascii="Arial" w:hAnsi="Arial" w:cs="Arial"/>
          <w:sz w:val="22"/>
          <w:szCs w:val="28"/>
        </w:rPr>
        <w:t>This could potentially give rise to creditors collecting</w:t>
      </w:r>
      <w:r w:rsidR="001C779E">
        <w:rPr>
          <w:rFonts w:ascii="Arial" w:hAnsi="Arial" w:cs="Arial"/>
          <w:sz w:val="22"/>
          <w:szCs w:val="28"/>
        </w:rPr>
        <w:t xml:space="preserve"> payment on the same claim</w:t>
      </w:r>
      <w:r w:rsidR="00AF199B">
        <w:rPr>
          <w:rFonts w:ascii="Arial" w:hAnsi="Arial" w:cs="Arial"/>
          <w:sz w:val="22"/>
          <w:szCs w:val="28"/>
        </w:rPr>
        <w:t xml:space="preserve"> in multiple jurisdictions</w:t>
      </w:r>
      <w:r w:rsidR="001C779E">
        <w:rPr>
          <w:rFonts w:ascii="Arial" w:hAnsi="Arial" w:cs="Arial"/>
          <w:sz w:val="22"/>
          <w:szCs w:val="28"/>
        </w:rPr>
        <w:t xml:space="preserve"> which wo</w:t>
      </w:r>
      <w:r w:rsidR="002D5EE7">
        <w:rPr>
          <w:rFonts w:ascii="Arial" w:hAnsi="Arial" w:cs="Arial"/>
          <w:sz w:val="22"/>
          <w:szCs w:val="28"/>
        </w:rPr>
        <w:t xml:space="preserve">uld result in that creditor obtaining more </w:t>
      </w:r>
      <w:proofErr w:type="spellStart"/>
      <w:r w:rsidR="002D5EE7">
        <w:rPr>
          <w:rFonts w:ascii="Arial" w:hAnsi="Arial" w:cs="Arial"/>
          <w:sz w:val="22"/>
          <w:szCs w:val="28"/>
        </w:rPr>
        <w:t>favourable</w:t>
      </w:r>
      <w:proofErr w:type="spellEnd"/>
      <w:r w:rsidR="002D5EE7">
        <w:rPr>
          <w:rFonts w:ascii="Arial" w:hAnsi="Arial" w:cs="Arial"/>
          <w:sz w:val="22"/>
          <w:szCs w:val="28"/>
        </w:rPr>
        <w:t xml:space="preserve"> treatment than other creditors of the same class. </w:t>
      </w:r>
      <w:proofErr w:type="gramStart"/>
      <w:r>
        <w:rPr>
          <w:rFonts w:ascii="Arial" w:hAnsi="Arial" w:cs="Arial"/>
          <w:sz w:val="22"/>
          <w:szCs w:val="28"/>
        </w:rPr>
        <w:t>In an effort to</w:t>
      </w:r>
      <w:proofErr w:type="gramEnd"/>
      <w:r>
        <w:rPr>
          <w:rFonts w:ascii="Arial" w:hAnsi="Arial" w:cs="Arial"/>
          <w:sz w:val="22"/>
          <w:szCs w:val="28"/>
        </w:rPr>
        <w:t xml:space="preserve"> safeguard equal treatment between creditors, Article </w:t>
      </w:r>
      <w:r w:rsidR="00F4796C">
        <w:rPr>
          <w:rFonts w:ascii="Arial" w:hAnsi="Arial" w:cs="Arial"/>
          <w:sz w:val="22"/>
          <w:szCs w:val="28"/>
        </w:rPr>
        <w:t xml:space="preserve">23(2) provides that a creditor claiming in more than one proceeding </w:t>
      </w:r>
      <w:r w:rsidR="00F41797">
        <w:rPr>
          <w:rFonts w:ascii="Arial" w:hAnsi="Arial" w:cs="Arial"/>
          <w:sz w:val="22"/>
          <w:szCs w:val="28"/>
        </w:rPr>
        <w:t>should not receive more than the proportion of payment that is obtained by other creditors of the same ranking or categ</w:t>
      </w:r>
      <w:r w:rsidR="00CE159A">
        <w:rPr>
          <w:rFonts w:ascii="Arial" w:hAnsi="Arial" w:cs="Arial"/>
          <w:sz w:val="22"/>
          <w:szCs w:val="28"/>
        </w:rPr>
        <w:t xml:space="preserve">ory. While the </w:t>
      </w:r>
      <w:r w:rsidR="00CE159A">
        <w:rPr>
          <w:rFonts w:ascii="Arial" w:hAnsi="Arial" w:cs="Arial"/>
          <w:sz w:val="22"/>
          <w:szCs w:val="28"/>
        </w:rPr>
        <w:t>ranking and priority of creditors is not harmonized across the EU</w:t>
      </w:r>
      <w:r w:rsidR="00CE159A">
        <w:rPr>
          <w:rFonts w:ascii="Arial" w:hAnsi="Arial" w:cs="Arial"/>
          <w:sz w:val="22"/>
          <w:szCs w:val="28"/>
        </w:rPr>
        <w:t xml:space="preserve">, Article 23 is a step in the right direction. </w:t>
      </w:r>
    </w:p>
    <w:p w14:paraId="0522F7C5" w14:textId="298804D4" w:rsidR="00BE5924" w:rsidRDefault="00BE5924" w:rsidP="002A37BB">
      <w:pPr>
        <w:jc w:val="both"/>
        <w:rPr>
          <w:rFonts w:ascii="Arial" w:hAnsi="Arial" w:cs="Arial"/>
          <w:sz w:val="22"/>
          <w:szCs w:val="28"/>
        </w:rPr>
      </w:pPr>
    </w:p>
    <w:p w14:paraId="622E0A32" w14:textId="5A6C7E46" w:rsidR="00BE5924" w:rsidRPr="00D8739B" w:rsidRDefault="0061773D" w:rsidP="002A37BB">
      <w:pPr>
        <w:jc w:val="both"/>
        <w:rPr>
          <w:rFonts w:ascii="Arial" w:hAnsi="Arial" w:cs="Arial"/>
          <w:sz w:val="22"/>
          <w:szCs w:val="22"/>
          <w:lang w:val="en-GB"/>
        </w:rPr>
      </w:pPr>
      <w:r>
        <w:rPr>
          <w:rFonts w:ascii="Arial" w:hAnsi="Arial" w:cs="Arial"/>
          <w:sz w:val="22"/>
          <w:szCs w:val="28"/>
        </w:rPr>
        <w:t xml:space="preserve">In addition, Article 1 extends </w:t>
      </w:r>
      <w:r w:rsidR="008C6226">
        <w:rPr>
          <w:rFonts w:ascii="Arial" w:hAnsi="Arial" w:cs="Arial"/>
          <w:sz w:val="22"/>
          <w:szCs w:val="28"/>
        </w:rPr>
        <w:t xml:space="preserve">the EIR Recast to proceedings aimed at rescuing viable </w:t>
      </w:r>
      <w:r w:rsidR="00A874A7">
        <w:rPr>
          <w:rFonts w:ascii="Arial" w:hAnsi="Arial" w:cs="Arial"/>
          <w:sz w:val="22"/>
          <w:szCs w:val="28"/>
        </w:rPr>
        <w:t xml:space="preserve">but financially distressed </w:t>
      </w:r>
      <w:r w:rsidR="008C6226">
        <w:rPr>
          <w:rFonts w:ascii="Arial" w:hAnsi="Arial" w:cs="Arial"/>
          <w:sz w:val="22"/>
          <w:szCs w:val="28"/>
        </w:rPr>
        <w:t>businesses</w:t>
      </w:r>
      <w:r w:rsidR="009A5D7C">
        <w:rPr>
          <w:rFonts w:ascii="Arial" w:hAnsi="Arial" w:cs="Arial"/>
          <w:sz w:val="22"/>
          <w:szCs w:val="28"/>
        </w:rPr>
        <w:t xml:space="preserve">. The emphasis on restructuring is an innovation compared to EIR 2000 which only dealt with </w:t>
      </w:r>
      <w:r w:rsidR="00C87FE9">
        <w:rPr>
          <w:rFonts w:ascii="Arial" w:hAnsi="Arial" w:cs="Arial"/>
          <w:sz w:val="22"/>
          <w:szCs w:val="28"/>
        </w:rPr>
        <w:t>liquidation proceedings</w:t>
      </w:r>
      <w:r w:rsidR="00A0372F">
        <w:rPr>
          <w:rFonts w:ascii="Arial" w:hAnsi="Arial" w:cs="Arial"/>
          <w:sz w:val="22"/>
          <w:szCs w:val="28"/>
        </w:rPr>
        <w:t>.</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AE7EA78" w14:textId="4F516006" w:rsidR="007D7C92" w:rsidRDefault="009B79A8" w:rsidP="004304F9">
      <w:pPr>
        <w:jc w:val="both"/>
        <w:rPr>
          <w:rFonts w:ascii="Arial" w:hAnsi="Arial" w:cs="Arial"/>
          <w:sz w:val="22"/>
          <w:szCs w:val="22"/>
          <w:lang w:val="en-GB"/>
        </w:rPr>
      </w:pPr>
      <w:r>
        <w:rPr>
          <w:rFonts w:ascii="Arial" w:hAnsi="Arial" w:cs="Arial"/>
          <w:sz w:val="22"/>
          <w:szCs w:val="22"/>
          <w:lang w:val="en-GB"/>
        </w:rPr>
        <w:t xml:space="preserve">The EIR Recast </w:t>
      </w:r>
      <w:r w:rsidR="00DE15DE">
        <w:rPr>
          <w:rFonts w:ascii="Arial" w:hAnsi="Arial" w:cs="Arial"/>
          <w:sz w:val="22"/>
          <w:szCs w:val="22"/>
          <w:lang w:val="en-GB"/>
        </w:rPr>
        <w:t xml:space="preserve">is a missed opportunity in aligning creditor rights across the single market. </w:t>
      </w:r>
      <w:r w:rsidR="005572BD">
        <w:rPr>
          <w:rFonts w:ascii="Arial" w:hAnsi="Arial" w:cs="Arial"/>
          <w:sz w:val="22"/>
          <w:szCs w:val="22"/>
          <w:lang w:val="en-GB"/>
        </w:rPr>
        <w:t xml:space="preserve">Rules such as the ‘hotchpotch’ rule </w:t>
      </w:r>
      <w:r w:rsidR="00363BBD">
        <w:rPr>
          <w:rFonts w:ascii="Arial" w:hAnsi="Arial" w:cs="Arial"/>
          <w:sz w:val="22"/>
          <w:szCs w:val="22"/>
          <w:lang w:val="en-GB"/>
        </w:rPr>
        <w:t xml:space="preserve">assists but the </w:t>
      </w:r>
      <w:r w:rsidR="006D2ED7">
        <w:rPr>
          <w:rFonts w:ascii="Arial" w:hAnsi="Arial" w:cs="Arial"/>
          <w:sz w:val="22"/>
          <w:szCs w:val="22"/>
          <w:lang w:val="en-GB"/>
        </w:rPr>
        <w:t xml:space="preserve">proper functioning of the single market requires the certainty that a uniform approach to creditor rights and priority of payments would bring. It is a difficult question to resolve, yes, but one that </w:t>
      </w:r>
      <w:r w:rsidR="001374A1">
        <w:rPr>
          <w:rFonts w:ascii="Arial" w:hAnsi="Arial" w:cs="Arial"/>
          <w:sz w:val="22"/>
          <w:szCs w:val="22"/>
          <w:lang w:val="en-GB"/>
        </w:rPr>
        <w:t xml:space="preserve">must be tackled by the Commission </w:t>
      </w:r>
      <w:proofErr w:type="gramStart"/>
      <w:r w:rsidR="001374A1">
        <w:rPr>
          <w:rFonts w:ascii="Arial" w:hAnsi="Arial" w:cs="Arial"/>
          <w:sz w:val="22"/>
          <w:szCs w:val="22"/>
          <w:lang w:val="en-GB"/>
        </w:rPr>
        <w:t>in the near future</w:t>
      </w:r>
      <w:proofErr w:type="gramEnd"/>
      <w:r w:rsidR="00306BF7">
        <w:rPr>
          <w:rFonts w:ascii="Arial" w:hAnsi="Arial" w:cs="Arial"/>
          <w:sz w:val="22"/>
          <w:szCs w:val="22"/>
          <w:lang w:val="en-GB"/>
        </w:rPr>
        <w:t xml:space="preserve"> (as per recital 22 of the EIR Recast).</w:t>
      </w:r>
    </w:p>
    <w:p w14:paraId="67C9FCCE" w14:textId="4AF45742" w:rsidR="00350514" w:rsidRDefault="00350514" w:rsidP="004304F9">
      <w:pPr>
        <w:jc w:val="both"/>
        <w:rPr>
          <w:rFonts w:ascii="Arial" w:hAnsi="Arial" w:cs="Arial"/>
          <w:sz w:val="22"/>
          <w:szCs w:val="22"/>
          <w:lang w:val="en-GB"/>
        </w:rPr>
      </w:pPr>
    </w:p>
    <w:p w14:paraId="6DE5FFA4" w14:textId="5F13D904" w:rsidR="00680EF2" w:rsidRPr="008500BD" w:rsidRDefault="00680EF2" w:rsidP="007E140D">
      <w:pPr>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5A2F0E35" w:rsidR="002F75A3" w:rsidRPr="0038589F" w:rsidRDefault="009C6731" w:rsidP="002A37BB">
      <w:pPr>
        <w:jc w:val="both"/>
        <w:rPr>
          <w:rFonts w:ascii="Arial" w:hAnsi="Arial" w:cs="Arial"/>
          <w:sz w:val="22"/>
          <w:szCs w:val="22"/>
          <w:lang w:val="en-GB"/>
        </w:rPr>
      </w:pPr>
      <w:r w:rsidRPr="0038589F">
        <w:rPr>
          <w:rFonts w:ascii="Arial" w:hAnsi="Arial" w:cs="Arial"/>
          <w:sz w:val="22"/>
          <w:szCs w:val="22"/>
          <w:lang w:val="en-GB"/>
        </w:rPr>
        <w:t xml:space="preserve">The Irish High </w:t>
      </w:r>
      <w:r w:rsidR="007A0313" w:rsidRPr="0038589F">
        <w:rPr>
          <w:rFonts w:ascii="Arial" w:hAnsi="Arial" w:cs="Arial"/>
          <w:sz w:val="22"/>
          <w:szCs w:val="22"/>
          <w:lang w:val="en-GB"/>
        </w:rPr>
        <w:t>C</w:t>
      </w:r>
      <w:r w:rsidRPr="0038589F">
        <w:rPr>
          <w:rFonts w:ascii="Arial" w:hAnsi="Arial" w:cs="Arial"/>
          <w:sz w:val="22"/>
          <w:szCs w:val="22"/>
          <w:lang w:val="en-GB"/>
        </w:rPr>
        <w:t>ourt has juri</w:t>
      </w:r>
      <w:r w:rsidR="008E70BF" w:rsidRPr="0038589F">
        <w:rPr>
          <w:rFonts w:ascii="Arial" w:hAnsi="Arial" w:cs="Arial"/>
          <w:sz w:val="22"/>
          <w:szCs w:val="22"/>
          <w:lang w:val="en-GB"/>
        </w:rPr>
        <w:t>s</w:t>
      </w:r>
      <w:r w:rsidRPr="0038589F">
        <w:rPr>
          <w:rFonts w:ascii="Arial" w:hAnsi="Arial" w:cs="Arial"/>
          <w:sz w:val="22"/>
          <w:szCs w:val="22"/>
          <w:lang w:val="en-GB"/>
        </w:rPr>
        <w:t xml:space="preserve">diction. The </w:t>
      </w:r>
      <w:r w:rsidR="0031590F" w:rsidRPr="0038589F">
        <w:rPr>
          <w:rFonts w:ascii="Arial" w:hAnsi="Arial" w:cs="Arial"/>
          <w:sz w:val="22"/>
          <w:szCs w:val="22"/>
          <w:lang w:val="en-GB"/>
        </w:rPr>
        <w:t xml:space="preserve">centre of main interest is </w:t>
      </w:r>
      <w:r w:rsidR="00A10608" w:rsidRPr="0038589F">
        <w:rPr>
          <w:rFonts w:ascii="Arial" w:hAnsi="Arial" w:cs="Arial"/>
          <w:sz w:val="22"/>
          <w:szCs w:val="22"/>
          <w:lang w:val="en-GB"/>
        </w:rPr>
        <w:t xml:space="preserve">presumed to be </w:t>
      </w:r>
      <w:r w:rsidR="0031590F" w:rsidRPr="0038589F">
        <w:rPr>
          <w:rFonts w:ascii="Arial" w:hAnsi="Arial" w:cs="Arial"/>
          <w:sz w:val="22"/>
          <w:szCs w:val="22"/>
          <w:lang w:val="en-GB"/>
        </w:rPr>
        <w:t>in Ireland – registered office is in Ireland</w:t>
      </w:r>
      <w:r w:rsidR="00A10608" w:rsidRPr="0038589F">
        <w:rPr>
          <w:rFonts w:ascii="Arial" w:hAnsi="Arial" w:cs="Arial"/>
          <w:sz w:val="22"/>
          <w:szCs w:val="22"/>
          <w:lang w:val="en-GB"/>
        </w:rPr>
        <w:t xml:space="preserve"> (Article 3(1))</w:t>
      </w:r>
      <w:r w:rsidR="00414C26" w:rsidRPr="0038589F">
        <w:rPr>
          <w:rFonts w:ascii="Arial" w:hAnsi="Arial" w:cs="Arial"/>
          <w:sz w:val="22"/>
          <w:szCs w:val="22"/>
          <w:lang w:val="en-GB"/>
        </w:rPr>
        <w:t xml:space="preserve"> –</w:t>
      </w:r>
      <w:r w:rsidR="00BD55DE" w:rsidRPr="0038589F">
        <w:rPr>
          <w:rFonts w:ascii="Arial" w:hAnsi="Arial" w:cs="Arial"/>
          <w:sz w:val="22"/>
          <w:szCs w:val="22"/>
          <w:lang w:val="en-GB"/>
        </w:rPr>
        <w:t xml:space="preserve"> in the absence of proof to the contrary. No such proof is evidenced in the facts as presented.</w:t>
      </w:r>
      <w:r w:rsidR="00414C26" w:rsidRPr="0038589F">
        <w:rPr>
          <w:rFonts w:ascii="Arial" w:hAnsi="Arial" w:cs="Arial"/>
          <w:sz w:val="22"/>
          <w:szCs w:val="22"/>
          <w:lang w:val="en-GB"/>
        </w:rPr>
        <w:t xml:space="preserve"> </w:t>
      </w:r>
      <w:r w:rsidR="008E70BF" w:rsidRPr="0038589F">
        <w:rPr>
          <w:rFonts w:ascii="Arial" w:hAnsi="Arial" w:cs="Arial"/>
          <w:sz w:val="22"/>
          <w:szCs w:val="22"/>
          <w:lang w:val="en-GB"/>
        </w:rPr>
        <w:t xml:space="preserve"> Examinership is an insolvency proceeding list</w:t>
      </w:r>
      <w:r w:rsidR="007A0313" w:rsidRPr="0038589F">
        <w:rPr>
          <w:rFonts w:ascii="Arial" w:hAnsi="Arial" w:cs="Arial"/>
          <w:sz w:val="22"/>
          <w:szCs w:val="22"/>
          <w:lang w:val="en-GB"/>
        </w:rPr>
        <w:t>ed</w:t>
      </w:r>
      <w:r w:rsidR="008E70BF" w:rsidRPr="0038589F">
        <w:rPr>
          <w:rFonts w:ascii="Arial" w:hAnsi="Arial" w:cs="Arial"/>
          <w:sz w:val="22"/>
          <w:szCs w:val="22"/>
          <w:lang w:val="en-GB"/>
        </w:rPr>
        <w:t xml:space="preserve"> in Annex A to the EIR 2000.</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15F9AEA9" w:rsidR="002D3473" w:rsidRPr="00AF486E" w:rsidRDefault="00653EAF" w:rsidP="002A37BB">
      <w:pPr>
        <w:autoSpaceDE w:val="0"/>
        <w:autoSpaceDN w:val="0"/>
        <w:adjustRightInd w:val="0"/>
        <w:jc w:val="both"/>
        <w:rPr>
          <w:rFonts w:ascii="Arial" w:hAnsi="Arial" w:cs="Arial"/>
          <w:sz w:val="22"/>
          <w:szCs w:val="22"/>
          <w:lang w:val="en-GB"/>
        </w:rPr>
      </w:pPr>
      <w:r w:rsidRPr="00AF486E">
        <w:rPr>
          <w:rFonts w:ascii="Arial" w:hAnsi="Arial" w:cs="Arial"/>
          <w:sz w:val="22"/>
          <w:szCs w:val="22"/>
          <w:lang w:val="en-GB"/>
        </w:rPr>
        <w:t xml:space="preserve">The EIR Recast </w:t>
      </w:r>
      <w:r w:rsidR="00D70D9F" w:rsidRPr="00AF486E">
        <w:rPr>
          <w:rFonts w:ascii="Arial" w:hAnsi="Arial" w:cs="Arial"/>
          <w:sz w:val="22"/>
          <w:szCs w:val="22"/>
          <w:lang w:val="en-GB"/>
        </w:rPr>
        <w:t xml:space="preserve">commenced 26 June 2017, 4 days prior to the opening of the proceedings before the Irish High Court on 30 June 2017. </w:t>
      </w:r>
      <w:r w:rsidR="005D4A74" w:rsidRPr="00AF486E">
        <w:rPr>
          <w:rFonts w:ascii="Arial" w:hAnsi="Arial" w:cs="Arial"/>
          <w:sz w:val="22"/>
          <w:szCs w:val="22"/>
          <w:lang w:val="en-GB"/>
        </w:rPr>
        <w:t>From a temporal perspective</w:t>
      </w:r>
      <w:r w:rsidR="00765FCA" w:rsidRPr="00AF486E">
        <w:rPr>
          <w:rFonts w:ascii="Arial" w:hAnsi="Arial" w:cs="Arial"/>
          <w:sz w:val="22"/>
          <w:szCs w:val="22"/>
          <w:lang w:val="en-GB"/>
        </w:rPr>
        <w:t xml:space="preserve">, the EIR Recast applies since the proceedings opened after 26 June 2017. </w:t>
      </w:r>
    </w:p>
    <w:p w14:paraId="385F3FC1" w14:textId="391D9D1D" w:rsidR="00093924" w:rsidRPr="00AF486E" w:rsidRDefault="00093924" w:rsidP="002A37BB">
      <w:pPr>
        <w:autoSpaceDE w:val="0"/>
        <w:autoSpaceDN w:val="0"/>
        <w:adjustRightInd w:val="0"/>
        <w:jc w:val="both"/>
        <w:rPr>
          <w:rFonts w:ascii="Arial" w:hAnsi="Arial" w:cs="Arial"/>
          <w:sz w:val="22"/>
          <w:szCs w:val="22"/>
          <w:lang w:val="en-GB"/>
        </w:rPr>
      </w:pPr>
    </w:p>
    <w:p w14:paraId="40213EBF" w14:textId="793C9CEB" w:rsidR="00093924" w:rsidRPr="00AF486E" w:rsidRDefault="00093924" w:rsidP="002A37BB">
      <w:pPr>
        <w:autoSpaceDE w:val="0"/>
        <w:autoSpaceDN w:val="0"/>
        <w:adjustRightInd w:val="0"/>
        <w:jc w:val="both"/>
        <w:rPr>
          <w:rFonts w:ascii="Arial" w:hAnsi="Arial" w:cs="Arial"/>
          <w:sz w:val="22"/>
          <w:szCs w:val="22"/>
          <w:lang w:val="en-GB"/>
        </w:rPr>
      </w:pPr>
      <w:r w:rsidRPr="00AF486E">
        <w:rPr>
          <w:rFonts w:ascii="Arial" w:hAnsi="Arial" w:cs="Arial"/>
          <w:sz w:val="22"/>
          <w:szCs w:val="22"/>
          <w:lang w:val="en-GB"/>
        </w:rPr>
        <w:t>Examinership is listed in Annex A to the EIR Recast</w:t>
      </w:r>
      <w:r w:rsidR="00726B6D" w:rsidRPr="00AF486E">
        <w:rPr>
          <w:rFonts w:ascii="Arial" w:hAnsi="Arial" w:cs="Arial"/>
          <w:sz w:val="22"/>
          <w:szCs w:val="22"/>
          <w:lang w:val="en-GB"/>
        </w:rPr>
        <w:t xml:space="preserve"> and as such it automatically falls with the scope of the EIR Recast. </w:t>
      </w:r>
      <w:r w:rsidR="00F3578F" w:rsidRPr="00AF486E">
        <w:rPr>
          <w:rFonts w:ascii="Arial" w:hAnsi="Arial" w:cs="Arial"/>
          <w:sz w:val="22"/>
          <w:szCs w:val="22"/>
          <w:lang w:val="en-GB"/>
        </w:rPr>
        <w:t xml:space="preserve">As per the decision of the CJEU in Bank </w:t>
      </w:r>
      <w:proofErr w:type="spellStart"/>
      <w:r w:rsidR="00F3578F" w:rsidRPr="00AF486E">
        <w:rPr>
          <w:rFonts w:ascii="Arial" w:hAnsi="Arial" w:cs="Arial"/>
          <w:sz w:val="22"/>
          <w:szCs w:val="22"/>
          <w:lang w:val="en-GB"/>
        </w:rPr>
        <w:t>Handlo</w:t>
      </w:r>
      <w:r w:rsidR="00B05E28" w:rsidRPr="00AF486E">
        <w:rPr>
          <w:rFonts w:ascii="Arial" w:hAnsi="Arial" w:cs="Arial"/>
          <w:sz w:val="22"/>
          <w:szCs w:val="22"/>
          <w:lang w:val="en-GB"/>
        </w:rPr>
        <w:t>wy</w:t>
      </w:r>
      <w:proofErr w:type="spellEnd"/>
      <w:r w:rsidR="00B05E28" w:rsidRPr="00AF486E">
        <w:rPr>
          <w:rFonts w:ascii="Arial" w:hAnsi="Arial" w:cs="Arial"/>
          <w:sz w:val="22"/>
          <w:szCs w:val="22"/>
          <w:lang w:val="en-GB"/>
        </w:rPr>
        <w:t xml:space="preserve"> “</w:t>
      </w:r>
      <w:r w:rsidR="00B05E28" w:rsidRPr="00AF486E">
        <w:rPr>
          <w:rFonts w:ascii="Arial" w:hAnsi="Arial" w:cs="Arial"/>
          <w:i/>
          <w:iCs/>
          <w:sz w:val="22"/>
          <w:szCs w:val="22"/>
          <w:lang w:val="en-GB"/>
        </w:rPr>
        <w:t>…inclusion in the list has the direct, binding effect attaching to the provisions of a regulation”.</w:t>
      </w:r>
    </w:p>
    <w:p w14:paraId="1B5E2F08" w14:textId="48B061FA" w:rsidR="002D3473" w:rsidRPr="00AF486E" w:rsidRDefault="002D3473" w:rsidP="002A37BB">
      <w:pPr>
        <w:autoSpaceDE w:val="0"/>
        <w:autoSpaceDN w:val="0"/>
        <w:adjustRightInd w:val="0"/>
        <w:jc w:val="both"/>
        <w:rPr>
          <w:rFonts w:ascii="Arial" w:hAnsi="Arial" w:cs="Arial"/>
          <w:sz w:val="22"/>
          <w:szCs w:val="22"/>
          <w:lang w:val="en-GB"/>
        </w:rPr>
      </w:pPr>
    </w:p>
    <w:p w14:paraId="31AB9FCB" w14:textId="7683A7AB" w:rsidR="0061104B" w:rsidRPr="00AF486E" w:rsidRDefault="0048005C" w:rsidP="002A37BB">
      <w:pPr>
        <w:autoSpaceDE w:val="0"/>
        <w:autoSpaceDN w:val="0"/>
        <w:adjustRightInd w:val="0"/>
        <w:jc w:val="both"/>
        <w:rPr>
          <w:rFonts w:ascii="Arial" w:hAnsi="Arial" w:cs="Arial"/>
          <w:sz w:val="22"/>
          <w:szCs w:val="22"/>
          <w:lang w:val="en-GB"/>
        </w:rPr>
      </w:pPr>
      <w:r w:rsidRPr="00AF486E">
        <w:rPr>
          <w:rFonts w:ascii="Arial" w:hAnsi="Arial" w:cs="Arial"/>
          <w:sz w:val="22"/>
          <w:szCs w:val="22"/>
          <w:lang w:val="en-GB"/>
        </w:rPr>
        <w:t xml:space="preserve">Cardinal Home’s COMI </w:t>
      </w:r>
      <w:proofErr w:type="gramStart"/>
      <w:r w:rsidRPr="00AF486E">
        <w:rPr>
          <w:rFonts w:ascii="Arial" w:hAnsi="Arial" w:cs="Arial"/>
          <w:sz w:val="22"/>
          <w:szCs w:val="22"/>
          <w:lang w:val="en-GB"/>
        </w:rPr>
        <w:t>is located in</w:t>
      </w:r>
      <w:proofErr w:type="gramEnd"/>
      <w:r w:rsidRPr="00AF486E">
        <w:rPr>
          <w:rFonts w:ascii="Arial" w:hAnsi="Arial" w:cs="Arial"/>
          <w:sz w:val="22"/>
          <w:szCs w:val="22"/>
          <w:lang w:val="en-GB"/>
        </w:rPr>
        <w:t xml:space="preserve"> Ireland, </w:t>
      </w:r>
      <w:r w:rsidR="00F20118">
        <w:rPr>
          <w:rFonts w:ascii="Arial" w:hAnsi="Arial" w:cs="Arial"/>
          <w:sz w:val="22"/>
          <w:szCs w:val="22"/>
          <w:lang w:val="en-GB"/>
        </w:rPr>
        <w:t xml:space="preserve">a member state </w:t>
      </w:r>
      <w:r w:rsidRPr="00AF486E">
        <w:rPr>
          <w:rFonts w:ascii="Arial" w:hAnsi="Arial" w:cs="Arial"/>
          <w:sz w:val="22"/>
          <w:szCs w:val="22"/>
          <w:lang w:val="en-GB"/>
        </w:rPr>
        <w:t xml:space="preserve">within the EU since its registered office is in Ireland. </w:t>
      </w:r>
      <w:r w:rsidR="005920AC" w:rsidRPr="00AF486E">
        <w:rPr>
          <w:rFonts w:ascii="Arial" w:hAnsi="Arial" w:cs="Arial"/>
          <w:sz w:val="22"/>
          <w:szCs w:val="22"/>
          <w:lang w:val="en-GB"/>
        </w:rPr>
        <w:t xml:space="preserve">Furthermore, Cardinal Home is a furniture business and is not </w:t>
      </w:r>
      <w:r w:rsidR="00AF486E" w:rsidRPr="00AF486E">
        <w:rPr>
          <w:rFonts w:ascii="Arial" w:hAnsi="Arial" w:cs="Arial"/>
          <w:sz w:val="22"/>
          <w:szCs w:val="22"/>
          <w:lang w:val="en-GB"/>
        </w:rPr>
        <w:t>an ‘excluded’ undertaking.</w:t>
      </w:r>
    </w:p>
    <w:p w14:paraId="03927537" w14:textId="24A773E2" w:rsidR="00AF486E" w:rsidRPr="00AF486E" w:rsidRDefault="00AF486E" w:rsidP="002A37BB">
      <w:pPr>
        <w:autoSpaceDE w:val="0"/>
        <w:autoSpaceDN w:val="0"/>
        <w:adjustRightInd w:val="0"/>
        <w:jc w:val="both"/>
        <w:rPr>
          <w:rFonts w:ascii="Arial" w:hAnsi="Arial" w:cs="Arial"/>
          <w:sz w:val="22"/>
          <w:szCs w:val="22"/>
          <w:lang w:val="en-GB"/>
        </w:rPr>
      </w:pPr>
    </w:p>
    <w:p w14:paraId="471561B8" w14:textId="32BD1CA5" w:rsidR="00AF486E" w:rsidRPr="00AF486E" w:rsidRDefault="00AF486E" w:rsidP="002A37BB">
      <w:pPr>
        <w:autoSpaceDE w:val="0"/>
        <w:autoSpaceDN w:val="0"/>
        <w:adjustRightInd w:val="0"/>
        <w:jc w:val="both"/>
        <w:rPr>
          <w:rFonts w:ascii="Arial" w:hAnsi="Arial" w:cs="Arial"/>
          <w:sz w:val="22"/>
          <w:szCs w:val="22"/>
          <w:lang w:val="en-GB"/>
        </w:rPr>
      </w:pPr>
      <w:r w:rsidRPr="00AF486E">
        <w:rPr>
          <w:rFonts w:ascii="Arial" w:hAnsi="Arial" w:cs="Arial"/>
          <w:sz w:val="22"/>
          <w:szCs w:val="22"/>
          <w:lang w:val="en-GB"/>
        </w:rPr>
        <w:t xml:space="preserve">Based on the foregoing, the EIR Recast is applicable.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5D8F287" w14:textId="5DC1E1D6" w:rsidR="0077498C" w:rsidRPr="00E338B2" w:rsidRDefault="001618B7" w:rsidP="002F1D7E">
      <w:pPr>
        <w:jc w:val="both"/>
        <w:rPr>
          <w:rFonts w:ascii="Arial" w:hAnsi="Arial" w:cs="Arial"/>
          <w:sz w:val="22"/>
          <w:szCs w:val="22"/>
          <w:lang w:val="en-GB"/>
        </w:rPr>
      </w:pPr>
      <w:r w:rsidRPr="00E338B2">
        <w:rPr>
          <w:rFonts w:ascii="Arial" w:hAnsi="Arial" w:cs="Arial"/>
          <w:sz w:val="22"/>
          <w:szCs w:val="22"/>
          <w:lang w:val="en-GB"/>
        </w:rPr>
        <w:t xml:space="preserve">Cardinal Home appears to have an establishment in Italy. It has a warehouse within that jurisdiction and </w:t>
      </w:r>
      <w:r w:rsidR="00100352" w:rsidRPr="00E338B2">
        <w:rPr>
          <w:rFonts w:ascii="Arial" w:hAnsi="Arial" w:cs="Arial"/>
          <w:sz w:val="22"/>
          <w:szCs w:val="22"/>
          <w:lang w:val="en-GB"/>
        </w:rPr>
        <w:t xml:space="preserve">a bank account. It therefore appears from the facts as presented that Cardinal Home carries out </w:t>
      </w:r>
      <w:r w:rsidR="002F1D7E" w:rsidRPr="00E338B2">
        <w:rPr>
          <w:rFonts w:ascii="Arial" w:hAnsi="Arial" w:cs="Arial"/>
          <w:i/>
          <w:iCs/>
          <w:sz w:val="22"/>
          <w:szCs w:val="22"/>
          <w:lang w:val="en-GB"/>
        </w:rPr>
        <w:t>a non-transitory economic activity with human means and assets</w:t>
      </w:r>
      <w:r w:rsidR="00143CBB" w:rsidRPr="00E338B2">
        <w:rPr>
          <w:rFonts w:ascii="Arial" w:hAnsi="Arial" w:cs="Arial"/>
          <w:i/>
          <w:iCs/>
          <w:sz w:val="22"/>
          <w:szCs w:val="22"/>
          <w:lang w:val="en-GB"/>
        </w:rPr>
        <w:t xml:space="preserve"> </w:t>
      </w:r>
      <w:r w:rsidR="00143CBB" w:rsidRPr="00E338B2">
        <w:rPr>
          <w:rFonts w:ascii="Arial" w:hAnsi="Arial" w:cs="Arial"/>
          <w:sz w:val="22"/>
          <w:szCs w:val="22"/>
          <w:lang w:val="en-GB"/>
        </w:rPr>
        <w:t>in It</w:t>
      </w:r>
      <w:r w:rsidR="008B1941" w:rsidRPr="00E338B2">
        <w:rPr>
          <w:rFonts w:ascii="Arial" w:hAnsi="Arial" w:cs="Arial"/>
          <w:sz w:val="22"/>
          <w:szCs w:val="22"/>
          <w:lang w:val="en-GB"/>
        </w:rPr>
        <w:t>aly (Article 2(10) EIR Recast)</w:t>
      </w:r>
      <w:r w:rsidR="006638BE" w:rsidRPr="00E338B2">
        <w:rPr>
          <w:rFonts w:ascii="Arial" w:hAnsi="Arial" w:cs="Arial"/>
          <w:sz w:val="22"/>
          <w:szCs w:val="22"/>
          <w:lang w:val="en-GB"/>
        </w:rPr>
        <w:t xml:space="preserve">. The activity has been carried out for a number of years and well in excess of the relevant </w:t>
      </w:r>
      <w:proofErr w:type="gramStart"/>
      <w:r w:rsidR="006638BE" w:rsidRPr="00E338B2">
        <w:rPr>
          <w:rFonts w:ascii="Arial" w:hAnsi="Arial" w:cs="Arial"/>
          <w:sz w:val="22"/>
          <w:szCs w:val="22"/>
          <w:lang w:val="en-GB"/>
        </w:rPr>
        <w:t>3 month</w:t>
      </w:r>
      <w:proofErr w:type="gramEnd"/>
      <w:r w:rsidR="006638BE" w:rsidRPr="00E338B2">
        <w:rPr>
          <w:rFonts w:ascii="Arial" w:hAnsi="Arial" w:cs="Arial"/>
          <w:sz w:val="22"/>
          <w:szCs w:val="22"/>
          <w:lang w:val="en-GB"/>
        </w:rPr>
        <w:t xml:space="preserve"> time period. </w:t>
      </w:r>
      <w:r w:rsidR="00EF35CB" w:rsidRPr="00E338B2">
        <w:rPr>
          <w:rFonts w:ascii="Arial" w:hAnsi="Arial" w:cs="Arial"/>
          <w:sz w:val="22"/>
          <w:szCs w:val="22"/>
          <w:lang w:val="en-GB"/>
        </w:rPr>
        <w:t>The Italian bank may open secondary proceedings in I</w:t>
      </w:r>
      <w:r w:rsidR="00AF444F" w:rsidRPr="00E338B2">
        <w:rPr>
          <w:rFonts w:ascii="Arial" w:hAnsi="Arial" w:cs="Arial"/>
          <w:sz w:val="22"/>
          <w:szCs w:val="22"/>
          <w:lang w:val="en-GB"/>
        </w:rPr>
        <w:t>taly</w:t>
      </w:r>
      <w:r w:rsidR="00177943" w:rsidRPr="00E338B2">
        <w:rPr>
          <w:rFonts w:ascii="Arial" w:hAnsi="Arial" w:cs="Arial"/>
          <w:sz w:val="22"/>
          <w:szCs w:val="22"/>
          <w:lang w:val="en-GB"/>
        </w:rPr>
        <w:t xml:space="preserve"> subject to the Irish insolvency practitioner </w:t>
      </w:r>
      <w:r w:rsidR="00A555E4" w:rsidRPr="00E338B2">
        <w:rPr>
          <w:rFonts w:ascii="Arial" w:hAnsi="Arial" w:cs="Arial"/>
          <w:sz w:val="22"/>
          <w:szCs w:val="22"/>
          <w:lang w:val="en-GB"/>
        </w:rPr>
        <w:t xml:space="preserve">not taking steps to have such proceedings stayed.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4203" w14:textId="77777777" w:rsidR="00C150B9" w:rsidRDefault="00C150B9" w:rsidP="00241B44">
      <w:r>
        <w:separator/>
      </w:r>
    </w:p>
  </w:endnote>
  <w:endnote w:type="continuationSeparator" w:id="0">
    <w:p w14:paraId="78C09F78" w14:textId="77777777" w:rsidR="00C150B9" w:rsidRDefault="00C150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736060B" w:rsidR="00D509A5" w:rsidRPr="009B4976" w:rsidRDefault="00DE592C" w:rsidP="009B4976">
    <w:pPr>
      <w:pStyle w:val="Footer"/>
      <w:ind w:right="360"/>
      <w:rPr>
        <w:rFonts w:ascii="Arial" w:hAnsi="Arial" w:cs="Arial"/>
        <w:sz w:val="18"/>
        <w:szCs w:val="18"/>
        <w:lang w:val="en-GB"/>
      </w:rPr>
    </w:pPr>
    <w:r>
      <w:rPr>
        <w:rFonts w:ascii="Arial" w:hAnsi="Arial" w:cs="Arial"/>
        <w:sz w:val="18"/>
        <w:szCs w:val="18"/>
        <w:lang w:val="en-GB"/>
      </w:rPr>
      <w:t>202122-574</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037D" w14:textId="77777777" w:rsidR="00C150B9" w:rsidRDefault="00C150B9" w:rsidP="00241B44">
      <w:r>
        <w:separator/>
      </w:r>
    </w:p>
  </w:footnote>
  <w:footnote w:type="continuationSeparator" w:id="0">
    <w:p w14:paraId="05AF5AED" w14:textId="77777777" w:rsidR="00C150B9" w:rsidRDefault="00C150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F2F"/>
    <w:multiLevelType w:val="hybridMultilevel"/>
    <w:tmpl w:val="6E788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6473AC"/>
    <w:multiLevelType w:val="hybridMultilevel"/>
    <w:tmpl w:val="183C0DD0"/>
    <w:lvl w:ilvl="0" w:tplc="6B72615A">
      <w:start w:val="1"/>
      <w:numFmt w:val="decimal"/>
      <w:lvlText w:val="%1."/>
      <w:lvlJc w:val="left"/>
      <w:pPr>
        <w:ind w:left="720" w:hanging="360"/>
      </w:pPr>
      <w:rPr>
        <w:rFonts w:hint="default"/>
        <w:color w:val="7B7B7B"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7B0C60"/>
    <w:multiLevelType w:val="hybridMultilevel"/>
    <w:tmpl w:val="F24021A6"/>
    <w:lvl w:ilvl="0" w:tplc="803037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53541958">
    <w:abstractNumId w:val="4"/>
  </w:num>
  <w:num w:numId="2" w16cid:durableId="342560244">
    <w:abstractNumId w:val="11"/>
  </w:num>
  <w:num w:numId="3" w16cid:durableId="1783454706">
    <w:abstractNumId w:val="6"/>
  </w:num>
  <w:num w:numId="4" w16cid:durableId="1781413713">
    <w:abstractNumId w:val="13"/>
  </w:num>
  <w:num w:numId="5" w16cid:durableId="2086755986">
    <w:abstractNumId w:val="10"/>
  </w:num>
  <w:num w:numId="6" w16cid:durableId="1013146317">
    <w:abstractNumId w:val="12"/>
  </w:num>
  <w:num w:numId="7" w16cid:durableId="305477114">
    <w:abstractNumId w:val="3"/>
  </w:num>
  <w:num w:numId="8" w16cid:durableId="1960720895">
    <w:abstractNumId w:val="8"/>
  </w:num>
  <w:num w:numId="9" w16cid:durableId="1918706731">
    <w:abstractNumId w:val="7"/>
  </w:num>
  <w:num w:numId="10" w16cid:durableId="490483248">
    <w:abstractNumId w:val="5"/>
  </w:num>
  <w:num w:numId="11" w16cid:durableId="1234126306">
    <w:abstractNumId w:val="9"/>
  </w:num>
  <w:num w:numId="12" w16cid:durableId="889876745">
    <w:abstractNumId w:val="1"/>
  </w:num>
  <w:num w:numId="13" w16cid:durableId="1256984818">
    <w:abstractNumId w:val="2"/>
  </w:num>
  <w:num w:numId="14" w16cid:durableId="20212717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964"/>
    <w:rsid w:val="00010BA0"/>
    <w:rsid w:val="0001344B"/>
    <w:rsid w:val="00020557"/>
    <w:rsid w:val="00024BCF"/>
    <w:rsid w:val="000250C7"/>
    <w:rsid w:val="00026F16"/>
    <w:rsid w:val="00030142"/>
    <w:rsid w:val="00037621"/>
    <w:rsid w:val="00041B32"/>
    <w:rsid w:val="00044D46"/>
    <w:rsid w:val="00045088"/>
    <w:rsid w:val="00045904"/>
    <w:rsid w:val="000568DB"/>
    <w:rsid w:val="000625F2"/>
    <w:rsid w:val="00065166"/>
    <w:rsid w:val="00081016"/>
    <w:rsid w:val="00082609"/>
    <w:rsid w:val="000851CC"/>
    <w:rsid w:val="00087CD6"/>
    <w:rsid w:val="000936B5"/>
    <w:rsid w:val="00093924"/>
    <w:rsid w:val="00093BE8"/>
    <w:rsid w:val="000A3CD1"/>
    <w:rsid w:val="000A68ED"/>
    <w:rsid w:val="000A7BF9"/>
    <w:rsid w:val="000B5FF1"/>
    <w:rsid w:val="000B609F"/>
    <w:rsid w:val="000C0DD3"/>
    <w:rsid w:val="000C272B"/>
    <w:rsid w:val="000D070E"/>
    <w:rsid w:val="000D55A8"/>
    <w:rsid w:val="000E4841"/>
    <w:rsid w:val="000F1677"/>
    <w:rsid w:val="000F3D6C"/>
    <w:rsid w:val="00100352"/>
    <w:rsid w:val="00101707"/>
    <w:rsid w:val="00113E29"/>
    <w:rsid w:val="0011473D"/>
    <w:rsid w:val="0011548B"/>
    <w:rsid w:val="00115C85"/>
    <w:rsid w:val="00123855"/>
    <w:rsid w:val="0012656E"/>
    <w:rsid w:val="00126A4D"/>
    <w:rsid w:val="0013167E"/>
    <w:rsid w:val="001374A1"/>
    <w:rsid w:val="0014171F"/>
    <w:rsid w:val="00143CBB"/>
    <w:rsid w:val="0014622C"/>
    <w:rsid w:val="00152348"/>
    <w:rsid w:val="0015456D"/>
    <w:rsid w:val="00155BAE"/>
    <w:rsid w:val="00155FA2"/>
    <w:rsid w:val="001618B7"/>
    <w:rsid w:val="00161F1B"/>
    <w:rsid w:val="00162829"/>
    <w:rsid w:val="001652AC"/>
    <w:rsid w:val="00174DC4"/>
    <w:rsid w:val="00175A7D"/>
    <w:rsid w:val="00177943"/>
    <w:rsid w:val="00180548"/>
    <w:rsid w:val="00180AC4"/>
    <w:rsid w:val="00180CCE"/>
    <w:rsid w:val="0018267A"/>
    <w:rsid w:val="00182779"/>
    <w:rsid w:val="001830DF"/>
    <w:rsid w:val="00187A34"/>
    <w:rsid w:val="001912DB"/>
    <w:rsid w:val="001966D9"/>
    <w:rsid w:val="00196CBC"/>
    <w:rsid w:val="001A3E93"/>
    <w:rsid w:val="001A7E9A"/>
    <w:rsid w:val="001B0F70"/>
    <w:rsid w:val="001B5016"/>
    <w:rsid w:val="001B61E7"/>
    <w:rsid w:val="001C45FC"/>
    <w:rsid w:val="001C779E"/>
    <w:rsid w:val="001D0469"/>
    <w:rsid w:val="001D4862"/>
    <w:rsid w:val="001D6E1C"/>
    <w:rsid w:val="001E25B9"/>
    <w:rsid w:val="001E49E0"/>
    <w:rsid w:val="001E5F8A"/>
    <w:rsid w:val="001E7B5A"/>
    <w:rsid w:val="001F4EF4"/>
    <w:rsid w:val="001F7412"/>
    <w:rsid w:val="00201E7C"/>
    <w:rsid w:val="00202DFE"/>
    <w:rsid w:val="00203720"/>
    <w:rsid w:val="00204F01"/>
    <w:rsid w:val="0020725B"/>
    <w:rsid w:val="002110F1"/>
    <w:rsid w:val="00222E2A"/>
    <w:rsid w:val="00222FB5"/>
    <w:rsid w:val="00230B72"/>
    <w:rsid w:val="0024116D"/>
    <w:rsid w:val="00241B44"/>
    <w:rsid w:val="00241FA3"/>
    <w:rsid w:val="00244C44"/>
    <w:rsid w:val="00245EFB"/>
    <w:rsid w:val="00251A3B"/>
    <w:rsid w:val="0025386E"/>
    <w:rsid w:val="002635E1"/>
    <w:rsid w:val="002638B0"/>
    <w:rsid w:val="0026647A"/>
    <w:rsid w:val="002668D3"/>
    <w:rsid w:val="00270F7F"/>
    <w:rsid w:val="0027299F"/>
    <w:rsid w:val="00282C29"/>
    <w:rsid w:val="00284EBE"/>
    <w:rsid w:val="0029433F"/>
    <w:rsid w:val="00294829"/>
    <w:rsid w:val="00296273"/>
    <w:rsid w:val="0029690F"/>
    <w:rsid w:val="00297C8A"/>
    <w:rsid w:val="002A2A60"/>
    <w:rsid w:val="002A37BB"/>
    <w:rsid w:val="002B1C45"/>
    <w:rsid w:val="002C13C8"/>
    <w:rsid w:val="002C3547"/>
    <w:rsid w:val="002C64C8"/>
    <w:rsid w:val="002D0021"/>
    <w:rsid w:val="002D3473"/>
    <w:rsid w:val="002D5EE7"/>
    <w:rsid w:val="002E3995"/>
    <w:rsid w:val="002E4CF1"/>
    <w:rsid w:val="002F1956"/>
    <w:rsid w:val="002F1D7E"/>
    <w:rsid w:val="002F3440"/>
    <w:rsid w:val="002F738B"/>
    <w:rsid w:val="002F75A3"/>
    <w:rsid w:val="00301C43"/>
    <w:rsid w:val="00303C2F"/>
    <w:rsid w:val="0030512A"/>
    <w:rsid w:val="00306BF7"/>
    <w:rsid w:val="0031340C"/>
    <w:rsid w:val="003144EF"/>
    <w:rsid w:val="0031590F"/>
    <w:rsid w:val="003252C2"/>
    <w:rsid w:val="00326292"/>
    <w:rsid w:val="00326415"/>
    <w:rsid w:val="00330937"/>
    <w:rsid w:val="00330F31"/>
    <w:rsid w:val="00331480"/>
    <w:rsid w:val="003314F7"/>
    <w:rsid w:val="00332D2A"/>
    <w:rsid w:val="003336CC"/>
    <w:rsid w:val="00334648"/>
    <w:rsid w:val="0033768C"/>
    <w:rsid w:val="00337938"/>
    <w:rsid w:val="00340769"/>
    <w:rsid w:val="00341AA6"/>
    <w:rsid w:val="003453B2"/>
    <w:rsid w:val="0034705B"/>
    <w:rsid w:val="00350514"/>
    <w:rsid w:val="00350FB5"/>
    <w:rsid w:val="00351750"/>
    <w:rsid w:val="003525B6"/>
    <w:rsid w:val="00357A5A"/>
    <w:rsid w:val="00361805"/>
    <w:rsid w:val="00361A0A"/>
    <w:rsid w:val="00363BBD"/>
    <w:rsid w:val="00364836"/>
    <w:rsid w:val="003650E5"/>
    <w:rsid w:val="0036565C"/>
    <w:rsid w:val="0036625E"/>
    <w:rsid w:val="00366415"/>
    <w:rsid w:val="0037465A"/>
    <w:rsid w:val="0037466E"/>
    <w:rsid w:val="00375D11"/>
    <w:rsid w:val="00380E79"/>
    <w:rsid w:val="00382C98"/>
    <w:rsid w:val="0038533C"/>
    <w:rsid w:val="0038589F"/>
    <w:rsid w:val="00386568"/>
    <w:rsid w:val="00390B57"/>
    <w:rsid w:val="003948D5"/>
    <w:rsid w:val="00396821"/>
    <w:rsid w:val="00397D3A"/>
    <w:rsid w:val="003A051E"/>
    <w:rsid w:val="003B0A27"/>
    <w:rsid w:val="003B170F"/>
    <w:rsid w:val="003B3C5F"/>
    <w:rsid w:val="003B5152"/>
    <w:rsid w:val="003C200F"/>
    <w:rsid w:val="003C4342"/>
    <w:rsid w:val="003C4471"/>
    <w:rsid w:val="003C4BCB"/>
    <w:rsid w:val="003D0A6D"/>
    <w:rsid w:val="003D1876"/>
    <w:rsid w:val="003D1974"/>
    <w:rsid w:val="003E0B16"/>
    <w:rsid w:val="003E4DB0"/>
    <w:rsid w:val="003E67D1"/>
    <w:rsid w:val="003F4621"/>
    <w:rsid w:val="00404329"/>
    <w:rsid w:val="00405DC1"/>
    <w:rsid w:val="00414C26"/>
    <w:rsid w:val="00415F1F"/>
    <w:rsid w:val="004202D2"/>
    <w:rsid w:val="0042108F"/>
    <w:rsid w:val="004304F9"/>
    <w:rsid w:val="00430FED"/>
    <w:rsid w:val="00434A8C"/>
    <w:rsid w:val="00437297"/>
    <w:rsid w:val="00440A80"/>
    <w:rsid w:val="00444284"/>
    <w:rsid w:val="0044574C"/>
    <w:rsid w:val="00445CE6"/>
    <w:rsid w:val="0044760F"/>
    <w:rsid w:val="004534C2"/>
    <w:rsid w:val="0045446F"/>
    <w:rsid w:val="0045683E"/>
    <w:rsid w:val="00457CA3"/>
    <w:rsid w:val="004645E3"/>
    <w:rsid w:val="004656AB"/>
    <w:rsid w:val="00465BFF"/>
    <w:rsid w:val="004745B1"/>
    <w:rsid w:val="00477C72"/>
    <w:rsid w:val="0048005C"/>
    <w:rsid w:val="00487452"/>
    <w:rsid w:val="00491675"/>
    <w:rsid w:val="00493855"/>
    <w:rsid w:val="00495E79"/>
    <w:rsid w:val="0049649C"/>
    <w:rsid w:val="004A0692"/>
    <w:rsid w:val="004A57DD"/>
    <w:rsid w:val="004A6853"/>
    <w:rsid w:val="004A7B51"/>
    <w:rsid w:val="004A7D71"/>
    <w:rsid w:val="004A7EF3"/>
    <w:rsid w:val="004B11FD"/>
    <w:rsid w:val="004B23A2"/>
    <w:rsid w:val="004B70AF"/>
    <w:rsid w:val="004B70ED"/>
    <w:rsid w:val="004C0D03"/>
    <w:rsid w:val="004C0D33"/>
    <w:rsid w:val="004D1A5A"/>
    <w:rsid w:val="004D2FFF"/>
    <w:rsid w:val="004D3721"/>
    <w:rsid w:val="004D64F9"/>
    <w:rsid w:val="004E3A6B"/>
    <w:rsid w:val="004E622C"/>
    <w:rsid w:val="004F4AF9"/>
    <w:rsid w:val="004F5FDF"/>
    <w:rsid w:val="0051123F"/>
    <w:rsid w:val="00512D2B"/>
    <w:rsid w:val="005177FE"/>
    <w:rsid w:val="00522279"/>
    <w:rsid w:val="0052263B"/>
    <w:rsid w:val="00524728"/>
    <w:rsid w:val="005331CA"/>
    <w:rsid w:val="00533F01"/>
    <w:rsid w:val="00537970"/>
    <w:rsid w:val="00540E3A"/>
    <w:rsid w:val="00544127"/>
    <w:rsid w:val="00544C6F"/>
    <w:rsid w:val="00544F6E"/>
    <w:rsid w:val="005463A9"/>
    <w:rsid w:val="00553EB2"/>
    <w:rsid w:val="0055562B"/>
    <w:rsid w:val="005572BD"/>
    <w:rsid w:val="00560534"/>
    <w:rsid w:val="0056391B"/>
    <w:rsid w:val="005650E2"/>
    <w:rsid w:val="00567AD7"/>
    <w:rsid w:val="00575B2D"/>
    <w:rsid w:val="005833D0"/>
    <w:rsid w:val="005846F3"/>
    <w:rsid w:val="0058622F"/>
    <w:rsid w:val="00591280"/>
    <w:rsid w:val="005920AC"/>
    <w:rsid w:val="00592A80"/>
    <w:rsid w:val="00592F82"/>
    <w:rsid w:val="005A0CCA"/>
    <w:rsid w:val="005A726D"/>
    <w:rsid w:val="005B67AC"/>
    <w:rsid w:val="005B79F4"/>
    <w:rsid w:val="005C74E8"/>
    <w:rsid w:val="005D2CD6"/>
    <w:rsid w:val="005D43E0"/>
    <w:rsid w:val="005D4A74"/>
    <w:rsid w:val="005D58A3"/>
    <w:rsid w:val="005E1B79"/>
    <w:rsid w:val="005E7008"/>
    <w:rsid w:val="005E784A"/>
    <w:rsid w:val="005F026D"/>
    <w:rsid w:val="005F2AEA"/>
    <w:rsid w:val="005F2D0B"/>
    <w:rsid w:val="005F4B31"/>
    <w:rsid w:val="00604318"/>
    <w:rsid w:val="00610388"/>
    <w:rsid w:val="0061104B"/>
    <w:rsid w:val="00611DE6"/>
    <w:rsid w:val="00612CA5"/>
    <w:rsid w:val="006153EC"/>
    <w:rsid w:val="00615734"/>
    <w:rsid w:val="0061773D"/>
    <w:rsid w:val="00621A17"/>
    <w:rsid w:val="00627CC9"/>
    <w:rsid w:val="00627DE9"/>
    <w:rsid w:val="00627E7B"/>
    <w:rsid w:val="00630542"/>
    <w:rsid w:val="00632E44"/>
    <w:rsid w:val="00634622"/>
    <w:rsid w:val="00636808"/>
    <w:rsid w:val="00636C15"/>
    <w:rsid w:val="00641515"/>
    <w:rsid w:val="006506BF"/>
    <w:rsid w:val="00653EAF"/>
    <w:rsid w:val="0065470A"/>
    <w:rsid w:val="006547A6"/>
    <w:rsid w:val="00654B1D"/>
    <w:rsid w:val="00654B27"/>
    <w:rsid w:val="00654C2F"/>
    <w:rsid w:val="00654C80"/>
    <w:rsid w:val="00656DA7"/>
    <w:rsid w:val="00657087"/>
    <w:rsid w:val="00657B83"/>
    <w:rsid w:val="006603F1"/>
    <w:rsid w:val="006638BE"/>
    <w:rsid w:val="006639DB"/>
    <w:rsid w:val="006661EF"/>
    <w:rsid w:val="006756FE"/>
    <w:rsid w:val="00677AEB"/>
    <w:rsid w:val="00680EF2"/>
    <w:rsid w:val="00687A1D"/>
    <w:rsid w:val="00696ED8"/>
    <w:rsid w:val="00697EA1"/>
    <w:rsid w:val="006A2646"/>
    <w:rsid w:val="006A6530"/>
    <w:rsid w:val="006B435A"/>
    <w:rsid w:val="006B4C64"/>
    <w:rsid w:val="006B6DA8"/>
    <w:rsid w:val="006C5D28"/>
    <w:rsid w:val="006D217A"/>
    <w:rsid w:val="006D2ED7"/>
    <w:rsid w:val="006D6BD5"/>
    <w:rsid w:val="006E057E"/>
    <w:rsid w:val="006E481A"/>
    <w:rsid w:val="006E5287"/>
    <w:rsid w:val="006E5298"/>
    <w:rsid w:val="006F0106"/>
    <w:rsid w:val="006F2B12"/>
    <w:rsid w:val="006F4A78"/>
    <w:rsid w:val="006F734A"/>
    <w:rsid w:val="00700D83"/>
    <w:rsid w:val="00704852"/>
    <w:rsid w:val="007074E9"/>
    <w:rsid w:val="00711336"/>
    <w:rsid w:val="00713315"/>
    <w:rsid w:val="00713DA4"/>
    <w:rsid w:val="00714BF1"/>
    <w:rsid w:val="00721383"/>
    <w:rsid w:val="00726B6D"/>
    <w:rsid w:val="0073158B"/>
    <w:rsid w:val="00732259"/>
    <w:rsid w:val="007333CC"/>
    <w:rsid w:val="00733821"/>
    <w:rsid w:val="0073399A"/>
    <w:rsid w:val="007603F5"/>
    <w:rsid w:val="00764DB0"/>
    <w:rsid w:val="00765FCA"/>
    <w:rsid w:val="0076764D"/>
    <w:rsid w:val="0077498C"/>
    <w:rsid w:val="007772BD"/>
    <w:rsid w:val="007809BC"/>
    <w:rsid w:val="00782EE1"/>
    <w:rsid w:val="00783E04"/>
    <w:rsid w:val="00784128"/>
    <w:rsid w:val="00793173"/>
    <w:rsid w:val="007A0313"/>
    <w:rsid w:val="007A0432"/>
    <w:rsid w:val="007A107A"/>
    <w:rsid w:val="007A2402"/>
    <w:rsid w:val="007A2A33"/>
    <w:rsid w:val="007A6B8D"/>
    <w:rsid w:val="007A7B20"/>
    <w:rsid w:val="007C1FCC"/>
    <w:rsid w:val="007C50AA"/>
    <w:rsid w:val="007C6201"/>
    <w:rsid w:val="007D7C92"/>
    <w:rsid w:val="007E1154"/>
    <w:rsid w:val="007E140D"/>
    <w:rsid w:val="007E39B3"/>
    <w:rsid w:val="007E44C4"/>
    <w:rsid w:val="007E4566"/>
    <w:rsid w:val="007E6BA4"/>
    <w:rsid w:val="007F41F8"/>
    <w:rsid w:val="007F6A57"/>
    <w:rsid w:val="00800B1B"/>
    <w:rsid w:val="00800B76"/>
    <w:rsid w:val="008017F0"/>
    <w:rsid w:val="0080454E"/>
    <w:rsid w:val="00804C32"/>
    <w:rsid w:val="00804DA6"/>
    <w:rsid w:val="00806302"/>
    <w:rsid w:val="00807119"/>
    <w:rsid w:val="0082483F"/>
    <w:rsid w:val="008279C0"/>
    <w:rsid w:val="00831241"/>
    <w:rsid w:val="00841051"/>
    <w:rsid w:val="008500BD"/>
    <w:rsid w:val="00860723"/>
    <w:rsid w:val="008723F3"/>
    <w:rsid w:val="00874240"/>
    <w:rsid w:val="00881DE6"/>
    <w:rsid w:val="008837A6"/>
    <w:rsid w:val="00884F7A"/>
    <w:rsid w:val="00890096"/>
    <w:rsid w:val="0089145D"/>
    <w:rsid w:val="00892790"/>
    <w:rsid w:val="00894C1D"/>
    <w:rsid w:val="00897A78"/>
    <w:rsid w:val="008A4DF2"/>
    <w:rsid w:val="008A6CFE"/>
    <w:rsid w:val="008B1941"/>
    <w:rsid w:val="008B27B7"/>
    <w:rsid w:val="008B5333"/>
    <w:rsid w:val="008B6223"/>
    <w:rsid w:val="008C4AC6"/>
    <w:rsid w:val="008C6226"/>
    <w:rsid w:val="008C66E0"/>
    <w:rsid w:val="008D62F7"/>
    <w:rsid w:val="008E0EC8"/>
    <w:rsid w:val="008E3339"/>
    <w:rsid w:val="008E70BF"/>
    <w:rsid w:val="008E7371"/>
    <w:rsid w:val="008F20FC"/>
    <w:rsid w:val="008F5FFE"/>
    <w:rsid w:val="008F6B51"/>
    <w:rsid w:val="00905A43"/>
    <w:rsid w:val="00912C79"/>
    <w:rsid w:val="00914A23"/>
    <w:rsid w:val="00935A21"/>
    <w:rsid w:val="00942123"/>
    <w:rsid w:val="0095207B"/>
    <w:rsid w:val="00954A99"/>
    <w:rsid w:val="00962045"/>
    <w:rsid w:val="00967219"/>
    <w:rsid w:val="00971896"/>
    <w:rsid w:val="00980E61"/>
    <w:rsid w:val="00991428"/>
    <w:rsid w:val="00992676"/>
    <w:rsid w:val="009954B2"/>
    <w:rsid w:val="00996691"/>
    <w:rsid w:val="009A5D7C"/>
    <w:rsid w:val="009B0723"/>
    <w:rsid w:val="009B07AD"/>
    <w:rsid w:val="009B0883"/>
    <w:rsid w:val="009B15E2"/>
    <w:rsid w:val="009B4976"/>
    <w:rsid w:val="009B79A8"/>
    <w:rsid w:val="009C0B8E"/>
    <w:rsid w:val="009C1BC8"/>
    <w:rsid w:val="009C2442"/>
    <w:rsid w:val="009C5E52"/>
    <w:rsid w:val="009C6731"/>
    <w:rsid w:val="009D0811"/>
    <w:rsid w:val="009D0EE1"/>
    <w:rsid w:val="009E2AEB"/>
    <w:rsid w:val="009E2E27"/>
    <w:rsid w:val="009E39B2"/>
    <w:rsid w:val="009E4DE3"/>
    <w:rsid w:val="009E5D6B"/>
    <w:rsid w:val="009F275E"/>
    <w:rsid w:val="009F6BE1"/>
    <w:rsid w:val="00A0372F"/>
    <w:rsid w:val="00A047EE"/>
    <w:rsid w:val="00A10608"/>
    <w:rsid w:val="00A11E80"/>
    <w:rsid w:val="00A17858"/>
    <w:rsid w:val="00A2274A"/>
    <w:rsid w:val="00A235B7"/>
    <w:rsid w:val="00A27A7A"/>
    <w:rsid w:val="00A367D5"/>
    <w:rsid w:val="00A3775D"/>
    <w:rsid w:val="00A407EF"/>
    <w:rsid w:val="00A41133"/>
    <w:rsid w:val="00A46B4C"/>
    <w:rsid w:val="00A5117B"/>
    <w:rsid w:val="00A54CB5"/>
    <w:rsid w:val="00A555E4"/>
    <w:rsid w:val="00A60074"/>
    <w:rsid w:val="00A620A6"/>
    <w:rsid w:val="00A62FDA"/>
    <w:rsid w:val="00A65586"/>
    <w:rsid w:val="00A6627C"/>
    <w:rsid w:val="00A71019"/>
    <w:rsid w:val="00A743D6"/>
    <w:rsid w:val="00A74E9F"/>
    <w:rsid w:val="00A81029"/>
    <w:rsid w:val="00A874A7"/>
    <w:rsid w:val="00A96489"/>
    <w:rsid w:val="00AA020A"/>
    <w:rsid w:val="00AA0B11"/>
    <w:rsid w:val="00AB2230"/>
    <w:rsid w:val="00AB685C"/>
    <w:rsid w:val="00AB6C2D"/>
    <w:rsid w:val="00AB6E03"/>
    <w:rsid w:val="00AC08F7"/>
    <w:rsid w:val="00AC3839"/>
    <w:rsid w:val="00AC7082"/>
    <w:rsid w:val="00AD2931"/>
    <w:rsid w:val="00AD31F1"/>
    <w:rsid w:val="00AD513F"/>
    <w:rsid w:val="00AD6870"/>
    <w:rsid w:val="00AE12B3"/>
    <w:rsid w:val="00AE2316"/>
    <w:rsid w:val="00AE74BA"/>
    <w:rsid w:val="00AE7F3D"/>
    <w:rsid w:val="00AF199B"/>
    <w:rsid w:val="00AF228E"/>
    <w:rsid w:val="00AF444F"/>
    <w:rsid w:val="00AF486E"/>
    <w:rsid w:val="00B016A8"/>
    <w:rsid w:val="00B05E28"/>
    <w:rsid w:val="00B12499"/>
    <w:rsid w:val="00B12EF7"/>
    <w:rsid w:val="00B14819"/>
    <w:rsid w:val="00B15142"/>
    <w:rsid w:val="00B15E2F"/>
    <w:rsid w:val="00B16AA3"/>
    <w:rsid w:val="00B17AA9"/>
    <w:rsid w:val="00B22774"/>
    <w:rsid w:val="00B259DB"/>
    <w:rsid w:val="00B30D9A"/>
    <w:rsid w:val="00B32BA0"/>
    <w:rsid w:val="00B33323"/>
    <w:rsid w:val="00B4184A"/>
    <w:rsid w:val="00B44713"/>
    <w:rsid w:val="00B56103"/>
    <w:rsid w:val="00B64929"/>
    <w:rsid w:val="00B736DF"/>
    <w:rsid w:val="00B743D6"/>
    <w:rsid w:val="00B74FBD"/>
    <w:rsid w:val="00B77F46"/>
    <w:rsid w:val="00B82586"/>
    <w:rsid w:val="00B829A3"/>
    <w:rsid w:val="00B856EC"/>
    <w:rsid w:val="00B86DB1"/>
    <w:rsid w:val="00B8724A"/>
    <w:rsid w:val="00B87869"/>
    <w:rsid w:val="00B9020D"/>
    <w:rsid w:val="00B9293D"/>
    <w:rsid w:val="00B96CE3"/>
    <w:rsid w:val="00BA543A"/>
    <w:rsid w:val="00BA7550"/>
    <w:rsid w:val="00BB0F2B"/>
    <w:rsid w:val="00BB38D1"/>
    <w:rsid w:val="00BC2C14"/>
    <w:rsid w:val="00BD55DE"/>
    <w:rsid w:val="00BD73DA"/>
    <w:rsid w:val="00BE4FF3"/>
    <w:rsid w:val="00BE5924"/>
    <w:rsid w:val="00BF33CB"/>
    <w:rsid w:val="00BF50F7"/>
    <w:rsid w:val="00C00B20"/>
    <w:rsid w:val="00C02F29"/>
    <w:rsid w:val="00C150B9"/>
    <w:rsid w:val="00C20AFE"/>
    <w:rsid w:val="00C22A25"/>
    <w:rsid w:val="00C35671"/>
    <w:rsid w:val="00C35B77"/>
    <w:rsid w:val="00C376EB"/>
    <w:rsid w:val="00C37758"/>
    <w:rsid w:val="00C46A92"/>
    <w:rsid w:val="00C46DF7"/>
    <w:rsid w:val="00C46EC1"/>
    <w:rsid w:val="00C52796"/>
    <w:rsid w:val="00C53E2C"/>
    <w:rsid w:val="00C550C8"/>
    <w:rsid w:val="00C56B61"/>
    <w:rsid w:val="00C6021B"/>
    <w:rsid w:val="00C606C3"/>
    <w:rsid w:val="00C60B85"/>
    <w:rsid w:val="00C620F4"/>
    <w:rsid w:val="00C63E03"/>
    <w:rsid w:val="00C7282F"/>
    <w:rsid w:val="00C72848"/>
    <w:rsid w:val="00C72985"/>
    <w:rsid w:val="00C73CF5"/>
    <w:rsid w:val="00C7729F"/>
    <w:rsid w:val="00C7736C"/>
    <w:rsid w:val="00C82D87"/>
    <w:rsid w:val="00C8712A"/>
    <w:rsid w:val="00C87FE9"/>
    <w:rsid w:val="00C963D3"/>
    <w:rsid w:val="00C977BA"/>
    <w:rsid w:val="00CB1983"/>
    <w:rsid w:val="00CB2CBB"/>
    <w:rsid w:val="00CB7CAC"/>
    <w:rsid w:val="00CC5335"/>
    <w:rsid w:val="00CC5BA4"/>
    <w:rsid w:val="00CD4998"/>
    <w:rsid w:val="00CE1035"/>
    <w:rsid w:val="00CE159A"/>
    <w:rsid w:val="00CE258F"/>
    <w:rsid w:val="00CE6E50"/>
    <w:rsid w:val="00CF1B9A"/>
    <w:rsid w:val="00CF2819"/>
    <w:rsid w:val="00CF4F9D"/>
    <w:rsid w:val="00CF70DC"/>
    <w:rsid w:val="00D10E80"/>
    <w:rsid w:val="00D148DC"/>
    <w:rsid w:val="00D17FDC"/>
    <w:rsid w:val="00D21F62"/>
    <w:rsid w:val="00D26E26"/>
    <w:rsid w:val="00D33735"/>
    <w:rsid w:val="00D35285"/>
    <w:rsid w:val="00D43382"/>
    <w:rsid w:val="00D50454"/>
    <w:rsid w:val="00D509A5"/>
    <w:rsid w:val="00D55790"/>
    <w:rsid w:val="00D56AFF"/>
    <w:rsid w:val="00D56B4E"/>
    <w:rsid w:val="00D608A4"/>
    <w:rsid w:val="00D60E46"/>
    <w:rsid w:val="00D63EFD"/>
    <w:rsid w:val="00D651FD"/>
    <w:rsid w:val="00D70D9F"/>
    <w:rsid w:val="00D75351"/>
    <w:rsid w:val="00D75B58"/>
    <w:rsid w:val="00D82B74"/>
    <w:rsid w:val="00D84752"/>
    <w:rsid w:val="00D86A3B"/>
    <w:rsid w:val="00D86B3B"/>
    <w:rsid w:val="00D8739B"/>
    <w:rsid w:val="00D8748A"/>
    <w:rsid w:val="00D93196"/>
    <w:rsid w:val="00D93895"/>
    <w:rsid w:val="00D95496"/>
    <w:rsid w:val="00DA0DC0"/>
    <w:rsid w:val="00DB1D76"/>
    <w:rsid w:val="00DB243C"/>
    <w:rsid w:val="00DB482A"/>
    <w:rsid w:val="00DB4C15"/>
    <w:rsid w:val="00DB56F2"/>
    <w:rsid w:val="00DB6EF5"/>
    <w:rsid w:val="00DC3089"/>
    <w:rsid w:val="00DC4420"/>
    <w:rsid w:val="00DD0802"/>
    <w:rsid w:val="00DD2E11"/>
    <w:rsid w:val="00DD3B4E"/>
    <w:rsid w:val="00DD47EF"/>
    <w:rsid w:val="00DD7CC2"/>
    <w:rsid w:val="00DE03AF"/>
    <w:rsid w:val="00DE121C"/>
    <w:rsid w:val="00DE15DE"/>
    <w:rsid w:val="00DE25F1"/>
    <w:rsid w:val="00DE592C"/>
    <w:rsid w:val="00DE6633"/>
    <w:rsid w:val="00DF0864"/>
    <w:rsid w:val="00DF2C8C"/>
    <w:rsid w:val="00DF75F8"/>
    <w:rsid w:val="00DF7A3A"/>
    <w:rsid w:val="00E0006C"/>
    <w:rsid w:val="00E00C00"/>
    <w:rsid w:val="00E03AF0"/>
    <w:rsid w:val="00E07C5A"/>
    <w:rsid w:val="00E15BA9"/>
    <w:rsid w:val="00E17CF3"/>
    <w:rsid w:val="00E256EB"/>
    <w:rsid w:val="00E26E19"/>
    <w:rsid w:val="00E30C8A"/>
    <w:rsid w:val="00E30F13"/>
    <w:rsid w:val="00E31DF3"/>
    <w:rsid w:val="00E3218E"/>
    <w:rsid w:val="00E338B2"/>
    <w:rsid w:val="00E42369"/>
    <w:rsid w:val="00E450A4"/>
    <w:rsid w:val="00E506BE"/>
    <w:rsid w:val="00E55547"/>
    <w:rsid w:val="00E604A1"/>
    <w:rsid w:val="00E618E5"/>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B62AB"/>
    <w:rsid w:val="00EC00F9"/>
    <w:rsid w:val="00EC4449"/>
    <w:rsid w:val="00ED0BC4"/>
    <w:rsid w:val="00ED20E8"/>
    <w:rsid w:val="00ED472A"/>
    <w:rsid w:val="00ED54B6"/>
    <w:rsid w:val="00EE4971"/>
    <w:rsid w:val="00EE58EC"/>
    <w:rsid w:val="00EE74C9"/>
    <w:rsid w:val="00EF090E"/>
    <w:rsid w:val="00EF35CB"/>
    <w:rsid w:val="00EF367A"/>
    <w:rsid w:val="00EF5B40"/>
    <w:rsid w:val="00F033DA"/>
    <w:rsid w:val="00F13FB1"/>
    <w:rsid w:val="00F17AAA"/>
    <w:rsid w:val="00F20118"/>
    <w:rsid w:val="00F25A10"/>
    <w:rsid w:val="00F27CD8"/>
    <w:rsid w:val="00F30351"/>
    <w:rsid w:val="00F3323E"/>
    <w:rsid w:val="00F341F4"/>
    <w:rsid w:val="00F34F9D"/>
    <w:rsid w:val="00F34FFF"/>
    <w:rsid w:val="00F3578F"/>
    <w:rsid w:val="00F35CCE"/>
    <w:rsid w:val="00F41797"/>
    <w:rsid w:val="00F441D7"/>
    <w:rsid w:val="00F443F0"/>
    <w:rsid w:val="00F4796C"/>
    <w:rsid w:val="00F5524B"/>
    <w:rsid w:val="00F60538"/>
    <w:rsid w:val="00F6095A"/>
    <w:rsid w:val="00F61DD2"/>
    <w:rsid w:val="00F66AFF"/>
    <w:rsid w:val="00F71433"/>
    <w:rsid w:val="00F76CD4"/>
    <w:rsid w:val="00F814B4"/>
    <w:rsid w:val="00F83464"/>
    <w:rsid w:val="00F93BE7"/>
    <w:rsid w:val="00F94623"/>
    <w:rsid w:val="00F97C5B"/>
    <w:rsid w:val="00FA2BAB"/>
    <w:rsid w:val="00FA3D50"/>
    <w:rsid w:val="00FA746C"/>
    <w:rsid w:val="00FB7FBD"/>
    <w:rsid w:val="00FC1524"/>
    <w:rsid w:val="00FC374A"/>
    <w:rsid w:val="00FC48D8"/>
    <w:rsid w:val="00FC7B47"/>
    <w:rsid w:val="00FD035C"/>
    <w:rsid w:val="00FD1A35"/>
    <w:rsid w:val="00FD264F"/>
    <w:rsid w:val="00FD36C5"/>
    <w:rsid w:val="00FD6310"/>
    <w:rsid w:val="00FD7C7B"/>
    <w:rsid w:val="00FE1D12"/>
    <w:rsid w:val="00FE2122"/>
    <w:rsid w:val="00FE2A86"/>
    <w:rsid w:val="00FE2DE2"/>
    <w:rsid w:val="00FF296F"/>
    <w:rsid w:val="00FF5E23"/>
    <w:rsid w:val="00FF688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11</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225</cp:revision>
  <cp:lastPrinted>2019-08-27T05:42:00Z</cp:lastPrinted>
  <dcterms:created xsi:type="dcterms:W3CDTF">2022-07-18T07:52:00Z</dcterms:created>
  <dcterms:modified xsi:type="dcterms:W3CDTF">2022-07-21T15:19:00Z</dcterms:modified>
</cp:coreProperties>
</file>