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446617" w:rsidRDefault="007B0809" w:rsidP="004F49B5">
      <w:pPr>
        <w:pStyle w:val="AODocTxt"/>
        <w:numPr>
          <w:ilvl w:val="0"/>
          <w:numId w:val="2"/>
        </w:numPr>
        <w:spacing w:before="0" w:line="240" w:lineRule="auto"/>
        <w:ind w:left="426"/>
        <w:rPr>
          <w:rFonts w:ascii="Arial" w:hAnsi="Arial" w:cs="Arial"/>
          <w:highlight w:val="yellow"/>
        </w:rPr>
      </w:pPr>
      <w:r w:rsidRPr="00446617">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Pr="00E50E34" w:rsidRDefault="007B0809" w:rsidP="007B0809">
      <w:pPr>
        <w:pStyle w:val="AODocTxt"/>
        <w:spacing w:before="0" w:line="240" w:lineRule="auto"/>
        <w:rPr>
          <w:rFonts w:ascii="Arial" w:hAnsi="Arial" w:cs="Arial"/>
        </w:rPr>
      </w:pPr>
      <w:r w:rsidRPr="00E50E34">
        <w:rPr>
          <w:rFonts w:ascii="Arial" w:hAnsi="Arial" w:cs="Arial"/>
        </w:rPr>
        <w:t xml:space="preserve">Which of the following statements regarding executory contracts is </w:t>
      </w:r>
      <w:r w:rsidRPr="00E50E34">
        <w:rPr>
          <w:rFonts w:ascii="Arial" w:hAnsi="Arial" w:cs="Arial"/>
          <w:b/>
          <w:bCs/>
          <w:u w:val="single"/>
        </w:rPr>
        <w:t>false</w:t>
      </w:r>
      <w:r w:rsidRPr="00E50E34">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020F8" w:rsidRDefault="007B0809" w:rsidP="004F49B5">
      <w:pPr>
        <w:pStyle w:val="AODocTxt"/>
        <w:numPr>
          <w:ilvl w:val="0"/>
          <w:numId w:val="3"/>
        </w:numPr>
        <w:spacing w:before="0" w:line="240" w:lineRule="auto"/>
        <w:ind w:left="426"/>
        <w:rPr>
          <w:rFonts w:ascii="Arial" w:hAnsi="Arial" w:cs="Arial"/>
          <w:highlight w:val="yellow"/>
        </w:rPr>
      </w:pPr>
      <w:r w:rsidRPr="00A020F8">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DD0F48" w:rsidRDefault="007B0809" w:rsidP="004F49B5">
      <w:pPr>
        <w:pStyle w:val="AODocTxt"/>
        <w:numPr>
          <w:ilvl w:val="0"/>
          <w:numId w:val="4"/>
        </w:numPr>
        <w:spacing w:before="0" w:line="240" w:lineRule="auto"/>
        <w:ind w:left="426"/>
        <w:rPr>
          <w:rFonts w:ascii="Arial" w:hAnsi="Arial" w:cs="Arial"/>
          <w:highlight w:val="yellow"/>
        </w:rPr>
      </w:pPr>
      <w:r w:rsidRPr="00DD0F48">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Pr="00B607AC" w:rsidRDefault="007B0809" w:rsidP="007B0809">
      <w:pPr>
        <w:pStyle w:val="AODocTxt"/>
        <w:spacing w:before="0" w:line="240" w:lineRule="auto"/>
        <w:rPr>
          <w:rFonts w:ascii="Arial" w:hAnsi="Arial" w:cs="Arial"/>
        </w:rPr>
      </w:pPr>
      <w:r w:rsidRPr="00B607AC">
        <w:rPr>
          <w:rFonts w:ascii="Arial" w:hAnsi="Arial" w:cs="Arial"/>
        </w:rPr>
        <w:t xml:space="preserve">Which of the following statements about “pre-packs” is </w:t>
      </w:r>
      <w:r w:rsidRPr="00B607AC">
        <w:rPr>
          <w:rFonts w:ascii="Arial" w:hAnsi="Arial" w:cs="Arial"/>
          <w:b/>
          <w:bCs/>
          <w:u w:val="single"/>
        </w:rPr>
        <w:t>false</w:t>
      </w:r>
      <w:r w:rsidRPr="00B607AC">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B607AC" w:rsidRDefault="007B0809" w:rsidP="004F49B5">
      <w:pPr>
        <w:pStyle w:val="AODocTxt"/>
        <w:numPr>
          <w:ilvl w:val="0"/>
          <w:numId w:val="5"/>
        </w:numPr>
        <w:spacing w:before="0" w:line="240" w:lineRule="auto"/>
        <w:ind w:left="426"/>
        <w:rPr>
          <w:rFonts w:ascii="Arial" w:hAnsi="Arial" w:cs="Arial"/>
          <w:highlight w:val="yellow"/>
        </w:rPr>
      </w:pPr>
      <w:r w:rsidRPr="00B607AC">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Pr="00D00324" w:rsidRDefault="007B0809" w:rsidP="007B0809">
      <w:pPr>
        <w:pStyle w:val="AODocTxt"/>
        <w:spacing w:before="0" w:line="240" w:lineRule="auto"/>
        <w:rPr>
          <w:rFonts w:ascii="Arial" w:hAnsi="Arial" w:cs="Arial"/>
        </w:rPr>
      </w:pPr>
      <w:r w:rsidRPr="00D00324">
        <w:rPr>
          <w:rFonts w:ascii="Arial" w:hAnsi="Arial" w:cs="Arial"/>
        </w:rPr>
        <w:t xml:space="preserve">Which of the following statements regarding cramdowns is </w:t>
      </w:r>
      <w:r w:rsidRPr="00D00324">
        <w:rPr>
          <w:rFonts w:ascii="Arial" w:hAnsi="Arial" w:cs="Arial"/>
          <w:b/>
          <w:bCs/>
          <w:u w:val="single"/>
        </w:rPr>
        <w:t>true</w:t>
      </w:r>
      <w:r w:rsidRPr="00D00324">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D00324" w:rsidRDefault="007B0809" w:rsidP="004F49B5">
      <w:pPr>
        <w:pStyle w:val="AODocTxt"/>
        <w:numPr>
          <w:ilvl w:val="0"/>
          <w:numId w:val="6"/>
        </w:numPr>
        <w:spacing w:before="0" w:line="240" w:lineRule="auto"/>
        <w:ind w:left="426"/>
        <w:rPr>
          <w:rFonts w:ascii="Arial" w:hAnsi="Arial" w:cs="Arial"/>
          <w:highlight w:val="yellow"/>
        </w:rPr>
      </w:pPr>
      <w:r w:rsidRPr="00D00324">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Pr="005C58A8" w:rsidRDefault="007B0809" w:rsidP="007B0809">
      <w:pPr>
        <w:pStyle w:val="AODocTxt"/>
        <w:spacing w:before="0" w:line="240" w:lineRule="auto"/>
        <w:rPr>
          <w:rFonts w:ascii="Arial" w:hAnsi="Arial" w:cs="Arial"/>
        </w:rPr>
      </w:pPr>
      <w:r w:rsidRPr="005C58A8">
        <w:rPr>
          <w:rFonts w:ascii="Arial" w:hAnsi="Arial" w:cs="Arial"/>
        </w:rPr>
        <w:t xml:space="preserve">Which of the following statements about the plan exclusivity period is </w:t>
      </w:r>
      <w:r w:rsidRPr="005C58A8">
        <w:rPr>
          <w:rFonts w:ascii="Arial" w:hAnsi="Arial" w:cs="Arial"/>
          <w:b/>
          <w:bCs/>
          <w:u w:val="single"/>
        </w:rPr>
        <w:t>true</w:t>
      </w:r>
      <w:r w:rsidRPr="005C58A8">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5C58A8" w:rsidRDefault="007B0809" w:rsidP="004F49B5">
      <w:pPr>
        <w:pStyle w:val="AODocTxt"/>
        <w:numPr>
          <w:ilvl w:val="0"/>
          <w:numId w:val="7"/>
        </w:numPr>
        <w:spacing w:before="0" w:line="240" w:lineRule="auto"/>
        <w:ind w:left="426"/>
        <w:rPr>
          <w:rFonts w:ascii="Arial" w:hAnsi="Arial" w:cs="Arial"/>
          <w:highlight w:val="yellow"/>
        </w:rPr>
      </w:pPr>
      <w:r w:rsidRPr="005C58A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Pr="007E447A" w:rsidRDefault="007B0809" w:rsidP="007B0809">
      <w:pPr>
        <w:pStyle w:val="AODocTxt"/>
        <w:spacing w:before="0" w:line="240" w:lineRule="auto"/>
        <w:rPr>
          <w:rFonts w:ascii="Arial" w:hAnsi="Arial" w:cs="Arial"/>
        </w:rPr>
      </w:pPr>
      <w:r w:rsidRPr="007E447A">
        <w:rPr>
          <w:rFonts w:ascii="Arial" w:hAnsi="Arial" w:cs="Arial"/>
        </w:rPr>
        <w:t xml:space="preserve">Which of the following statements about chapter 15 is </w:t>
      </w:r>
      <w:r w:rsidRPr="007E447A">
        <w:rPr>
          <w:rFonts w:ascii="Arial" w:hAnsi="Arial" w:cs="Arial"/>
          <w:b/>
          <w:bCs/>
          <w:u w:val="single"/>
        </w:rPr>
        <w:t>false</w:t>
      </w:r>
      <w:r w:rsidRPr="007E447A">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E447A" w:rsidRDefault="007B0809" w:rsidP="004F49B5">
      <w:pPr>
        <w:pStyle w:val="AODocTxt"/>
        <w:numPr>
          <w:ilvl w:val="0"/>
          <w:numId w:val="8"/>
        </w:numPr>
        <w:spacing w:before="0" w:line="240" w:lineRule="auto"/>
        <w:ind w:left="426"/>
        <w:rPr>
          <w:rFonts w:ascii="Arial" w:hAnsi="Arial" w:cs="Arial"/>
          <w:highlight w:val="yellow"/>
        </w:rPr>
      </w:pPr>
      <w:r w:rsidRPr="007E447A">
        <w:rPr>
          <w:rFonts w:ascii="Arial" w:hAnsi="Arial" w:cs="Arial"/>
          <w:highlight w:val="yellow"/>
        </w:rPr>
        <w:t>The automatic stay applies upon the filing of a petition for recognition.</w:t>
      </w:r>
      <w:r w:rsidR="00F92140" w:rsidRPr="007E447A">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Pr="00ED272A" w:rsidRDefault="007B0809" w:rsidP="007B0809">
      <w:pPr>
        <w:pStyle w:val="AODocTxt"/>
        <w:spacing w:before="0" w:line="240" w:lineRule="auto"/>
        <w:rPr>
          <w:rFonts w:ascii="Arial" w:hAnsi="Arial" w:cs="Arial"/>
        </w:rPr>
      </w:pPr>
      <w:r w:rsidRPr="00ED272A">
        <w:rPr>
          <w:rFonts w:ascii="Arial" w:hAnsi="Arial" w:cs="Arial"/>
        </w:rPr>
        <w:t xml:space="preserve">Which of the following statements about 363 sales is </w:t>
      </w:r>
      <w:r w:rsidRPr="00ED272A">
        <w:rPr>
          <w:rFonts w:ascii="Arial" w:hAnsi="Arial" w:cs="Arial"/>
          <w:b/>
          <w:bCs/>
          <w:u w:val="single"/>
        </w:rPr>
        <w:t>false</w:t>
      </w:r>
      <w:r w:rsidRPr="00ED272A">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D272A" w:rsidRDefault="007B0809" w:rsidP="004F49B5">
      <w:pPr>
        <w:pStyle w:val="AODocTxt"/>
        <w:numPr>
          <w:ilvl w:val="0"/>
          <w:numId w:val="9"/>
        </w:numPr>
        <w:spacing w:before="0" w:line="240" w:lineRule="auto"/>
        <w:ind w:left="426"/>
        <w:rPr>
          <w:rFonts w:ascii="Arial" w:hAnsi="Arial" w:cs="Arial"/>
          <w:highlight w:val="yellow"/>
        </w:rPr>
      </w:pPr>
      <w:r w:rsidRPr="00ED272A">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186D6E">
        <w:rPr>
          <w:rFonts w:ascii="Arial" w:hAnsi="Arial" w:cs="Arial"/>
        </w:rPr>
        <w:t xml:space="preserve">If a debtor rejects an executory trademark license agreement under which it licenses a </w:t>
      </w:r>
      <w:r w:rsidRPr="007B0809">
        <w:rPr>
          <w:rFonts w:ascii="Arial" w:hAnsi="Arial" w:cs="Arial"/>
        </w:rPr>
        <w:t xml:space="preserve">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186D6E" w:rsidRDefault="007B0809" w:rsidP="004F49B5">
      <w:pPr>
        <w:pStyle w:val="AODocTxt"/>
        <w:numPr>
          <w:ilvl w:val="0"/>
          <w:numId w:val="10"/>
        </w:numPr>
        <w:spacing w:before="0" w:line="240" w:lineRule="auto"/>
        <w:ind w:left="426"/>
        <w:rPr>
          <w:rFonts w:ascii="Arial" w:hAnsi="Arial" w:cs="Arial"/>
          <w:highlight w:val="yellow"/>
        </w:rPr>
      </w:pPr>
      <w:r w:rsidRPr="00186D6E">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577580">
        <w:rPr>
          <w:rFonts w:ascii="Arial" w:hAnsi="Arial" w:cs="Arial"/>
        </w:rPr>
        <w:t xml:space="preserve">Who may serve as a foreign representative to seek recognition of a foreign proceeding under </w:t>
      </w:r>
      <w:r w:rsidRPr="007B0809">
        <w:rPr>
          <w:rFonts w:ascii="Arial" w:hAnsi="Arial" w:cs="Arial"/>
        </w:rPr>
        <w:t>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Pr="00577580" w:rsidRDefault="007B0809" w:rsidP="004F49B5">
      <w:pPr>
        <w:pStyle w:val="AODocTxt"/>
        <w:numPr>
          <w:ilvl w:val="0"/>
          <w:numId w:val="11"/>
        </w:numPr>
        <w:spacing w:before="0" w:line="240" w:lineRule="auto"/>
        <w:ind w:left="426"/>
        <w:rPr>
          <w:rFonts w:ascii="Arial" w:hAnsi="Arial" w:cs="Arial"/>
          <w:highlight w:val="yellow"/>
        </w:rPr>
      </w:pPr>
      <w:r w:rsidRPr="00577580">
        <w:rPr>
          <w:rFonts w:ascii="Arial" w:hAnsi="Arial" w:cs="Arial"/>
          <w:highlight w:val="yellow"/>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5E05BF" w:rsidR="00E12EC4" w:rsidRDefault="00B9214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D0F64BF" w14:textId="0298F70A" w:rsidR="00B9214E" w:rsidRDefault="00B9214E" w:rsidP="00E12EC4">
      <w:pPr>
        <w:jc w:val="both"/>
        <w:rPr>
          <w:rFonts w:ascii="Arial" w:hAnsi="Arial" w:cs="Arial"/>
          <w:color w:val="7B7B7B" w:themeColor="accent3" w:themeShade="BF"/>
          <w:sz w:val="22"/>
          <w:szCs w:val="22"/>
          <w:lang w:val="en-GB"/>
        </w:rPr>
      </w:pPr>
    </w:p>
    <w:p w14:paraId="4149F3A7" w14:textId="76F591FC" w:rsidR="00B9214E" w:rsidRDefault="00B9214E" w:rsidP="00E12EC4">
      <w:pPr>
        <w:jc w:val="both"/>
        <w:rPr>
          <w:rFonts w:ascii="Arial" w:eastAsiaTheme="minorEastAsia" w:hAnsi="Arial" w:cs="Arial"/>
          <w:sz w:val="22"/>
          <w:szCs w:val="22"/>
          <w:lang w:val="en-GB" w:eastAsia="zh-TW"/>
        </w:rPr>
      </w:pPr>
      <w:r w:rsidRPr="006E2E64">
        <w:rPr>
          <w:rFonts w:ascii="Arial" w:eastAsiaTheme="minorEastAsia" w:hAnsi="Arial" w:cs="Arial"/>
          <w:sz w:val="22"/>
          <w:szCs w:val="22"/>
          <w:lang w:val="en-GB" w:eastAsia="zh-TW"/>
        </w:rPr>
        <w:t>A voluntary petition</w:t>
      </w:r>
      <w:r w:rsidR="006E2E64">
        <w:rPr>
          <w:rFonts w:ascii="Arial" w:eastAsiaTheme="minorEastAsia" w:hAnsi="Arial" w:cs="Arial"/>
          <w:sz w:val="22"/>
          <w:szCs w:val="22"/>
          <w:lang w:val="en-GB" w:eastAsia="zh-TW"/>
        </w:rPr>
        <w:t xml:space="preserve"> for bankruptcy is commenced by a debtor.</w:t>
      </w:r>
      <w:r w:rsidR="00F82762">
        <w:rPr>
          <w:rFonts w:ascii="Arial" w:eastAsiaTheme="minorEastAsia" w:hAnsi="Arial" w:cs="Arial"/>
          <w:sz w:val="22"/>
          <w:szCs w:val="22"/>
          <w:lang w:val="en-GB" w:eastAsia="zh-TW"/>
        </w:rPr>
        <w:t xml:space="preserve">  The debtor is asked to file schedules or forms to disclose the lists of assets and creditors, but it needs not be or claim to be insolvent.</w:t>
      </w:r>
    </w:p>
    <w:p w14:paraId="77AF2969" w14:textId="15D48793" w:rsidR="006E2E64" w:rsidRDefault="006E2E64" w:rsidP="00E12EC4">
      <w:pPr>
        <w:jc w:val="both"/>
        <w:rPr>
          <w:rFonts w:ascii="Arial" w:eastAsiaTheme="minorEastAsia" w:hAnsi="Arial" w:cs="Arial"/>
          <w:sz w:val="22"/>
          <w:szCs w:val="22"/>
          <w:lang w:val="en-GB" w:eastAsia="zh-TW"/>
        </w:rPr>
      </w:pPr>
    </w:p>
    <w:p w14:paraId="1561D192" w14:textId="548416A2" w:rsidR="006E2E64" w:rsidRPr="006E2E64" w:rsidRDefault="006E2E64" w:rsidP="00E12EC4">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n involuntary petition for bankruptcy is commenced by </w:t>
      </w:r>
      <w:r w:rsidR="006B3468">
        <w:rPr>
          <w:rFonts w:ascii="Arial" w:eastAsiaTheme="minorEastAsia" w:hAnsi="Arial" w:cs="Arial"/>
          <w:sz w:val="22"/>
          <w:szCs w:val="22"/>
          <w:lang w:val="en-GB" w:eastAsia="zh-TW"/>
        </w:rPr>
        <w:t>qualified creditors against an eligible debtor under either chapter 7 or 11.  It cannot be commenced under the other chapters or against a farmer or not-for-profit corporation.  There is a requirement to the number of petitioning creditors.</w:t>
      </w:r>
    </w:p>
    <w:p w14:paraId="2EFB5850" w14:textId="65E520D6" w:rsidR="00323167" w:rsidRPr="00F82762" w:rsidRDefault="00323167" w:rsidP="00323167">
      <w:pPr>
        <w:pStyle w:val="AODocTxt"/>
        <w:spacing w:before="0" w:line="240" w:lineRule="auto"/>
        <w:rPr>
          <w:rFonts w:ascii="Arial" w:eastAsiaTheme="minorEastAsia" w:hAnsi="Arial" w:cs="Arial"/>
          <w:lang w:val="en-GB" w:eastAsia="zh-TW"/>
        </w:rPr>
      </w:pPr>
    </w:p>
    <w:p w14:paraId="2229ADE7" w14:textId="165FDEDD" w:rsidR="00F82762" w:rsidRPr="00F82762" w:rsidRDefault="00F82762"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T</w:t>
      </w:r>
      <w:r>
        <w:rPr>
          <w:rFonts w:ascii="Arial" w:eastAsiaTheme="minorEastAsia" w:hAnsi="Arial" w:cs="Arial"/>
          <w:lang w:eastAsia="zh-TW"/>
        </w:rPr>
        <w:t>he involuntary petition requires the petitioning creditors to allege either that the debtor is generally not paying its debts as they become due, unless they are the subject of a bona fide dispute as to liability</w:t>
      </w:r>
      <w:r w:rsidR="00916D91">
        <w:rPr>
          <w:rFonts w:ascii="Arial" w:eastAsiaTheme="minorEastAsia" w:hAnsi="Arial" w:cs="Arial"/>
          <w:lang w:eastAsia="zh-TW"/>
        </w:rPr>
        <w:t>.</w:t>
      </w:r>
    </w:p>
    <w:p w14:paraId="2F922DDB" w14:textId="45EE583F" w:rsidR="00E12EC4" w:rsidRDefault="00E12EC4" w:rsidP="00323167">
      <w:pPr>
        <w:pStyle w:val="AODocTxt"/>
        <w:spacing w:before="0" w:line="240" w:lineRule="auto"/>
        <w:rPr>
          <w:rFonts w:ascii="Arial" w:hAnsi="Arial" w:cs="Arial"/>
        </w:rPr>
      </w:pPr>
    </w:p>
    <w:p w14:paraId="63BC51B6" w14:textId="77777777" w:rsidR="00916D91" w:rsidRPr="006E2E64" w:rsidRDefault="00916D91"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2EEFC03C" w:rsidR="00E12EC4" w:rsidRDefault="00B9214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EAE86B4" w14:textId="4872771D" w:rsidR="00B9214E" w:rsidRDefault="00B9214E" w:rsidP="00E12EC4">
      <w:pPr>
        <w:jc w:val="both"/>
        <w:rPr>
          <w:rFonts w:ascii="Arial" w:hAnsi="Arial" w:cs="Arial"/>
          <w:color w:val="7B7B7B" w:themeColor="accent3" w:themeShade="BF"/>
          <w:sz w:val="22"/>
          <w:szCs w:val="22"/>
          <w:lang w:val="en-GB"/>
        </w:rPr>
      </w:pPr>
    </w:p>
    <w:p w14:paraId="6A507790" w14:textId="09F67FC4" w:rsidR="00B9214E" w:rsidRPr="00CE0252" w:rsidRDefault="00E27160" w:rsidP="00E12EC4">
      <w:pPr>
        <w:jc w:val="both"/>
        <w:rPr>
          <w:rFonts w:ascii="Arial" w:eastAsiaTheme="minorEastAsia" w:hAnsi="Arial" w:cs="Arial"/>
          <w:sz w:val="22"/>
          <w:szCs w:val="22"/>
          <w:lang w:val="en-GB" w:eastAsia="zh-TW"/>
        </w:rPr>
      </w:pPr>
      <w:r w:rsidRPr="00CE0252">
        <w:rPr>
          <w:rFonts w:ascii="Arial" w:eastAsiaTheme="minorEastAsia" w:hAnsi="Arial" w:cs="Arial" w:hint="eastAsia"/>
          <w:sz w:val="22"/>
          <w:szCs w:val="22"/>
          <w:lang w:val="en-GB" w:eastAsia="zh-TW"/>
        </w:rPr>
        <w:t>V</w:t>
      </w:r>
      <w:r w:rsidRPr="00CE0252">
        <w:rPr>
          <w:rFonts w:ascii="Arial" w:eastAsiaTheme="minorEastAsia" w:hAnsi="Arial" w:cs="Arial"/>
          <w:sz w:val="22"/>
          <w:szCs w:val="22"/>
          <w:lang w:val="en-GB" w:eastAsia="zh-TW"/>
        </w:rPr>
        <w:t>iolation of the automatic stay constitutes a contempt of court</w:t>
      </w:r>
      <w:r w:rsidR="00CE0252">
        <w:rPr>
          <w:rFonts w:ascii="Arial" w:eastAsiaTheme="minorEastAsia" w:hAnsi="Arial" w:cs="Arial"/>
          <w:sz w:val="22"/>
          <w:szCs w:val="22"/>
          <w:lang w:val="en-GB" w:eastAsia="zh-TW"/>
        </w:rPr>
        <w:t xml:space="preserve"> and the </w:t>
      </w:r>
      <w:r w:rsidR="00CE0252" w:rsidRPr="00CE0252">
        <w:rPr>
          <w:rFonts w:ascii="Arial" w:eastAsiaTheme="minorEastAsia" w:hAnsi="Arial" w:cs="Arial"/>
          <w:sz w:val="22"/>
          <w:szCs w:val="22"/>
          <w:lang w:val="en-GB" w:eastAsia="zh-TW"/>
        </w:rPr>
        <w:t>act is void or voidable depending on the circuit in which the bankruptcy is pending.</w:t>
      </w:r>
      <w:r w:rsidR="00CE0252">
        <w:rPr>
          <w:rFonts w:ascii="Arial" w:eastAsiaTheme="minorEastAsia" w:hAnsi="Arial" w:cs="Arial"/>
          <w:sz w:val="22"/>
          <w:szCs w:val="22"/>
          <w:lang w:val="en-GB" w:eastAsia="zh-TW"/>
        </w:rPr>
        <w:t xml:space="preserve">  </w:t>
      </w:r>
      <w:r w:rsidRPr="00CE0252">
        <w:rPr>
          <w:rFonts w:ascii="Arial" w:eastAsiaTheme="minorEastAsia" w:hAnsi="Arial" w:cs="Arial"/>
          <w:sz w:val="22"/>
          <w:szCs w:val="22"/>
          <w:lang w:val="en-GB" w:eastAsia="zh-TW"/>
        </w:rPr>
        <w:t xml:space="preserve">Sanctions against the violator include payment of the debtors’ attorneys’ fees and requiring the violator to take affirmative acts to undo the effect of its violation.  </w:t>
      </w:r>
      <w:r w:rsidR="00CE0252" w:rsidRPr="00CE0252">
        <w:rPr>
          <w:rFonts w:ascii="Arial" w:eastAsiaTheme="minorEastAsia" w:hAnsi="Arial" w:cs="Arial"/>
          <w:sz w:val="22"/>
          <w:szCs w:val="22"/>
          <w:lang w:val="en-GB" w:eastAsia="zh-TW"/>
        </w:rPr>
        <w:t xml:space="preserve">A coercive contempt sanctions may be imposed until the violation has been rectified if the violator not act promptly.  </w:t>
      </w:r>
    </w:p>
    <w:p w14:paraId="740C7F05" w14:textId="46F220B2" w:rsidR="00323167" w:rsidRDefault="00323167" w:rsidP="00323167">
      <w:pPr>
        <w:pStyle w:val="AODocTxt"/>
        <w:spacing w:before="0" w:line="240" w:lineRule="auto"/>
        <w:rPr>
          <w:rFonts w:ascii="Arial" w:hAnsi="Arial" w:cs="Arial"/>
        </w:rPr>
      </w:pPr>
    </w:p>
    <w:p w14:paraId="51DD27A0" w14:textId="2E6A3C21" w:rsidR="00E12EC4" w:rsidRDefault="00E12EC4" w:rsidP="00323167">
      <w:pPr>
        <w:pStyle w:val="AODocTxt"/>
        <w:spacing w:before="0" w:line="240" w:lineRule="auto"/>
        <w:rPr>
          <w:rFonts w:ascii="Arial" w:hAnsi="Arial" w:cs="Arial"/>
        </w:rPr>
      </w:pPr>
    </w:p>
    <w:p w14:paraId="3C918C37" w14:textId="36BCE5BC" w:rsidR="00010FAB" w:rsidRDefault="00010FAB" w:rsidP="00323167">
      <w:pPr>
        <w:pStyle w:val="AODocTxt"/>
        <w:spacing w:before="0" w:line="240" w:lineRule="auto"/>
        <w:rPr>
          <w:rFonts w:ascii="Arial" w:hAnsi="Arial" w:cs="Arial"/>
        </w:rPr>
      </w:pPr>
    </w:p>
    <w:p w14:paraId="07C62947" w14:textId="77777777" w:rsidR="00010FAB" w:rsidRPr="00323167" w:rsidRDefault="00010FAB"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w:t>
      </w:r>
      <w:r w:rsidRPr="00DA45C8">
        <w:rPr>
          <w:rFonts w:ascii="Arial" w:hAnsi="Arial" w:cs="Arial"/>
        </w:rPr>
        <w:t>er of an impaired claim not entitled to vote on a proposed plan of reorganization and what happens instead?</w:t>
      </w:r>
      <w:r w:rsidR="00F92140" w:rsidRPr="00DA45C8">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EA2A24E" w:rsidR="00E12EC4" w:rsidRDefault="00B9214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0395D36" w14:textId="33B9900C" w:rsidR="00B9214E" w:rsidRDefault="00B9214E" w:rsidP="00E12EC4">
      <w:pPr>
        <w:jc w:val="both"/>
        <w:rPr>
          <w:rFonts w:ascii="Arial" w:hAnsi="Arial" w:cs="Arial"/>
          <w:color w:val="7B7B7B" w:themeColor="accent3" w:themeShade="BF"/>
          <w:sz w:val="22"/>
          <w:szCs w:val="22"/>
          <w:lang w:val="en-GB"/>
        </w:rPr>
      </w:pPr>
    </w:p>
    <w:p w14:paraId="03E50EE2" w14:textId="77777777" w:rsidR="00CA732B" w:rsidRDefault="00364D3B" w:rsidP="00E12EC4">
      <w:pPr>
        <w:jc w:val="both"/>
        <w:rPr>
          <w:rFonts w:ascii="Arial" w:eastAsiaTheme="minorEastAsia" w:hAnsi="Arial" w:cs="Arial"/>
          <w:sz w:val="22"/>
          <w:szCs w:val="22"/>
          <w:lang w:val="en-GB" w:eastAsia="zh-TW"/>
        </w:rPr>
      </w:pPr>
      <w:r w:rsidRPr="00CA732B">
        <w:rPr>
          <w:rFonts w:ascii="Arial" w:eastAsiaTheme="minorEastAsia" w:hAnsi="Arial" w:cs="Arial" w:hint="eastAsia"/>
          <w:sz w:val="22"/>
          <w:szCs w:val="22"/>
          <w:lang w:val="en-GB" w:eastAsia="zh-TW"/>
        </w:rPr>
        <w:t>A</w:t>
      </w:r>
      <w:r w:rsidRPr="00CA732B">
        <w:rPr>
          <w:rFonts w:ascii="Arial" w:eastAsiaTheme="minorEastAsia" w:hAnsi="Arial" w:cs="Arial"/>
          <w:sz w:val="22"/>
          <w:szCs w:val="22"/>
          <w:lang w:val="en-GB" w:eastAsia="zh-TW"/>
        </w:rPr>
        <w:t xml:space="preserve"> class of claims is impaired </w:t>
      </w:r>
      <w:r w:rsidR="00CA732B">
        <w:rPr>
          <w:rFonts w:ascii="Arial" w:eastAsiaTheme="minorEastAsia" w:hAnsi="Arial" w:cs="Arial"/>
          <w:sz w:val="22"/>
          <w:szCs w:val="22"/>
          <w:lang w:val="en-GB" w:eastAsia="zh-TW"/>
        </w:rPr>
        <w:t xml:space="preserve">under a plan </w:t>
      </w:r>
      <w:r w:rsidRPr="00CA732B">
        <w:rPr>
          <w:rFonts w:ascii="Arial" w:eastAsiaTheme="minorEastAsia" w:hAnsi="Arial" w:cs="Arial"/>
          <w:sz w:val="22"/>
          <w:szCs w:val="22"/>
          <w:lang w:val="en-GB" w:eastAsia="zh-TW"/>
        </w:rPr>
        <w:t>unless</w:t>
      </w:r>
      <w:r w:rsidR="00CA732B">
        <w:rPr>
          <w:rFonts w:ascii="Arial" w:eastAsiaTheme="minorEastAsia" w:hAnsi="Arial" w:cs="Arial"/>
          <w:sz w:val="22"/>
          <w:szCs w:val="22"/>
          <w:lang w:val="en-GB" w:eastAsia="zh-TW"/>
        </w:rPr>
        <w:t>,</w:t>
      </w:r>
      <w:r w:rsidRPr="00CA732B">
        <w:rPr>
          <w:rFonts w:ascii="Arial" w:eastAsiaTheme="minorEastAsia" w:hAnsi="Arial" w:cs="Arial"/>
          <w:sz w:val="22"/>
          <w:szCs w:val="22"/>
          <w:lang w:val="en-GB" w:eastAsia="zh-TW"/>
        </w:rPr>
        <w:t xml:space="preserve"> as to every claim or interest in the class, the plan</w:t>
      </w:r>
      <w:r w:rsidR="00CA732B">
        <w:rPr>
          <w:rFonts w:ascii="Arial" w:eastAsiaTheme="minorEastAsia" w:hAnsi="Arial" w:cs="Arial"/>
          <w:sz w:val="22"/>
          <w:szCs w:val="22"/>
          <w:lang w:val="en-GB" w:eastAsia="zh-TW"/>
        </w:rPr>
        <w:t>:</w:t>
      </w:r>
    </w:p>
    <w:p w14:paraId="58C5F865" w14:textId="77777777" w:rsidR="00CA732B" w:rsidRDefault="00364D3B" w:rsidP="00CA732B">
      <w:pPr>
        <w:pStyle w:val="a3"/>
        <w:numPr>
          <w:ilvl w:val="0"/>
          <w:numId w:val="14"/>
        </w:numPr>
        <w:jc w:val="both"/>
        <w:rPr>
          <w:rFonts w:ascii="Arial" w:eastAsiaTheme="minorEastAsia" w:hAnsi="Arial" w:cs="Arial"/>
          <w:sz w:val="22"/>
          <w:szCs w:val="22"/>
          <w:lang w:val="en-GB" w:eastAsia="zh-TW"/>
        </w:rPr>
      </w:pPr>
      <w:r w:rsidRPr="00CA732B">
        <w:rPr>
          <w:rFonts w:ascii="Arial" w:eastAsiaTheme="minorEastAsia" w:hAnsi="Arial" w:cs="Arial"/>
          <w:sz w:val="22"/>
          <w:szCs w:val="22"/>
          <w:lang w:val="en-GB" w:eastAsia="zh-TW"/>
        </w:rPr>
        <w:t xml:space="preserve">leaves </w:t>
      </w:r>
      <w:r w:rsidR="00CA732B" w:rsidRPr="00CA732B">
        <w:rPr>
          <w:rFonts w:ascii="Arial" w:eastAsiaTheme="minorEastAsia" w:hAnsi="Arial" w:cs="Arial"/>
          <w:sz w:val="22"/>
          <w:szCs w:val="22"/>
          <w:lang w:val="en-GB" w:eastAsia="zh-TW"/>
        </w:rPr>
        <w:t xml:space="preserve">unaltered the </w:t>
      </w:r>
      <w:r w:rsidRPr="00CA732B">
        <w:rPr>
          <w:rFonts w:ascii="Arial" w:eastAsiaTheme="minorEastAsia" w:hAnsi="Arial" w:cs="Arial"/>
          <w:sz w:val="22"/>
          <w:szCs w:val="22"/>
          <w:lang w:val="en-GB" w:eastAsia="zh-TW"/>
        </w:rPr>
        <w:t xml:space="preserve">legal, equitable, and contractual rights </w:t>
      </w:r>
      <w:r w:rsidR="00CA732B" w:rsidRPr="00CA732B">
        <w:rPr>
          <w:rFonts w:ascii="Arial" w:eastAsiaTheme="minorEastAsia" w:hAnsi="Arial" w:cs="Arial"/>
          <w:sz w:val="22"/>
          <w:szCs w:val="22"/>
          <w:lang w:val="en-GB" w:eastAsia="zh-TW"/>
        </w:rPr>
        <w:t>to which such claim or interest entitles the holder of such claim or interest</w:t>
      </w:r>
      <w:r w:rsidRPr="00CA732B">
        <w:rPr>
          <w:rFonts w:ascii="Arial" w:eastAsiaTheme="minorEastAsia" w:hAnsi="Arial" w:cs="Arial"/>
          <w:sz w:val="22"/>
          <w:szCs w:val="22"/>
          <w:lang w:val="en-GB" w:eastAsia="zh-TW"/>
        </w:rPr>
        <w:t>,</w:t>
      </w:r>
    </w:p>
    <w:p w14:paraId="70D7F55F" w14:textId="767B8CBC" w:rsidR="00B9214E" w:rsidRDefault="00364D3B" w:rsidP="00CA732B">
      <w:pPr>
        <w:pStyle w:val="a3"/>
        <w:numPr>
          <w:ilvl w:val="0"/>
          <w:numId w:val="14"/>
        </w:numPr>
        <w:jc w:val="both"/>
        <w:rPr>
          <w:rFonts w:ascii="Arial" w:eastAsiaTheme="minorEastAsia" w:hAnsi="Arial" w:cs="Arial"/>
          <w:sz w:val="22"/>
          <w:szCs w:val="22"/>
          <w:lang w:val="en-GB" w:eastAsia="zh-TW"/>
        </w:rPr>
      </w:pPr>
      <w:r w:rsidRPr="00CA732B">
        <w:rPr>
          <w:rFonts w:ascii="Arial" w:eastAsiaTheme="minorEastAsia" w:hAnsi="Arial" w:cs="Arial"/>
          <w:sz w:val="22"/>
          <w:szCs w:val="22"/>
          <w:lang w:val="en-GB" w:eastAsia="zh-TW"/>
        </w:rPr>
        <w:t xml:space="preserve">except that a class may be deemed unimpaired where the plan reverses contractual acceleration by curing </w:t>
      </w:r>
      <w:r w:rsidR="00CA732B">
        <w:rPr>
          <w:rFonts w:ascii="Arial" w:eastAsiaTheme="minorEastAsia" w:hAnsi="Arial" w:cs="Arial"/>
          <w:sz w:val="22"/>
          <w:szCs w:val="22"/>
          <w:lang w:val="en-GB" w:eastAsia="zh-TW"/>
        </w:rPr>
        <w:t>any monetary default and compensating the holder for any damages</w:t>
      </w:r>
      <w:r w:rsidR="006E0666">
        <w:rPr>
          <w:rFonts w:ascii="Arial" w:eastAsiaTheme="minorEastAsia" w:hAnsi="Arial" w:cs="Arial"/>
          <w:sz w:val="22"/>
          <w:szCs w:val="22"/>
          <w:lang w:val="en-GB" w:eastAsia="zh-TW"/>
        </w:rPr>
        <w:t>.</w:t>
      </w:r>
    </w:p>
    <w:p w14:paraId="7CD2F40A" w14:textId="31095678" w:rsidR="005C58A8" w:rsidRDefault="005C58A8" w:rsidP="005C58A8">
      <w:pPr>
        <w:jc w:val="both"/>
        <w:rPr>
          <w:rFonts w:ascii="Arial" w:eastAsiaTheme="minorEastAsia" w:hAnsi="Arial" w:cs="Arial"/>
          <w:sz w:val="22"/>
          <w:szCs w:val="22"/>
          <w:lang w:val="en-GB" w:eastAsia="zh-TW"/>
        </w:rPr>
      </w:pPr>
    </w:p>
    <w:p w14:paraId="4E46FCF5" w14:textId="02047C7A" w:rsidR="003819C1" w:rsidRDefault="003819C1" w:rsidP="005C58A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 proposed plan of reorganization may be confirmed by cramming down dissenting impaired classes.  When using cramdown, the impaired claim of an insider is not entitled to vote.  Given that at least one impaired class voted to accept the plan, </w:t>
      </w:r>
      <w:r w:rsidR="00DB3DC0">
        <w:rPr>
          <w:rFonts w:ascii="Arial" w:eastAsiaTheme="minorEastAsia" w:hAnsi="Arial" w:cs="Arial"/>
          <w:sz w:val="22"/>
          <w:szCs w:val="22"/>
          <w:lang w:val="en-GB" w:eastAsia="zh-TW"/>
        </w:rPr>
        <w:t>and the plan followed the other requirements as well as be fair and equitable to the non-consenting impaired classes, cramdown can be used to mitigate the holdout problem and approve a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Pr="007E447A" w:rsidRDefault="00323167" w:rsidP="00323167">
      <w:pPr>
        <w:pStyle w:val="AODocTxt"/>
        <w:spacing w:before="0" w:line="240" w:lineRule="auto"/>
        <w:rPr>
          <w:rFonts w:ascii="Arial" w:hAnsi="Arial" w:cs="Arial"/>
        </w:rPr>
      </w:pPr>
      <w:r w:rsidRPr="007E447A">
        <w:rPr>
          <w:rFonts w:ascii="Arial" w:hAnsi="Arial" w:cs="Arial"/>
        </w:rPr>
        <w:t>Answer the following questions about preferences, actual fraudulent conveyances and constructive fraudulent conveyances:</w:t>
      </w:r>
    </w:p>
    <w:p w14:paraId="3CFB3C2E" w14:textId="77777777" w:rsidR="003A75F4" w:rsidRPr="007E447A" w:rsidRDefault="003A75F4" w:rsidP="00323167">
      <w:pPr>
        <w:pStyle w:val="AODocTxt"/>
        <w:spacing w:before="0" w:line="240" w:lineRule="auto"/>
        <w:rPr>
          <w:rFonts w:ascii="Arial" w:hAnsi="Arial" w:cs="Arial"/>
        </w:rPr>
      </w:pPr>
    </w:p>
    <w:p w14:paraId="7BB99BDB" w14:textId="520D2DB4" w:rsidR="00323167" w:rsidRPr="007E447A" w:rsidRDefault="00323167" w:rsidP="00DC359F">
      <w:pPr>
        <w:pStyle w:val="AODocTxt"/>
        <w:numPr>
          <w:ilvl w:val="0"/>
          <w:numId w:val="12"/>
        </w:numPr>
        <w:spacing w:before="0" w:line="240" w:lineRule="auto"/>
        <w:ind w:left="426"/>
        <w:rPr>
          <w:rFonts w:ascii="Arial" w:hAnsi="Arial" w:cs="Arial"/>
        </w:rPr>
      </w:pPr>
      <w:r w:rsidRPr="007E447A">
        <w:rPr>
          <w:rFonts w:ascii="Arial" w:hAnsi="Arial" w:cs="Arial"/>
        </w:rPr>
        <w:t>Which cause of action applies only to transfers made on account of antecedent debt?</w:t>
      </w:r>
    </w:p>
    <w:p w14:paraId="5E9F37B1" w14:textId="77777777" w:rsidR="00DC359F" w:rsidRPr="007E447A" w:rsidRDefault="00DC359F" w:rsidP="00DC359F">
      <w:pPr>
        <w:pStyle w:val="AODocTxt"/>
        <w:spacing w:before="0" w:line="240" w:lineRule="auto"/>
        <w:rPr>
          <w:rFonts w:ascii="Arial" w:hAnsi="Arial" w:cs="Arial"/>
        </w:rPr>
      </w:pPr>
    </w:p>
    <w:p w14:paraId="498B15F0" w14:textId="77777777" w:rsidR="00EF12CB" w:rsidRPr="00577580" w:rsidRDefault="00EF12CB" w:rsidP="00577580">
      <w:pPr>
        <w:ind w:leftChars="213" w:left="426"/>
        <w:jc w:val="both"/>
        <w:rPr>
          <w:rFonts w:ascii="Arial" w:hAnsi="Arial" w:cs="Arial"/>
          <w:color w:val="7B7B7B" w:themeColor="accent3" w:themeShade="BF"/>
          <w:sz w:val="22"/>
          <w:szCs w:val="22"/>
          <w:lang w:val="en-GB"/>
        </w:rPr>
      </w:pPr>
      <w:r w:rsidRPr="00577580">
        <w:rPr>
          <w:rFonts w:ascii="Arial" w:hAnsi="Arial" w:cs="Arial"/>
          <w:color w:val="7B7B7B" w:themeColor="accent3" w:themeShade="BF"/>
          <w:sz w:val="22"/>
          <w:szCs w:val="22"/>
          <w:lang w:val="en-GB"/>
        </w:rPr>
        <w:t>Answer</w:t>
      </w:r>
    </w:p>
    <w:p w14:paraId="77D56CEE" w14:textId="77777777" w:rsidR="00EF12CB" w:rsidRPr="007E447A" w:rsidRDefault="00EF12CB" w:rsidP="00EF12CB">
      <w:pPr>
        <w:ind w:firstLine="426"/>
        <w:jc w:val="both"/>
        <w:rPr>
          <w:rFonts w:ascii="Arial" w:hAnsi="Arial" w:cs="Arial"/>
          <w:sz w:val="22"/>
          <w:szCs w:val="22"/>
          <w:lang w:val="en-GB"/>
        </w:rPr>
      </w:pPr>
    </w:p>
    <w:p w14:paraId="51C0D102" w14:textId="5028801C" w:rsidR="00EF12CB" w:rsidRPr="007E447A" w:rsidRDefault="00EF12CB" w:rsidP="00E232A9">
      <w:pPr>
        <w:pStyle w:val="AODocTxt"/>
        <w:spacing w:before="0" w:line="240" w:lineRule="auto"/>
        <w:ind w:leftChars="213" w:left="426"/>
        <w:rPr>
          <w:rFonts w:ascii="Arial" w:eastAsiaTheme="minorEastAsia" w:hAnsi="Arial" w:cs="Arial"/>
          <w:lang w:eastAsia="zh-TW"/>
        </w:rPr>
      </w:pPr>
      <w:r w:rsidRPr="007E447A">
        <w:rPr>
          <w:rFonts w:ascii="Arial" w:eastAsiaTheme="minorEastAsia" w:hAnsi="Arial" w:cs="Arial"/>
          <w:lang w:eastAsia="zh-TW"/>
        </w:rPr>
        <w:t>Preferences</w:t>
      </w:r>
      <w:r w:rsidR="00C1705D" w:rsidRPr="007E447A">
        <w:rPr>
          <w:rFonts w:ascii="Arial" w:eastAsiaTheme="minorEastAsia" w:hAnsi="Arial" w:cs="Arial"/>
          <w:lang w:eastAsia="zh-TW"/>
        </w:rPr>
        <w:t xml:space="preserve"> is a transfer of the debtor’s property made in a suspect period</w:t>
      </w:r>
      <w:r w:rsidR="001415A9" w:rsidRPr="007E447A">
        <w:rPr>
          <w:rFonts w:ascii="Arial" w:eastAsiaTheme="minorEastAsia" w:hAnsi="Arial" w:cs="Arial"/>
          <w:lang w:eastAsia="zh-TW"/>
        </w:rPr>
        <w:t xml:space="preserve"> (90 days for third parties and 1 year for insiders)</w:t>
      </w:r>
      <w:r w:rsidR="00C1705D" w:rsidRPr="007E447A">
        <w:rPr>
          <w:rFonts w:ascii="Arial" w:eastAsiaTheme="minorEastAsia" w:hAnsi="Arial" w:cs="Arial"/>
          <w:lang w:eastAsia="zh-TW"/>
        </w:rPr>
        <w:t xml:space="preserve"> before the petition date that must be returned to the estate if it exceeds the amount the recipient would have been received in a chapter 7 liquidation had the transfer not been made.</w:t>
      </w:r>
      <w:r w:rsidR="001415A9" w:rsidRPr="007E447A">
        <w:rPr>
          <w:rFonts w:ascii="Arial" w:eastAsiaTheme="minorEastAsia" w:hAnsi="Arial" w:cs="Arial"/>
          <w:lang w:eastAsia="zh-TW"/>
        </w:rPr>
        <w:t xml:space="preserve">  Preferences only arise where the debtor is paying a creditor for a pre-existing debt.</w:t>
      </w:r>
    </w:p>
    <w:p w14:paraId="6376ED23" w14:textId="6474409D" w:rsidR="008151AC" w:rsidRPr="007E447A" w:rsidRDefault="008151AC" w:rsidP="00E232A9">
      <w:pPr>
        <w:pStyle w:val="AODocTxt"/>
        <w:spacing w:before="0" w:line="240" w:lineRule="auto"/>
        <w:ind w:leftChars="213" w:left="426"/>
        <w:rPr>
          <w:rFonts w:ascii="Arial" w:eastAsiaTheme="minorEastAsia" w:hAnsi="Arial" w:cs="Arial"/>
          <w:lang w:eastAsia="zh-TW"/>
        </w:rPr>
      </w:pPr>
    </w:p>
    <w:p w14:paraId="56AFDEF2" w14:textId="26D27809" w:rsidR="00E232A9" w:rsidRPr="007E447A" w:rsidRDefault="00E232A9" w:rsidP="001415A9">
      <w:pPr>
        <w:jc w:val="both"/>
        <w:rPr>
          <w:rFonts w:ascii="Arial" w:eastAsiaTheme="minorEastAsia" w:hAnsi="Arial" w:cs="Arial" w:hint="eastAsia"/>
          <w:sz w:val="22"/>
          <w:szCs w:val="22"/>
          <w:lang w:val="en-GB" w:eastAsia="zh-TW"/>
        </w:rPr>
      </w:pPr>
    </w:p>
    <w:p w14:paraId="1A185DEA" w14:textId="20A0A1FA" w:rsidR="00323167" w:rsidRPr="007E447A" w:rsidRDefault="00323167" w:rsidP="00DC359F">
      <w:pPr>
        <w:pStyle w:val="AODocTxt"/>
        <w:numPr>
          <w:ilvl w:val="0"/>
          <w:numId w:val="12"/>
        </w:numPr>
        <w:spacing w:before="0" w:line="240" w:lineRule="auto"/>
        <w:ind w:left="426"/>
        <w:rPr>
          <w:rFonts w:ascii="Arial" w:hAnsi="Arial" w:cs="Arial"/>
        </w:rPr>
      </w:pPr>
      <w:r w:rsidRPr="007E447A">
        <w:rPr>
          <w:rFonts w:ascii="Arial" w:hAnsi="Arial" w:cs="Arial"/>
        </w:rPr>
        <w:t>Which cause of action requires that the debtor be presumed or proven to have been insolvent at the time of the transfer?</w:t>
      </w:r>
    </w:p>
    <w:p w14:paraId="4D72C26B" w14:textId="77777777" w:rsidR="00DC359F" w:rsidRPr="007E447A" w:rsidRDefault="00DC359F" w:rsidP="00DC359F">
      <w:pPr>
        <w:pStyle w:val="AODocTxt"/>
        <w:spacing w:before="0" w:line="240" w:lineRule="auto"/>
        <w:rPr>
          <w:rFonts w:ascii="Arial" w:hAnsi="Arial" w:cs="Arial"/>
        </w:rPr>
      </w:pPr>
    </w:p>
    <w:p w14:paraId="267C8555" w14:textId="78101C95" w:rsidR="005B2A9B" w:rsidRPr="00577580" w:rsidRDefault="007B5710" w:rsidP="00577580">
      <w:pPr>
        <w:ind w:leftChars="213" w:left="426"/>
        <w:jc w:val="both"/>
        <w:rPr>
          <w:rFonts w:ascii="Arial" w:hAnsi="Arial" w:cs="Arial"/>
          <w:color w:val="7B7B7B" w:themeColor="accent3" w:themeShade="BF"/>
          <w:sz w:val="22"/>
          <w:szCs w:val="22"/>
          <w:lang w:val="en-GB"/>
        </w:rPr>
      </w:pPr>
      <w:r w:rsidRPr="00577580">
        <w:rPr>
          <w:rFonts w:ascii="Arial" w:hAnsi="Arial" w:cs="Arial"/>
          <w:color w:val="7B7B7B" w:themeColor="accent3" w:themeShade="BF"/>
          <w:sz w:val="22"/>
          <w:szCs w:val="22"/>
          <w:lang w:val="en-GB"/>
        </w:rPr>
        <w:t>Answer</w:t>
      </w:r>
    </w:p>
    <w:p w14:paraId="1D257A90" w14:textId="41DBB8A9" w:rsidR="007B5710" w:rsidRPr="00577580" w:rsidRDefault="007B5710" w:rsidP="00577580">
      <w:pPr>
        <w:ind w:leftChars="213" w:left="426"/>
        <w:jc w:val="both"/>
        <w:rPr>
          <w:rFonts w:ascii="Arial" w:hAnsi="Arial" w:cs="Arial"/>
          <w:color w:val="7B7B7B" w:themeColor="accent3" w:themeShade="BF"/>
          <w:sz w:val="22"/>
          <w:szCs w:val="22"/>
          <w:lang w:val="en-GB"/>
        </w:rPr>
      </w:pPr>
    </w:p>
    <w:p w14:paraId="76059889" w14:textId="2B4182E5" w:rsidR="00DC359F" w:rsidRPr="007E447A" w:rsidRDefault="00C4470E" w:rsidP="00825E65">
      <w:pPr>
        <w:pStyle w:val="AODocTxt"/>
        <w:spacing w:before="0" w:line="240" w:lineRule="auto"/>
        <w:ind w:leftChars="213" w:left="426"/>
        <w:rPr>
          <w:rFonts w:ascii="Arial" w:eastAsiaTheme="minorEastAsia" w:hAnsi="Arial" w:cs="Arial" w:hint="eastAsia"/>
          <w:lang w:eastAsia="zh-TW"/>
        </w:rPr>
      </w:pPr>
      <w:r w:rsidRPr="007E447A">
        <w:rPr>
          <w:rFonts w:ascii="Arial" w:eastAsiaTheme="minorEastAsia" w:hAnsi="Arial" w:cs="Arial"/>
          <w:lang w:eastAsia="zh-TW"/>
        </w:rPr>
        <w:t>Constructive</w:t>
      </w:r>
      <w:r w:rsidR="00EF12CB" w:rsidRPr="007E447A">
        <w:rPr>
          <w:rFonts w:ascii="Arial" w:eastAsiaTheme="minorEastAsia" w:hAnsi="Arial" w:cs="Arial"/>
          <w:lang w:eastAsia="zh-TW"/>
        </w:rPr>
        <w:t xml:space="preserve"> fraudulent conveyances </w:t>
      </w:r>
      <w:r w:rsidR="003379A0" w:rsidRPr="007E447A">
        <w:rPr>
          <w:rFonts w:ascii="Arial" w:eastAsiaTheme="minorEastAsia" w:hAnsi="Arial" w:cs="Arial"/>
          <w:lang w:eastAsia="zh-TW"/>
        </w:rPr>
        <w:t>are</w:t>
      </w:r>
      <w:r w:rsidRPr="007E447A">
        <w:rPr>
          <w:rFonts w:ascii="Arial" w:eastAsiaTheme="minorEastAsia" w:hAnsi="Arial" w:cs="Arial"/>
          <w:lang w:eastAsia="zh-TW"/>
        </w:rPr>
        <w:t xml:space="preserve"> proven by showing that the debtor received less than reasonably equivalent value in exchange for a transfer or incurrence of obligation </w:t>
      </w:r>
      <w:r w:rsidR="009F00DC" w:rsidRPr="007E447A">
        <w:rPr>
          <w:rFonts w:ascii="Arial" w:eastAsiaTheme="minorEastAsia" w:hAnsi="Arial" w:cs="Arial"/>
          <w:lang w:eastAsia="zh-TW"/>
        </w:rPr>
        <w:t xml:space="preserve">and </w:t>
      </w:r>
      <w:r w:rsidR="003379A0">
        <w:rPr>
          <w:rFonts w:ascii="Arial" w:eastAsiaTheme="minorEastAsia" w:hAnsi="Arial" w:cs="Arial"/>
          <w:lang w:eastAsia="zh-TW"/>
        </w:rPr>
        <w:t xml:space="preserve">either </w:t>
      </w:r>
      <w:r w:rsidR="009F00DC" w:rsidRPr="007E447A">
        <w:rPr>
          <w:rFonts w:ascii="Arial" w:eastAsiaTheme="minorEastAsia" w:hAnsi="Arial" w:cs="Arial"/>
          <w:lang w:eastAsia="zh-TW"/>
        </w:rPr>
        <w:t xml:space="preserve">one additional </w:t>
      </w:r>
      <w:r w:rsidR="003379A0" w:rsidRPr="007E447A">
        <w:rPr>
          <w:rFonts w:ascii="Arial" w:eastAsiaTheme="minorEastAsia" w:hAnsi="Arial" w:cs="Arial"/>
          <w:lang w:eastAsia="zh-TW"/>
        </w:rPr>
        <w:t>factor</w:t>
      </w:r>
      <w:r w:rsidR="003379A0">
        <w:rPr>
          <w:rFonts w:ascii="Arial" w:eastAsiaTheme="minorEastAsia" w:hAnsi="Arial" w:cs="Arial"/>
          <w:lang w:eastAsia="zh-TW"/>
        </w:rPr>
        <w:t>s</w:t>
      </w:r>
      <w:r w:rsidR="009F00DC" w:rsidRPr="007E447A">
        <w:rPr>
          <w:rFonts w:ascii="Arial" w:eastAsiaTheme="minorEastAsia" w:hAnsi="Arial" w:cs="Arial"/>
          <w:lang w:eastAsia="zh-TW"/>
        </w:rPr>
        <w:t xml:space="preserve"> w</w:t>
      </w:r>
      <w:r w:rsidR="003379A0">
        <w:rPr>
          <w:rFonts w:ascii="Arial" w:eastAsiaTheme="minorEastAsia" w:hAnsi="Arial" w:cs="Arial"/>
          <w:lang w:eastAsia="zh-TW"/>
        </w:rPr>
        <w:t>ere</w:t>
      </w:r>
      <w:r w:rsidR="009F00DC" w:rsidRPr="007E447A">
        <w:rPr>
          <w:rFonts w:ascii="Arial" w:eastAsiaTheme="minorEastAsia" w:hAnsi="Arial" w:cs="Arial"/>
          <w:lang w:eastAsia="zh-TW"/>
        </w:rPr>
        <w:t xml:space="preserve"> present, one of which is the debtor was insolvent at the time of or became insolvent as a result of the transaction.</w:t>
      </w:r>
    </w:p>
    <w:p w14:paraId="40D4A9CE" w14:textId="181DA21C" w:rsidR="005B2A9B" w:rsidRPr="007E447A" w:rsidRDefault="005B2A9B" w:rsidP="00825E65">
      <w:pPr>
        <w:pStyle w:val="AODocTxt"/>
        <w:spacing w:before="0" w:line="240" w:lineRule="auto"/>
        <w:ind w:leftChars="213" w:left="426"/>
        <w:rPr>
          <w:rFonts w:ascii="Arial" w:eastAsiaTheme="minorEastAsia" w:hAnsi="Arial" w:cs="Arial"/>
          <w:lang w:eastAsia="zh-TW"/>
        </w:rPr>
      </w:pPr>
    </w:p>
    <w:p w14:paraId="43E0C737" w14:textId="49895645" w:rsidR="001415A9" w:rsidRPr="007E447A" w:rsidRDefault="001415A9" w:rsidP="00825E65">
      <w:pPr>
        <w:pStyle w:val="AODocTxt"/>
        <w:spacing w:before="0" w:line="240" w:lineRule="auto"/>
        <w:ind w:leftChars="213" w:left="426"/>
        <w:rPr>
          <w:rFonts w:ascii="Arial" w:eastAsiaTheme="minorEastAsia" w:hAnsi="Arial" w:cs="Arial"/>
          <w:lang w:eastAsia="zh-TW"/>
        </w:rPr>
      </w:pPr>
      <w:r w:rsidRPr="007E447A">
        <w:rPr>
          <w:rFonts w:ascii="Arial" w:eastAsiaTheme="minorEastAsia" w:hAnsi="Arial" w:cs="Arial"/>
          <w:lang w:eastAsia="zh-TW"/>
        </w:rPr>
        <w:t>For a preference claim, t</w:t>
      </w:r>
      <w:r w:rsidRPr="007E447A">
        <w:rPr>
          <w:rFonts w:ascii="Arial" w:eastAsiaTheme="minorEastAsia" w:hAnsi="Arial" w:cs="Arial"/>
          <w:lang w:eastAsia="zh-TW"/>
        </w:rPr>
        <w:t>he debtor is presumed to have been insolvent on and during the 90 days prior to the petition date for the purposes of determining preference claims.</w:t>
      </w:r>
    </w:p>
    <w:p w14:paraId="502D6B6C" w14:textId="797EF22F" w:rsidR="001415A9" w:rsidRPr="007E447A" w:rsidRDefault="001415A9" w:rsidP="00DC359F">
      <w:pPr>
        <w:pStyle w:val="AODocTxt"/>
        <w:spacing w:before="0" w:line="240" w:lineRule="auto"/>
        <w:ind w:firstLine="426"/>
        <w:rPr>
          <w:rFonts w:ascii="Arial" w:hAnsi="Arial" w:cs="Arial"/>
          <w:highlight w:val="yellow"/>
        </w:rPr>
      </w:pPr>
    </w:p>
    <w:p w14:paraId="161E011E" w14:textId="1DFCB871" w:rsidR="001415A9" w:rsidRDefault="001415A9" w:rsidP="00DC359F">
      <w:pPr>
        <w:pStyle w:val="AODocTxt"/>
        <w:spacing w:before="0" w:line="240" w:lineRule="auto"/>
        <w:ind w:firstLine="426"/>
        <w:rPr>
          <w:rFonts w:ascii="Arial" w:hAnsi="Arial" w:cs="Arial"/>
          <w:highlight w:val="yellow"/>
        </w:rPr>
      </w:pPr>
    </w:p>
    <w:p w14:paraId="033C76DC" w14:textId="41A8850D" w:rsidR="00FA5338" w:rsidRDefault="00FA5338" w:rsidP="00DC359F">
      <w:pPr>
        <w:pStyle w:val="AODocTxt"/>
        <w:spacing w:before="0" w:line="240" w:lineRule="auto"/>
        <w:ind w:firstLine="426"/>
        <w:rPr>
          <w:rFonts w:ascii="Arial" w:hAnsi="Arial" w:cs="Arial"/>
          <w:highlight w:val="yellow"/>
        </w:rPr>
      </w:pPr>
    </w:p>
    <w:p w14:paraId="7905273A" w14:textId="77777777" w:rsidR="00FA5338" w:rsidRPr="007E447A" w:rsidRDefault="00FA5338"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7E447A">
        <w:rPr>
          <w:rFonts w:ascii="Arial" w:hAnsi="Arial" w:cs="Arial"/>
        </w:rPr>
        <w:lastRenderedPageBreak/>
        <w:t xml:space="preserve">Which cause of action requires that the debtor be proven to have intended to frustrate </w:t>
      </w:r>
      <w:r w:rsidRPr="00DC359F">
        <w:rPr>
          <w:rFonts w:ascii="Arial" w:hAnsi="Arial" w:cs="Arial"/>
        </w:rPr>
        <w:t>creditors’ recoveries?</w:t>
      </w:r>
    </w:p>
    <w:p w14:paraId="23824B28" w14:textId="77777777" w:rsidR="00DC359F" w:rsidRPr="00DC359F" w:rsidRDefault="00DC359F" w:rsidP="00DC359F">
      <w:pPr>
        <w:pStyle w:val="AODocTxt"/>
        <w:spacing w:before="0" w:line="240" w:lineRule="auto"/>
        <w:rPr>
          <w:rFonts w:ascii="Arial" w:hAnsi="Arial" w:cs="Arial"/>
        </w:rPr>
      </w:pPr>
    </w:p>
    <w:p w14:paraId="0BEB75B5" w14:textId="77777777" w:rsidR="00EF12CB" w:rsidRDefault="00EF12CB" w:rsidP="00EF12C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30F6636" w14:textId="77777777" w:rsidR="00EF12CB" w:rsidRDefault="00EF12CB" w:rsidP="00EF12CB">
      <w:pPr>
        <w:ind w:firstLine="426"/>
        <w:jc w:val="both"/>
        <w:rPr>
          <w:rFonts w:ascii="Arial" w:hAnsi="Arial" w:cs="Arial"/>
          <w:color w:val="7B7B7B" w:themeColor="accent3" w:themeShade="BF"/>
          <w:sz w:val="22"/>
          <w:szCs w:val="22"/>
          <w:lang w:val="en-GB"/>
        </w:rPr>
      </w:pPr>
    </w:p>
    <w:p w14:paraId="60D10E11" w14:textId="68FC468D" w:rsidR="00EF12CB" w:rsidRPr="00825E65" w:rsidRDefault="00EF12CB" w:rsidP="00825E65">
      <w:pPr>
        <w:pStyle w:val="AODocTxt"/>
        <w:spacing w:before="0" w:line="240" w:lineRule="auto"/>
        <w:ind w:leftChars="213" w:left="426"/>
        <w:rPr>
          <w:rFonts w:ascii="Arial" w:eastAsiaTheme="minorEastAsia" w:hAnsi="Arial" w:cs="Arial" w:hint="eastAsia"/>
          <w:lang w:eastAsia="zh-TW"/>
        </w:rPr>
      </w:pPr>
      <w:r w:rsidRPr="00825E65">
        <w:rPr>
          <w:rFonts w:ascii="Arial" w:eastAsiaTheme="minorEastAsia" w:hAnsi="Arial" w:cs="Arial"/>
          <w:lang w:eastAsia="zh-TW"/>
        </w:rPr>
        <w:t>An actual fraudulent conveyance</w:t>
      </w:r>
      <w:r w:rsidR="009F00DC" w:rsidRPr="00825E65">
        <w:rPr>
          <w:rFonts w:ascii="Arial" w:eastAsiaTheme="minorEastAsia" w:hAnsi="Arial" w:cs="Arial"/>
          <w:lang w:eastAsia="zh-TW"/>
        </w:rPr>
        <w:t xml:space="preserve"> is proven by showing that the debtor made a transfer or incurred an obligation with actual intent to hinder, delay or defraud the creditors.  The intent may be proven circumstantially by reference to badges of fraud developed in state fraudulent transfer law.</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664A133D" w:rsidR="005B2A9B" w:rsidRDefault="00B9214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2D0F6E8" w14:textId="659D03C3" w:rsidR="00B9214E" w:rsidRDefault="00B9214E" w:rsidP="005B2A9B">
      <w:pPr>
        <w:jc w:val="both"/>
        <w:rPr>
          <w:rFonts w:ascii="Arial" w:hAnsi="Arial" w:cs="Arial"/>
          <w:color w:val="7B7B7B" w:themeColor="accent3" w:themeShade="BF"/>
          <w:sz w:val="22"/>
          <w:szCs w:val="22"/>
          <w:lang w:val="en-GB"/>
        </w:rPr>
      </w:pPr>
    </w:p>
    <w:p w14:paraId="53A635BE" w14:textId="2BF85A67" w:rsidR="00B9214E" w:rsidRPr="00E93A36" w:rsidRDefault="00B9214E" w:rsidP="005B2A9B">
      <w:pPr>
        <w:jc w:val="both"/>
        <w:rPr>
          <w:rFonts w:ascii="Arial" w:eastAsiaTheme="minorEastAsia" w:hAnsi="Arial" w:cs="Arial"/>
          <w:sz w:val="22"/>
          <w:szCs w:val="22"/>
          <w:lang w:val="en-GB" w:eastAsia="zh-TW"/>
        </w:rPr>
      </w:pPr>
      <w:r w:rsidRPr="00E93A36">
        <w:rPr>
          <w:rFonts w:ascii="Arial" w:eastAsiaTheme="minorEastAsia" w:hAnsi="Arial" w:cs="Arial" w:hint="eastAsia"/>
          <w:sz w:val="22"/>
          <w:szCs w:val="22"/>
          <w:lang w:val="en-GB" w:eastAsia="zh-TW"/>
        </w:rPr>
        <w:t>I</w:t>
      </w:r>
      <w:r w:rsidRPr="00E93A36">
        <w:rPr>
          <w:rFonts w:ascii="Arial" w:eastAsiaTheme="minorEastAsia" w:hAnsi="Arial" w:cs="Arial"/>
          <w:sz w:val="22"/>
          <w:szCs w:val="22"/>
          <w:lang w:val="en-GB" w:eastAsia="zh-TW"/>
        </w:rPr>
        <w:t xml:space="preserve">n Stern v Marshall, the US Supreme Court ruled that, even in core proceedings, a bankruptcy court cannot issue final orders that invade Article III jurisdiction.  Although 28 USC </w:t>
      </w:r>
      <w:r w:rsidR="00F661C6" w:rsidRPr="00E93A36">
        <w:rPr>
          <w:rFonts w:ascii="Arial" w:eastAsiaTheme="minorEastAsia" w:hAnsi="Arial" w:cs="Arial" w:hint="eastAsia"/>
          <w:sz w:val="22"/>
          <w:szCs w:val="22"/>
          <w:lang w:val="en-GB" w:eastAsia="zh-TW"/>
        </w:rPr>
        <w:t>§</w:t>
      </w:r>
      <w:r w:rsidRPr="00E93A36">
        <w:rPr>
          <w:rFonts w:ascii="Arial" w:eastAsiaTheme="minorEastAsia" w:hAnsi="Arial" w:cs="Arial"/>
          <w:sz w:val="22"/>
          <w:szCs w:val="22"/>
          <w:lang w:val="en-GB" w:eastAsia="zh-TW"/>
        </w:rPr>
        <w:t xml:space="preserve">157 </w:t>
      </w:r>
      <w:r w:rsidR="00F661C6" w:rsidRPr="00E93A36">
        <w:rPr>
          <w:rFonts w:ascii="Arial" w:eastAsiaTheme="minorEastAsia" w:hAnsi="Arial" w:cs="Arial"/>
          <w:sz w:val="22"/>
          <w:szCs w:val="22"/>
          <w:lang w:val="en-GB" w:eastAsia="zh-TW"/>
        </w:rPr>
        <w:t xml:space="preserve">provides that a counterclaim is a core proceeding as to which a bankruptcy court can issue a final order, </w:t>
      </w:r>
      <w:r w:rsidR="00344BCC" w:rsidRPr="00E93A36">
        <w:rPr>
          <w:rFonts w:ascii="Arial" w:eastAsiaTheme="minorEastAsia" w:hAnsi="Arial" w:cs="Arial"/>
          <w:sz w:val="22"/>
          <w:szCs w:val="22"/>
          <w:lang w:val="en-GB" w:eastAsia="zh-TW"/>
        </w:rPr>
        <w:t>bankruptcy courts are not Article III courts and are not adjuncts to Article III courts, they cannot hear claims that must be adjudicated by Article III courts.  T</w:t>
      </w:r>
      <w:r w:rsidR="00F661C6" w:rsidRPr="00E93A36">
        <w:rPr>
          <w:rFonts w:ascii="Arial" w:eastAsiaTheme="minorEastAsia" w:hAnsi="Arial" w:cs="Arial"/>
          <w:sz w:val="22"/>
          <w:szCs w:val="22"/>
          <w:lang w:val="en-GB" w:eastAsia="zh-TW"/>
        </w:rPr>
        <w:t xml:space="preserve">he US Supreme Court </w:t>
      </w:r>
      <w:r w:rsidR="00344BCC" w:rsidRPr="00E93A36">
        <w:rPr>
          <w:rFonts w:ascii="Arial" w:eastAsiaTheme="minorEastAsia" w:hAnsi="Arial" w:cs="Arial"/>
          <w:sz w:val="22"/>
          <w:szCs w:val="22"/>
          <w:lang w:val="en-GB" w:eastAsia="zh-TW"/>
        </w:rPr>
        <w:t xml:space="preserve">therefore </w:t>
      </w:r>
      <w:r w:rsidR="00F661C6" w:rsidRPr="00E93A36">
        <w:rPr>
          <w:rFonts w:ascii="Arial" w:eastAsiaTheme="minorEastAsia" w:hAnsi="Arial" w:cs="Arial"/>
          <w:sz w:val="22"/>
          <w:szCs w:val="22"/>
          <w:lang w:val="en-GB" w:eastAsia="zh-TW"/>
        </w:rPr>
        <w:t xml:space="preserve">held that the bankruptcy court’s issuance of a final order over a state law claim was </w:t>
      </w:r>
      <w:r w:rsidR="00E93A36" w:rsidRPr="00E93A36">
        <w:rPr>
          <w:rFonts w:ascii="Arial" w:eastAsiaTheme="minorEastAsia" w:hAnsi="Arial" w:cs="Arial"/>
          <w:sz w:val="22"/>
          <w:szCs w:val="22"/>
          <w:lang w:val="en-GB" w:eastAsia="zh-TW"/>
        </w:rPr>
        <w:t>un</w:t>
      </w:r>
      <w:r w:rsidR="00F661C6" w:rsidRPr="00E93A36">
        <w:rPr>
          <w:rFonts w:ascii="Arial" w:eastAsiaTheme="minorEastAsia" w:hAnsi="Arial" w:cs="Arial"/>
          <w:sz w:val="22"/>
          <w:szCs w:val="22"/>
          <w:lang w:val="en-GB" w:eastAsia="zh-TW"/>
        </w:rPr>
        <w:t>constitutional under Article III</w:t>
      </w:r>
    </w:p>
    <w:p w14:paraId="160A9EFB" w14:textId="71B0F2F0" w:rsidR="00DC359F" w:rsidRPr="00E93A36" w:rsidRDefault="00DC359F" w:rsidP="00323167">
      <w:pPr>
        <w:pStyle w:val="AODocTxt"/>
        <w:spacing w:before="0" w:line="240" w:lineRule="auto"/>
        <w:rPr>
          <w:rFonts w:ascii="Arial" w:hAnsi="Arial" w:cs="Arial"/>
          <w:lang w:val="en-GB"/>
        </w:rPr>
      </w:pPr>
    </w:p>
    <w:p w14:paraId="2C64D301" w14:textId="094F7DCC" w:rsidR="00E93A36" w:rsidRPr="00E93A36" w:rsidRDefault="00E93A36" w:rsidP="00323167">
      <w:pPr>
        <w:pStyle w:val="AODocTxt"/>
        <w:spacing w:before="0" w:line="240" w:lineRule="auto"/>
        <w:rPr>
          <w:rFonts w:ascii="Arial" w:eastAsiaTheme="minorEastAsia" w:hAnsi="Arial" w:cs="Arial"/>
          <w:lang w:val="en-GB" w:eastAsia="zh-TW"/>
        </w:rPr>
      </w:pPr>
      <w:r w:rsidRPr="00E93A36">
        <w:rPr>
          <w:rFonts w:ascii="Arial" w:eastAsiaTheme="minorEastAsia" w:hAnsi="Arial" w:cs="Arial"/>
          <w:lang w:val="en-GB" w:eastAsia="zh-TW"/>
        </w:rPr>
        <w:t>After the rulings in Stern v Marshall, bankruptcy judges may determine a core proceeding over which they lack constitutional authority by issuing a report and recommendation for review by the district court</w:t>
      </w:r>
      <w:r>
        <w:rPr>
          <w:rFonts w:ascii="Arial" w:eastAsiaTheme="minorEastAsia" w:hAnsi="Arial" w:cs="Arial"/>
          <w:lang w:val="en-GB" w:eastAsia="zh-TW"/>
        </w:rPr>
        <w:t>, or may issue final orders with the consent of the parties.  The li</w:t>
      </w:r>
      <w:r w:rsidR="006E2E64">
        <w:rPr>
          <w:rFonts w:ascii="Arial" w:eastAsiaTheme="minorEastAsia" w:hAnsi="Arial" w:cs="Arial"/>
          <w:lang w:val="en-GB" w:eastAsia="zh-TW"/>
        </w:rPr>
        <w:t>tigants are required to state in their pleadings whether they consent to the entry of final orders or judgment by the bankruptcy court, and by permitting a district court that determines that a bankruptcy court did not have jurisdiction to enter a final order to treat that its order as proposed findings of fact and conclusions of law.</w:t>
      </w:r>
    </w:p>
    <w:p w14:paraId="143FCD41" w14:textId="77777777" w:rsidR="00E93A36" w:rsidRPr="00F661C6" w:rsidRDefault="00E93A36"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29547C">
        <w:rPr>
          <w:rFonts w:ascii="Arial" w:hAnsi="Arial" w:cs="Arial"/>
        </w:rPr>
        <w:t xml:space="preserve">What provisions of the Bankruptcy Code may not be invoked by a foreign representative in a </w:t>
      </w:r>
      <w:r w:rsidRPr="00323167">
        <w:rPr>
          <w:rFonts w:ascii="Arial" w:hAnsi="Arial" w:cs="Arial"/>
        </w:rPr>
        <w:t>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73D8B1A5" w14:textId="77777777" w:rsidR="007E447A" w:rsidRDefault="007E447A" w:rsidP="007E44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B23F0F7" w14:textId="77777777" w:rsidR="007E447A" w:rsidRDefault="007E447A" w:rsidP="007E447A">
      <w:pPr>
        <w:jc w:val="both"/>
        <w:rPr>
          <w:rFonts w:ascii="Arial" w:hAnsi="Arial" w:cs="Arial"/>
          <w:color w:val="7B7B7B" w:themeColor="accent3" w:themeShade="BF"/>
          <w:sz w:val="22"/>
          <w:szCs w:val="22"/>
          <w:lang w:val="en-GB"/>
        </w:rPr>
      </w:pPr>
    </w:p>
    <w:p w14:paraId="76D20C70" w14:textId="6C968DD9" w:rsidR="005B2A9B" w:rsidRDefault="00A309E4"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A</w:t>
      </w:r>
      <w:r>
        <w:rPr>
          <w:rFonts w:ascii="Arial" w:eastAsiaTheme="minorEastAsia" w:hAnsi="Arial" w:cs="Arial"/>
          <w:lang w:val="en-GB" w:eastAsia="zh-TW"/>
        </w:rPr>
        <w:t>utomatic stay of creditor’s action does not be invoked by filing of the petition under chapter 15.  The stay arises only upon the petition of recognition of a foreign main proceeding being granted and is limited to the property of the debtor within the territorial jurisdiction of the United States.</w:t>
      </w:r>
    </w:p>
    <w:p w14:paraId="66CCB9E9" w14:textId="5705180E" w:rsidR="00A309E4" w:rsidRDefault="00A309E4" w:rsidP="00323167">
      <w:pPr>
        <w:pStyle w:val="AODocTxt"/>
        <w:spacing w:before="0" w:line="240" w:lineRule="auto"/>
        <w:rPr>
          <w:rFonts w:ascii="Arial" w:eastAsiaTheme="minorEastAsia" w:hAnsi="Arial" w:cs="Arial"/>
          <w:lang w:val="en-GB" w:eastAsia="zh-TW"/>
        </w:rPr>
      </w:pPr>
    </w:p>
    <w:p w14:paraId="7978A6F3" w14:textId="08E87AC2" w:rsidR="00A309E4" w:rsidRDefault="00A309E4" w:rsidP="00323167">
      <w:pPr>
        <w:pStyle w:val="AODocTxt"/>
        <w:spacing w:before="0" w:line="240" w:lineRule="auto"/>
        <w:rPr>
          <w:rFonts w:ascii="Arial" w:eastAsiaTheme="minorEastAsia" w:hAnsi="Arial" w:cs="Arial" w:hint="eastAsia"/>
          <w:lang w:val="en-GB" w:eastAsia="zh-TW"/>
        </w:rPr>
      </w:pPr>
      <w:r>
        <w:rPr>
          <w:rFonts w:ascii="Arial" w:eastAsiaTheme="minorEastAsia" w:hAnsi="Arial" w:cs="Arial" w:hint="eastAsia"/>
          <w:lang w:val="en-GB" w:eastAsia="zh-TW"/>
        </w:rPr>
        <w:t>T</w:t>
      </w:r>
      <w:r>
        <w:rPr>
          <w:rFonts w:ascii="Arial" w:eastAsiaTheme="minorEastAsia" w:hAnsi="Arial" w:cs="Arial"/>
          <w:lang w:val="en-GB" w:eastAsia="zh-TW"/>
        </w:rPr>
        <w:t>he Bankruptcy Court may grant a stay or other assistance on an interim basis pending recognition or following recognition of a non-main proceeding.</w:t>
      </w:r>
    </w:p>
    <w:p w14:paraId="2445C992" w14:textId="2452BCBC" w:rsidR="007E447A" w:rsidRDefault="007E447A" w:rsidP="00323167">
      <w:pPr>
        <w:pStyle w:val="AODocTxt"/>
        <w:spacing w:before="0" w:line="240" w:lineRule="auto"/>
        <w:rPr>
          <w:rFonts w:ascii="Arial" w:eastAsiaTheme="minorEastAsia" w:hAnsi="Arial" w:cs="Arial"/>
          <w:lang w:val="en-GB" w:eastAsia="zh-TW"/>
        </w:rPr>
      </w:pPr>
    </w:p>
    <w:p w14:paraId="151F48D9" w14:textId="1B804377" w:rsidR="007E447A" w:rsidRDefault="00070E4D"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T</w:t>
      </w:r>
      <w:r>
        <w:rPr>
          <w:rFonts w:ascii="Arial" w:eastAsiaTheme="minorEastAsia" w:hAnsi="Arial" w:cs="Arial"/>
          <w:lang w:val="en-GB" w:eastAsia="zh-TW"/>
        </w:rPr>
        <w:t xml:space="preserve">he foreign representative must establish that a foreign court or administrative proceeding with respect to the debtor is pending and that the foreign representative is empowered to act </w:t>
      </w:r>
      <w:r>
        <w:rPr>
          <w:rFonts w:ascii="Arial" w:eastAsiaTheme="minorEastAsia" w:hAnsi="Arial" w:cs="Arial"/>
          <w:lang w:val="en-GB" w:eastAsia="zh-TW"/>
        </w:rPr>
        <w:lastRenderedPageBreak/>
        <w:t>by the proceeding.  The test applicable for determining whether interim relief is warranted depends on the likelihood of success on the merits, risk of irreparable harm, balancing of the equities, and the public interest.</w:t>
      </w:r>
    </w:p>
    <w:p w14:paraId="22A8E806" w14:textId="44DA0612" w:rsidR="00D32A6C" w:rsidRDefault="00D32A6C" w:rsidP="00323167">
      <w:pPr>
        <w:pStyle w:val="AODocTxt"/>
        <w:spacing w:before="0" w:line="240" w:lineRule="auto"/>
        <w:rPr>
          <w:rFonts w:ascii="Arial" w:eastAsiaTheme="minorEastAsia" w:hAnsi="Arial" w:cs="Arial"/>
          <w:lang w:val="en-GB" w:eastAsia="zh-TW"/>
        </w:rPr>
      </w:pPr>
    </w:p>
    <w:p w14:paraId="65596992" w14:textId="77777777" w:rsidR="0029547C" w:rsidRDefault="00D32A6C"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U</w:t>
      </w:r>
      <w:r>
        <w:rPr>
          <w:rFonts w:ascii="Arial" w:eastAsiaTheme="minorEastAsia" w:hAnsi="Arial" w:cs="Arial"/>
          <w:lang w:val="en-GB" w:eastAsia="zh-TW"/>
        </w:rPr>
        <w:t xml:space="preserve">pon the recognition of a foreign main proceeding, automatic stay is automatically applied to the debtor’s property within the territorial jurisdiction of the United States.  </w:t>
      </w:r>
    </w:p>
    <w:p w14:paraId="0F7BDA3C" w14:textId="77777777" w:rsidR="0029547C" w:rsidRDefault="0029547C" w:rsidP="00323167">
      <w:pPr>
        <w:pStyle w:val="AODocTxt"/>
        <w:spacing w:before="0" w:line="240" w:lineRule="auto"/>
        <w:rPr>
          <w:rFonts w:ascii="Arial" w:eastAsiaTheme="minorEastAsia" w:hAnsi="Arial" w:cs="Arial"/>
          <w:lang w:val="en-GB" w:eastAsia="zh-TW"/>
        </w:rPr>
      </w:pPr>
    </w:p>
    <w:p w14:paraId="7B27BCD9" w14:textId="3233FCF4" w:rsidR="00D32A6C" w:rsidRDefault="00D32A6C" w:rsidP="00323167">
      <w:pPr>
        <w:pStyle w:val="AODocTxt"/>
        <w:spacing w:before="0" w:line="240" w:lineRule="auto"/>
        <w:rPr>
          <w:rFonts w:ascii="Arial" w:eastAsiaTheme="minorEastAsia" w:hAnsi="Arial" w:cs="Arial" w:hint="eastAsia"/>
          <w:lang w:val="en-GB" w:eastAsia="zh-TW"/>
        </w:rPr>
      </w:pPr>
      <w:r>
        <w:rPr>
          <w:rFonts w:ascii="Arial" w:eastAsiaTheme="minorEastAsia" w:hAnsi="Arial" w:cs="Arial"/>
          <w:lang w:val="en-GB" w:eastAsia="zh-TW"/>
        </w:rPr>
        <w:t xml:space="preserve">If it is a foreign non-main proceeding, automatic stay may still be granted on a discretionary basis.  To </w:t>
      </w:r>
      <w:r w:rsidR="00D33682">
        <w:rPr>
          <w:rFonts w:ascii="Arial" w:eastAsiaTheme="minorEastAsia" w:hAnsi="Arial" w:cs="Arial"/>
          <w:lang w:val="en-GB" w:eastAsia="zh-TW"/>
        </w:rPr>
        <w:t>give such a discretion, the bankruptcy court must be satisfied that it is appropriate under US law for the assets concerned to be administered in the foreign non-main proceeding.  T</w:t>
      </w:r>
      <w:r w:rsidR="00D33682">
        <w:rPr>
          <w:rFonts w:ascii="Arial" w:eastAsiaTheme="minorEastAsia" w:hAnsi="Arial" w:cs="Arial" w:hint="eastAsia"/>
          <w:lang w:val="en-GB" w:eastAsia="zh-TW"/>
        </w:rPr>
        <w:t>h</w:t>
      </w:r>
      <w:r w:rsidR="00D33682">
        <w:rPr>
          <w:rFonts w:ascii="Arial" w:eastAsiaTheme="minorEastAsia" w:hAnsi="Arial" w:cs="Arial"/>
          <w:lang w:val="en-GB" w:eastAsia="zh-TW"/>
        </w:rPr>
        <w:t xml:space="preserve">e ability of the bankruptcy court to condition relief on sufficient protection of interest parties and </w:t>
      </w:r>
      <w:r w:rsidR="00063151">
        <w:rPr>
          <w:rFonts w:ascii="Arial" w:eastAsiaTheme="minorEastAsia" w:hAnsi="Arial" w:cs="Arial"/>
          <w:lang w:val="en-GB" w:eastAsia="zh-TW"/>
        </w:rPr>
        <w:t>to discontinue discretionarily granted relief on the application of an interested party makes recognition as a foreign non-main less protective than recognition as a foreign main proceeding.</w:t>
      </w:r>
    </w:p>
    <w:p w14:paraId="00FEF533" w14:textId="501151E2" w:rsidR="007E447A" w:rsidRDefault="007E447A" w:rsidP="00323167">
      <w:pPr>
        <w:pStyle w:val="AODocTxt"/>
        <w:spacing w:before="0" w:line="240" w:lineRule="auto"/>
        <w:rPr>
          <w:rFonts w:ascii="Arial" w:eastAsiaTheme="minorEastAsia" w:hAnsi="Arial" w:cs="Arial"/>
          <w:lang w:val="en-GB" w:eastAsia="zh-TW"/>
        </w:rPr>
      </w:pPr>
    </w:p>
    <w:p w14:paraId="437F3953" w14:textId="77777777" w:rsidR="007E447A" w:rsidRPr="00323167" w:rsidRDefault="007E447A" w:rsidP="00323167">
      <w:pPr>
        <w:pStyle w:val="AODocTxt"/>
        <w:spacing w:before="0" w:line="240" w:lineRule="auto"/>
        <w:rPr>
          <w:rFonts w:ascii="Arial" w:hAnsi="Arial" w:cs="Arial" w:hint="eastAsia"/>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02461D8" w14:textId="6C3A6A6C" w:rsidR="005627DC" w:rsidRPr="00FF5098" w:rsidRDefault="005627D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1EA3F29" w14:textId="1548617A" w:rsidR="00DC359F" w:rsidRDefault="00DC359F" w:rsidP="00323167">
      <w:pPr>
        <w:pStyle w:val="AODocTxt"/>
        <w:spacing w:before="0" w:line="240" w:lineRule="auto"/>
        <w:rPr>
          <w:rFonts w:ascii="Arial" w:hAnsi="Arial" w:cs="Arial"/>
        </w:rPr>
      </w:pPr>
    </w:p>
    <w:p w14:paraId="14D04922" w14:textId="27E44FF4" w:rsidR="005B2A9B" w:rsidRDefault="005627DC" w:rsidP="00323167">
      <w:pPr>
        <w:pStyle w:val="AODocTxt"/>
        <w:spacing w:before="0" w:line="240" w:lineRule="auto"/>
        <w:rPr>
          <w:rFonts w:ascii="Arial" w:eastAsiaTheme="minorEastAsia" w:hAnsi="Arial" w:cs="Arial"/>
          <w:lang w:eastAsia="zh-TW"/>
        </w:rPr>
      </w:pPr>
      <w:r>
        <w:rPr>
          <w:rFonts w:ascii="Arial" w:eastAsiaTheme="minorEastAsia" w:hAnsi="Arial" w:cs="Arial" w:hint="eastAsia"/>
          <w:lang w:eastAsia="zh-TW"/>
        </w:rPr>
        <w:t>In</w:t>
      </w:r>
      <w:r>
        <w:rPr>
          <w:rFonts w:ascii="Arial" w:eastAsiaTheme="minorEastAsia" w:hAnsi="Arial" w:cs="Arial"/>
          <w:lang w:eastAsia="zh-TW"/>
        </w:rPr>
        <w:t>terlocutory order resolves only some issues or claims and may be appealed only with leave of the appellate court.  While final order dispose of all issue, leaving nothing further to be decided.  Final order may be appealed as of right.</w:t>
      </w:r>
    </w:p>
    <w:p w14:paraId="7CDC09EC" w14:textId="20758B1D" w:rsidR="005627DC" w:rsidRDefault="005627DC" w:rsidP="00323167">
      <w:pPr>
        <w:pStyle w:val="AODocTxt"/>
        <w:spacing w:before="0" w:line="240" w:lineRule="auto"/>
        <w:rPr>
          <w:rFonts w:ascii="Arial" w:eastAsiaTheme="minorEastAsia" w:hAnsi="Arial" w:cs="Arial"/>
          <w:lang w:eastAsia="zh-TW"/>
        </w:rPr>
      </w:pPr>
    </w:p>
    <w:p w14:paraId="58668C0F" w14:textId="4BEFBAC5" w:rsidR="005627DC" w:rsidRPr="005627DC" w:rsidRDefault="00211D9D" w:rsidP="00323167">
      <w:pPr>
        <w:pStyle w:val="AODocTxt"/>
        <w:spacing w:before="0" w:line="240" w:lineRule="auto"/>
        <w:rPr>
          <w:rFonts w:ascii="Arial" w:eastAsiaTheme="minorEastAsia" w:hAnsi="Arial" w:cs="Arial"/>
          <w:lang w:eastAsia="zh-TW"/>
        </w:rPr>
      </w:pPr>
      <w:r>
        <w:rPr>
          <w:rFonts w:ascii="Arial" w:eastAsiaTheme="minorEastAsia" w:hAnsi="Arial" w:cs="Arial"/>
          <w:lang w:eastAsia="zh-TW"/>
        </w:rPr>
        <w:t>Appeals from bankruptcy court are generally heard by the district court for the district the bankruptcy court sit.  In the First, Sixth, Eighth, Ninth and Tenth Circuits, bankruptcy appeals are heard by a Bankruptcy Appellate Panel, convened from the judges of the bankruptcy courts within the circuit.</w:t>
      </w:r>
      <w:r w:rsidR="0081071C">
        <w:rPr>
          <w:rFonts w:ascii="Arial" w:eastAsiaTheme="minorEastAsia" w:hAnsi="Arial" w:cs="Arial"/>
          <w:lang w:eastAsia="zh-TW"/>
        </w:rPr>
        <w:t xml:space="preserve">  The appellant has the option to request the appeal be heard by the district court instead.  Further appeal of right to the circuit court o appeals is available. </w:t>
      </w:r>
    </w:p>
    <w:p w14:paraId="709EA080" w14:textId="10804F01" w:rsidR="005627DC" w:rsidRDefault="005627DC" w:rsidP="00323167">
      <w:pPr>
        <w:pStyle w:val="AODocTxt"/>
        <w:spacing w:before="0" w:line="240" w:lineRule="auto"/>
        <w:rPr>
          <w:rFonts w:ascii="Arial" w:hAnsi="Arial" w:cs="Arial"/>
        </w:rPr>
      </w:pPr>
    </w:p>
    <w:p w14:paraId="2563A09F" w14:textId="77777777" w:rsidR="005627DC" w:rsidRPr="00323167" w:rsidRDefault="005627DC"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0E7A97">
        <w:rPr>
          <w:rFonts w:ascii="Arial" w:hAnsi="Arial" w:cs="Arial"/>
        </w:rPr>
        <w:t xml:space="preserve">What fiduciary duties do directors of Delaware corporations owe and to whom are the duties </w:t>
      </w:r>
      <w:r w:rsidRPr="00323167">
        <w:rPr>
          <w:rFonts w:ascii="Arial" w:hAnsi="Arial" w:cs="Arial"/>
        </w:rPr>
        <w:t>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81196EA" w14:textId="77777777" w:rsidR="007E447A" w:rsidRDefault="007E447A" w:rsidP="007E44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5D75536" w14:textId="77777777" w:rsidR="007E447A" w:rsidRDefault="007E447A" w:rsidP="007E447A">
      <w:pPr>
        <w:jc w:val="both"/>
        <w:rPr>
          <w:rFonts w:ascii="Arial" w:hAnsi="Arial" w:cs="Arial"/>
          <w:color w:val="7B7B7B" w:themeColor="accent3" w:themeShade="BF"/>
          <w:sz w:val="22"/>
          <w:szCs w:val="22"/>
          <w:lang w:val="en-GB"/>
        </w:rPr>
      </w:pPr>
    </w:p>
    <w:p w14:paraId="3A97F4FE" w14:textId="4630002B" w:rsidR="002A0B3A" w:rsidRDefault="0097298B" w:rsidP="00323167">
      <w:pPr>
        <w:pStyle w:val="AODocTxt"/>
        <w:spacing w:before="0" w:line="240" w:lineRule="auto"/>
        <w:rPr>
          <w:rFonts w:ascii="Arial" w:eastAsiaTheme="minorEastAsia" w:hAnsi="Arial" w:cs="Arial" w:hint="eastAsia"/>
          <w:lang w:val="en-GB" w:eastAsia="zh-TW"/>
        </w:rPr>
      </w:pPr>
      <w:r>
        <w:rPr>
          <w:rFonts w:ascii="Arial" w:eastAsiaTheme="minorEastAsia" w:hAnsi="Arial" w:cs="Arial"/>
          <w:lang w:val="en-GB" w:eastAsia="zh-TW"/>
        </w:rPr>
        <w:t>Under to the law of Delaware, directors owe a fiduciary duty of loyalty to the corporation’s best interest and a duty of care in educated decision-making, but are protected from liability for errors of judgment by the business judgment rule.</w:t>
      </w:r>
      <w:r w:rsidR="002A0B3A">
        <w:rPr>
          <w:rFonts w:ascii="Arial" w:eastAsiaTheme="minorEastAsia" w:hAnsi="Arial" w:cs="Arial"/>
          <w:lang w:val="en-GB" w:eastAsia="zh-TW"/>
        </w:rPr>
        <w:t xml:space="preserve">  Under the business judgment rule, the board of directors</w:t>
      </w:r>
      <w:r w:rsidR="000E7A97">
        <w:rPr>
          <w:rFonts w:ascii="Arial" w:eastAsiaTheme="minorEastAsia" w:hAnsi="Arial" w:cs="Arial"/>
          <w:lang w:val="en-GB" w:eastAsia="zh-TW"/>
        </w:rPr>
        <w:t>, who owes the duties in the ordinary court of business,</w:t>
      </w:r>
      <w:r w:rsidR="002A0B3A">
        <w:rPr>
          <w:rFonts w:ascii="Arial" w:eastAsiaTheme="minorEastAsia" w:hAnsi="Arial" w:cs="Arial"/>
          <w:lang w:val="en-GB" w:eastAsia="zh-TW"/>
        </w:rPr>
        <w:t xml:space="preserve"> is presumed to have acted in good faith on the basis of reasonable information.  This presumption can be rebutted only by showing that a majority of the board in fact were not reasonably informed, did not honestly believe that their decision was in the corporation’s best interest, or were not acting in good faith.</w:t>
      </w:r>
      <w:r w:rsidR="000E7A97">
        <w:rPr>
          <w:rFonts w:ascii="Arial" w:eastAsiaTheme="minorEastAsia" w:hAnsi="Arial" w:cs="Arial"/>
          <w:lang w:val="en-GB" w:eastAsia="zh-TW"/>
        </w:rPr>
        <w:t xml:space="preserve">  Unless this presumption is rebutted, the directors will not be liable in the absence of a showing of gross negligence.</w:t>
      </w:r>
    </w:p>
    <w:p w14:paraId="075FB99E" w14:textId="7E608EE7" w:rsidR="0097298B" w:rsidRDefault="0097298B" w:rsidP="00323167">
      <w:pPr>
        <w:pStyle w:val="AODocTxt"/>
        <w:spacing w:before="0" w:line="240" w:lineRule="auto"/>
        <w:rPr>
          <w:rFonts w:ascii="Arial" w:eastAsiaTheme="minorEastAsia" w:hAnsi="Arial" w:cs="Arial" w:hint="eastAsia"/>
          <w:lang w:val="en-GB" w:eastAsia="zh-TW"/>
        </w:rPr>
      </w:pPr>
    </w:p>
    <w:p w14:paraId="6AA2A827" w14:textId="48784A48" w:rsidR="007E447A" w:rsidRDefault="0097298B" w:rsidP="00323167">
      <w:pPr>
        <w:pStyle w:val="AODocTxt"/>
        <w:spacing w:before="0" w:line="240" w:lineRule="auto"/>
        <w:rPr>
          <w:rFonts w:ascii="Arial" w:eastAsiaTheme="minorEastAsia" w:hAnsi="Arial" w:cs="Arial"/>
          <w:lang w:val="en-GB" w:eastAsia="zh-TW"/>
        </w:rPr>
      </w:pPr>
      <w:r>
        <w:rPr>
          <w:rFonts w:ascii="Arial" w:eastAsiaTheme="minorEastAsia" w:hAnsi="Arial" w:cs="Arial"/>
          <w:lang w:val="en-GB" w:eastAsia="zh-TW"/>
        </w:rPr>
        <w:t>D</w:t>
      </w:r>
      <w:r>
        <w:rPr>
          <w:rFonts w:ascii="Arial" w:eastAsiaTheme="minorEastAsia" w:hAnsi="Arial" w:cs="Arial" w:hint="eastAsia"/>
          <w:lang w:val="en-GB" w:eastAsia="zh-TW"/>
        </w:rPr>
        <w:t>i</w:t>
      </w:r>
      <w:r>
        <w:rPr>
          <w:rFonts w:ascii="Arial" w:eastAsiaTheme="minorEastAsia" w:hAnsi="Arial" w:cs="Arial"/>
          <w:lang w:val="en-GB" w:eastAsia="zh-TW"/>
        </w:rPr>
        <w:t>rector</w:t>
      </w:r>
      <w:r w:rsidR="004F478F">
        <w:rPr>
          <w:rFonts w:ascii="Arial" w:eastAsiaTheme="minorEastAsia" w:hAnsi="Arial" w:cs="Arial"/>
          <w:lang w:val="en-GB" w:eastAsia="zh-TW"/>
        </w:rPr>
        <w:t xml:space="preserve">s’ duties are owed to the corporation and its shareholders, but not to creditors, even when the corporation is potentially insolvent.  The Delaware Supreme Court has put to rest the suggestion that directors owe duties to creditors when a corporation is operating when it </w:t>
      </w:r>
      <w:r w:rsidR="004F478F">
        <w:rPr>
          <w:rFonts w:ascii="Arial" w:eastAsiaTheme="minorEastAsia" w:hAnsi="Arial" w:cs="Arial"/>
          <w:lang w:val="en-GB" w:eastAsia="zh-TW"/>
        </w:rPr>
        <w:lastRenderedPageBreak/>
        <w:t>is potentially or actually insolvent.  It is the creditors’ duty to protect their interest by bringing derivative claim on behalf of the insolvent corporation.</w:t>
      </w:r>
    </w:p>
    <w:p w14:paraId="6E245D3D" w14:textId="0419D863" w:rsidR="004F478F" w:rsidRDefault="004F478F" w:rsidP="00323167">
      <w:pPr>
        <w:pStyle w:val="AODocTxt"/>
        <w:spacing w:before="0" w:line="240" w:lineRule="auto"/>
        <w:rPr>
          <w:rFonts w:ascii="Arial" w:eastAsiaTheme="minorEastAsia" w:hAnsi="Arial" w:cs="Arial"/>
          <w:lang w:val="en-GB" w:eastAsia="zh-TW"/>
        </w:rPr>
      </w:pPr>
    </w:p>
    <w:p w14:paraId="6E8EFEBE" w14:textId="77777777" w:rsidR="004F478F" w:rsidRPr="00323167" w:rsidRDefault="004F478F" w:rsidP="00323167">
      <w:pPr>
        <w:pStyle w:val="AODocTxt"/>
        <w:spacing w:before="0" w:line="240" w:lineRule="auto"/>
        <w:rPr>
          <w:rFonts w:ascii="Arial" w:hAnsi="Arial" w:cs="Arial" w:hint="eastAsia"/>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F4312C">
        <w:rPr>
          <w:rFonts w:ascii="Arial" w:hAnsi="Arial" w:cs="Arial"/>
        </w:rPr>
        <w:t xml:space="preserve">Discuss whether the English scheme of arrangement could be granted recognition under US </w:t>
      </w:r>
      <w:r w:rsidRPr="00323167">
        <w:rPr>
          <w:rFonts w:ascii="Arial" w:hAnsi="Arial" w:cs="Arial"/>
        </w:rPr>
        <w:t xml:space="preserve">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239A4C9B" w14:textId="77777777" w:rsidR="007E447A" w:rsidRDefault="007E447A" w:rsidP="007E44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1799FE3" w14:textId="68854268" w:rsidR="007E447A" w:rsidRPr="00F14707" w:rsidRDefault="007E447A" w:rsidP="007E447A">
      <w:pPr>
        <w:jc w:val="both"/>
        <w:rPr>
          <w:rFonts w:ascii="Arial" w:eastAsiaTheme="minorEastAsia" w:hAnsi="Arial" w:cs="Arial" w:hint="eastAsia"/>
          <w:color w:val="7B7B7B" w:themeColor="accent3" w:themeShade="BF"/>
          <w:sz w:val="22"/>
          <w:szCs w:val="22"/>
          <w:lang w:val="en-GB" w:eastAsia="zh-TW"/>
        </w:rPr>
      </w:pPr>
    </w:p>
    <w:p w14:paraId="2AA1E732" w14:textId="77E97282" w:rsidR="005B2A9B" w:rsidRDefault="00F14707"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U</w:t>
      </w:r>
      <w:r>
        <w:rPr>
          <w:rFonts w:ascii="Arial" w:eastAsiaTheme="minorEastAsia" w:hAnsi="Arial" w:cs="Arial"/>
          <w:lang w:val="en-GB" w:eastAsia="zh-TW"/>
        </w:rPr>
        <w:t>nder chapter 15, the requirements of recognition are minimal.  The foreign representative must establish that a foreign court or administrative proceeding with respect to the debtor is pending and that the foreign representative is empowered to act by the proceeding.  A foreign proceeding is defined by the US Bankruptcy Code as “a collective judicial or administrative proceeding in a foreign country under a law relating to insolvency or adjustment of debt in which proceeding the assets and affairs of the debtor are subject to control or supervision by a foreign court, for the purpose of reorganisation or liquidation.  Under this definition, English scheme of arrangement could be granted recognition under</w:t>
      </w:r>
      <w:r w:rsidR="00E7307F">
        <w:rPr>
          <w:rFonts w:ascii="Arial" w:eastAsiaTheme="minorEastAsia" w:hAnsi="Arial" w:cs="Arial"/>
          <w:lang w:val="en-GB" w:eastAsia="zh-TW"/>
        </w:rPr>
        <w:t xml:space="preserve"> US chapter 15 unless it is manifestly contrary to US public policy, but this is not the case here.</w:t>
      </w:r>
    </w:p>
    <w:p w14:paraId="51DAD432" w14:textId="530B5C74" w:rsidR="00E7307F" w:rsidRDefault="00E7307F" w:rsidP="00323167">
      <w:pPr>
        <w:pStyle w:val="AODocTxt"/>
        <w:spacing w:before="0" w:line="240" w:lineRule="auto"/>
        <w:rPr>
          <w:rFonts w:ascii="Arial" w:eastAsiaTheme="minorEastAsia" w:hAnsi="Arial" w:cs="Arial"/>
          <w:lang w:val="en-GB" w:eastAsia="zh-TW"/>
        </w:rPr>
      </w:pPr>
    </w:p>
    <w:p w14:paraId="20F53AEA" w14:textId="71041C40" w:rsidR="00872A65" w:rsidRDefault="00E7307F" w:rsidP="00323167">
      <w:pPr>
        <w:pStyle w:val="AODocTxt"/>
        <w:spacing w:before="0" w:line="240" w:lineRule="auto"/>
        <w:rPr>
          <w:rFonts w:ascii="Arial" w:eastAsiaTheme="minorEastAsia" w:hAnsi="Arial" w:cs="Arial" w:hint="eastAsia"/>
          <w:lang w:val="en-GB" w:eastAsia="zh-TW"/>
        </w:rPr>
      </w:pPr>
      <w:r>
        <w:rPr>
          <w:rFonts w:ascii="Arial" w:eastAsiaTheme="minorEastAsia" w:hAnsi="Arial" w:cs="Arial" w:hint="eastAsia"/>
          <w:lang w:val="en-GB" w:eastAsia="zh-TW"/>
        </w:rPr>
        <w:t>A</w:t>
      </w:r>
      <w:r>
        <w:rPr>
          <w:rFonts w:ascii="Arial" w:eastAsiaTheme="minorEastAsia" w:hAnsi="Arial" w:cs="Arial"/>
          <w:lang w:val="en-GB" w:eastAsia="zh-TW"/>
        </w:rPr>
        <w:t>s to whether it is a foreign main or foreign non-main proceeding, it has to consider the centre of main interest of the Gambling Corporation</w:t>
      </w:r>
      <w:r w:rsidR="00872A65">
        <w:rPr>
          <w:rFonts w:ascii="Arial" w:eastAsiaTheme="minorEastAsia" w:hAnsi="Arial" w:cs="Arial"/>
          <w:lang w:val="en-GB" w:eastAsia="zh-TW"/>
        </w:rPr>
        <w:t>, including the location of headquarters, management, primary assets, majority of creditors that will be affected by the relief requested by the foreign representative and the jurisdiction whose law will apply to most dispute.  T</w:t>
      </w:r>
      <w:r w:rsidR="00872A65">
        <w:rPr>
          <w:rFonts w:ascii="Arial" w:eastAsiaTheme="minorEastAsia" w:hAnsi="Arial" w:cs="Arial" w:hint="eastAsia"/>
          <w:lang w:val="en-GB" w:eastAsia="zh-TW"/>
        </w:rPr>
        <w:t>y</w:t>
      </w:r>
      <w:r w:rsidR="00872A65">
        <w:rPr>
          <w:rFonts w:ascii="Arial" w:eastAsiaTheme="minorEastAsia" w:hAnsi="Arial" w:cs="Arial"/>
          <w:lang w:val="en-GB" w:eastAsia="zh-TW"/>
        </w:rPr>
        <w:t>pically, to the US</w:t>
      </w:r>
      <w:r w:rsidR="00872A65">
        <w:rPr>
          <w:rFonts w:ascii="Arial" w:eastAsiaTheme="minorEastAsia" w:hAnsi="Arial" w:cs="Arial" w:hint="eastAsia"/>
          <w:lang w:val="en-GB" w:eastAsia="zh-TW"/>
        </w:rPr>
        <w:t xml:space="preserve"> </w:t>
      </w:r>
      <w:r w:rsidR="00872A65">
        <w:rPr>
          <w:rFonts w:ascii="Arial" w:eastAsiaTheme="minorEastAsia" w:hAnsi="Arial" w:cs="Arial"/>
          <w:lang w:val="en-GB" w:eastAsia="zh-TW"/>
        </w:rPr>
        <w:t>law, it is</w:t>
      </w:r>
      <w:r w:rsidR="00CD19FA">
        <w:rPr>
          <w:rFonts w:ascii="Arial" w:eastAsiaTheme="minorEastAsia" w:hAnsi="Arial" w:cs="Arial"/>
          <w:lang w:val="en-GB" w:eastAsia="zh-TW"/>
        </w:rPr>
        <w:t xml:space="preserve"> presumed that</w:t>
      </w:r>
      <w:r w:rsidR="00872A65">
        <w:rPr>
          <w:rFonts w:ascii="Arial" w:eastAsiaTheme="minorEastAsia" w:hAnsi="Arial" w:cs="Arial"/>
          <w:lang w:val="en-GB" w:eastAsia="zh-TW"/>
        </w:rPr>
        <w:t xml:space="preserve"> the principal place of business and location of assets to determine jurisdiction and venue, but it is rebuttable.</w:t>
      </w:r>
    </w:p>
    <w:p w14:paraId="44E864FA" w14:textId="77777777" w:rsidR="00872A65" w:rsidRDefault="00872A65" w:rsidP="00323167">
      <w:pPr>
        <w:pStyle w:val="AODocTxt"/>
        <w:spacing w:before="0" w:line="240" w:lineRule="auto"/>
        <w:rPr>
          <w:rFonts w:ascii="Arial" w:eastAsiaTheme="minorEastAsia" w:hAnsi="Arial" w:cs="Arial"/>
          <w:lang w:val="en-GB" w:eastAsia="zh-TW"/>
        </w:rPr>
      </w:pPr>
    </w:p>
    <w:p w14:paraId="75E6A342" w14:textId="2EA2781C" w:rsidR="00E7307F" w:rsidRDefault="00E7307F" w:rsidP="00323167">
      <w:pPr>
        <w:pStyle w:val="AODocTxt"/>
        <w:spacing w:before="0" w:line="240" w:lineRule="auto"/>
        <w:rPr>
          <w:rFonts w:ascii="Arial" w:eastAsiaTheme="minorEastAsia" w:hAnsi="Arial" w:cs="Arial" w:hint="eastAsia"/>
          <w:lang w:val="en-GB" w:eastAsia="zh-TW"/>
        </w:rPr>
      </w:pPr>
      <w:r>
        <w:rPr>
          <w:rFonts w:ascii="Arial" w:eastAsiaTheme="minorEastAsia" w:hAnsi="Arial" w:cs="Arial"/>
          <w:lang w:val="en-GB" w:eastAsia="zh-TW"/>
        </w:rPr>
        <w:t xml:space="preserve">In this case, it is likely that </w:t>
      </w:r>
      <w:r w:rsidR="00CD19FA">
        <w:rPr>
          <w:rFonts w:ascii="Arial" w:eastAsiaTheme="minorEastAsia" w:hAnsi="Arial" w:cs="Arial"/>
          <w:lang w:val="en-GB" w:eastAsia="zh-TW"/>
        </w:rPr>
        <w:t xml:space="preserve">it is a foreign non-main proceeding as </w:t>
      </w:r>
      <w:r w:rsidR="00872A65">
        <w:rPr>
          <w:rFonts w:ascii="Arial" w:eastAsiaTheme="minorEastAsia" w:hAnsi="Arial" w:cs="Arial"/>
          <w:lang w:val="en-GB" w:eastAsia="zh-TW"/>
        </w:rPr>
        <w:t>centre of main interest of the Gambling Corporation is not in the US</w:t>
      </w:r>
      <w:r w:rsidR="00CD19FA">
        <w:rPr>
          <w:rFonts w:ascii="Arial" w:eastAsiaTheme="minorEastAsia" w:hAnsi="Arial" w:cs="Arial"/>
          <w:lang w:val="en-GB" w:eastAsia="zh-TW"/>
        </w:rPr>
        <w:t xml:space="preserve">. Because 1. the place of incorporation and principal place of business of the Gambling Corporation is in Greece; 2. </w:t>
      </w:r>
      <w:r w:rsidR="00F4312C">
        <w:rPr>
          <w:rFonts w:ascii="Arial" w:eastAsiaTheme="minorEastAsia" w:hAnsi="Arial" w:cs="Arial"/>
          <w:lang w:val="en-GB" w:eastAsia="zh-TW"/>
        </w:rPr>
        <w:t>It has assets in many international cities but not primary in the US; 3. the bonds are governed by English law, it is likely that the centre of main interest would be located in Greece or the UK.</w:t>
      </w:r>
    </w:p>
    <w:p w14:paraId="4AD04036" w14:textId="323C428B" w:rsidR="007E447A" w:rsidRDefault="007E447A" w:rsidP="00323167">
      <w:pPr>
        <w:pStyle w:val="AODocTxt"/>
        <w:spacing w:before="0" w:line="240" w:lineRule="auto"/>
        <w:rPr>
          <w:rFonts w:ascii="Arial" w:eastAsiaTheme="minorEastAsia" w:hAnsi="Arial" w:cs="Arial" w:hint="eastAsia"/>
          <w:lang w:val="en-GB" w:eastAsia="zh-TW"/>
        </w:rPr>
      </w:pPr>
    </w:p>
    <w:p w14:paraId="4CD189B0" w14:textId="77777777" w:rsidR="007E447A" w:rsidRPr="00323167" w:rsidRDefault="007E447A" w:rsidP="00323167">
      <w:pPr>
        <w:pStyle w:val="AODocTxt"/>
        <w:spacing w:before="0" w:line="240" w:lineRule="auto"/>
        <w:rPr>
          <w:rFonts w:ascii="Arial" w:hAnsi="Arial" w:cs="Arial" w:hint="eastAsia"/>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Pr="006A55AD"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 xml:space="preserve">Second, the US Department of Justice is investigating whether Oil Corp illegally purchased oil </w:t>
      </w:r>
      <w:r w:rsidRPr="006A55AD">
        <w:rPr>
          <w:rFonts w:ascii="Arial" w:hAnsi="Arial" w:cs="Arial"/>
        </w:rPr>
        <w:t>from countries subject to US sanctions.</w:t>
      </w:r>
      <w:r w:rsidR="00F92140" w:rsidRPr="006A55AD">
        <w:rPr>
          <w:rFonts w:ascii="Arial" w:hAnsi="Arial" w:cs="Arial"/>
        </w:rPr>
        <w:t xml:space="preserve"> </w:t>
      </w:r>
      <w:r w:rsidRPr="006A55AD">
        <w:rPr>
          <w:rFonts w:ascii="Arial" w:hAnsi="Arial" w:cs="Arial"/>
        </w:rPr>
        <w:t>Third, Oil Corp. has missed a payment on its secured loan from USA Bank, and USA Bank is threatening to foreclose on an Oil Corp refinery located in the Philippines.</w:t>
      </w:r>
      <w:r w:rsidR="00F92140" w:rsidRPr="006A55AD">
        <w:rPr>
          <w:rFonts w:ascii="Arial" w:hAnsi="Arial" w:cs="Arial"/>
        </w:rPr>
        <w:t xml:space="preserve"> </w:t>
      </w:r>
      <w:r w:rsidRPr="006A55AD">
        <w:rPr>
          <w:rFonts w:ascii="Arial" w:hAnsi="Arial" w:cs="Arial"/>
        </w:rPr>
        <w:t>Fourth, because of all these distractions, Oil Corp has forgotten to pay rent on its Houston, Texas office space and its landlord is threatening to evict it.</w:t>
      </w:r>
      <w:r w:rsidR="00F92140" w:rsidRPr="006A55AD">
        <w:rPr>
          <w:rFonts w:ascii="Arial" w:hAnsi="Arial" w:cs="Arial"/>
        </w:rPr>
        <w:t xml:space="preserve"> </w:t>
      </w:r>
      <w:r w:rsidRPr="006A55AD">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764091F" w14:textId="55BED54E" w:rsidR="007E447A" w:rsidRDefault="007E447A" w:rsidP="007E44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E3521B6" w14:textId="675B31EF" w:rsidR="003065F6" w:rsidRDefault="003065F6" w:rsidP="00323167">
      <w:pPr>
        <w:pStyle w:val="AODocTxt"/>
        <w:spacing w:before="0" w:line="240" w:lineRule="auto"/>
        <w:rPr>
          <w:rFonts w:ascii="Arial" w:eastAsiaTheme="minorEastAsia" w:hAnsi="Arial" w:cs="Arial"/>
          <w:lang w:val="en-GB" w:eastAsia="zh-TW"/>
        </w:rPr>
      </w:pPr>
    </w:p>
    <w:p w14:paraId="30979077" w14:textId="1FE1F517" w:rsidR="003065F6" w:rsidRDefault="003065F6" w:rsidP="00B734DF">
      <w:pPr>
        <w:pStyle w:val="AODocTxt"/>
        <w:numPr>
          <w:ilvl w:val="0"/>
          <w:numId w:val="15"/>
        </w:numPr>
        <w:spacing w:before="0" w:line="240" w:lineRule="auto"/>
        <w:rPr>
          <w:rFonts w:ascii="Arial" w:eastAsiaTheme="minorEastAsia" w:hAnsi="Arial" w:cs="Arial"/>
          <w:lang w:val="en-GB" w:eastAsia="zh-TW"/>
        </w:rPr>
      </w:pPr>
      <w:r>
        <w:rPr>
          <w:rFonts w:ascii="Arial" w:eastAsiaTheme="minorEastAsia" w:hAnsi="Arial" w:cs="Arial"/>
          <w:lang w:val="en-GB" w:eastAsia="zh-TW"/>
        </w:rPr>
        <w:t>ShipCo’s proceeding in Texas to claim damages in breach of contract by Oil Corp</w:t>
      </w:r>
    </w:p>
    <w:p w14:paraId="13AE46E2" w14:textId="1CCA3F3D" w:rsidR="00B734DF" w:rsidRDefault="00B734DF" w:rsidP="00B734DF">
      <w:pPr>
        <w:pStyle w:val="AODocTxt"/>
        <w:spacing w:before="0" w:line="240" w:lineRule="auto"/>
        <w:rPr>
          <w:rFonts w:ascii="Arial" w:eastAsiaTheme="minorEastAsia" w:hAnsi="Arial" w:cs="Arial"/>
          <w:lang w:val="en-GB" w:eastAsia="zh-TW"/>
        </w:rPr>
      </w:pPr>
    </w:p>
    <w:p w14:paraId="2A53F009" w14:textId="4E758F7F" w:rsidR="00C465DC" w:rsidRDefault="00B734DF" w:rsidP="00B734DF">
      <w:pPr>
        <w:pStyle w:val="AODocTxt"/>
        <w:spacing w:before="0" w:line="240" w:lineRule="auto"/>
        <w:rPr>
          <w:rFonts w:ascii="Arial" w:eastAsiaTheme="minorEastAsia" w:hAnsi="Arial" w:cs="Arial" w:hint="eastAsia"/>
          <w:lang w:val="en-GB" w:eastAsia="zh-TW"/>
        </w:rPr>
      </w:pPr>
      <w:r>
        <w:rPr>
          <w:rFonts w:ascii="Arial" w:eastAsiaTheme="minorEastAsia" w:hAnsi="Arial" w:cs="Arial" w:hint="eastAsia"/>
          <w:lang w:val="en-GB" w:eastAsia="zh-TW"/>
        </w:rPr>
        <w:t>B</w:t>
      </w:r>
      <w:r>
        <w:rPr>
          <w:rFonts w:ascii="Arial" w:eastAsiaTheme="minorEastAsia" w:hAnsi="Arial" w:cs="Arial"/>
          <w:lang w:val="en-GB" w:eastAsia="zh-TW"/>
        </w:rPr>
        <w:t>y filing a chapter 11 petition, Oil Corp is granted worldwide automatic stay</w:t>
      </w:r>
      <w:r>
        <w:rPr>
          <w:rFonts w:ascii="Arial" w:eastAsiaTheme="minorEastAsia" w:hAnsi="Arial" w:cs="Arial"/>
          <w:lang w:val="en-GB" w:eastAsia="zh-TW"/>
        </w:rPr>
        <w:t>.  The automatic stay will prohibit litigation on pre-petition claims.  ShipCo’s proceeding is therefore be staye</w:t>
      </w:r>
      <w:r w:rsidR="00DD7E19">
        <w:rPr>
          <w:rFonts w:ascii="Arial" w:eastAsiaTheme="minorEastAsia" w:hAnsi="Arial" w:cs="Arial"/>
          <w:lang w:val="en-GB" w:eastAsia="zh-TW"/>
        </w:rPr>
        <w:t>d</w:t>
      </w:r>
      <w:r w:rsidR="00C465DC">
        <w:rPr>
          <w:rFonts w:ascii="Arial" w:eastAsiaTheme="minorEastAsia" w:hAnsi="Arial" w:cs="Arial"/>
          <w:lang w:val="en-GB" w:eastAsia="zh-TW"/>
        </w:rPr>
        <w:t>.</w:t>
      </w:r>
    </w:p>
    <w:p w14:paraId="4479D8CD" w14:textId="77777777" w:rsidR="00DD7E19" w:rsidRPr="00B734DF" w:rsidRDefault="00DD7E19" w:rsidP="00B734DF">
      <w:pPr>
        <w:pStyle w:val="AODocTxt"/>
        <w:spacing w:before="0" w:line="240" w:lineRule="auto"/>
        <w:rPr>
          <w:rFonts w:ascii="Arial" w:eastAsiaTheme="minorEastAsia" w:hAnsi="Arial" w:cs="Arial" w:hint="eastAsia"/>
          <w:lang w:val="en-GB" w:eastAsia="zh-TW"/>
        </w:rPr>
      </w:pPr>
    </w:p>
    <w:p w14:paraId="08270FE4" w14:textId="2CD9716F" w:rsidR="007E447A" w:rsidRDefault="003065F6" w:rsidP="00DD7E19">
      <w:pPr>
        <w:pStyle w:val="AODocTxt"/>
        <w:numPr>
          <w:ilvl w:val="0"/>
          <w:numId w:val="15"/>
        </w:numPr>
        <w:spacing w:before="0" w:line="240" w:lineRule="auto"/>
        <w:rPr>
          <w:rFonts w:ascii="Arial" w:eastAsiaTheme="minorEastAsia" w:hAnsi="Arial" w:cs="Arial"/>
          <w:lang w:val="en-GB" w:eastAsia="zh-TW"/>
        </w:rPr>
      </w:pPr>
      <w:r>
        <w:rPr>
          <w:rFonts w:ascii="Arial" w:eastAsiaTheme="minorEastAsia" w:hAnsi="Arial" w:cs="Arial"/>
          <w:lang w:val="en-GB" w:eastAsia="zh-TW"/>
        </w:rPr>
        <w:t>US Department of Justice’s investigation of illegal act by Oil Corp</w:t>
      </w:r>
    </w:p>
    <w:p w14:paraId="173379EF" w14:textId="2CE17E3A" w:rsidR="00DD7E19" w:rsidRDefault="00DD7E19" w:rsidP="00DD7E19">
      <w:pPr>
        <w:pStyle w:val="AODocTxt"/>
        <w:spacing w:before="0" w:line="240" w:lineRule="auto"/>
        <w:rPr>
          <w:rFonts w:ascii="Arial" w:eastAsiaTheme="minorEastAsia" w:hAnsi="Arial" w:cs="Arial"/>
          <w:lang w:val="en-GB" w:eastAsia="zh-TW"/>
        </w:rPr>
      </w:pPr>
    </w:p>
    <w:p w14:paraId="61B434CF" w14:textId="7626ED96" w:rsidR="00DD7E19" w:rsidRDefault="00DD7E19" w:rsidP="00DD7E19">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A</w:t>
      </w:r>
      <w:r>
        <w:rPr>
          <w:rFonts w:ascii="Arial" w:eastAsiaTheme="minorEastAsia" w:hAnsi="Arial" w:cs="Arial"/>
          <w:lang w:val="en-GB" w:eastAsia="zh-TW"/>
        </w:rPr>
        <w:t xml:space="preserve">lthough the automatic stay </w:t>
      </w:r>
      <w:r w:rsidR="00C465DC">
        <w:rPr>
          <w:rFonts w:ascii="Arial" w:eastAsiaTheme="minorEastAsia" w:hAnsi="Arial" w:cs="Arial"/>
          <w:lang w:val="en-GB" w:eastAsia="zh-TW"/>
        </w:rPr>
        <w:t>is an injunction against creditor, it is subject to certain statutory exceptions, which include criminal proceedings and regulatory investigations</w:t>
      </w:r>
      <w:r w:rsidR="000E60B4">
        <w:rPr>
          <w:rFonts w:ascii="Arial" w:eastAsiaTheme="minorEastAsia" w:hAnsi="Arial" w:cs="Arial"/>
          <w:lang w:val="en-GB" w:eastAsia="zh-TW"/>
        </w:rPr>
        <w:t>.  Therefore, by filing a chapter 11 petition, Oil Corp will not be able to evade from the investigation of US Department of Justice.</w:t>
      </w:r>
    </w:p>
    <w:p w14:paraId="047DCC05" w14:textId="77777777" w:rsidR="00DD7E19" w:rsidRDefault="00DD7E19" w:rsidP="00DD7E19">
      <w:pPr>
        <w:pStyle w:val="AODocTxt"/>
        <w:spacing w:before="0" w:line="240" w:lineRule="auto"/>
        <w:rPr>
          <w:rFonts w:ascii="Arial" w:eastAsiaTheme="minorEastAsia" w:hAnsi="Arial" w:cs="Arial"/>
          <w:lang w:val="en-GB" w:eastAsia="zh-TW"/>
        </w:rPr>
      </w:pPr>
    </w:p>
    <w:p w14:paraId="21136958" w14:textId="03270C9E" w:rsidR="003065F6" w:rsidRDefault="003065F6" w:rsidP="000E60B4">
      <w:pPr>
        <w:pStyle w:val="AODocTxt"/>
        <w:numPr>
          <w:ilvl w:val="0"/>
          <w:numId w:val="15"/>
        </w:numPr>
        <w:spacing w:before="0" w:line="240" w:lineRule="auto"/>
        <w:rPr>
          <w:rFonts w:ascii="Arial" w:eastAsiaTheme="minorEastAsia" w:hAnsi="Arial" w:cs="Arial"/>
          <w:lang w:val="en-GB" w:eastAsia="zh-TW"/>
        </w:rPr>
      </w:pPr>
      <w:r>
        <w:rPr>
          <w:rFonts w:ascii="Arial" w:eastAsiaTheme="minorEastAsia" w:hAnsi="Arial" w:cs="Arial"/>
          <w:lang w:val="en-GB" w:eastAsia="zh-TW"/>
        </w:rPr>
        <w:t>Threat from USA Bank to foreclose refinery of Oil Corp located in the Philippines</w:t>
      </w:r>
    </w:p>
    <w:p w14:paraId="4A99A3A0" w14:textId="0C1BB490" w:rsidR="000E60B4" w:rsidRDefault="000E60B4" w:rsidP="000E60B4">
      <w:pPr>
        <w:pStyle w:val="AODocTxt"/>
        <w:spacing w:before="0" w:line="240" w:lineRule="auto"/>
        <w:rPr>
          <w:rFonts w:ascii="Arial" w:eastAsiaTheme="minorEastAsia" w:hAnsi="Arial" w:cs="Arial"/>
          <w:lang w:val="en-GB" w:eastAsia="zh-TW"/>
        </w:rPr>
      </w:pPr>
    </w:p>
    <w:p w14:paraId="59657575" w14:textId="7D91B88C" w:rsidR="004807A3" w:rsidRDefault="001C50FA" w:rsidP="000E60B4">
      <w:pPr>
        <w:pStyle w:val="AODocTxt"/>
        <w:spacing w:before="0" w:line="240" w:lineRule="auto"/>
        <w:rPr>
          <w:rFonts w:ascii="Arial" w:eastAsiaTheme="minorEastAsia" w:hAnsi="Arial" w:cs="Arial" w:hint="eastAsia"/>
          <w:lang w:val="en-GB" w:eastAsia="zh-TW"/>
        </w:rPr>
      </w:pPr>
      <w:r>
        <w:rPr>
          <w:rFonts w:ascii="Arial" w:eastAsiaTheme="minorEastAsia" w:hAnsi="Arial" w:cs="Arial"/>
          <w:lang w:val="en-GB" w:eastAsia="zh-TW"/>
        </w:rPr>
        <w:t>By filing a chapter 11 petition, an act to obtain possession or control of the property of the debtor and perfection or enforcement of a lien against the property of the debtor is prohibited.  USA Bank therefore is not allowed to foreclose the refinery of Oil Corp located in the Philippines</w:t>
      </w:r>
      <w:r w:rsidR="004807A3">
        <w:rPr>
          <w:rFonts w:ascii="Arial" w:eastAsiaTheme="minorEastAsia" w:hAnsi="Arial" w:cs="Arial"/>
          <w:lang w:val="en-GB" w:eastAsia="zh-TW"/>
        </w:rPr>
        <w:t xml:space="preserve"> since the US automatic stay is with a worldwide effect.  Unless the Court considers that Oil Corp is attempting to delay, hinder or defraud creditors by transferring the properties without the consent of USA Bank or Court’s approval</w:t>
      </w:r>
      <w:r w:rsidR="005F3E27">
        <w:rPr>
          <w:rFonts w:ascii="Arial" w:eastAsiaTheme="minorEastAsia" w:hAnsi="Arial" w:cs="Arial"/>
          <w:lang w:val="en-GB" w:eastAsia="zh-TW"/>
        </w:rPr>
        <w:t xml:space="preserve">, </w:t>
      </w:r>
      <w:r w:rsidR="004807A3">
        <w:rPr>
          <w:rFonts w:ascii="Arial" w:eastAsiaTheme="minorEastAsia" w:hAnsi="Arial" w:cs="Arial"/>
          <w:lang w:val="en-GB" w:eastAsia="zh-TW"/>
        </w:rPr>
        <w:t>the automatic stay will not be lifted.</w:t>
      </w:r>
    </w:p>
    <w:p w14:paraId="004241CB" w14:textId="77777777" w:rsidR="000E60B4" w:rsidRDefault="000E60B4" w:rsidP="000E60B4">
      <w:pPr>
        <w:pStyle w:val="AODocTxt"/>
        <w:spacing w:before="0" w:line="240" w:lineRule="auto"/>
        <w:rPr>
          <w:rFonts w:ascii="Arial" w:eastAsiaTheme="minorEastAsia" w:hAnsi="Arial" w:cs="Arial" w:hint="eastAsia"/>
          <w:lang w:val="en-GB" w:eastAsia="zh-TW"/>
        </w:rPr>
      </w:pPr>
    </w:p>
    <w:p w14:paraId="63F23DD5" w14:textId="3439A316" w:rsidR="003065F6" w:rsidRDefault="003065F6"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4</w:t>
      </w:r>
      <w:r>
        <w:rPr>
          <w:rFonts w:ascii="Arial" w:eastAsiaTheme="minorEastAsia" w:hAnsi="Arial" w:cs="Arial"/>
          <w:lang w:val="en-GB" w:eastAsia="zh-TW"/>
        </w:rPr>
        <w:t>. Threat from landlord to evict Oil Corp from Houston and Texas office</w:t>
      </w:r>
    </w:p>
    <w:p w14:paraId="308F2DFE" w14:textId="56CE3FBE" w:rsidR="003065F6" w:rsidRDefault="006A55AD" w:rsidP="00323167">
      <w:pPr>
        <w:pStyle w:val="AODocTxt"/>
        <w:spacing w:before="0" w:line="240" w:lineRule="auto"/>
        <w:rPr>
          <w:rFonts w:ascii="Arial" w:eastAsiaTheme="minorEastAsia" w:hAnsi="Arial" w:cs="Arial"/>
          <w:lang w:val="en-GB" w:eastAsia="zh-TW"/>
        </w:rPr>
      </w:pPr>
      <w:r>
        <w:rPr>
          <w:rFonts w:ascii="Arial" w:eastAsiaTheme="minorEastAsia" w:hAnsi="Arial" w:cs="Arial" w:hint="eastAsia"/>
          <w:lang w:val="en-GB" w:eastAsia="zh-TW"/>
        </w:rPr>
        <w:t>B</w:t>
      </w:r>
      <w:r>
        <w:rPr>
          <w:rFonts w:ascii="Arial" w:eastAsiaTheme="minorEastAsia" w:hAnsi="Arial" w:cs="Arial"/>
          <w:lang w:val="en-GB" w:eastAsia="zh-TW"/>
        </w:rPr>
        <w:t>y filing a chapter 11 petition, the landlord cannot initiate a proceeding or take enforcement to evict Oil Corp from Houston and Texas office.  However, there is an exception to allow eviction of a debtor-tenant from non-residential property where the lease has expired.  If the lease of Houston and Texas office has expired, the landlord is able to evict Oil Corp accordingly.</w:t>
      </w:r>
    </w:p>
    <w:p w14:paraId="59AE24AB" w14:textId="77777777" w:rsidR="004807A3" w:rsidRPr="003065F6" w:rsidRDefault="004807A3" w:rsidP="00323167">
      <w:pPr>
        <w:pStyle w:val="AODocTxt"/>
        <w:spacing w:before="0" w:line="240" w:lineRule="auto"/>
        <w:rPr>
          <w:rFonts w:ascii="Arial" w:eastAsiaTheme="minorEastAsia" w:hAnsi="Arial" w:cs="Arial" w:hint="eastAsia"/>
          <w:lang w:val="en-GB" w:eastAsia="zh-TW"/>
        </w:rPr>
      </w:pPr>
    </w:p>
    <w:p w14:paraId="5F0A40E9" w14:textId="77777777" w:rsidR="007E447A" w:rsidRPr="00323167" w:rsidRDefault="007E447A" w:rsidP="00323167">
      <w:pPr>
        <w:pStyle w:val="AODocTxt"/>
        <w:spacing w:before="0" w:line="240" w:lineRule="auto"/>
        <w:rPr>
          <w:rFonts w:ascii="Arial" w:hAnsi="Arial" w:cs="Arial" w:hint="eastAsia"/>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Pr="00FA5338" w:rsidRDefault="00323167" w:rsidP="00323167">
      <w:pPr>
        <w:pStyle w:val="AODocTxt"/>
        <w:spacing w:before="0" w:line="240" w:lineRule="auto"/>
        <w:rPr>
          <w:rFonts w:ascii="Arial" w:hAnsi="Arial" w:cs="Arial"/>
        </w:rPr>
      </w:pPr>
      <w:r w:rsidRPr="00323167">
        <w:rPr>
          <w:rFonts w:ascii="Arial" w:hAnsi="Arial" w:cs="Arial"/>
        </w:rPr>
        <w:t xml:space="preserve">Oil Corp thinks it will get the highest return for the plastics manufacturing business if it can (i) </w:t>
      </w:r>
      <w:r w:rsidRPr="00FA5338">
        <w:rPr>
          <w:rFonts w:ascii="Arial" w:hAnsi="Arial" w:cs="Arial"/>
        </w:rPr>
        <w:t>assume and assign the trademark license; (ii) reject the patent licenses so the purchaser has the exclusive right to use the patents; and (iii) sell the manufacturing facility free and clear of the USA Bank lien.</w:t>
      </w:r>
      <w:r w:rsidR="00F92140" w:rsidRPr="00FA5338">
        <w:rPr>
          <w:rFonts w:ascii="Arial" w:hAnsi="Arial" w:cs="Arial"/>
        </w:rPr>
        <w:t xml:space="preserve"> </w:t>
      </w:r>
      <w:r w:rsidRPr="00FA5338">
        <w:rPr>
          <w:rFonts w:ascii="Arial" w:hAnsi="Arial" w:cs="Arial"/>
        </w:rPr>
        <w:t>Can Oil Corp achieve each of these goals without the consent of Plastic Corp and USA Bank? Why or why not?</w:t>
      </w:r>
    </w:p>
    <w:p w14:paraId="5236B363" w14:textId="178CAE91" w:rsidR="003B7184" w:rsidRPr="00FA5338" w:rsidRDefault="003B7184" w:rsidP="00323167">
      <w:pPr>
        <w:pStyle w:val="AODocTxt"/>
        <w:spacing w:before="0" w:line="240" w:lineRule="auto"/>
        <w:rPr>
          <w:rFonts w:ascii="Arial" w:hAnsi="Arial" w:cs="Arial"/>
        </w:rPr>
      </w:pPr>
    </w:p>
    <w:p w14:paraId="27690F33" w14:textId="77777777" w:rsidR="007E447A" w:rsidRDefault="007E447A" w:rsidP="007E447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478E83B" w14:textId="77777777" w:rsidR="007E447A" w:rsidRDefault="007E447A" w:rsidP="007E447A">
      <w:pPr>
        <w:jc w:val="both"/>
        <w:rPr>
          <w:rFonts w:ascii="Arial" w:hAnsi="Arial" w:cs="Arial"/>
          <w:color w:val="7B7B7B" w:themeColor="accent3" w:themeShade="BF"/>
          <w:sz w:val="22"/>
          <w:szCs w:val="22"/>
          <w:lang w:val="en-GB"/>
        </w:rPr>
      </w:pPr>
    </w:p>
    <w:p w14:paraId="0B4C8718" w14:textId="1EC59FF2" w:rsidR="005B2A9B" w:rsidRDefault="00FF2E10" w:rsidP="00FF2E10">
      <w:pPr>
        <w:pStyle w:val="a3"/>
        <w:numPr>
          <w:ilvl w:val="0"/>
          <w:numId w:val="16"/>
        </w:num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Assume and assign the trademark license</w:t>
      </w:r>
    </w:p>
    <w:p w14:paraId="1E95CBB3" w14:textId="6007956F" w:rsidR="003379A0" w:rsidRPr="00FA5338" w:rsidRDefault="00FA5338" w:rsidP="00FA5338">
      <w:pPr>
        <w:pStyle w:val="a3"/>
        <w:autoSpaceDE w:val="0"/>
        <w:autoSpaceDN w:val="0"/>
        <w:adjustRightInd w:val="0"/>
        <w:ind w:left="36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Oil Corp can assume and assign the trademark to a transferee.  The transferee must give adequate assurance of future performance.  </w:t>
      </w:r>
      <w:r w:rsidR="00ED3704" w:rsidRPr="00FA5338">
        <w:rPr>
          <w:rFonts w:ascii="Arial" w:eastAsiaTheme="minorEastAsia" w:hAnsi="Arial" w:cs="Arial" w:hint="eastAsia"/>
          <w:sz w:val="22"/>
          <w:szCs w:val="22"/>
          <w:lang w:val="en-GB" w:eastAsia="zh-TW"/>
        </w:rPr>
        <w:t>C</w:t>
      </w:r>
      <w:r w:rsidR="00ED3704" w:rsidRPr="00FA5338">
        <w:rPr>
          <w:rFonts w:ascii="Arial" w:eastAsiaTheme="minorEastAsia" w:hAnsi="Arial" w:cs="Arial"/>
          <w:sz w:val="22"/>
          <w:szCs w:val="22"/>
          <w:lang w:val="en-GB" w:eastAsia="zh-TW"/>
        </w:rPr>
        <w:t xml:space="preserve">onsent of Plastic Corp is only required when the contract is one to make a loan or other financial accommodation, or where substantive non-bankruptcy law provides that Plastic Corp cannot be compelled to accept performance </w:t>
      </w:r>
      <w:r w:rsidRPr="00FA5338">
        <w:rPr>
          <w:rFonts w:ascii="Arial" w:eastAsiaTheme="minorEastAsia" w:hAnsi="Arial" w:cs="Arial"/>
          <w:sz w:val="22"/>
          <w:szCs w:val="22"/>
          <w:lang w:val="en-GB" w:eastAsia="zh-TW"/>
        </w:rPr>
        <w:t>from the transferee.</w:t>
      </w:r>
    </w:p>
    <w:p w14:paraId="220E0F59" w14:textId="42AA95B5" w:rsidR="00FF2E10" w:rsidRDefault="00FF2E10" w:rsidP="00FF2E10">
      <w:pPr>
        <w:autoSpaceDE w:val="0"/>
        <w:autoSpaceDN w:val="0"/>
        <w:adjustRightInd w:val="0"/>
        <w:jc w:val="both"/>
        <w:rPr>
          <w:rFonts w:ascii="Arial" w:eastAsiaTheme="minorEastAsia" w:hAnsi="Arial" w:cs="Arial"/>
          <w:sz w:val="22"/>
          <w:szCs w:val="22"/>
          <w:lang w:val="en-GB" w:eastAsia="zh-TW"/>
        </w:rPr>
      </w:pPr>
    </w:p>
    <w:p w14:paraId="6C66441A" w14:textId="0AB46AA2" w:rsidR="00FF2E10" w:rsidRDefault="00FF2E10" w:rsidP="00FF2E10">
      <w:pPr>
        <w:pStyle w:val="a3"/>
        <w:numPr>
          <w:ilvl w:val="0"/>
          <w:numId w:val="16"/>
        </w:num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lastRenderedPageBreak/>
        <w:t>Reject the patent licenses so the purchaser has the exclusive right to use the patents</w:t>
      </w:r>
    </w:p>
    <w:p w14:paraId="229F0A6F" w14:textId="51680647" w:rsidR="00FF2E10" w:rsidRDefault="00FF2E10" w:rsidP="003379A0">
      <w:pPr>
        <w:ind w:left="36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Under </w:t>
      </w:r>
      <w:r w:rsidR="003379A0" w:rsidRPr="00E93A36">
        <w:rPr>
          <w:rFonts w:ascii="Arial" w:eastAsiaTheme="minorEastAsia" w:hAnsi="Arial" w:cs="Arial" w:hint="eastAsia"/>
          <w:sz w:val="22"/>
          <w:szCs w:val="22"/>
          <w:lang w:val="en-GB" w:eastAsia="zh-TW"/>
        </w:rPr>
        <w:t>§</w:t>
      </w:r>
      <w:r>
        <w:rPr>
          <w:rFonts w:ascii="Arial" w:eastAsiaTheme="minorEastAsia" w:hAnsi="Arial" w:cs="Arial"/>
          <w:sz w:val="22"/>
          <w:szCs w:val="22"/>
          <w:lang w:val="en-GB" w:eastAsia="zh-TW"/>
        </w:rPr>
        <w:t>365(n), licensees of the patents owned by</w:t>
      </w:r>
      <w:r w:rsidR="003379A0">
        <w:rPr>
          <w:rFonts w:ascii="Arial" w:eastAsiaTheme="minorEastAsia" w:hAnsi="Arial" w:cs="Arial"/>
          <w:sz w:val="22"/>
          <w:szCs w:val="22"/>
          <w:lang w:val="en-GB" w:eastAsia="zh-TW"/>
        </w:rPr>
        <w:t xml:space="preserve"> the debtor</w:t>
      </w:r>
      <w:r>
        <w:rPr>
          <w:rFonts w:ascii="Arial" w:eastAsiaTheme="minorEastAsia" w:hAnsi="Arial" w:cs="Arial"/>
          <w:sz w:val="22"/>
          <w:szCs w:val="22"/>
          <w:lang w:val="en-GB" w:eastAsia="zh-TW"/>
        </w:rPr>
        <w:t xml:space="preserve"> are protected such that their licenses may not be terminated in connection with the sale of the patent without their consent.</w:t>
      </w:r>
      <w:r w:rsidR="003379A0">
        <w:rPr>
          <w:rFonts w:ascii="Arial" w:eastAsiaTheme="minorEastAsia" w:hAnsi="Arial" w:cs="Arial"/>
          <w:sz w:val="22"/>
          <w:szCs w:val="22"/>
          <w:lang w:val="en-GB" w:eastAsia="zh-TW"/>
        </w:rPr>
        <w:t xml:space="preserve">  Therefore, Oil Corp is unable to reject the patent licenses to Plastic Corp to make an exclusive right to use the patents by the new purchaser without the consent of Plastic Corp.</w:t>
      </w:r>
    </w:p>
    <w:p w14:paraId="59DEF2FA" w14:textId="77777777" w:rsidR="00FF2E10" w:rsidRPr="00FF2E10" w:rsidRDefault="00FF2E10" w:rsidP="00FF2E10">
      <w:pPr>
        <w:rPr>
          <w:rFonts w:ascii="Arial" w:eastAsiaTheme="minorEastAsia" w:hAnsi="Arial" w:cs="Arial" w:hint="eastAsia"/>
          <w:sz w:val="22"/>
          <w:szCs w:val="22"/>
          <w:lang w:val="en-GB" w:eastAsia="zh-TW"/>
        </w:rPr>
      </w:pPr>
    </w:p>
    <w:p w14:paraId="466B6F71" w14:textId="3B9C956B" w:rsidR="00FF2E10" w:rsidRPr="00FF2E10" w:rsidRDefault="00FF2E10" w:rsidP="00FF2E10">
      <w:pPr>
        <w:pStyle w:val="a3"/>
        <w:numPr>
          <w:ilvl w:val="0"/>
          <w:numId w:val="16"/>
        </w:num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Sell the manufacturing facility free and clear of the USA Bank lien</w:t>
      </w:r>
    </w:p>
    <w:p w14:paraId="70873953" w14:textId="13C35E3A" w:rsidR="00196590" w:rsidRPr="00D93742" w:rsidRDefault="00D93742" w:rsidP="00D93742">
      <w:pPr>
        <w:pStyle w:val="a3"/>
        <w:ind w:left="36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elling the main manufacturing facility in Dallas is a non-ordinary course transaction.  </w:t>
      </w:r>
      <w:r w:rsidR="000F7DDA" w:rsidRPr="00D93742">
        <w:rPr>
          <w:rFonts w:ascii="Arial" w:eastAsiaTheme="minorEastAsia" w:hAnsi="Arial" w:cs="Arial"/>
          <w:sz w:val="22"/>
          <w:szCs w:val="22"/>
          <w:lang w:val="en-GB" w:eastAsia="zh-TW"/>
        </w:rPr>
        <w:t>Oil Corp can sell its property free and clear of creditor interests with court approval in a 363 sale.</w:t>
      </w:r>
      <w:r w:rsidR="001D287B" w:rsidRPr="00D93742">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However, as that facility was granted a lien to USA Bank, the Oil Corp cannot sell the secured facility without USA Bank consent pursuant to </w:t>
      </w:r>
      <w:r w:rsidR="00ED3704" w:rsidRPr="00E93A36">
        <w:rPr>
          <w:rFonts w:ascii="Arial" w:eastAsiaTheme="minorEastAsia" w:hAnsi="Arial" w:cs="Arial" w:hint="eastAsia"/>
          <w:sz w:val="22"/>
          <w:szCs w:val="22"/>
          <w:lang w:val="en-GB" w:eastAsia="zh-TW"/>
        </w:rPr>
        <w:t>§</w:t>
      </w:r>
      <w:r w:rsidR="00ED3704">
        <w:rPr>
          <w:rFonts w:ascii="Arial" w:eastAsiaTheme="minorEastAsia" w:hAnsi="Arial" w:cs="Arial" w:hint="eastAsia"/>
          <w:sz w:val="22"/>
          <w:szCs w:val="22"/>
          <w:lang w:val="en-GB" w:eastAsia="zh-TW"/>
        </w:rPr>
        <w:t>3</w:t>
      </w:r>
      <w:r w:rsidR="00ED3704">
        <w:rPr>
          <w:rFonts w:ascii="Arial" w:eastAsiaTheme="minorEastAsia" w:hAnsi="Arial" w:cs="Arial"/>
          <w:sz w:val="22"/>
          <w:szCs w:val="22"/>
          <w:lang w:val="en-GB" w:eastAsia="zh-TW"/>
        </w:rPr>
        <w:t>63(f).</w:t>
      </w:r>
    </w:p>
    <w:p w14:paraId="2F3729B3" w14:textId="72478B6C" w:rsidR="007E447A" w:rsidRPr="001D287B" w:rsidRDefault="007E447A" w:rsidP="00323167">
      <w:pPr>
        <w:autoSpaceDE w:val="0"/>
        <w:autoSpaceDN w:val="0"/>
        <w:adjustRightInd w:val="0"/>
        <w:jc w:val="both"/>
        <w:rPr>
          <w:rFonts w:ascii="Arial" w:eastAsiaTheme="minorEastAsia" w:hAnsi="Arial" w:cs="Arial"/>
          <w:sz w:val="22"/>
          <w:szCs w:val="22"/>
          <w:lang w:val="en-GB" w:eastAsia="zh-TW"/>
        </w:rPr>
      </w:pPr>
    </w:p>
    <w:p w14:paraId="3DBC99F2" w14:textId="77777777" w:rsidR="007E447A" w:rsidRPr="00323167" w:rsidRDefault="007E447A" w:rsidP="00323167">
      <w:pPr>
        <w:autoSpaceDE w:val="0"/>
        <w:autoSpaceDN w:val="0"/>
        <w:adjustRightInd w:val="0"/>
        <w:jc w:val="both"/>
        <w:rPr>
          <w:rFonts w:ascii="Arial" w:hAnsi="Arial" w:cs="Arial" w:hint="eastAsia"/>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99C2" w14:textId="77777777" w:rsidR="00B11D95" w:rsidRDefault="00B11D95" w:rsidP="00241B44">
      <w:r>
        <w:separator/>
      </w:r>
    </w:p>
  </w:endnote>
  <w:endnote w:type="continuationSeparator" w:id="0">
    <w:p w14:paraId="5ECF76E2" w14:textId="77777777" w:rsidR="00B11D95" w:rsidRDefault="00B11D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301381CC" w:rsidR="009B4976" w:rsidRPr="009B4976" w:rsidRDefault="009B4976" w:rsidP="00E23A7A">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Pr="009B4976">
          <w:rPr>
            <w:rStyle w:val="af1"/>
            <w:rFonts w:ascii="Arial" w:hAnsi="Arial" w:cs="Arial"/>
            <w:noProof/>
            <w:sz w:val="18"/>
            <w:szCs w:val="18"/>
          </w:rPr>
          <w:t>3</w:t>
        </w:r>
        <w:r w:rsidRPr="009B4976">
          <w:rPr>
            <w:rStyle w:val="af1"/>
            <w:rFonts w:ascii="Arial" w:hAnsi="Arial" w:cs="Arial"/>
            <w:sz w:val="18"/>
            <w:szCs w:val="18"/>
          </w:rPr>
          <w:fldChar w:fldCharType="end"/>
        </w:r>
      </w:p>
    </w:sdtContent>
  </w:sdt>
  <w:p w14:paraId="30F05E79" w14:textId="07098523" w:rsidR="00241FA3" w:rsidRPr="009B4976" w:rsidRDefault="00450239" w:rsidP="009B4976">
    <w:pPr>
      <w:pStyle w:val="af"/>
      <w:ind w:right="360"/>
      <w:rPr>
        <w:rFonts w:ascii="Arial" w:hAnsi="Arial" w:cs="Arial"/>
        <w:sz w:val="18"/>
        <w:szCs w:val="18"/>
        <w:lang w:val="en-GB"/>
      </w:rPr>
    </w:pPr>
    <w:r w:rsidRPr="00450239">
      <w:rPr>
        <w:rFonts w:ascii="Arial" w:hAnsi="Arial" w:cs="Arial"/>
        <w:sz w:val="18"/>
        <w:szCs w:val="18"/>
        <w:lang w:val="en-GB"/>
      </w:rPr>
      <w:t>202122-355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1258" w14:textId="77777777" w:rsidR="00B11D95" w:rsidRDefault="00B11D95" w:rsidP="00241B44">
      <w:r>
        <w:separator/>
      </w:r>
    </w:p>
  </w:footnote>
  <w:footnote w:type="continuationSeparator" w:id="0">
    <w:p w14:paraId="702AA351" w14:textId="77777777" w:rsidR="00B11D95" w:rsidRDefault="00B11D9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80429"/>
    <w:multiLevelType w:val="hybridMultilevel"/>
    <w:tmpl w:val="1102D668"/>
    <w:lvl w:ilvl="0" w:tplc="C248C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91080"/>
    <w:multiLevelType w:val="hybridMultilevel"/>
    <w:tmpl w:val="BE5681E8"/>
    <w:lvl w:ilvl="0" w:tplc="F028D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74452"/>
    <w:multiLevelType w:val="hybridMultilevel"/>
    <w:tmpl w:val="2E5C0848"/>
    <w:lvl w:ilvl="0" w:tplc="E0522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00091">
    <w:abstractNumId w:val="11"/>
  </w:num>
  <w:num w:numId="2" w16cid:durableId="1404523043">
    <w:abstractNumId w:val="13"/>
  </w:num>
  <w:num w:numId="3" w16cid:durableId="1693803486">
    <w:abstractNumId w:val="1"/>
  </w:num>
  <w:num w:numId="4" w16cid:durableId="1209957194">
    <w:abstractNumId w:val="4"/>
  </w:num>
  <w:num w:numId="5" w16cid:durableId="1383208325">
    <w:abstractNumId w:val="6"/>
  </w:num>
  <w:num w:numId="6" w16cid:durableId="1596282849">
    <w:abstractNumId w:val="14"/>
  </w:num>
  <w:num w:numId="7" w16cid:durableId="550653313">
    <w:abstractNumId w:val="2"/>
  </w:num>
  <w:num w:numId="8" w16cid:durableId="93208186">
    <w:abstractNumId w:val="15"/>
  </w:num>
  <w:num w:numId="9" w16cid:durableId="1997420080">
    <w:abstractNumId w:val="7"/>
  </w:num>
  <w:num w:numId="10" w16cid:durableId="96798741">
    <w:abstractNumId w:val="12"/>
  </w:num>
  <w:num w:numId="11" w16cid:durableId="2052994100">
    <w:abstractNumId w:val="8"/>
  </w:num>
  <w:num w:numId="12" w16cid:durableId="402724655">
    <w:abstractNumId w:val="10"/>
  </w:num>
  <w:num w:numId="13" w16cid:durableId="1819492479">
    <w:abstractNumId w:val="0"/>
  </w:num>
  <w:num w:numId="14" w16cid:durableId="1519656440">
    <w:abstractNumId w:val="3"/>
  </w:num>
  <w:num w:numId="15" w16cid:durableId="1794901508">
    <w:abstractNumId w:val="5"/>
  </w:num>
  <w:num w:numId="16" w16cid:durableId="75401219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84"/>
    <w:rsid w:val="00010BA0"/>
    <w:rsid w:val="00010FAB"/>
    <w:rsid w:val="0001655B"/>
    <w:rsid w:val="00020557"/>
    <w:rsid w:val="00021FC2"/>
    <w:rsid w:val="00022E00"/>
    <w:rsid w:val="000250C7"/>
    <w:rsid w:val="00026F16"/>
    <w:rsid w:val="00037621"/>
    <w:rsid w:val="00037671"/>
    <w:rsid w:val="00044D46"/>
    <w:rsid w:val="00045088"/>
    <w:rsid w:val="00045904"/>
    <w:rsid w:val="000502FD"/>
    <w:rsid w:val="00063151"/>
    <w:rsid w:val="00065166"/>
    <w:rsid w:val="00070E4D"/>
    <w:rsid w:val="00082609"/>
    <w:rsid w:val="000851CC"/>
    <w:rsid w:val="00093BE8"/>
    <w:rsid w:val="00097B45"/>
    <w:rsid w:val="000A407B"/>
    <w:rsid w:val="000A636A"/>
    <w:rsid w:val="000A68ED"/>
    <w:rsid w:val="000B5FF1"/>
    <w:rsid w:val="000B609F"/>
    <w:rsid w:val="000C2719"/>
    <w:rsid w:val="000C4C5B"/>
    <w:rsid w:val="000D55A8"/>
    <w:rsid w:val="000E4841"/>
    <w:rsid w:val="000E60B4"/>
    <w:rsid w:val="000E7A97"/>
    <w:rsid w:val="000F1677"/>
    <w:rsid w:val="000F3D6C"/>
    <w:rsid w:val="000F7DDA"/>
    <w:rsid w:val="000F7FC2"/>
    <w:rsid w:val="00101707"/>
    <w:rsid w:val="00102CC9"/>
    <w:rsid w:val="0011473D"/>
    <w:rsid w:val="00115C85"/>
    <w:rsid w:val="0012224B"/>
    <w:rsid w:val="00123855"/>
    <w:rsid w:val="00126A4D"/>
    <w:rsid w:val="001415A9"/>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6D6E"/>
    <w:rsid w:val="00196590"/>
    <w:rsid w:val="001966D9"/>
    <w:rsid w:val="001A7E9A"/>
    <w:rsid w:val="001B0F70"/>
    <w:rsid w:val="001B5016"/>
    <w:rsid w:val="001C45FC"/>
    <w:rsid w:val="001C50FA"/>
    <w:rsid w:val="001D0469"/>
    <w:rsid w:val="001D287B"/>
    <w:rsid w:val="001D4862"/>
    <w:rsid w:val="001E25B9"/>
    <w:rsid w:val="001E49E0"/>
    <w:rsid w:val="001E7B5A"/>
    <w:rsid w:val="001F7412"/>
    <w:rsid w:val="00202DFE"/>
    <w:rsid w:val="0020725B"/>
    <w:rsid w:val="002110F1"/>
    <w:rsid w:val="00211D9D"/>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547C"/>
    <w:rsid w:val="0029690F"/>
    <w:rsid w:val="00297C8A"/>
    <w:rsid w:val="002A0B3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065F6"/>
    <w:rsid w:val="003144EF"/>
    <w:rsid w:val="00323167"/>
    <w:rsid w:val="00326292"/>
    <w:rsid w:val="00326415"/>
    <w:rsid w:val="00330937"/>
    <w:rsid w:val="00330F31"/>
    <w:rsid w:val="00334648"/>
    <w:rsid w:val="0033768C"/>
    <w:rsid w:val="00337938"/>
    <w:rsid w:val="003379A0"/>
    <w:rsid w:val="00340769"/>
    <w:rsid w:val="00341AA6"/>
    <w:rsid w:val="00344BCC"/>
    <w:rsid w:val="003502EB"/>
    <w:rsid w:val="00361A0A"/>
    <w:rsid w:val="00364836"/>
    <w:rsid w:val="00364D3B"/>
    <w:rsid w:val="0036565C"/>
    <w:rsid w:val="0036625E"/>
    <w:rsid w:val="0037465A"/>
    <w:rsid w:val="003819C1"/>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46617"/>
    <w:rsid w:val="0044766F"/>
    <w:rsid w:val="00450239"/>
    <w:rsid w:val="004534C2"/>
    <w:rsid w:val="0045446F"/>
    <w:rsid w:val="00455018"/>
    <w:rsid w:val="0045683E"/>
    <w:rsid w:val="00477C72"/>
    <w:rsid w:val="004807A3"/>
    <w:rsid w:val="00491675"/>
    <w:rsid w:val="00493855"/>
    <w:rsid w:val="00495B61"/>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78F"/>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27DC"/>
    <w:rsid w:val="0056391B"/>
    <w:rsid w:val="005650E2"/>
    <w:rsid w:val="00567AD7"/>
    <w:rsid w:val="00575B2D"/>
    <w:rsid w:val="00577580"/>
    <w:rsid w:val="00582A14"/>
    <w:rsid w:val="005833D0"/>
    <w:rsid w:val="00583D8E"/>
    <w:rsid w:val="005846F3"/>
    <w:rsid w:val="0058622F"/>
    <w:rsid w:val="00587019"/>
    <w:rsid w:val="00592F82"/>
    <w:rsid w:val="005A0CCA"/>
    <w:rsid w:val="005A6FF2"/>
    <w:rsid w:val="005A726D"/>
    <w:rsid w:val="005B2A9B"/>
    <w:rsid w:val="005B67AC"/>
    <w:rsid w:val="005B79F4"/>
    <w:rsid w:val="005C58A8"/>
    <w:rsid w:val="005D1293"/>
    <w:rsid w:val="005D43E0"/>
    <w:rsid w:val="005D58A3"/>
    <w:rsid w:val="005D6642"/>
    <w:rsid w:val="005E1B79"/>
    <w:rsid w:val="005E6076"/>
    <w:rsid w:val="005E7008"/>
    <w:rsid w:val="005F026D"/>
    <w:rsid w:val="005F2AEA"/>
    <w:rsid w:val="005F2D0B"/>
    <w:rsid w:val="005F3E27"/>
    <w:rsid w:val="005F4B31"/>
    <w:rsid w:val="00610388"/>
    <w:rsid w:val="00610AC7"/>
    <w:rsid w:val="00612CA5"/>
    <w:rsid w:val="006153EC"/>
    <w:rsid w:val="00621A17"/>
    <w:rsid w:val="00622EF5"/>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55AD"/>
    <w:rsid w:val="006A6530"/>
    <w:rsid w:val="006B3468"/>
    <w:rsid w:val="006B3571"/>
    <w:rsid w:val="006B435A"/>
    <w:rsid w:val="006B4C64"/>
    <w:rsid w:val="006D6BD5"/>
    <w:rsid w:val="006E0666"/>
    <w:rsid w:val="006E2E64"/>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710"/>
    <w:rsid w:val="007B5C89"/>
    <w:rsid w:val="007C1FCC"/>
    <w:rsid w:val="007C6201"/>
    <w:rsid w:val="007D0192"/>
    <w:rsid w:val="007D7C92"/>
    <w:rsid w:val="007E1154"/>
    <w:rsid w:val="007E447A"/>
    <w:rsid w:val="007E6BA4"/>
    <w:rsid w:val="007F12AB"/>
    <w:rsid w:val="007F41F8"/>
    <w:rsid w:val="007F659B"/>
    <w:rsid w:val="0080454E"/>
    <w:rsid w:val="00804C32"/>
    <w:rsid w:val="00805305"/>
    <w:rsid w:val="00806302"/>
    <w:rsid w:val="00807119"/>
    <w:rsid w:val="0081071C"/>
    <w:rsid w:val="008151AC"/>
    <w:rsid w:val="0082483F"/>
    <w:rsid w:val="00825E65"/>
    <w:rsid w:val="008279C0"/>
    <w:rsid w:val="00834F92"/>
    <w:rsid w:val="008723F3"/>
    <w:rsid w:val="00872A65"/>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16D91"/>
    <w:rsid w:val="00921B8C"/>
    <w:rsid w:val="0092565E"/>
    <w:rsid w:val="0093467C"/>
    <w:rsid w:val="00942123"/>
    <w:rsid w:val="0095207B"/>
    <w:rsid w:val="00962045"/>
    <w:rsid w:val="0097298B"/>
    <w:rsid w:val="00980E61"/>
    <w:rsid w:val="00991428"/>
    <w:rsid w:val="00992676"/>
    <w:rsid w:val="009954B2"/>
    <w:rsid w:val="00996691"/>
    <w:rsid w:val="009B0723"/>
    <w:rsid w:val="009B07AD"/>
    <w:rsid w:val="009B0883"/>
    <w:rsid w:val="009B15E2"/>
    <w:rsid w:val="009B4976"/>
    <w:rsid w:val="009B4F22"/>
    <w:rsid w:val="009C0B8E"/>
    <w:rsid w:val="009C1BC8"/>
    <w:rsid w:val="009C2442"/>
    <w:rsid w:val="009D0811"/>
    <w:rsid w:val="009D0EE1"/>
    <w:rsid w:val="009E2AEB"/>
    <w:rsid w:val="009E2E27"/>
    <w:rsid w:val="009E45DF"/>
    <w:rsid w:val="009E4DE3"/>
    <w:rsid w:val="009F00DC"/>
    <w:rsid w:val="009F275E"/>
    <w:rsid w:val="00A020F8"/>
    <w:rsid w:val="00A024E7"/>
    <w:rsid w:val="00A047EE"/>
    <w:rsid w:val="00A2274A"/>
    <w:rsid w:val="00A235B7"/>
    <w:rsid w:val="00A27A7A"/>
    <w:rsid w:val="00A309E4"/>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1D95"/>
    <w:rsid w:val="00B14819"/>
    <w:rsid w:val="00B15E2F"/>
    <w:rsid w:val="00B17AA9"/>
    <w:rsid w:val="00B27E6E"/>
    <w:rsid w:val="00B44713"/>
    <w:rsid w:val="00B56103"/>
    <w:rsid w:val="00B607AC"/>
    <w:rsid w:val="00B64929"/>
    <w:rsid w:val="00B734DF"/>
    <w:rsid w:val="00B736DF"/>
    <w:rsid w:val="00B743D6"/>
    <w:rsid w:val="00B74BF1"/>
    <w:rsid w:val="00B74FBD"/>
    <w:rsid w:val="00B77F46"/>
    <w:rsid w:val="00B82586"/>
    <w:rsid w:val="00B829A3"/>
    <w:rsid w:val="00B86DB1"/>
    <w:rsid w:val="00B8775A"/>
    <w:rsid w:val="00B87869"/>
    <w:rsid w:val="00B9214E"/>
    <w:rsid w:val="00B9639B"/>
    <w:rsid w:val="00BB0F2B"/>
    <w:rsid w:val="00BD4A58"/>
    <w:rsid w:val="00BD7337"/>
    <w:rsid w:val="00BE4FF3"/>
    <w:rsid w:val="00BF50F7"/>
    <w:rsid w:val="00C02F29"/>
    <w:rsid w:val="00C1705D"/>
    <w:rsid w:val="00C20AFE"/>
    <w:rsid w:val="00C22A25"/>
    <w:rsid w:val="00C35671"/>
    <w:rsid w:val="00C35B77"/>
    <w:rsid w:val="00C362AA"/>
    <w:rsid w:val="00C376EB"/>
    <w:rsid w:val="00C4470E"/>
    <w:rsid w:val="00C45445"/>
    <w:rsid w:val="00C465DC"/>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A732B"/>
    <w:rsid w:val="00CB1983"/>
    <w:rsid w:val="00CB2CBB"/>
    <w:rsid w:val="00CB6578"/>
    <w:rsid w:val="00CB7CAC"/>
    <w:rsid w:val="00CC175B"/>
    <w:rsid w:val="00CC4818"/>
    <w:rsid w:val="00CC5335"/>
    <w:rsid w:val="00CC5BA4"/>
    <w:rsid w:val="00CD19FA"/>
    <w:rsid w:val="00CD4998"/>
    <w:rsid w:val="00CE0252"/>
    <w:rsid w:val="00CE1035"/>
    <w:rsid w:val="00CE6E50"/>
    <w:rsid w:val="00CF2819"/>
    <w:rsid w:val="00CF4F9D"/>
    <w:rsid w:val="00CF70DC"/>
    <w:rsid w:val="00D00324"/>
    <w:rsid w:val="00D041E0"/>
    <w:rsid w:val="00D14336"/>
    <w:rsid w:val="00D148DC"/>
    <w:rsid w:val="00D17FDC"/>
    <w:rsid w:val="00D21021"/>
    <w:rsid w:val="00D21D8C"/>
    <w:rsid w:val="00D22AD8"/>
    <w:rsid w:val="00D316F2"/>
    <w:rsid w:val="00D32A6C"/>
    <w:rsid w:val="00D33682"/>
    <w:rsid w:val="00D53719"/>
    <w:rsid w:val="00D63EFD"/>
    <w:rsid w:val="00D84752"/>
    <w:rsid w:val="00D86B3B"/>
    <w:rsid w:val="00D8748A"/>
    <w:rsid w:val="00D93196"/>
    <w:rsid w:val="00D93742"/>
    <w:rsid w:val="00DA0DC0"/>
    <w:rsid w:val="00DA1D45"/>
    <w:rsid w:val="00DA45C8"/>
    <w:rsid w:val="00DB0DB5"/>
    <w:rsid w:val="00DB243C"/>
    <w:rsid w:val="00DB3DC0"/>
    <w:rsid w:val="00DB482A"/>
    <w:rsid w:val="00DB50FB"/>
    <w:rsid w:val="00DB56F2"/>
    <w:rsid w:val="00DB6EF5"/>
    <w:rsid w:val="00DC3089"/>
    <w:rsid w:val="00DC359F"/>
    <w:rsid w:val="00DC4420"/>
    <w:rsid w:val="00DD0802"/>
    <w:rsid w:val="00DD0F48"/>
    <w:rsid w:val="00DD2E11"/>
    <w:rsid w:val="00DD7E19"/>
    <w:rsid w:val="00DE03AF"/>
    <w:rsid w:val="00DE121C"/>
    <w:rsid w:val="00DE1F73"/>
    <w:rsid w:val="00DE5357"/>
    <w:rsid w:val="00DE6633"/>
    <w:rsid w:val="00DF158F"/>
    <w:rsid w:val="00DF75F8"/>
    <w:rsid w:val="00DF7A3A"/>
    <w:rsid w:val="00E00C00"/>
    <w:rsid w:val="00E07C5A"/>
    <w:rsid w:val="00E12EC4"/>
    <w:rsid w:val="00E15BA9"/>
    <w:rsid w:val="00E232A9"/>
    <w:rsid w:val="00E26E10"/>
    <w:rsid w:val="00E26E19"/>
    <w:rsid w:val="00E27160"/>
    <w:rsid w:val="00E30E60"/>
    <w:rsid w:val="00E31DF3"/>
    <w:rsid w:val="00E450A4"/>
    <w:rsid w:val="00E506BE"/>
    <w:rsid w:val="00E50E34"/>
    <w:rsid w:val="00E55547"/>
    <w:rsid w:val="00E6302B"/>
    <w:rsid w:val="00E6452F"/>
    <w:rsid w:val="00E64F45"/>
    <w:rsid w:val="00E6742D"/>
    <w:rsid w:val="00E71CB0"/>
    <w:rsid w:val="00E7307F"/>
    <w:rsid w:val="00E77C3D"/>
    <w:rsid w:val="00E90991"/>
    <w:rsid w:val="00E909F0"/>
    <w:rsid w:val="00E90D47"/>
    <w:rsid w:val="00E93993"/>
    <w:rsid w:val="00E93A36"/>
    <w:rsid w:val="00E9597C"/>
    <w:rsid w:val="00EA0913"/>
    <w:rsid w:val="00EA5B00"/>
    <w:rsid w:val="00EB146B"/>
    <w:rsid w:val="00EB45AC"/>
    <w:rsid w:val="00EC441F"/>
    <w:rsid w:val="00EC4755"/>
    <w:rsid w:val="00ED0BC4"/>
    <w:rsid w:val="00ED272A"/>
    <w:rsid w:val="00ED3704"/>
    <w:rsid w:val="00ED447D"/>
    <w:rsid w:val="00ED738F"/>
    <w:rsid w:val="00ED74BC"/>
    <w:rsid w:val="00EE4971"/>
    <w:rsid w:val="00EF090E"/>
    <w:rsid w:val="00EF12CB"/>
    <w:rsid w:val="00EF5572"/>
    <w:rsid w:val="00F033DA"/>
    <w:rsid w:val="00F13691"/>
    <w:rsid w:val="00F13FB1"/>
    <w:rsid w:val="00F14707"/>
    <w:rsid w:val="00F27CD8"/>
    <w:rsid w:val="00F30351"/>
    <w:rsid w:val="00F3323E"/>
    <w:rsid w:val="00F341F4"/>
    <w:rsid w:val="00F34F9D"/>
    <w:rsid w:val="00F35CCE"/>
    <w:rsid w:val="00F4312C"/>
    <w:rsid w:val="00F5524B"/>
    <w:rsid w:val="00F60538"/>
    <w:rsid w:val="00F61DD2"/>
    <w:rsid w:val="00F661C6"/>
    <w:rsid w:val="00F66AFF"/>
    <w:rsid w:val="00F71433"/>
    <w:rsid w:val="00F82762"/>
    <w:rsid w:val="00F92140"/>
    <w:rsid w:val="00F97C5B"/>
    <w:rsid w:val="00FA3D50"/>
    <w:rsid w:val="00FA53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2E1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9430</TotalTime>
  <Pages>12</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Ting Ting Chan</cp:lastModifiedBy>
  <cp:revision>29</cp:revision>
  <cp:lastPrinted>2019-08-27T05:42:00Z</cp:lastPrinted>
  <dcterms:created xsi:type="dcterms:W3CDTF">2021-08-17T15:55:00Z</dcterms:created>
  <dcterms:modified xsi:type="dcterms:W3CDTF">2022-07-21T15:21:00Z</dcterms:modified>
</cp:coreProperties>
</file>