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w:t>
      </w:r>
      <w:proofErr w:type="gramStart"/>
      <w:r w:rsidRPr="007B0809">
        <w:rPr>
          <w:rFonts w:ascii="Arial" w:hAnsi="Arial" w:cs="Arial"/>
        </w:rPr>
        <w:t>proceeding</w:t>
      </w:r>
      <w:proofErr w:type="gramEnd"/>
      <w:r w:rsidRPr="007B0809">
        <w:rPr>
          <w:rFonts w:ascii="Arial" w:hAnsi="Arial" w:cs="Arial"/>
        </w:rPr>
        <w:t xml:space="preserve">?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6A241E" w:rsidRDefault="007B0809" w:rsidP="004F49B5">
      <w:pPr>
        <w:pStyle w:val="AODocTxt"/>
        <w:numPr>
          <w:ilvl w:val="0"/>
          <w:numId w:val="2"/>
        </w:numPr>
        <w:spacing w:before="0" w:line="240" w:lineRule="auto"/>
        <w:ind w:left="426"/>
        <w:rPr>
          <w:rFonts w:ascii="Arial" w:hAnsi="Arial" w:cs="Arial"/>
          <w:highlight w:val="yellow"/>
        </w:rPr>
      </w:pPr>
      <w:r w:rsidRPr="006A241E">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442F03" w:rsidRDefault="007B0809" w:rsidP="004F49B5">
      <w:pPr>
        <w:pStyle w:val="AODocTxt"/>
        <w:numPr>
          <w:ilvl w:val="0"/>
          <w:numId w:val="3"/>
        </w:numPr>
        <w:spacing w:before="0" w:line="240" w:lineRule="auto"/>
        <w:ind w:left="426"/>
        <w:rPr>
          <w:rFonts w:ascii="Arial" w:hAnsi="Arial" w:cs="Arial"/>
          <w:highlight w:val="yellow"/>
        </w:rPr>
      </w:pPr>
      <w:r w:rsidRPr="00442F03">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5056E2" w:rsidRDefault="007B0809" w:rsidP="004F49B5">
      <w:pPr>
        <w:pStyle w:val="AODocTxt"/>
        <w:numPr>
          <w:ilvl w:val="0"/>
          <w:numId w:val="4"/>
        </w:numPr>
        <w:spacing w:before="0" w:line="240" w:lineRule="auto"/>
        <w:ind w:left="426"/>
        <w:rPr>
          <w:rFonts w:ascii="Arial" w:hAnsi="Arial" w:cs="Arial"/>
          <w:highlight w:val="yellow"/>
        </w:rPr>
      </w:pPr>
      <w:r w:rsidRPr="005056E2">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442F03" w:rsidRDefault="007B0809" w:rsidP="004F49B5">
      <w:pPr>
        <w:pStyle w:val="AODocTxt"/>
        <w:numPr>
          <w:ilvl w:val="0"/>
          <w:numId w:val="5"/>
        </w:numPr>
        <w:spacing w:before="0" w:line="240" w:lineRule="auto"/>
        <w:ind w:left="426"/>
        <w:rPr>
          <w:rFonts w:ascii="Arial" w:hAnsi="Arial" w:cs="Arial"/>
          <w:highlight w:val="yellow"/>
        </w:rPr>
      </w:pPr>
      <w:r w:rsidRPr="00442F03">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442F03" w:rsidRDefault="007B0809" w:rsidP="004F49B5">
      <w:pPr>
        <w:pStyle w:val="AODocTxt"/>
        <w:numPr>
          <w:ilvl w:val="0"/>
          <w:numId w:val="6"/>
        </w:numPr>
        <w:spacing w:before="0" w:line="240" w:lineRule="auto"/>
        <w:ind w:left="426"/>
        <w:rPr>
          <w:rFonts w:ascii="Arial" w:hAnsi="Arial" w:cs="Arial"/>
          <w:highlight w:val="yellow"/>
        </w:rPr>
      </w:pPr>
      <w:r w:rsidRPr="00442F03">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442F03" w:rsidRDefault="007B0809" w:rsidP="004F49B5">
      <w:pPr>
        <w:pStyle w:val="AODocTxt"/>
        <w:numPr>
          <w:ilvl w:val="0"/>
          <w:numId w:val="7"/>
        </w:numPr>
        <w:spacing w:before="0" w:line="240" w:lineRule="auto"/>
        <w:ind w:left="426"/>
        <w:rPr>
          <w:rFonts w:ascii="Arial" w:hAnsi="Arial" w:cs="Arial"/>
          <w:highlight w:val="yellow"/>
        </w:rPr>
      </w:pPr>
      <w:r w:rsidRPr="00442F03">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B36CE" w:rsidRDefault="007B0809" w:rsidP="004F49B5">
      <w:pPr>
        <w:pStyle w:val="AODocTxt"/>
        <w:numPr>
          <w:ilvl w:val="0"/>
          <w:numId w:val="8"/>
        </w:numPr>
        <w:spacing w:before="0" w:line="240" w:lineRule="auto"/>
        <w:ind w:left="426"/>
        <w:rPr>
          <w:rFonts w:ascii="Arial" w:hAnsi="Arial" w:cs="Arial"/>
          <w:highlight w:val="yellow"/>
        </w:rPr>
      </w:pPr>
      <w:r w:rsidRPr="00CB36CE">
        <w:rPr>
          <w:rFonts w:ascii="Arial" w:hAnsi="Arial" w:cs="Arial"/>
          <w:highlight w:val="yellow"/>
        </w:rPr>
        <w:t>The automatic stay applies upon the filing of a petition for recognition.</w:t>
      </w:r>
      <w:r w:rsidR="00F92140" w:rsidRPr="00CB36C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A chapter 15 </w:t>
      </w:r>
      <w:proofErr w:type="gramStart"/>
      <w:r w:rsidRPr="007B0809">
        <w:rPr>
          <w:rFonts w:ascii="Arial" w:hAnsi="Arial" w:cs="Arial"/>
        </w:rPr>
        <w:t>petition</w:t>
      </w:r>
      <w:proofErr w:type="gramEnd"/>
      <w:r w:rsidRPr="007B0809">
        <w:rPr>
          <w:rFonts w:ascii="Arial" w:hAnsi="Arial" w:cs="Arial"/>
        </w:rPr>
        <w:t xml:space="preserve">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BA1A2A" w:rsidRDefault="007B0809" w:rsidP="004F49B5">
      <w:pPr>
        <w:pStyle w:val="AODocTxt"/>
        <w:numPr>
          <w:ilvl w:val="0"/>
          <w:numId w:val="9"/>
        </w:numPr>
        <w:spacing w:before="0" w:line="240" w:lineRule="auto"/>
        <w:ind w:left="426"/>
        <w:rPr>
          <w:rFonts w:ascii="Arial" w:hAnsi="Arial" w:cs="Arial"/>
          <w:highlight w:val="yellow"/>
        </w:rPr>
      </w:pPr>
      <w:r w:rsidRPr="00BA1A2A">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Pr="00CB36CE" w:rsidRDefault="007B0809" w:rsidP="004F49B5">
      <w:pPr>
        <w:pStyle w:val="AODocTxt"/>
        <w:numPr>
          <w:ilvl w:val="0"/>
          <w:numId w:val="10"/>
        </w:numPr>
        <w:spacing w:before="0" w:line="240" w:lineRule="auto"/>
        <w:ind w:left="426"/>
        <w:rPr>
          <w:rFonts w:ascii="Arial" w:hAnsi="Arial" w:cs="Arial"/>
          <w:highlight w:val="yellow"/>
        </w:rPr>
      </w:pPr>
      <w:r w:rsidRPr="00CB36CE">
        <w:rPr>
          <w:rFonts w:ascii="Arial" w:hAnsi="Arial" w:cs="Arial"/>
          <w:highlight w:val="yellow"/>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CB36CE" w:rsidRDefault="007B0809" w:rsidP="004F49B5">
      <w:pPr>
        <w:pStyle w:val="AODocTxt"/>
        <w:numPr>
          <w:ilvl w:val="0"/>
          <w:numId w:val="11"/>
        </w:numPr>
        <w:spacing w:before="0" w:line="240" w:lineRule="auto"/>
        <w:ind w:left="426"/>
        <w:rPr>
          <w:rFonts w:ascii="Arial" w:hAnsi="Arial" w:cs="Arial"/>
          <w:highlight w:val="yellow"/>
        </w:rPr>
      </w:pPr>
      <w:r w:rsidRPr="00CB36CE">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FB5850" w14:textId="6AE81532" w:rsidR="00323167" w:rsidRDefault="004913ED" w:rsidP="004913ED">
      <w:pPr>
        <w:pStyle w:val="AODocTxt"/>
        <w:spacing w:before="0" w:line="240" w:lineRule="auto"/>
        <w:ind w:left="720"/>
        <w:rPr>
          <w:rFonts w:ascii="Arial" w:hAnsi="Arial" w:cs="Arial"/>
        </w:rPr>
      </w:pPr>
      <w:r>
        <w:rPr>
          <w:rFonts w:ascii="Arial" w:hAnsi="Arial" w:cs="Arial"/>
        </w:rPr>
        <w:t>The debtor commences a voluntary petition for bankruptcy; the creditors commence an involuntary petition for the debtor’s bankruptcy. Both petitions can be under either chapter 7 or chapter 11.</w:t>
      </w:r>
      <w:r w:rsidR="00A756CB">
        <w:rPr>
          <w:rStyle w:val="FootnoteReference"/>
          <w:rFonts w:ascii="Arial" w:hAnsi="Arial" w:cs="Arial"/>
        </w:rPr>
        <w:footnoteReference w:id="1"/>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0C7F05" w14:textId="75B1DB04" w:rsidR="00323167" w:rsidRDefault="004913ED" w:rsidP="003B76A1">
      <w:pPr>
        <w:pStyle w:val="AODocTxt"/>
        <w:spacing w:before="0" w:line="240" w:lineRule="auto"/>
        <w:ind w:left="720"/>
        <w:rPr>
          <w:rFonts w:ascii="Arial" w:hAnsi="Arial" w:cs="Arial"/>
        </w:rPr>
      </w:pPr>
      <w:r>
        <w:rPr>
          <w:rFonts w:ascii="Arial" w:hAnsi="Arial" w:cs="Arial"/>
        </w:rPr>
        <w:t xml:space="preserve">An act taken in violation of the stay constitutes contempt of </w:t>
      </w:r>
      <w:r w:rsidR="003B76A1">
        <w:rPr>
          <w:rFonts w:ascii="Arial" w:hAnsi="Arial" w:cs="Arial"/>
        </w:rPr>
        <w:t xml:space="preserve">court and is void </w:t>
      </w:r>
      <w:r>
        <w:rPr>
          <w:rFonts w:ascii="Arial" w:hAnsi="Arial" w:cs="Arial"/>
        </w:rPr>
        <w:t>or voidable</w:t>
      </w:r>
      <w:r w:rsidR="003B76A1">
        <w:rPr>
          <w:rFonts w:ascii="Arial" w:hAnsi="Arial" w:cs="Arial"/>
        </w:rPr>
        <w:t>. If the stay is not lifted, contempt of court sanctions may be imposed on the violator, which includes payment of the debtors’ attorneys’ fees and requiring the violator to take affirmative actions to undo the effect of its violation.</w:t>
      </w:r>
      <w:r w:rsidR="003B76A1">
        <w:rPr>
          <w:rStyle w:val="FootnoteReference"/>
          <w:rFonts w:ascii="Arial" w:hAnsi="Arial" w:cs="Arial"/>
        </w:rPr>
        <w:footnoteReference w:id="2"/>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E58133A" w14:textId="49614239" w:rsidR="00323167" w:rsidRDefault="00520E68" w:rsidP="00520E68">
      <w:pPr>
        <w:pStyle w:val="AODocTxt"/>
        <w:spacing w:before="0" w:line="240" w:lineRule="auto"/>
        <w:ind w:left="720"/>
        <w:rPr>
          <w:rFonts w:ascii="Arial" w:hAnsi="Arial" w:cs="Arial"/>
        </w:rPr>
      </w:pPr>
      <w:r>
        <w:rPr>
          <w:rFonts w:ascii="Arial" w:hAnsi="Arial" w:cs="Arial"/>
        </w:rPr>
        <w:t xml:space="preserve">A claim is considered “impaired” unless the </w:t>
      </w:r>
      <w:proofErr w:type="gramStart"/>
      <w:r>
        <w:rPr>
          <w:rFonts w:ascii="Arial" w:hAnsi="Arial" w:cs="Arial"/>
        </w:rPr>
        <w:t>holders</w:t>
      </w:r>
      <w:proofErr w:type="gramEnd"/>
      <w:r>
        <w:rPr>
          <w:rFonts w:ascii="Arial" w:hAnsi="Arial" w:cs="Arial"/>
        </w:rPr>
        <w:t xml:space="preserve"> legal, equitable and contractual rights are unaltered</w:t>
      </w:r>
      <w:r>
        <w:rPr>
          <w:rStyle w:val="FootnoteReference"/>
          <w:rFonts w:ascii="Arial" w:hAnsi="Arial" w:cs="Arial"/>
        </w:rPr>
        <w:footnoteReference w:id="3"/>
      </w:r>
      <w:r>
        <w:rPr>
          <w:rFonts w:ascii="Arial" w:hAnsi="Arial" w:cs="Arial"/>
        </w:rPr>
        <w:t>.</w:t>
      </w:r>
      <w:r w:rsidR="00FF68DA">
        <w:rPr>
          <w:rFonts w:ascii="Arial" w:hAnsi="Arial" w:cs="Arial"/>
        </w:rPr>
        <w:t xml:space="preserve">  </w:t>
      </w:r>
      <w:r w:rsidR="00E42798">
        <w:rPr>
          <w:rFonts w:ascii="Arial" w:hAnsi="Arial" w:cs="Arial"/>
        </w:rPr>
        <w:t xml:space="preserve">In confirming a plain with use of cram down, an impaired claim </w:t>
      </w:r>
      <w:r w:rsidR="00E42798">
        <w:rPr>
          <w:rFonts w:ascii="Arial" w:hAnsi="Arial" w:cs="Arial"/>
        </w:rPr>
        <w:lastRenderedPageBreak/>
        <w:t>of a class of creditor may have a plan forced upon it with at least one impaired class who is not an insider voting to accept the plan</w:t>
      </w:r>
      <w:r w:rsidR="00E42798">
        <w:rPr>
          <w:rStyle w:val="FootnoteReference"/>
          <w:rFonts w:ascii="Arial" w:hAnsi="Arial" w:cs="Arial"/>
        </w:rPr>
        <w:footnoteReference w:id="4"/>
      </w:r>
      <w:r w:rsidR="00E42798">
        <w:rPr>
          <w:rFonts w:ascii="Arial" w:hAnsi="Arial" w:cs="Arial"/>
        </w:rPr>
        <w:t>.</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47C7AC7"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567EDC30" w14:textId="0ADCE891" w:rsidR="00E12EC4" w:rsidRPr="00FF68DA" w:rsidRDefault="00FF68DA" w:rsidP="009F0E8F">
      <w:pPr>
        <w:ind w:left="720" w:firstLine="6"/>
        <w:jc w:val="both"/>
        <w:rPr>
          <w:rFonts w:ascii="Arial" w:hAnsi="Arial" w:cs="Arial"/>
          <w:sz w:val="22"/>
          <w:szCs w:val="22"/>
          <w:lang w:val="en-GB"/>
        </w:rPr>
      </w:pPr>
      <w:r w:rsidRPr="00FF68DA">
        <w:rPr>
          <w:rFonts w:ascii="Arial" w:hAnsi="Arial" w:cs="Arial"/>
          <w:sz w:val="22"/>
          <w:szCs w:val="22"/>
          <w:lang w:val="en-GB"/>
        </w:rPr>
        <w:t>Preference</w:t>
      </w:r>
      <w:r>
        <w:rPr>
          <w:rFonts w:ascii="Arial" w:hAnsi="Arial" w:cs="Arial"/>
          <w:sz w:val="22"/>
          <w:szCs w:val="22"/>
          <w:lang w:val="en-GB"/>
        </w:rPr>
        <w:t>s</w:t>
      </w:r>
      <w:r>
        <w:rPr>
          <w:rStyle w:val="FootnoteReference"/>
          <w:rFonts w:ascii="Arial" w:hAnsi="Arial" w:cs="Arial"/>
          <w:sz w:val="22"/>
          <w:szCs w:val="22"/>
          <w:lang w:val="en-GB"/>
        </w:rPr>
        <w:footnoteReference w:id="5"/>
      </w:r>
      <w:r w:rsidR="00E42798">
        <w:rPr>
          <w:rFonts w:ascii="Arial" w:hAnsi="Arial" w:cs="Arial"/>
          <w:sz w:val="22"/>
          <w:szCs w:val="22"/>
          <w:lang w:val="en-GB"/>
        </w:rPr>
        <w:t xml:space="preserve"> - </w:t>
      </w:r>
      <w:r w:rsidR="009F0E8F">
        <w:rPr>
          <w:rFonts w:ascii="Arial" w:hAnsi="Arial" w:cs="Arial"/>
          <w:sz w:val="22"/>
          <w:szCs w:val="22"/>
          <w:lang w:val="en-GB"/>
        </w:rPr>
        <w:t xml:space="preserve">transfer of the debtor’s property made in a suspect period before the petition date to the benefit of a creditor for an account of an antecedent debt made while the debtor was insolvent that enables the creditor to receive more than it would have in a chapter 7 liquidation.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6059889" w14:textId="47082B85" w:rsidR="00DC359F" w:rsidRPr="00FF68DA" w:rsidRDefault="009D4F28" w:rsidP="006E07C4">
      <w:pPr>
        <w:pStyle w:val="AODocTxt"/>
        <w:spacing w:before="0" w:line="240" w:lineRule="auto"/>
        <w:ind w:left="720" w:firstLine="6"/>
        <w:rPr>
          <w:rFonts w:ascii="Arial" w:hAnsi="Arial" w:cs="Arial"/>
        </w:rPr>
      </w:pPr>
      <w:r>
        <w:rPr>
          <w:rFonts w:ascii="Arial" w:hAnsi="Arial" w:cs="Arial"/>
        </w:rPr>
        <w:t>Constructive</w:t>
      </w:r>
      <w:r w:rsidR="00FF68DA" w:rsidRPr="00FF68DA">
        <w:rPr>
          <w:rFonts w:ascii="Arial" w:hAnsi="Arial" w:cs="Arial"/>
        </w:rPr>
        <w:t xml:space="preserve"> fraudulent conveyances</w:t>
      </w:r>
      <w:r w:rsidR="00FF68DA">
        <w:rPr>
          <w:rStyle w:val="FootnoteReference"/>
          <w:rFonts w:ascii="Arial" w:hAnsi="Arial" w:cs="Arial"/>
        </w:rPr>
        <w:footnoteReference w:id="6"/>
      </w:r>
      <w:r w:rsidR="009F0E8F">
        <w:rPr>
          <w:rFonts w:ascii="Arial" w:hAnsi="Arial" w:cs="Arial"/>
        </w:rPr>
        <w:t xml:space="preserve"> - </w:t>
      </w:r>
      <w:r w:rsidR="006E07C4">
        <w:rPr>
          <w:rFonts w:ascii="Arial" w:hAnsi="Arial" w:cs="Arial"/>
        </w:rPr>
        <w:t>the debtor receives less than the reasonably equivalent value in exchange for a transfer or incurrence of an obligation.</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A32F1E1" w14:textId="47750A29" w:rsidR="00323167" w:rsidRDefault="009D4F28" w:rsidP="006E07C4">
      <w:pPr>
        <w:pStyle w:val="AODocTxt"/>
        <w:spacing w:before="0" w:line="240" w:lineRule="auto"/>
        <w:ind w:left="720"/>
        <w:rPr>
          <w:rFonts w:ascii="Arial" w:hAnsi="Arial" w:cs="Arial"/>
        </w:rPr>
      </w:pPr>
      <w:r>
        <w:rPr>
          <w:rFonts w:ascii="Arial" w:hAnsi="Arial" w:cs="Arial"/>
        </w:rPr>
        <w:t>Actual</w:t>
      </w:r>
      <w:r w:rsidR="00FF68DA">
        <w:rPr>
          <w:rFonts w:ascii="Arial" w:hAnsi="Arial" w:cs="Arial"/>
        </w:rPr>
        <w:t xml:space="preserve"> fraudulent conveyances</w:t>
      </w:r>
      <w:r w:rsidR="00FF68DA">
        <w:rPr>
          <w:rStyle w:val="FootnoteReference"/>
          <w:rFonts w:ascii="Arial" w:hAnsi="Arial" w:cs="Arial"/>
        </w:rPr>
        <w:footnoteReference w:id="7"/>
      </w:r>
      <w:r w:rsidR="006E07C4">
        <w:rPr>
          <w:rFonts w:ascii="Arial" w:hAnsi="Arial" w:cs="Arial"/>
        </w:rPr>
        <w:t xml:space="preserve"> - where the debtor makes a transfer or incurred an </w:t>
      </w:r>
      <w:bookmarkStart w:id="1" w:name="_GoBack"/>
      <w:bookmarkEnd w:id="1"/>
      <w:r w:rsidR="006E07C4">
        <w:rPr>
          <w:rFonts w:ascii="Arial" w:hAnsi="Arial" w:cs="Arial"/>
        </w:rPr>
        <w:t>obligation with actual intent to hinder, delay or defraud any entity to which the debtor was or became indebted.</w:t>
      </w: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4F1BFF76" w:rsidR="00DC359F" w:rsidRDefault="00D87913" w:rsidP="00D87913">
      <w:pPr>
        <w:pStyle w:val="AODocTxt"/>
        <w:spacing w:before="0" w:line="240" w:lineRule="auto"/>
        <w:ind w:left="720"/>
        <w:rPr>
          <w:rFonts w:ascii="Arial" w:hAnsi="Arial" w:cs="Arial"/>
          <w:lang w:val="en-GB"/>
        </w:rPr>
      </w:pPr>
      <w:r>
        <w:rPr>
          <w:rFonts w:ascii="Arial" w:hAnsi="Arial" w:cs="Arial"/>
          <w:lang w:val="en-GB"/>
        </w:rPr>
        <w:t>Even in core proceedings, a bankruptcy court cannot issue final orders that invade Article III jurisdiction (of the US Constitution)</w:t>
      </w:r>
      <w:r>
        <w:rPr>
          <w:rStyle w:val="FootnoteReference"/>
          <w:rFonts w:ascii="Arial" w:hAnsi="Arial" w:cs="Arial"/>
          <w:lang w:val="en-GB"/>
        </w:rPr>
        <w:footnoteReference w:id="8"/>
      </w:r>
      <w:r>
        <w:rPr>
          <w:rFonts w:ascii="Arial" w:hAnsi="Arial" w:cs="Arial"/>
          <w:lang w:val="en-GB"/>
        </w:rPr>
        <w:t>. Bankruptcy Courts are created by legislation under power granted to Congress by Article I of he US Constitution</w:t>
      </w:r>
      <w:r>
        <w:rPr>
          <w:rStyle w:val="FootnoteReference"/>
          <w:rFonts w:ascii="Arial" w:hAnsi="Arial" w:cs="Arial"/>
          <w:lang w:val="en-GB"/>
        </w:rPr>
        <w:footnoteReference w:id="9"/>
      </w:r>
      <w:r w:rsidR="00207156">
        <w:rPr>
          <w:rFonts w:ascii="Arial" w:hAnsi="Arial" w:cs="Arial"/>
          <w:lang w:val="en-GB"/>
        </w:rPr>
        <w:t xml:space="preserve">. Prior to Stern v Marshall, issues that arise in and relate to bankruptcy proceedings that would otherwise be within the jurisdiction of Article III courts, were </w:t>
      </w:r>
      <w:r w:rsidR="00C705A8">
        <w:rPr>
          <w:rFonts w:ascii="Arial" w:hAnsi="Arial" w:cs="Arial"/>
          <w:lang w:val="en-GB"/>
        </w:rPr>
        <w:t xml:space="preserve">referred by the district courts to the bankruptcy court of their district with a distinction between “core” and “non-core” matters; bankruptcy courts may hear non-core proceedings provided </w:t>
      </w:r>
      <w:r w:rsidR="00C705A8">
        <w:rPr>
          <w:rFonts w:ascii="Arial" w:hAnsi="Arial" w:cs="Arial"/>
          <w:lang w:val="en-GB"/>
        </w:rPr>
        <w:lastRenderedPageBreak/>
        <w:t>they are sufficiently related to the bankruptcy proceeding but cannot make a final determination but could resolve matters presented in core proceedings</w:t>
      </w:r>
      <w:r w:rsidR="00C705A8">
        <w:rPr>
          <w:rStyle w:val="FootnoteReference"/>
          <w:rFonts w:ascii="Arial" w:hAnsi="Arial" w:cs="Arial"/>
          <w:lang w:val="en-GB"/>
        </w:rPr>
        <w:footnoteReference w:id="10"/>
      </w:r>
      <w:r w:rsidR="00C705A8">
        <w:rPr>
          <w:rFonts w:ascii="Arial" w:hAnsi="Arial" w:cs="Arial"/>
          <w:lang w:val="en-GB"/>
        </w:rPr>
        <w:t>.</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57114D8" w14:textId="19B5B948" w:rsidR="00BC4C57" w:rsidRDefault="00790371" w:rsidP="006623FF">
      <w:pPr>
        <w:pStyle w:val="AODocTxt"/>
        <w:spacing w:before="0" w:line="240" w:lineRule="auto"/>
        <w:ind w:left="720"/>
        <w:rPr>
          <w:rFonts w:ascii="Arial" w:hAnsi="Arial" w:cs="Arial"/>
        </w:rPr>
      </w:pPr>
      <w:r>
        <w:rPr>
          <w:rFonts w:ascii="Arial" w:hAnsi="Arial" w:cs="Arial"/>
        </w:rPr>
        <w:t>Use of avoidance powers</w:t>
      </w:r>
      <w:r w:rsidR="006623FF">
        <w:rPr>
          <w:rFonts w:ascii="Arial" w:hAnsi="Arial" w:cs="Arial"/>
        </w:rPr>
        <w:t xml:space="preserve"> for preference and fraudulent conveyances</w:t>
      </w:r>
      <w:r>
        <w:rPr>
          <w:rFonts w:ascii="Arial" w:hAnsi="Arial" w:cs="Arial"/>
        </w:rPr>
        <w:t xml:space="preserve"> as provided by the Bankruptcy Code.</w:t>
      </w:r>
      <w:r w:rsidR="0058315F">
        <w:rPr>
          <w:rFonts w:ascii="Arial" w:hAnsi="Arial" w:cs="Arial"/>
        </w:rPr>
        <w:t xml:space="preserve"> </w:t>
      </w:r>
      <w:r w:rsidR="00BC4C57">
        <w:rPr>
          <w:rFonts w:ascii="Arial" w:hAnsi="Arial" w:cs="Arial"/>
        </w:rPr>
        <w:t xml:space="preserve">To get around it is to bring the debtor into formal Bankruptcy proceedings under either chapter 7 or chapter 11 of the Bankruptcy Code; or to use an equivalent </w:t>
      </w:r>
      <w:r w:rsidR="006623FF">
        <w:rPr>
          <w:rFonts w:ascii="Arial" w:hAnsi="Arial" w:cs="Arial"/>
        </w:rPr>
        <w:t>US or foreign</w:t>
      </w:r>
      <w:r w:rsidR="00BC4C57">
        <w:rPr>
          <w:rFonts w:ascii="Arial" w:hAnsi="Arial" w:cs="Arial"/>
        </w:rPr>
        <w:t xml:space="preserve"> law that will result in the same outcome outside the Bankruptcy Code</w:t>
      </w:r>
      <w:r w:rsidR="006623FF">
        <w:rPr>
          <w:rStyle w:val="FootnoteReference"/>
          <w:rFonts w:ascii="Arial" w:hAnsi="Arial" w:cs="Arial"/>
        </w:rPr>
        <w:footnoteReference w:id="11"/>
      </w:r>
      <w:r w:rsidR="00BC4C57">
        <w:rPr>
          <w:rFonts w:ascii="Arial" w:hAnsi="Arial" w:cs="Arial"/>
        </w:rPr>
        <w:t>.</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1EA3F29" w14:textId="72ECAC67" w:rsidR="00DC359F" w:rsidRDefault="00D562EF" w:rsidP="00D562EF">
      <w:pPr>
        <w:pStyle w:val="AODocTxt"/>
        <w:spacing w:before="0" w:line="240" w:lineRule="auto"/>
        <w:ind w:left="720"/>
        <w:rPr>
          <w:rFonts w:ascii="Arial" w:hAnsi="Arial" w:cs="Arial"/>
        </w:rPr>
      </w:pPr>
      <w:r>
        <w:rPr>
          <w:rFonts w:ascii="Arial" w:hAnsi="Arial" w:cs="Arial"/>
        </w:rPr>
        <w:t>Final orders are those that disposes of all issues, leaving nothing further to be decided and may be appealed as of rights; Interlocutory orders only resolve some issues or claims and may only be appealed with leave of the court</w:t>
      </w:r>
      <w:r>
        <w:rPr>
          <w:rStyle w:val="FootnoteReference"/>
          <w:rFonts w:ascii="Arial" w:hAnsi="Arial" w:cs="Arial"/>
        </w:rPr>
        <w:footnoteReference w:id="12"/>
      </w:r>
      <w:r>
        <w:rPr>
          <w:rFonts w:ascii="Arial" w:hAnsi="Arial" w:cs="Arial"/>
        </w:rPr>
        <w:t>.</w:t>
      </w:r>
    </w:p>
    <w:p w14:paraId="20814404" w14:textId="77777777" w:rsidR="00126FB7" w:rsidRDefault="00126FB7" w:rsidP="00D562EF">
      <w:pPr>
        <w:pStyle w:val="AODocTxt"/>
        <w:spacing w:before="0" w:line="240" w:lineRule="auto"/>
        <w:ind w:left="720"/>
        <w:rPr>
          <w:rFonts w:ascii="Arial" w:hAnsi="Arial" w:cs="Arial"/>
        </w:rPr>
      </w:pPr>
    </w:p>
    <w:p w14:paraId="1A1B06A0" w14:textId="7B1F661F" w:rsidR="00126FB7" w:rsidRDefault="00126FB7" w:rsidP="00D562EF">
      <w:pPr>
        <w:pStyle w:val="AODocTxt"/>
        <w:spacing w:before="0" w:line="240" w:lineRule="auto"/>
        <w:ind w:left="720"/>
        <w:rPr>
          <w:rFonts w:ascii="Arial" w:hAnsi="Arial" w:cs="Arial"/>
        </w:rPr>
      </w:pPr>
      <w:r>
        <w:rPr>
          <w:rFonts w:ascii="Arial" w:hAnsi="Arial" w:cs="Arial"/>
        </w:rPr>
        <w:t>The court that can hear direct appeals from the Bankruptcy Court is usually the district court in the district where they sit.</w:t>
      </w:r>
      <w:r w:rsidR="001C09E3">
        <w:rPr>
          <w:rFonts w:ascii="Arial" w:hAnsi="Arial" w:cs="Arial"/>
        </w:rPr>
        <w:t xml:space="preserve"> In certain circuits, </w:t>
      </w:r>
      <w:proofErr w:type="gramStart"/>
      <w:r w:rsidR="001C09E3">
        <w:rPr>
          <w:rFonts w:ascii="Arial" w:hAnsi="Arial" w:cs="Arial"/>
        </w:rPr>
        <w:t>appeals are heard by a Bankruptcy Appellate Panel</w:t>
      </w:r>
      <w:proofErr w:type="gramEnd"/>
      <w:r w:rsidR="001C09E3">
        <w:rPr>
          <w:rFonts w:ascii="Arial" w:hAnsi="Arial" w:cs="Arial"/>
        </w:rPr>
        <w:t xml:space="preserve"> with the right of a party to request the appeal be heard by the district court instead.</w:t>
      </w:r>
      <w:r>
        <w:rPr>
          <w:rStyle w:val="FootnoteReference"/>
          <w:rFonts w:ascii="Arial" w:hAnsi="Arial" w:cs="Arial"/>
        </w:rPr>
        <w:footnoteReference w:id="13"/>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D9F18C4" w14:textId="7696A68B" w:rsidR="00323167" w:rsidRDefault="00F55592" w:rsidP="00F55592">
      <w:pPr>
        <w:pStyle w:val="AODocTxt"/>
        <w:spacing w:before="0" w:line="240" w:lineRule="auto"/>
        <w:ind w:left="720"/>
        <w:rPr>
          <w:rFonts w:ascii="Arial" w:hAnsi="Arial" w:cs="Arial"/>
          <w:lang w:val="en-GB"/>
        </w:rPr>
      </w:pPr>
      <w:r>
        <w:rPr>
          <w:rFonts w:ascii="Arial" w:hAnsi="Arial" w:cs="Arial"/>
          <w:lang w:val="en-GB"/>
        </w:rPr>
        <w:t xml:space="preserve">Directors of Delaware corporations owe fiduciary duties to the corporation and to its shareholders (not the creditors), this is confirmed even if the corporation is “in the zone of insolvency” by the Supreme Court of Delaware (906A.2d 168 (Del </w:t>
      </w:r>
      <w:proofErr w:type="spellStart"/>
      <w:r>
        <w:rPr>
          <w:rFonts w:ascii="Arial" w:hAnsi="Arial" w:cs="Arial"/>
          <w:lang w:val="en-GB"/>
        </w:rPr>
        <w:t>Ch</w:t>
      </w:r>
      <w:proofErr w:type="spellEnd"/>
      <w:r>
        <w:rPr>
          <w:rFonts w:ascii="Arial" w:hAnsi="Arial" w:cs="Arial"/>
          <w:lang w:val="en-GB"/>
        </w:rPr>
        <w:t xml:space="preserve"> 2006)). The fiduciary duties that the directors owe are the duty of loyalty to the corporation’s best interest and the duty of care in educated decision-making but are protected from liability for errors in judgment by the business judgment rule</w:t>
      </w:r>
      <w:r>
        <w:rPr>
          <w:rStyle w:val="FootnoteReference"/>
          <w:rFonts w:ascii="Arial" w:hAnsi="Arial" w:cs="Arial"/>
          <w:lang w:val="en-GB"/>
        </w:rPr>
        <w:footnoteReference w:id="14"/>
      </w:r>
      <w:r>
        <w:rPr>
          <w:rFonts w:ascii="Arial" w:hAnsi="Arial" w:cs="Arial"/>
          <w:lang w:val="en-GB"/>
        </w:rPr>
        <w:t>.</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lastRenderedPageBreak/>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C6FF013" w14:textId="5D6710B7" w:rsidR="00323167" w:rsidRDefault="009B0D26" w:rsidP="009B0D26">
      <w:pPr>
        <w:pStyle w:val="AODocTxt"/>
        <w:spacing w:before="0" w:line="240" w:lineRule="auto"/>
        <w:ind w:left="720"/>
        <w:rPr>
          <w:rFonts w:ascii="Arial" w:hAnsi="Arial" w:cs="Arial"/>
        </w:rPr>
      </w:pPr>
      <w:r>
        <w:rPr>
          <w:rFonts w:ascii="Arial" w:hAnsi="Arial" w:cs="Arial"/>
        </w:rPr>
        <w:t xml:space="preserve">The Centre of Main Interest (COMI) of Gambling Corporation would be considered to be Greece as it is incorporated and has its principal place of business in Greece. </w:t>
      </w:r>
      <w:r w:rsidR="0089527E">
        <w:rPr>
          <w:rFonts w:ascii="Arial" w:hAnsi="Arial" w:cs="Arial"/>
        </w:rPr>
        <w:t>Even though there is activity by Gambling Corporation in London, the COMI is usually presumed to be where the corporation is incorporated though this is rebuttable</w:t>
      </w:r>
      <w:r w:rsidR="0089527E">
        <w:rPr>
          <w:rStyle w:val="FootnoteReference"/>
          <w:rFonts w:ascii="Arial" w:hAnsi="Arial" w:cs="Arial"/>
        </w:rPr>
        <w:footnoteReference w:id="15"/>
      </w:r>
      <w:r w:rsidR="0089527E">
        <w:rPr>
          <w:rFonts w:ascii="Arial" w:hAnsi="Arial" w:cs="Arial"/>
        </w:rPr>
        <w:t>. On the face of it accordingly, recognition under US chapter 15 would be as a foreign non-main proceeding and any relief may be granted on a discretionary basis, which may include automatic stay; operation of the debtor’s business in the ordinary course by the foreign representative; sale, transfer or use of property outside the ordinary course; avoidance of post-petition transfers and post-petition perfection of security interest</w:t>
      </w:r>
      <w:r w:rsidR="0089527E">
        <w:rPr>
          <w:rStyle w:val="FootnoteReference"/>
          <w:rFonts w:ascii="Arial" w:hAnsi="Arial" w:cs="Arial"/>
        </w:rPr>
        <w:footnoteReference w:id="16"/>
      </w:r>
      <w:r w:rsidR="0089527E">
        <w:rPr>
          <w:rFonts w:ascii="Arial" w:hAnsi="Arial" w:cs="Arial"/>
        </w:rPr>
        <w:t>.</w:t>
      </w: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 xml:space="preserve">What would be the effect of Oil Corp filing a chapter 11 </w:t>
      </w:r>
      <w:proofErr w:type="gramStart"/>
      <w:r w:rsidRPr="00323167">
        <w:rPr>
          <w:rFonts w:ascii="Arial" w:hAnsi="Arial" w:cs="Arial"/>
        </w:rPr>
        <w:t>petition</w:t>
      </w:r>
      <w:proofErr w:type="gramEnd"/>
      <w:r w:rsidRPr="00323167">
        <w:rPr>
          <w:rFonts w:ascii="Arial" w:hAnsi="Arial" w:cs="Arial"/>
        </w:rPr>
        <w:t xml:space="preserve">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50936C57" w:rsidR="00323167" w:rsidRDefault="00E039F2" w:rsidP="00E039F2">
      <w:pPr>
        <w:pStyle w:val="AODocTxt"/>
        <w:spacing w:before="0" w:line="240" w:lineRule="auto"/>
        <w:ind w:left="720"/>
        <w:rPr>
          <w:rFonts w:ascii="Arial" w:hAnsi="Arial" w:cs="Arial"/>
        </w:rPr>
      </w:pPr>
      <w:r>
        <w:rPr>
          <w:rFonts w:ascii="Arial" w:hAnsi="Arial" w:cs="Arial"/>
        </w:rPr>
        <w:t>Filing of Chapter 11 proceedings will cause an automatic stay of all proceedings as</w:t>
      </w:r>
      <w:r w:rsidR="005E550E">
        <w:rPr>
          <w:rFonts w:ascii="Arial" w:hAnsi="Arial" w:cs="Arial"/>
        </w:rPr>
        <w:t xml:space="preserve"> soon as the petition is filed, giving Oil Corp the protection it needs and will allow it to deal with its property in the ordinary course of business with the added ability to sell its property free and clear of creditor interest with a court approval in a 363 sale</w:t>
      </w:r>
      <w:r w:rsidR="00C97BBD">
        <w:rPr>
          <w:rStyle w:val="FootnoteReference"/>
          <w:rFonts w:ascii="Arial" w:hAnsi="Arial" w:cs="Arial"/>
        </w:rPr>
        <w:footnoteReference w:id="17"/>
      </w:r>
      <w:r w:rsidR="005E550E">
        <w:rPr>
          <w:rFonts w:ascii="Arial" w:hAnsi="Arial" w:cs="Arial"/>
        </w:rPr>
        <w:t>.</w:t>
      </w:r>
    </w:p>
    <w:p w14:paraId="24E66627" w14:textId="77777777" w:rsidR="000157F2" w:rsidRDefault="000157F2" w:rsidP="00E039F2">
      <w:pPr>
        <w:pStyle w:val="AODocTxt"/>
        <w:spacing w:before="0" w:line="240" w:lineRule="auto"/>
        <w:ind w:left="720"/>
        <w:rPr>
          <w:rFonts w:ascii="Arial" w:hAnsi="Arial" w:cs="Arial"/>
        </w:rPr>
      </w:pPr>
    </w:p>
    <w:p w14:paraId="35E9A27C" w14:textId="4A85BC6A" w:rsidR="000157F2" w:rsidRDefault="000157F2" w:rsidP="00E039F2">
      <w:pPr>
        <w:pStyle w:val="AODocTxt"/>
        <w:spacing w:before="0" w:line="240" w:lineRule="auto"/>
        <w:ind w:left="720"/>
        <w:rPr>
          <w:rFonts w:ascii="Arial" w:hAnsi="Arial" w:cs="Arial"/>
        </w:rPr>
      </w:pPr>
      <w:proofErr w:type="spellStart"/>
      <w:r>
        <w:rPr>
          <w:rFonts w:ascii="Arial" w:hAnsi="Arial" w:cs="Arial"/>
        </w:rPr>
        <w:t>ShipCo</w:t>
      </w:r>
      <w:proofErr w:type="spellEnd"/>
      <w:r>
        <w:rPr>
          <w:rFonts w:ascii="Arial" w:hAnsi="Arial" w:cs="Arial"/>
        </w:rPr>
        <w:t xml:space="preserve"> –</w:t>
      </w:r>
      <w:r w:rsidR="005E550E">
        <w:rPr>
          <w:rFonts w:ascii="Arial" w:hAnsi="Arial" w:cs="Arial"/>
        </w:rPr>
        <w:t xml:space="preserve"> the b</w:t>
      </w:r>
      <w:r>
        <w:rPr>
          <w:rFonts w:ascii="Arial" w:hAnsi="Arial" w:cs="Arial"/>
        </w:rPr>
        <w:t>reach of c</w:t>
      </w:r>
      <w:r w:rsidR="005E550E">
        <w:rPr>
          <w:rFonts w:ascii="Arial" w:hAnsi="Arial" w:cs="Arial"/>
        </w:rPr>
        <w:t xml:space="preserve">ontract lawsuit is stayed by filing the chapter 11 </w:t>
      </w:r>
      <w:proofErr w:type="gramStart"/>
      <w:r w:rsidR="005E550E">
        <w:rPr>
          <w:rFonts w:ascii="Arial" w:hAnsi="Arial" w:cs="Arial"/>
        </w:rPr>
        <w:t>petition</w:t>
      </w:r>
      <w:proofErr w:type="gramEnd"/>
      <w:r w:rsidR="005E550E">
        <w:rPr>
          <w:rFonts w:ascii="Arial" w:hAnsi="Arial" w:cs="Arial"/>
        </w:rPr>
        <w:t>, it will be contempt of court if Ship</w:t>
      </w:r>
      <w:r w:rsidR="00641C0D">
        <w:rPr>
          <w:rFonts w:ascii="Arial" w:hAnsi="Arial" w:cs="Arial"/>
        </w:rPr>
        <w:t xml:space="preserve"> </w:t>
      </w:r>
      <w:r w:rsidR="005E550E">
        <w:rPr>
          <w:rFonts w:ascii="Arial" w:hAnsi="Arial" w:cs="Arial"/>
        </w:rPr>
        <w:t>Co continues to pursue its</w:t>
      </w:r>
      <w:r w:rsidR="00C97BBD">
        <w:rPr>
          <w:rFonts w:ascii="Arial" w:hAnsi="Arial" w:cs="Arial"/>
        </w:rPr>
        <w:t xml:space="preserve"> damages</w:t>
      </w:r>
      <w:r w:rsidR="005E550E">
        <w:rPr>
          <w:rFonts w:ascii="Arial" w:hAnsi="Arial" w:cs="Arial"/>
        </w:rPr>
        <w:t xml:space="preserve"> claim without </w:t>
      </w:r>
      <w:r w:rsidR="00C97BBD">
        <w:rPr>
          <w:rFonts w:ascii="Arial" w:hAnsi="Arial" w:cs="Arial"/>
        </w:rPr>
        <w:t>lifting of the stay</w:t>
      </w:r>
      <w:r w:rsidR="00641C0D">
        <w:rPr>
          <w:rStyle w:val="FootnoteReference"/>
          <w:rFonts w:ascii="Arial" w:hAnsi="Arial" w:cs="Arial"/>
        </w:rPr>
        <w:footnoteReference w:id="18"/>
      </w:r>
      <w:r w:rsidR="00C97BBD">
        <w:rPr>
          <w:rFonts w:ascii="Arial" w:hAnsi="Arial" w:cs="Arial"/>
        </w:rPr>
        <w:t>.</w:t>
      </w:r>
    </w:p>
    <w:p w14:paraId="2E1F66F3" w14:textId="77777777" w:rsidR="000157F2" w:rsidRDefault="000157F2" w:rsidP="00E039F2">
      <w:pPr>
        <w:pStyle w:val="AODocTxt"/>
        <w:spacing w:before="0" w:line="240" w:lineRule="auto"/>
        <w:ind w:left="720"/>
        <w:rPr>
          <w:rFonts w:ascii="Arial" w:hAnsi="Arial" w:cs="Arial"/>
        </w:rPr>
      </w:pPr>
    </w:p>
    <w:p w14:paraId="46C2AB96" w14:textId="37BC3EC3" w:rsidR="000157F2" w:rsidRDefault="000157F2" w:rsidP="00E039F2">
      <w:pPr>
        <w:pStyle w:val="AODocTxt"/>
        <w:spacing w:before="0" w:line="240" w:lineRule="auto"/>
        <w:ind w:left="720"/>
        <w:rPr>
          <w:rFonts w:ascii="Arial" w:hAnsi="Arial" w:cs="Arial"/>
        </w:rPr>
      </w:pPr>
      <w:r>
        <w:rPr>
          <w:rFonts w:ascii="Arial" w:hAnsi="Arial" w:cs="Arial"/>
        </w:rPr>
        <w:t xml:space="preserve">US Department of Justice – investigation into illegally purchased oil from countries subject to US sanctions </w:t>
      </w:r>
      <w:r w:rsidR="007148A4">
        <w:rPr>
          <w:rFonts w:ascii="Arial" w:hAnsi="Arial" w:cs="Arial"/>
        </w:rPr>
        <w:t>–</w:t>
      </w:r>
      <w:r>
        <w:rPr>
          <w:rFonts w:ascii="Arial" w:hAnsi="Arial" w:cs="Arial"/>
        </w:rPr>
        <w:t xml:space="preserve"> </w:t>
      </w:r>
      <w:r w:rsidR="007148A4">
        <w:rPr>
          <w:rFonts w:ascii="Arial" w:hAnsi="Arial" w:cs="Arial"/>
        </w:rPr>
        <w:t xml:space="preserve">these are investigations in criminal proceedings, it falls outside the operation of bankruptcy law. Chapter 11 will not assist </w:t>
      </w:r>
      <w:r w:rsidR="00641C0D">
        <w:rPr>
          <w:rFonts w:ascii="Arial" w:hAnsi="Arial" w:cs="Arial"/>
        </w:rPr>
        <w:t>and automatic stay will not be extended to these proceedings</w:t>
      </w:r>
      <w:r w:rsidR="00641C0D">
        <w:rPr>
          <w:rStyle w:val="FootnoteReference"/>
          <w:rFonts w:ascii="Arial" w:hAnsi="Arial" w:cs="Arial"/>
        </w:rPr>
        <w:footnoteReference w:id="19"/>
      </w:r>
      <w:r w:rsidR="00641C0D">
        <w:rPr>
          <w:rFonts w:ascii="Arial" w:hAnsi="Arial" w:cs="Arial"/>
        </w:rPr>
        <w:t>.</w:t>
      </w:r>
    </w:p>
    <w:p w14:paraId="74EDF53C" w14:textId="77777777" w:rsidR="000157F2" w:rsidRDefault="000157F2" w:rsidP="00E039F2">
      <w:pPr>
        <w:pStyle w:val="AODocTxt"/>
        <w:spacing w:before="0" w:line="240" w:lineRule="auto"/>
        <w:ind w:left="720"/>
        <w:rPr>
          <w:rFonts w:ascii="Arial" w:hAnsi="Arial" w:cs="Arial"/>
        </w:rPr>
      </w:pPr>
    </w:p>
    <w:p w14:paraId="7B9A2A28" w14:textId="1CAA1B79" w:rsidR="000157F2" w:rsidRDefault="000157F2" w:rsidP="00E039F2">
      <w:pPr>
        <w:pStyle w:val="AODocTxt"/>
        <w:spacing w:before="0" w:line="240" w:lineRule="auto"/>
        <w:ind w:left="720"/>
        <w:rPr>
          <w:rFonts w:ascii="Arial" w:hAnsi="Arial" w:cs="Arial"/>
        </w:rPr>
      </w:pPr>
      <w:r>
        <w:rPr>
          <w:rFonts w:ascii="Arial" w:hAnsi="Arial" w:cs="Arial"/>
        </w:rPr>
        <w:t>USA Bank – threat of foreclosure on a refinery in the Philippines on the basis of a mis</w:t>
      </w:r>
      <w:r w:rsidR="00C97BBD">
        <w:rPr>
          <w:rFonts w:ascii="Arial" w:hAnsi="Arial" w:cs="Arial"/>
        </w:rPr>
        <w:t xml:space="preserve">sed payment of a secured loan  - a chapter 11 proceedings </w:t>
      </w:r>
      <w:r w:rsidR="007148A4">
        <w:rPr>
          <w:rFonts w:ascii="Arial" w:hAnsi="Arial" w:cs="Arial"/>
        </w:rPr>
        <w:t>invokes the automatic stay of this enforcement with the property o the estate anywhere in the world, including in this case the refinery in the Philippines</w:t>
      </w:r>
      <w:r w:rsidR="007148A4">
        <w:rPr>
          <w:rStyle w:val="FootnoteReference"/>
          <w:rFonts w:ascii="Arial" w:hAnsi="Arial" w:cs="Arial"/>
        </w:rPr>
        <w:footnoteReference w:id="20"/>
      </w:r>
      <w:r w:rsidR="007148A4">
        <w:rPr>
          <w:rFonts w:ascii="Arial" w:hAnsi="Arial" w:cs="Arial"/>
        </w:rPr>
        <w:t>. This will also</w:t>
      </w:r>
      <w:r w:rsidR="00C97BBD">
        <w:rPr>
          <w:rFonts w:ascii="Arial" w:hAnsi="Arial" w:cs="Arial"/>
        </w:rPr>
        <w:t xml:space="preserve"> allow Oil Corp to sell the refinery in a 363 sale free and clear of USA Bank’s interest in the refinery provided that it received court a</w:t>
      </w:r>
      <w:r w:rsidR="00641C0D">
        <w:rPr>
          <w:rFonts w:ascii="Arial" w:hAnsi="Arial" w:cs="Arial"/>
        </w:rPr>
        <w:t>pproval if it chooses to do so</w:t>
      </w:r>
      <w:r w:rsidR="00641C0D">
        <w:rPr>
          <w:rStyle w:val="FootnoteReference"/>
          <w:rFonts w:ascii="Arial" w:hAnsi="Arial" w:cs="Arial"/>
        </w:rPr>
        <w:footnoteReference w:id="21"/>
      </w:r>
      <w:r w:rsidR="00641C0D">
        <w:rPr>
          <w:rFonts w:ascii="Arial" w:hAnsi="Arial" w:cs="Arial"/>
        </w:rPr>
        <w:t>.</w:t>
      </w:r>
    </w:p>
    <w:p w14:paraId="21D531DD" w14:textId="77777777" w:rsidR="000157F2" w:rsidRDefault="000157F2" w:rsidP="00E039F2">
      <w:pPr>
        <w:pStyle w:val="AODocTxt"/>
        <w:spacing w:before="0" w:line="240" w:lineRule="auto"/>
        <w:ind w:left="720"/>
        <w:rPr>
          <w:rFonts w:ascii="Arial" w:hAnsi="Arial" w:cs="Arial"/>
        </w:rPr>
      </w:pPr>
    </w:p>
    <w:p w14:paraId="0AE6A5CF" w14:textId="100F3703" w:rsidR="000157F2" w:rsidRDefault="000157F2" w:rsidP="00E039F2">
      <w:pPr>
        <w:pStyle w:val="AODocTxt"/>
        <w:spacing w:before="0" w:line="240" w:lineRule="auto"/>
        <w:ind w:left="720"/>
        <w:rPr>
          <w:rFonts w:ascii="Arial" w:hAnsi="Arial" w:cs="Arial"/>
        </w:rPr>
      </w:pPr>
      <w:r>
        <w:rPr>
          <w:rFonts w:ascii="Arial" w:hAnsi="Arial" w:cs="Arial"/>
        </w:rPr>
        <w:t xml:space="preserve">Landlord – eviction because of missed rent payment on the Houston office space </w:t>
      </w:r>
      <w:r w:rsidR="00035CFC">
        <w:rPr>
          <w:rFonts w:ascii="Arial" w:hAnsi="Arial" w:cs="Arial"/>
        </w:rPr>
        <w:t>– this proceeding is also stayed and Oil Corp has the option to assume, reject or assume and assign the lease, which lease may be assigned despite anything within the lease disallowing it without landlord approval</w:t>
      </w:r>
      <w:r w:rsidR="00035CFC">
        <w:rPr>
          <w:rStyle w:val="FootnoteReference"/>
          <w:rFonts w:ascii="Arial" w:hAnsi="Arial" w:cs="Arial"/>
        </w:rPr>
        <w:footnoteReference w:id="22"/>
      </w:r>
      <w:r w:rsidR="00035CFC">
        <w:rPr>
          <w:rFonts w:ascii="Arial" w:hAnsi="Arial" w:cs="Arial"/>
        </w:rPr>
        <w:t>.</w:t>
      </w: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2D3AFBDB" w:rsidR="005B2A9B" w:rsidRDefault="009B68E5" w:rsidP="00D43769">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 xml:space="preserve">The trademark licence is an </w:t>
      </w:r>
      <w:proofErr w:type="spellStart"/>
      <w:r>
        <w:rPr>
          <w:rFonts w:ascii="Arial" w:hAnsi="Arial" w:cs="Arial"/>
          <w:sz w:val="22"/>
          <w:szCs w:val="22"/>
          <w:lang w:val="en-GB"/>
        </w:rPr>
        <w:t>executory</w:t>
      </w:r>
      <w:proofErr w:type="spellEnd"/>
      <w:r>
        <w:rPr>
          <w:rFonts w:ascii="Arial" w:hAnsi="Arial" w:cs="Arial"/>
          <w:sz w:val="22"/>
          <w:szCs w:val="22"/>
          <w:lang w:val="en-GB"/>
        </w:rPr>
        <w:t xml:space="preserve"> contract, and is not assignable without the licensor’s consent.</w:t>
      </w:r>
      <w:r w:rsidR="00D43769">
        <w:rPr>
          <w:rFonts w:ascii="Arial" w:hAnsi="Arial" w:cs="Arial"/>
          <w:sz w:val="22"/>
          <w:szCs w:val="22"/>
          <w:lang w:val="en-GB"/>
        </w:rPr>
        <w:t xml:space="preserve"> The debtor’s intention here is clearly to assume and assign the </w:t>
      </w:r>
      <w:proofErr w:type="gramStart"/>
      <w:r w:rsidR="00D43769">
        <w:rPr>
          <w:rFonts w:ascii="Arial" w:hAnsi="Arial" w:cs="Arial"/>
          <w:sz w:val="22"/>
          <w:szCs w:val="22"/>
          <w:lang w:val="en-GB"/>
        </w:rPr>
        <w:t>trademark which</w:t>
      </w:r>
      <w:proofErr w:type="gramEnd"/>
      <w:r w:rsidR="00D43769">
        <w:rPr>
          <w:rFonts w:ascii="Arial" w:hAnsi="Arial" w:cs="Arial"/>
          <w:sz w:val="22"/>
          <w:szCs w:val="22"/>
          <w:lang w:val="en-GB"/>
        </w:rPr>
        <w:t xml:space="preserve"> is prohibited without the licensor’s consent, it meets the prohibition requirements when applying both the hypothetical test and the actual test</w:t>
      </w:r>
      <w:r w:rsidR="00D43769">
        <w:rPr>
          <w:rStyle w:val="FootnoteReference"/>
          <w:rFonts w:ascii="Arial" w:hAnsi="Arial" w:cs="Arial"/>
          <w:sz w:val="22"/>
          <w:szCs w:val="22"/>
          <w:lang w:val="en-GB"/>
        </w:rPr>
        <w:footnoteReference w:id="23"/>
      </w:r>
      <w:r w:rsidR="00D43769">
        <w:rPr>
          <w:rFonts w:ascii="Arial" w:hAnsi="Arial" w:cs="Arial"/>
          <w:sz w:val="22"/>
          <w:szCs w:val="22"/>
          <w:lang w:val="en-GB"/>
        </w:rPr>
        <w:t>. Accordingly, assumption and assignment of the trademark is not possible without the consent of Plastic Corp.</w:t>
      </w:r>
    </w:p>
    <w:p w14:paraId="12A84FC7" w14:textId="77777777" w:rsidR="00D43769" w:rsidRDefault="00D43769" w:rsidP="00D43769">
      <w:pPr>
        <w:autoSpaceDE w:val="0"/>
        <w:autoSpaceDN w:val="0"/>
        <w:adjustRightInd w:val="0"/>
        <w:ind w:left="720"/>
        <w:jc w:val="both"/>
        <w:rPr>
          <w:rFonts w:ascii="Arial" w:hAnsi="Arial" w:cs="Arial"/>
          <w:sz w:val="22"/>
          <w:szCs w:val="22"/>
          <w:lang w:val="en-GB"/>
        </w:rPr>
      </w:pPr>
    </w:p>
    <w:p w14:paraId="5E093C97" w14:textId="794785AF" w:rsidR="00D43769" w:rsidRDefault="00D43769" w:rsidP="00D43769">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Rejection of the patent licence will require Plastic Corp to consent to it. Licensees of patents and copyrights owned by the debtor are protected such that their licences may not be terminated in connection with the sale of intellectual property without their consent</w:t>
      </w:r>
      <w:r>
        <w:rPr>
          <w:rStyle w:val="FootnoteReference"/>
          <w:rFonts w:ascii="Arial" w:hAnsi="Arial" w:cs="Arial"/>
          <w:sz w:val="22"/>
          <w:szCs w:val="22"/>
          <w:lang w:val="en-GB"/>
        </w:rPr>
        <w:footnoteReference w:id="24"/>
      </w:r>
      <w:r>
        <w:rPr>
          <w:rFonts w:ascii="Arial" w:hAnsi="Arial" w:cs="Arial"/>
          <w:sz w:val="22"/>
          <w:szCs w:val="22"/>
          <w:lang w:val="en-GB"/>
        </w:rPr>
        <w:t xml:space="preserve"> (</w:t>
      </w:r>
      <w:proofErr w:type="gramStart"/>
      <w:r>
        <w:rPr>
          <w:rFonts w:ascii="Arial" w:hAnsi="Arial" w:cs="Arial"/>
          <w:sz w:val="22"/>
          <w:szCs w:val="22"/>
          <w:lang w:val="en-GB"/>
        </w:rPr>
        <w:t>s365(</w:t>
      </w:r>
      <w:proofErr w:type="gramEnd"/>
      <w:r>
        <w:rPr>
          <w:rFonts w:ascii="Arial" w:hAnsi="Arial" w:cs="Arial"/>
          <w:sz w:val="22"/>
          <w:szCs w:val="22"/>
          <w:lang w:val="en-GB"/>
        </w:rPr>
        <w:t>n)).</w:t>
      </w:r>
    </w:p>
    <w:p w14:paraId="47E07ABE" w14:textId="77777777" w:rsidR="00D43769" w:rsidRDefault="00D43769" w:rsidP="00D43769">
      <w:pPr>
        <w:autoSpaceDE w:val="0"/>
        <w:autoSpaceDN w:val="0"/>
        <w:adjustRightInd w:val="0"/>
        <w:ind w:left="720"/>
        <w:jc w:val="both"/>
        <w:rPr>
          <w:rFonts w:ascii="Arial" w:hAnsi="Arial" w:cs="Arial"/>
          <w:sz w:val="22"/>
          <w:szCs w:val="22"/>
          <w:lang w:val="en-GB"/>
        </w:rPr>
      </w:pPr>
    </w:p>
    <w:p w14:paraId="4D05F9A8" w14:textId="463137F2" w:rsidR="00D43769" w:rsidRPr="0036086D" w:rsidRDefault="00D14A35" w:rsidP="00D43769">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Selling of the manufacturing facility free and clear of the USA Bank lien can be achieved in a 363 sale. A 363 sale will allow Oil Corp to sell the manufacturing facility free and clear of creditor interest with court approval</w:t>
      </w:r>
      <w:r>
        <w:rPr>
          <w:rStyle w:val="FootnoteReference"/>
          <w:rFonts w:ascii="Arial" w:hAnsi="Arial" w:cs="Arial"/>
          <w:sz w:val="22"/>
          <w:szCs w:val="22"/>
          <w:lang w:val="en-GB"/>
        </w:rPr>
        <w:footnoteReference w:id="25"/>
      </w:r>
      <w:r w:rsidR="0059315E">
        <w:rPr>
          <w:rFonts w:ascii="Arial" w:hAnsi="Arial" w:cs="Arial"/>
          <w:sz w:val="22"/>
          <w:szCs w:val="22"/>
          <w:lang w:val="en-GB"/>
        </w:rPr>
        <w:t>. Oil Corp must establish that it is proposing the transaction in its business judgment and that the transaction is in the best interests of the estate as a whole</w:t>
      </w:r>
      <w:r w:rsidR="0059315E">
        <w:rPr>
          <w:rStyle w:val="FootnoteReference"/>
          <w:rFonts w:ascii="Arial" w:hAnsi="Arial" w:cs="Arial"/>
          <w:sz w:val="22"/>
          <w:szCs w:val="22"/>
          <w:lang w:val="en-GB"/>
        </w:rPr>
        <w:footnoteReference w:id="26"/>
      </w:r>
      <w:r w:rsidR="0059315E">
        <w:rPr>
          <w:rFonts w:ascii="Arial" w:hAnsi="Arial" w:cs="Arial"/>
          <w:sz w:val="22"/>
          <w:szCs w:val="22"/>
          <w:lang w:val="en-GB"/>
        </w:rPr>
        <w:t>. As USA Bank has a lien</w:t>
      </w:r>
      <w:r w:rsidR="00893109">
        <w:rPr>
          <w:rFonts w:ascii="Arial" w:hAnsi="Arial" w:cs="Arial"/>
          <w:sz w:val="22"/>
          <w:szCs w:val="22"/>
          <w:lang w:val="en-GB"/>
        </w:rPr>
        <w:t xml:space="preserve"> over it ranks high in </w:t>
      </w:r>
      <w:r w:rsidR="00893109">
        <w:rPr>
          <w:rFonts w:ascii="Arial" w:hAnsi="Arial" w:cs="Arial"/>
          <w:sz w:val="22"/>
          <w:szCs w:val="22"/>
          <w:lang w:val="en-GB"/>
        </w:rPr>
        <w:lastRenderedPageBreak/>
        <w:t>the application of the absolute priority rule, however if the sale price will achieve less than what the manufacturing facility will be realised for in chapter 7 proceedings, USA Bank will need to consent</w:t>
      </w:r>
      <w:r w:rsidR="00893109">
        <w:rPr>
          <w:rStyle w:val="FootnoteReference"/>
          <w:rFonts w:ascii="Arial" w:hAnsi="Arial" w:cs="Arial"/>
          <w:sz w:val="22"/>
          <w:szCs w:val="22"/>
          <w:lang w:val="en-GB"/>
        </w:rPr>
        <w:footnoteReference w:id="27"/>
      </w:r>
      <w:r w:rsidR="00893109">
        <w:rPr>
          <w:rFonts w:ascii="Arial" w:hAnsi="Arial" w:cs="Arial"/>
          <w:sz w:val="22"/>
          <w:szCs w:val="22"/>
          <w:lang w:val="en-GB"/>
        </w:rPr>
        <w:t xml:space="preserve">. </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993F" w14:textId="77777777" w:rsidR="0059315E" w:rsidRDefault="0059315E" w:rsidP="00241B44">
      <w:r>
        <w:separator/>
      </w:r>
    </w:p>
  </w:endnote>
  <w:endnote w:type="continuationSeparator" w:id="0">
    <w:p w14:paraId="19EBBA65" w14:textId="77777777" w:rsidR="0059315E" w:rsidRDefault="005931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9315E" w:rsidRPr="00FC7B47" w:rsidRDefault="0059315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59315E" w:rsidRPr="00FC7B47" w:rsidRDefault="0059315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59315E" w:rsidRPr="009B4976" w:rsidRDefault="0059315E" w:rsidP="006A241E">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E07C4">
          <w:rPr>
            <w:rStyle w:val="PageNumber"/>
            <w:rFonts w:ascii="Arial" w:hAnsi="Arial" w:cs="Arial"/>
            <w:noProof/>
            <w:sz w:val="18"/>
            <w:szCs w:val="18"/>
          </w:rPr>
          <w:t>7</w:t>
        </w:r>
        <w:r w:rsidRPr="009B4976">
          <w:rPr>
            <w:rStyle w:val="PageNumber"/>
            <w:rFonts w:ascii="Arial" w:hAnsi="Arial" w:cs="Arial"/>
            <w:sz w:val="18"/>
            <w:szCs w:val="18"/>
          </w:rPr>
          <w:fldChar w:fldCharType="end"/>
        </w:r>
      </w:p>
    </w:sdtContent>
  </w:sdt>
  <w:p w14:paraId="30F05E79" w14:textId="7C9B3557" w:rsidR="0059315E" w:rsidRPr="009B4976" w:rsidRDefault="0059315E"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B978" w14:textId="77777777" w:rsidR="0059315E" w:rsidRDefault="0059315E" w:rsidP="00241B44">
      <w:r>
        <w:separator/>
      </w:r>
    </w:p>
  </w:footnote>
  <w:footnote w:type="continuationSeparator" w:id="0">
    <w:p w14:paraId="7B051F4E" w14:textId="77777777" w:rsidR="0059315E" w:rsidRDefault="0059315E" w:rsidP="00241B44">
      <w:r>
        <w:continuationSeparator/>
      </w:r>
    </w:p>
  </w:footnote>
  <w:footnote w:id="1">
    <w:p w14:paraId="4E757334" w14:textId="7E9020E2" w:rsidR="0059315E" w:rsidRDefault="0059315E">
      <w:pPr>
        <w:pStyle w:val="FootnoteText"/>
      </w:pPr>
      <w:r>
        <w:rPr>
          <w:rStyle w:val="FootnoteReference"/>
        </w:rPr>
        <w:footnoteRef/>
      </w:r>
      <w:r>
        <w:t xml:space="preserve"> Hall, Laura R, Foundation Certificate in International Insolvency Law Module 3A Guidance Text Insolvency System of the United States (“</w:t>
      </w:r>
      <w:r w:rsidRPr="00A756CB">
        <w:rPr>
          <w:b/>
        </w:rPr>
        <w:t>Guidance Text</w:t>
      </w:r>
      <w:r>
        <w:t>”) page 10, 5.3.3</w:t>
      </w:r>
    </w:p>
  </w:footnote>
  <w:footnote w:id="2">
    <w:p w14:paraId="721BAED6" w14:textId="17792716" w:rsidR="0059315E" w:rsidRDefault="0059315E">
      <w:pPr>
        <w:pStyle w:val="FootnoteText"/>
      </w:pPr>
      <w:r>
        <w:rPr>
          <w:rStyle w:val="FootnoteReference"/>
        </w:rPr>
        <w:footnoteRef/>
      </w:r>
      <w:r>
        <w:t xml:space="preserve"> Guidance Text page 22, 5.4.2.1</w:t>
      </w:r>
    </w:p>
  </w:footnote>
  <w:footnote w:id="3">
    <w:p w14:paraId="1D70A8C3" w14:textId="6F8CE550" w:rsidR="0059315E" w:rsidRDefault="0059315E">
      <w:pPr>
        <w:pStyle w:val="FootnoteText"/>
      </w:pPr>
      <w:r>
        <w:rPr>
          <w:rStyle w:val="FootnoteReference"/>
        </w:rPr>
        <w:footnoteRef/>
      </w:r>
      <w:r>
        <w:t xml:space="preserve"> Guidance Text page 37, 5.3.3.1</w:t>
      </w:r>
    </w:p>
  </w:footnote>
  <w:footnote w:id="4">
    <w:p w14:paraId="3336587A" w14:textId="425913E9" w:rsidR="00E42798" w:rsidRDefault="00E42798">
      <w:pPr>
        <w:pStyle w:val="FootnoteText"/>
      </w:pPr>
      <w:r>
        <w:rPr>
          <w:rStyle w:val="FootnoteReference"/>
        </w:rPr>
        <w:footnoteRef/>
      </w:r>
      <w:r>
        <w:t xml:space="preserve"> Guidance Text page 40, 5.5.4.3</w:t>
      </w:r>
    </w:p>
  </w:footnote>
  <w:footnote w:id="5">
    <w:p w14:paraId="3E10C691" w14:textId="0CF55B12" w:rsidR="0059315E" w:rsidRDefault="0059315E">
      <w:pPr>
        <w:pStyle w:val="FootnoteText"/>
      </w:pPr>
      <w:r>
        <w:rPr>
          <w:rStyle w:val="FootnoteReference"/>
        </w:rPr>
        <w:footnoteRef/>
      </w:r>
      <w:r>
        <w:t xml:space="preserve"> Guidance Text page 50, 5.7.2</w:t>
      </w:r>
    </w:p>
  </w:footnote>
  <w:footnote w:id="6">
    <w:p w14:paraId="6E0772D9" w14:textId="54C71693" w:rsidR="0059315E" w:rsidRDefault="0059315E">
      <w:pPr>
        <w:pStyle w:val="FootnoteText"/>
      </w:pPr>
      <w:r>
        <w:rPr>
          <w:rStyle w:val="FootnoteReference"/>
        </w:rPr>
        <w:footnoteRef/>
      </w:r>
      <w:r>
        <w:t xml:space="preserve"> Guidance Text page 57, 5.7.3</w:t>
      </w:r>
    </w:p>
  </w:footnote>
  <w:footnote w:id="7">
    <w:p w14:paraId="6AED2A3A" w14:textId="1D427655" w:rsidR="0059315E" w:rsidRDefault="0059315E">
      <w:pPr>
        <w:pStyle w:val="FootnoteText"/>
      </w:pPr>
      <w:r>
        <w:rPr>
          <w:rStyle w:val="FootnoteReference"/>
        </w:rPr>
        <w:footnoteRef/>
      </w:r>
      <w:r>
        <w:t xml:space="preserve"> Guidance Text page 56, 5.7.3</w:t>
      </w:r>
    </w:p>
  </w:footnote>
  <w:footnote w:id="8">
    <w:p w14:paraId="0FC67A06" w14:textId="2BE69853" w:rsidR="0059315E" w:rsidRDefault="0059315E">
      <w:pPr>
        <w:pStyle w:val="FootnoteText"/>
      </w:pPr>
      <w:r>
        <w:rPr>
          <w:rStyle w:val="FootnoteReference"/>
        </w:rPr>
        <w:footnoteRef/>
      </w:r>
      <w:r>
        <w:t xml:space="preserve"> Guidance Text page 17, 5.3.4.4</w:t>
      </w:r>
    </w:p>
  </w:footnote>
  <w:footnote w:id="9">
    <w:p w14:paraId="31894C72" w14:textId="2CBC7626" w:rsidR="0059315E" w:rsidRDefault="0059315E">
      <w:pPr>
        <w:pStyle w:val="FootnoteText"/>
      </w:pPr>
      <w:r>
        <w:rPr>
          <w:rStyle w:val="FootnoteReference"/>
        </w:rPr>
        <w:footnoteRef/>
      </w:r>
      <w:r>
        <w:t xml:space="preserve"> Guidance Text page 13, 5.3.4.1</w:t>
      </w:r>
    </w:p>
  </w:footnote>
  <w:footnote w:id="10">
    <w:p w14:paraId="6B9B16F5" w14:textId="635BAD80" w:rsidR="0059315E" w:rsidRDefault="0059315E">
      <w:pPr>
        <w:pStyle w:val="FootnoteText"/>
      </w:pPr>
      <w:r>
        <w:rPr>
          <w:rStyle w:val="FootnoteReference"/>
        </w:rPr>
        <w:footnoteRef/>
      </w:r>
      <w:r>
        <w:t xml:space="preserve"> Guidance Text page 17, 5.3.4.4</w:t>
      </w:r>
    </w:p>
  </w:footnote>
  <w:footnote w:id="11">
    <w:p w14:paraId="0C2150B9" w14:textId="77777777" w:rsidR="006623FF" w:rsidRDefault="006623FF" w:rsidP="006623FF">
      <w:pPr>
        <w:pStyle w:val="FootnoteText"/>
      </w:pPr>
      <w:r>
        <w:rPr>
          <w:rStyle w:val="FootnoteReference"/>
        </w:rPr>
        <w:footnoteRef/>
      </w:r>
      <w:r>
        <w:t xml:space="preserve"> Guidance Text page 65, 6.2.4</w:t>
      </w:r>
    </w:p>
  </w:footnote>
  <w:footnote w:id="12">
    <w:p w14:paraId="4585E3D4" w14:textId="2E63F35E" w:rsidR="0059315E" w:rsidRDefault="0059315E">
      <w:pPr>
        <w:pStyle w:val="FootnoteText"/>
      </w:pPr>
      <w:r>
        <w:rPr>
          <w:rStyle w:val="FootnoteReference"/>
        </w:rPr>
        <w:footnoteRef/>
      </w:r>
      <w:r>
        <w:t xml:space="preserve"> Guidance Text page 19, 5.3.5.2</w:t>
      </w:r>
    </w:p>
  </w:footnote>
  <w:footnote w:id="13">
    <w:p w14:paraId="54207BC2" w14:textId="7D8A5362" w:rsidR="0059315E" w:rsidRDefault="0059315E">
      <w:pPr>
        <w:pStyle w:val="FootnoteText"/>
      </w:pPr>
      <w:r>
        <w:rPr>
          <w:rStyle w:val="FootnoteReference"/>
        </w:rPr>
        <w:footnoteRef/>
      </w:r>
      <w:r>
        <w:t xml:space="preserve"> Guidance Text page 20, 5.3.5.3</w:t>
      </w:r>
    </w:p>
  </w:footnote>
  <w:footnote w:id="14">
    <w:p w14:paraId="0C8028D9" w14:textId="2A0ADB9E" w:rsidR="0059315E" w:rsidRDefault="0059315E">
      <w:pPr>
        <w:pStyle w:val="FootnoteText"/>
      </w:pPr>
      <w:r>
        <w:rPr>
          <w:rStyle w:val="FootnoteReference"/>
        </w:rPr>
        <w:footnoteRef/>
      </w:r>
      <w:r>
        <w:t xml:space="preserve"> Guidance Text page 59, 5.7.5</w:t>
      </w:r>
    </w:p>
  </w:footnote>
  <w:footnote w:id="15">
    <w:p w14:paraId="578148FB" w14:textId="1997BDD6" w:rsidR="0059315E" w:rsidRDefault="0059315E">
      <w:pPr>
        <w:pStyle w:val="FootnoteText"/>
      </w:pPr>
      <w:r>
        <w:rPr>
          <w:rStyle w:val="FootnoteReference"/>
        </w:rPr>
        <w:footnoteRef/>
      </w:r>
      <w:r>
        <w:t xml:space="preserve"> Guidance Text page 62, 6.2.2</w:t>
      </w:r>
    </w:p>
  </w:footnote>
  <w:footnote w:id="16">
    <w:p w14:paraId="55F92754" w14:textId="47BBD93B" w:rsidR="0059315E" w:rsidRDefault="0059315E">
      <w:pPr>
        <w:pStyle w:val="FootnoteText"/>
      </w:pPr>
      <w:r>
        <w:rPr>
          <w:rStyle w:val="FootnoteReference"/>
        </w:rPr>
        <w:footnoteRef/>
      </w:r>
      <w:r>
        <w:t xml:space="preserve"> Guidance Text page 64, 6.2.3</w:t>
      </w:r>
    </w:p>
  </w:footnote>
  <w:footnote w:id="17">
    <w:p w14:paraId="42B02703" w14:textId="366C0AF8" w:rsidR="0059315E" w:rsidRDefault="0059315E">
      <w:pPr>
        <w:pStyle w:val="FootnoteText"/>
      </w:pPr>
      <w:r>
        <w:rPr>
          <w:rStyle w:val="FootnoteReference"/>
        </w:rPr>
        <w:footnoteRef/>
      </w:r>
      <w:r>
        <w:t xml:space="preserve"> Guidance Text page 26, 5.4.3.2</w:t>
      </w:r>
    </w:p>
  </w:footnote>
  <w:footnote w:id="18">
    <w:p w14:paraId="079A104B" w14:textId="77777777" w:rsidR="0059315E" w:rsidRDefault="0059315E" w:rsidP="00641C0D">
      <w:pPr>
        <w:pStyle w:val="FootnoteText"/>
      </w:pPr>
      <w:r>
        <w:rPr>
          <w:rStyle w:val="FootnoteReference"/>
        </w:rPr>
        <w:footnoteRef/>
      </w:r>
      <w:r>
        <w:t xml:space="preserve"> Guidance Text page 22, 5.4.2.2</w:t>
      </w:r>
    </w:p>
  </w:footnote>
  <w:footnote w:id="19">
    <w:p w14:paraId="4BC09322" w14:textId="5392F7FE" w:rsidR="0059315E" w:rsidRDefault="0059315E">
      <w:pPr>
        <w:pStyle w:val="FootnoteText"/>
      </w:pPr>
      <w:r>
        <w:rPr>
          <w:rStyle w:val="FootnoteReference"/>
        </w:rPr>
        <w:footnoteRef/>
      </w:r>
      <w:r>
        <w:t xml:space="preserve"> Guidance Text page 23 5.4.2.2</w:t>
      </w:r>
    </w:p>
  </w:footnote>
  <w:footnote w:id="20">
    <w:p w14:paraId="5CD5489F" w14:textId="49C23B2A" w:rsidR="0059315E" w:rsidRDefault="0059315E">
      <w:pPr>
        <w:pStyle w:val="FootnoteText"/>
      </w:pPr>
      <w:r>
        <w:rPr>
          <w:rStyle w:val="FootnoteReference"/>
        </w:rPr>
        <w:footnoteRef/>
      </w:r>
      <w:r>
        <w:t xml:space="preserve"> Guidance Text page 22, 5.4.2.2</w:t>
      </w:r>
    </w:p>
  </w:footnote>
  <w:footnote w:id="21">
    <w:p w14:paraId="44ECBF7B" w14:textId="715D42F7" w:rsidR="0059315E" w:rsidRDefault="0059315E">
      <w:pPr>
        <w:pStyle w:val="FootnoteText"/>
      </w:pPr>
      <w:r>
        <w:rPr>
          <w:rStyle w:val="FootnoteReference"/>
        </w:rPr>
        <w:footnoteRef/>
      </w:r>
      <w:r>
        <w:t xml:space="preserve"> Guidance Text page 26, 5.4.3.2</w:t>
      </w:r>
    </w:p>
  </w:footnote>
  <w:footnote w:id="22">
    <w:p w14:paraId="32BE3294" w14:textId="1E773ED9" w:rsidR="0059315E" w:rsidRDefault="0059315E">
      <w:pPr>
        <w:pStyle w:val="FootnoteText"/>
      </w:pPr>
      <w:r>
        <w:rPr>
          <w:rStyle w:val="FootnoteReference"/>
        </w:rPr>
        <w:footnoteRef/>
      </w:r>
      <w:r>
        <w:t xml:space="preserve"> Guidance Text page 22, 5.4.2.2; pages 30 – 31, 5.4.5</w:t>
      </w:r>
    </w:p>
  </w:footnote>
  <w:footnote w:id="23">
    <w:p w14:paraId="4ADCC617" w14:textId="77777777" w:rsidR="0059315E" w:rsidRDefault="0059315E" w:rsidP="00D43769">
      <w:pPr>
        <w:pStyle w:val="FootnoteText"/>
      </w:pPr>
      <w:r>
        <w:rPr>
          <w:rStyle w:val="FootnoteReference"/>
        </w:rPr>
        <w:footnoteRef/>
      </w:r>
      <w:r>
        <w:t xml:space="preserve"> Guidance Text pages 31 – 32, 5.4.5 </w:t>
      </w:r>
    </w:p>
  </w:footnote>
  <w:footnote w:id="24">
    <w:p w14:paraId="5854EB5C" w14:textId="1854C11E" w:rsidR="0059315E" w:rsidRDefault="0059315E">
      <w:pPr>
        <w:pStyle w:val="FootnoteText"/>
      </w:pPr>
      <w:r>
        <w:rPr>
          <w:rStyle w:val="FootnoteReference"/>
        </w:rPr>
        <w:footnoteRef/>
      </w:r>
      <w:r>
        <w:t xml:space="preserve"> Guidance Text page 26, 5.4.3.2</w:t>
      </w:r>
    </w:p>
  </w:footnote>
  <w:footnote w:id="25">
    <w:p w14:paraId="129537E8" w14:textId="530666F8" w:rsidR="0059315E" w:rsidRDefault="0059315E">
      <w:pPr>
        <w:pStyle w:val="FootnoteText"/>
      </w:pPr>
      <w:r>
        <w:rPr>
          <w:rStyle w:val="FootnoteReference"/>
        </w:rPr>
        <w:footnoteRef/>
      </w:r>
      <w:r>
        <w:t xml:space="preserve"> Guidance Text page 26, 5.4.3.2</w:t>
      </w:r>
    </w:p>
  </w:footnote>
  <w:footnote w:id="26">
    <w:p w14:paraId="5C1F7D93" w14:textId="67786B7B" w:rsidR="0059315E" w:rsidRDefault="0059315E">
      <w:pPr>
        <w:pStyle w:val="FootnoteText"/>
      </w:pPr>
      <w:r>
        <w:rPr>
          <w:rStyle w:val="FootnoteReference"/>
        </w:rPr>
        <w:footnoteRef/>
      </w:r>
      <w:r>
        <w:t xml:space="preserve"> Guidance Text page 27, 5.4.3.2</w:t>
      </w:r>
    </w:p>
  </w:footnote>
  <w:footnote w:id="27">
    <w:p w14:paraId="693C1647" w14:textId="5DED28AD" w:rsidR="00893109" w:rsidRDefault="00893109">
      <w:pPr>
        <w:pStyle w:val="FootnoteText"/>
      </w:pPr>
      <w:r>
        <w:rPr>
          <w:rStyle w:val="FootnoteReference"/>
        </w:rPr>
        <w:footnoteRef/>
      </w:r>
      <w:r>
        <w:t xml:space="preserve"> Guidance Text page 37, 5.5.3.1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157F2"/>
    <w:rsid w:val="0001655B"/>
    <w:rsid w:val="00020557"/>
    <w:rsid w:val="00021FC2"/>
    <w:rsid w:val="00022E00"/>
    <w:rsid w:val="000250C7"/>
    <w:rsid w:val="00026F16"/>
    <w:rsid w:val="00035CFC"/>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26FB7"/>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09E3"/>
    <w:rsid w:val="001C45FC"/>
    <w:rsid w:val="001D0469"/>
    <w:rsid w:val="001D4862"/>
    <w:rsid w:val="001E25B9"/>
    <w:rsid w:val="001E49E0"/>
    <w:rsid w:val="001E7B5A"/>
    <w:rsid w:val="001F7412"/>
    <w:rsid w:val="00202DFE"/>
    <w:rsid w:val="00207156"/>
    <w:rsid w:val="0020725B"/>
    <w:rsid w:val="002110F1"/>
    <w:rsid w:val="00223917"/>
    <w:rsid w:val="0024116D"/>
    <w:rsid w:val="00241B44"/>
    <w:rsid w:val="00241FA3"/>
    <w:rsid w:val="00245E24"/>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086D"/>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B7254"/>
    <w:rsid w:val="003B76A1"/>
    <w:rsid w:val="003C4471"/>
    <w:rsid w:val="003C53FE"/>
    <w:rsid w:val="003D0A6D"/>
    <w:rsid w:val="003E0B16"/>
    <w:rsid w:val="003E67D1"/>
    <w:rsid w:val="00404329"/>
    <w:rsid w:val="00405DC1"/>
    <w:rsid w:val="00415F1F"/>
    <w:rsid w:val="0042108F"/>
    <w:rsid w:val="004248F6"/>
    <w:rsid w:val="004273B0"/>
    <w:rsid w:val="00430FED"/>
    <w:rsid w:val="004314FC"/>
    <w:rsid w:val="00434A8C"/>
    <w:rsid w:val="00437297"/>
    <w:rsid w:val="00442F03"/>
    <w:rsid w:val="00444284"/>
    <w:rsid w:val="00445CE6"/>
    <w:rsid w:val="004534C2"/>
    <w:rsid w:val="0045446F"/>
    <w:rsid w:val="00455018"/>
    <w:rsid w:val="0045683E"/>
    <w:rsid w:val="00477C72"/>
    <w:rsid w:val="004913ED"/>
    <w:rsid w:val="00491675"/>
    <w:rsid w:val="00491F28"/>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4B2"/>
    <w:rsid w:val="004F5FDF"/>
    <w:rsid w:val="004F7B99"/>
    <w:rsid w:val="005056E2"/>
    <w:rsid w:val="00515810"/>
    <w:rsid w:val="005177FE"/>
    <w:rsid w:val="00520E68"/>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15F"/>
    <w:rsid w:val="005833D0"/>
    <w:rsid w:val="00583D8E"/>
    <w:rsid w:val="005846F3"/>
    <w:rsid w:val="0058622F"/>
    <w:rsid w:val="00587019"/>
    <w:rsid w:val="00592F82"/>
    <w:rsid w:val="0059315E"/>
    <w:rsid w:val="005A0CCA"/>
    <w:rsid w:val="005A6FF2"/>
    <w:rsid w:val="005A726D"/>
    <w:rsid w:val="005B2A9B"/>
    <w:rsid w:val="005B67AC"/>
    <w:rsid w:val="005B79F4"/>
    <w:rsid w:val="005D1293"/>
    <w:rsid w:val="005D43E0"/>
    <w:rsid w:val="005D58A3"/>
    <w:rsid w:val="005D6642"/>
    <w:rsid w:val="005E1B79"/>
    <w:rsid w:val="005E550E"/>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41C0D"/>
    <w:rsid w:val="00654C2F"/>
    <w:rsid w:val="00657087"/>
    <w:rsid w:val="006623FF"/>
    <w:rsid w:val="006639DB"/>
    <w:rsid w:val="006661EF"/>
    <w:rsid w:val="00674EEA"/>
    <w:rsid w:val="00677AEB"/>
    <w:rsid w:val="00680EF2"/>
    <w:rsid w:val="00687A1D"/>
    <w:rsid w:val="00697EA1"/>
    <w:rsid w:val="006A241E"/>
    <w:rsid w:val="006A2646"/>
    <w:rsid w:val="006A6530"/>
    <w:rsid w:val="006B3571"/>
    <w:rsid w:val="006B435A"/>
    <w:rsid w:val="006B4C64"/>
    <w:rsid w:val="006D6BD5"/>
    <w:rsid w:val="006E07C4"/>
    <w:rsid w:val="006E481A"/>
    <w:rsid w:val="006E5298"/>
    <w:rsid w:val="006F4A78"/>
    <w:rsid w:val="006F734A"/>
    <w:rsid w:val="00700D83"/>
    <w:rsid w:val="00704852"/>
    <w:rsid w:val="007074E9"/>
    <w:rsid w:val="00713DA4"/>
    <w:rsid w:val="007148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0371"/>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598C"/>
    <w:rsid w:val="008723F3"/>
    <w:rsid w:val="00881DE6"/>
    <w:rsid w:val="008837A6"/>
    <w:rsid w:val="0089145D"/>
    <w:rsid w:val="00893109"/>
    <w:rsid w:val="0089527E"/>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42717"/>
    <w:rsid w:val="0095207B"/>
    <w:rsid w:val="00962045"/>
    <w:rsid w:val="00980E61"/>
    <w:rsid w:val="00991428"/>
    <w:rsid w:val="00992676"/>
    <w:rsid w:val="009954B2"/>
    <w:rsid w:val="00996691"/>
    <w:rsid w:val="009B0723"/>
    <w:rsid w:val="009B07AD"/>
    <w:rsid w:val="009B0883"/>
    <w:rsid w:val="009B0D26"/>
    <w:rsid w:val="009B15E2"/>
    <w:rsid w:val="009B4976"/>
    <w:rsid w:val="009B68E5"/>
    <w:rsid w:val="009C0B8E"/>
    <w:rsid w:val="009C1BC8"/>
    <w:rsid w:val="009C2442"/>
    <w:rsid w:val="009D0811"/>
    <w:rsid w:val="009D0EE1"/>
    <w:rsid w:val="009D4F28"/>
    <w:rsid w:val="009E2AEB"/>
    <w:rsid w:val="009E2E27"/>
    <w:rsid w:val="009E45DF"/>
    <w:rsid w:val="009E4DE3"/>
    <w:rsid w:val="009F0E8F"/>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56CB"/>
    <w:rsid w:val="00A81029"/>
    <w:rsid w:val="00A94F58"/>
    <w:rsid w:val="00A95463"/>
    <w:rsid w:val="00A96489"/>
    <w:rsid w:val="00AA7BE3"/>
    <w:rsid w:val="00AB1B65"/>
    <w:rsid w:val="00AB2425"/>
    <w:rsid w:val="00AB359D"/>
    <w:rsid w:val="00AB685C"/>
    <w:rsid w:val="00AB6C2D"/>
    <w:rsid w:val="00AC08F7"/>
    <w:rsid w:val="00AC3839"/>
    <w:rsid w:val="00AC7082"/>
    <w:rsid w:val="00AD2FC8"/>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A1A2A"/>
    <w:rsid w:val="00BB0F2B"/>
    <w:rsid w:val="00BC4C57"/>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05A8"/>
    <w:rsid w:val="00C72848"/>
    <w:rsid w:val="00C7736C"/>
    <w:rsid w:val="00C82D87"/>
    <w:rsid w:val="00C8712A"/>
    <w:rsid w:val="00C87E0A"/>
    <w:rsid w:val="00C902C8"/>
    <w:rsid w:val="00C919D1"/>
    <w:rsid w:val="00C963D3"/>
    <w:rsid w:val="00C97BBD"/>
    <w:rsid w:val="00CA164B"/>
    <w:rsid w:val="00CB1983"/>
    <w:rsid w:val="00CB2CBB"/>
    <w:rsid w:val="00CB36CE"/>
    <w:rsid w:val="00CB6578"/>
    <w:rsid w:val="00CB7CAC"/>
    <w:rsid w:val="00CC175B"/>
    <w:rsid w:val="00CC4818"/>
    <w:rsid w:val="00CC5335"/>
    <w:rsid w:val="00CC5BA4"/>
    <w:rsid w:val="00CD4998"/>
    <w:rsid w:val="00CE1035"/>
    <w:rsid w:val="00CE6E50"/>
    <w:rsid w:val="00CF2819"/>
    <w:rsid w:val="00CF4F9D"/>
    <w:rsid w:val="00CF70DC"/>
    <w:rsid w:val="00D00AB1"/>
    <w:rsid w:val="00D041E0"/>
    <w:rsid w:val="00D14336"/>
    <w:rsid w:val="00D148DC"/>
    <w:rsid w:val="00D14A35"/>
    <w:rsid w:val="00D17FDC"/>
    <w:rsid w:val="00D21021"/>
    <w:rsid w:val="00D21D8C"/>
    <w:rsid w:val="00D316F2"/>
    <w:rsid w:val="00D43769"/>
    <w:rsid w:val="00D53719"/>
    <w:rsid w:val="00D562EF"/>
    <w:rsid w:val="00D63EFD"/>
    <w:rsid w:val="00D8330A"/>
    <w:rsid w:val="00D84752"/>
    <w:rsid w:val="00D86B3B"/>
    <w:rsid w:val="00D8748A"/>
    <w:rsid w:val="00D87913"/>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39F2"/>
    <w:rsid w:val="00E07C5A"/>
    <w:rsid w:val="00E12EC4"/>
    <w:rsid w:val="00E15BA9"/>
    <w:rsid w:val="00E26E10"/>
    <w:rsid w:val="00E26E19"/>
    <w:rsid w:val="00E30E60"/>
    <w:rsid w:val="00E31DF3"/>
    <w:rsid w:val="00E42798"/>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55592"/>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68DA"/>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0163-0C87-E940-8FF2-D439284A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3273</Words>
  <Characters>18657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Kaveer Soni</cp:lastModifiedBy>
  <cp:revision>38</cp:revision>
  <cp:lastPrinted>2019-08-27T05:42:00Z</cp:lastPrinted>
  <dcterms:created xsi:type="dcterms:W3CDTF">2022-07-18T01:21:00Z</dcterms:created>
  <dcterms:modified xsi:type="dcterms:W3CDTF">2022-07-21T07:28:00Z</dcterms:modified>
</cp:coreProperties>
</file>