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4916EB">
      <w:pPr>
        <w:rPr>
          <w:lang w:val="en-GB"/>
        </w:rPr>
      </w:pPr>
      <w:r>
        <w:rPr>
          <w:noProof/>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F35436" w:rsidRDefault="007B0809" w:rsidP="004F49B5">
      <w:pPr>
        <w:pStyle w:val="AODocTxt"/>
        <w:numPr>
          <w:ilvl w:val="0"/>
          <w:numId w:val="2"/>
        </w:numPr>
        <w:spacing w:before="0" w:line="240" w:lineRule="auto"/>
        <w:ind w:left="426"/>
        <w:rPr>
          <w:rFonts w:ascii="Arial" w:hAnsi="Arial" w:cs="Arial"/>
          <w:highlight w:val="yellow"/>
        </w:rPr>
      </w:pPr>
      <w:r w:rsidRPr="00F35436">
        <w:rPr>
          <w:rFonts w:ascii="Arial" w:hAnsi="Arial" w:cs="Arial"/>
          <w:highlight w:val="yellow"/>
        </w:rPr>
        <w:t xml:space="preserve">A local advocacy </w:t>
      </w:r>
      <w:proofErr w:type="gramStart"/>
      <w:r w:rsidRPr="00F35436">
        <w:rPr>
          <w:rFonts w:ascii="Arial" w:hAnsi="Arial" w:cs="Arial"/>
          <w:highlight w:val="yellow"/>
        </w:rPr>
        <w:t>group</w:t>
      </w:r>
      <w:proofErr w:type="gramEnd"/>
      <w:r w:rsidRPr="00F35436">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5A01D2" w:rsidRDefault="007B0809" w:rsidP="004F49B5">
      <w:pPr>
        <w:pStyle w:val="AODocTxt"/>
        <w:numPr>
          <w:ilvl w:val="0"/>
          <w:numId w:val="3"/>
        </w:numPr>
        <w:spacing w:before="0" w:line="240" w:lineRule="auto"/>
        <w:ind w:left="426"/>
        <w:rPr>
          <w:rFonts w:ascii="Arial" w:hAnsi="Arial" w:cs="Arial"/>
          <w:highlight w:val="yellow"/>
        </w:rPr>
      </w:pPr>
      <w:r w:rsidRPr="005A01D2">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Pr="002C1DBA" w:rsidRDefault="007B0809" w:rsidP="004F49B5">
      <w:pPr>
        <w:pStyle w:val="AODocTxt"/>
        <w:numPr>
          <w:ilvl w:val="0"/>
          <w:numId w:val="4"/>
        </w:numPr>
        <w:spacing w:before="0" w:line="240" w:lineRule="auto"/>
        <w:ind w:left="426"/>
        <w:rPr>
          <w:rFonts w:ascii="Arial" w:hAnsi="Arial" w:cs="Arial"/>
        </w:rPr>
      </w:pPr>
      <w:r w:rsidRPr="002C1DBA">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110DAE" w:rsidRDefault="007B0809" w:rsidP="004F49B5">
      <w:pPr>
        <w:pStyle w:val="AODocTxt"/>
        <w:numPr>
          <w:ilvl w:val="0"/>
          <w:numId w:val="4"/>
        </w:numPr>
        <w:spacing w:before="0" w:line="240" w:lineRule="auto"/>
        <w:ind w:left="426"/>
        <w:rPr>
          <w:rFonts w:ascii="Arial" w:hAnsi="Arial" w:cs="Arial"/>
        </w:rPr>
      </w:pPr>
      <w:r w:rsidRPr="00110DAE">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110DAE" w:rsidRDefault="007B0809" w:rsidP="004F49B5">
      <w:pPr>
        <w:pStyle w:val="AODocTxt"/>
        <w:numPr>
          <w:ilvl w:val="0"/>
          <w:numId w:val="4"/>
        </w:numPr>
        <w:spacing w:before="0" w:line="240" w:lineRule="auto"/>
        <w:ind w:left="426"/>
        <w:rPr>
          <w:rFonts w:ascii="Arial" w:hAnsi="Arial" w:cs="Arial"/>
          <w:highlight w:val="yellow"/>
        </w:rPr>
      </w:pPr>
      <w:r w:rsidRPr="00110DAE">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A21B46" w:rsidRDefault="007B0809" w:rsidP="004F49B5">
      <w:pPr>
        <w:pStyle w:val="AODocTxt"/>
        <w:numPr>
          <w:ilvl w:val="0"/>
          <w:numId w:val="5"/>
        </w:numPr>
        <w:spacing w:before="0" w:line="240" w:lineRule="auto"/>
        <w:ind w:left="426"/>
        <w:rPr>
          <w:rFonts w:ascii="Arial" w:hAnsi="Arial" w:cs="Arial"/>
          <w:highlight w:val="yellow"/>
        </w:rPr>
      </w:pPr>
      <w:r w:rsidRPr="00A21B46">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Pr="00C52B1D" w:rsidRDefault="007B0809" w:rsidP="004F49B5">
      <w:pPr>
        <w:pStyle w:val="AODocTxt"/>
        <w:numPr>
          <w:ilvl w:val="0"/>
          <w:numId w:val="6"/>
        </w:numPr>
        <w:spacing w:before="0" w:line="240" w:lineRule="auto"/>
        <w:ind w:left="426"/>
        <w:rPr>
          <w:rFonts w:ascii="Arial" w:hAnsi="Arial" w:cs="Arial"/>
        </w:rPr>
      </w:pPr>
      <w:r w:rsidRPr="00C52B1D">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C52B1D" w:rsidRDefault="007B0809" w:rsidP="004F49B5">
      <w:pPr>
        <w:pStyle w:val="AODocTxt"/>
        <w:numPr>
          <w:ilvl w:val="0"/>
          <w:numId w:val="6"/>
        </w:numPr>
        <w:spacing w:before="0" w:line="240" w:lineRule="auto"/>
        <w:ind w:left="426"/>
        <w:rPr>
          <w:rFonts w:ascii="Arial" w:hAnsi="Arial" w:cs="Arial"/>
          <w:highlight w:val="yellow"/>
        </w:rPr>
      </w:pPr>
      <w:r w:rsidRPr="00C52B1D">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235538" w:rsidRDefault="007B0809" w:rsidP="004F49B5">
      <w:pPr>
        <w:pStyle w:val="AODocTxt"/>
        <w:numPr>
          <w:ilvl w:val="0"/>
          <w:numId w:val="7"/>
        </w:numPr>
        <w:spacing w:before="0" w:line="240" w:lineRule="auto"/>
        <w:ind w:left="426"/>
        <w:rPr>
          <w:rFonts w:ascii="Arial" w:hAnsi="Arial" w:cs="Arial"/>
          <w:highlight w:val="yellow"/>
        </w:rPr>
      </w:pPr>
      <w:r w:rsidRPr="00235538">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E12EC4">
        <w:rPr>
          <w:rFonts w:ascii="Arial" w:hAnsi="Arial" w:cs="Arial"/>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B02CFF" w:rsidRDefault="007B0809" w:rsidP="004F49B5">
      <w:pPr>
        <w:pStyle w:val="AODocTxt"/>
        <w:numPr>
          <w:ilvl w:val="0"/>
          <w:numId w:val="8"/>
        </w:numPr>
        <w:spacing w:before="0" w:line="240" w:lineRule="auto"/>
        <w:ind w:left="426"/>
        <w:rPr>
          <w:rFonts w:ascii="Arial" w:hAnsi="Arial" w:cs="Arial"/>
          <w:highlight w:val="yellow"/>
        </w:rPr>
      </w:pPr>
      <w:r w:rsidRPr="00B02CFF">
        <w:rPr>
          <w:rFonts w:ascii="Arial" w:hAnsi="Arial" w:cs="Arial"/>
          <w:highlight w:val="yellow"/>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EB5768" w:rsidRDefault="007B0809" w:rsidP="004F49B5">
      <w:pPr>
        <w:pStyle w:val="AODocTxt"/>
        <w:numPr>
          <w:ilvl w:val="0"/>
          <w:numId w:val="9"/>
        </w:numPr>
        <w:spacing w:before="0" w:line="240" w:lineRule="auto"/>
        <w:ind w:left="426"/>
        <w:rPr>
          <w:rFonts w:ascii="Arial" w:hAnsi="Arial" w:cs="Arial"/>
          <w:highlight w:val="yellow"/>
        </w:rPr>
      </w:pPr>
      <w:r w:rsidRPr="00EB5768">
        <w:rPr>
          <w:rFonts w:ascii="Arial" w:hAnsi="Arial" w:cs="Arial"/>
          <w:highlight w:val="yellow"/>
        </w:rPr>
        <w:t>A creditor’s lien on assets sold in a 363 sale attaches to the proceeds of the sale.</w:t>
      </w:r>
      <w:r w:rsidR="00F92140" w:rsidRPr="00EB5768">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04283A" w:rsidRDefault="007B0809" w:rsidP="004F49B5">
      <w:pPr>
        <w:pStyle w:val="AODocTxt"/>
        <w:numPr>
          <w:ilvl w:val="0"/>
          <w:numId w:val="10"/>
        </w:numPr>
        <w:spacing w:before="0" w:line="240" w:lineRule="auto"/>
        <w:ind w:left="426"/>
        <w:rPr>
          <w:rFonts w:ascii="Arial" w:hAnsi="Arial" w:cs="Arial"/>
        </w:rPr>
      </w:pPr>
      <w:r w:rsidRPr="0004283A">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04283A" w:rsidRDefault="007B0809" w:rsidP="004F49B5">
      <w:pPr>
        <w:pStyle w:val="AODocTxt"/>
        <w:numPr>
          <w:ilvl w:val="0"/>
          <w:numId w:val="10"/>
        </w:numPr>
        <w:spacing w:before="0" w:line="240" w:lineRule="auto"/>
        <w:ind w:left="426"/>
        <w:rPr>
          <w:rFonts w:ascii="Arial" w:hAnsi="Arial" w:cs="Arial"/>
          <w:highlight w:val="yellow"/>
        </w:rPr>
      </w:pPr>
      <w:r w:rsidRPr="0004283A">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Pr="00F3230E" w:rsidRDefault="007B0809" w:rsidP="004F49B5">
      <w:pPr>
        <w:pStyle w:val="AODocTxt"/>
        <w:numPr>
          <w:ilvl w:val="0"/>
          <w:numId w:val="11"/>
        </w:numPr>
        <w:spacing w:before="0" w:line="240" w:lineRule="auto"/>
        <w:ind w:left="426"/>
        <w:rPr>
          <w:rFonts w:ascii="Arial" w:hAnsi="Arial" w:cs="Arial"/>
          <w:highlight w:val="yellow"/>
        </w:rPr>
      </w:pPr>
      <w:r w:rsidRPr="00F3230E">
        <w:rPr>
          <w:rFonts w:ascii="Arial" w:hAnsi="Arial" w:cs="Arial"/>
          <w:highlight w:val="yellow"/>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proofErr w:type="gramStart"/>
      <w:r w:rsidRPr="00E12EC4">
        <w:rPr>
          <w:rFonts w:ascii="Arial" w:hAnsi="Arial" w:cs="Arial"/>
        </w:rPr>
        <w:t>All of</w:t>
      </w:r>
      <w:proofErr w:type="gramEnd"/>
      <w:r w:rsidRPr="00E12EC4">
        <w:rPr>
          <w:rFonts w:ascii="Arial" w:hAnsi="Arial" w:cs="Arial"/>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2A3F65E7" w14:textId="3CD8C8B9" w:rsidR="00EB4AB9" w:rsidRDefault="00EB4AB9"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is filed by the debtor/debtor company independently and through their/its own volition.  There need be no allegation of insolvency made by the debtor.  </w:t>
      </w:r>
      <w:r w:rsidR="006B2554">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t is sufficient to file even a “naked” petition, i.e.one that does not contain a full and complete list of assets and/or creditors.    </w:t>
      </w:r>
    </w:p>
    <w:p w14:paraId="63993161" w14:textId="00B61051" w:rsidR="006B2554" w:rsidRDefault="006B2554" w:rsidP="00E12EC4">
      <w:pPr>
        <w:jc w:val="both"/>
        <w:rPr>
          <w:rFonts w:ascii="Arial" w:hAnsi="Arial" w:cs="Arial"/>
          <w:color w:val="7B7B7B" w:themeColor="accent3" w:themeShade="BF"/>
          <w:sz w:val="22"/>
          <w:szCs w:val="22"/>
          <w:lang w:val="en-GB"/>
        </w:rPr>
      </w:pPr>
    </w:p>
    <w:p w14:paraId="4F9F033E" w14:textId="77777777" w:rsidR="00EB4AB9" w:rsidRDefault="00EB4AB9" w:rsidP="00E12EC4">
      <w:pPr>
        <w:jc w:val="both"/>
        <w:rPr>
          <w:rFonts w:ascii="Arial" w:hAnsi="Arial" w:cs="Arial"/>
          <w:color w:val="7B7B7B" w:themeColor="accent3" w:themeShade="BF"/>
          <w:sz w:val="22"/>
          <w:szCs w:val="22"/>
          <w:lang w:val="en-GB"/>
        </w:rPr>
      </w:pPr>
    </w:p>
    <w:p w14:paraId="164E4725" w14:textId="6DDE2F45" w:rsidR="00E12EC4" w:rsidRPr="00FF5098" w:rsidRDefault="00FE3C6C"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involuntary petition</w:t>
      </w:r>
      <w:r w:rsidR="002D778F">
        <w:rPr>
          <w:rFonts w:ascii="Arial" w:hAnsi="Arial" w:cs="Arial"/>
          <w:color w:val="7B7B7B" w:themeColor="accent3" w:themeShade="BF"/>
          <w:sz w:val="22"/>
          <w:szCs w:val="22"/>
          <w:lang w:val="en-GB"/>
        </w:rPr>
        <w:t xml:space="preserve"> on the other hand,</w:t>
      </w:r>
      <w:r>
        <w:rPr>
          <w:rFonts w:ascii="Arial" w:hAnsi="Arial" w:cs="Arial"/>
          <w:color w:val="7B7B7B" w:themeColor="accent3" w:themeShade="BF"/>
          <w:sz w:val="22"/>
          <w:szCs w:val="22"/>
          <w:lang w:val="en-GB"/>
        </w:rPr>
        <w:t xml:space="preserve"> requires a</w:t>
      </w:r>
      <w:r w:rsidR="002D778F">
        <w:rPr>
          <w:rFonts w:ascii="Arial" w:hAnsi="Arial" w:cs="Arial"/>
          <w:color w:val="7B7B7B" w:themeColor="accent3" w:themeShade="BF"/>
          <w:sz w:val="22"/>
          <w:szCs w:val="22"/>
          <w:lang w:val="en-GB"/>
        </w:rPr>
        <w:t xml:space="preserve"> specific</w:t>
      </w:r>
      <w:r>
        <w:rPr>
          <w:rFonts w:ascii="Arial" w:hAnsi="Arial" w:cs="Arial"/>
          <w:color w:val="7B7B7B" w:themeColor="accent3" w:themeShade="BF"/>
          <w:sz w:val="22"/>
          <w:szCs w:val="22"/>
          <w:lang w:val="en-GB"/>
        </w:rPr>
        <w:t xml:space="preserve"> allegation of insolvency to be made by creditors that the debtor is unable to pay his debts as they fall due, or that “within 120 days before the filing of the petition, that a custodian other than a trustee, </w:t>
      </w:r>
      <w:r w:rsidR="00C44CE0">
        <w:rPr>
          <w:rFonts w:ascii="Arial" w:hAnsi="Arial" w:cs="Arial"/>
          <w:color w:val="7B7B7B" w:themeColor="accent3" w:themeShade="BF"/>
          <w:sz w:val="22"/>
          <w:szCs w:val="22"/>
          <w:lang w:val="en-GB"/>
        </w:rPr>
        <w:t xml:space="preserve">receiver or an agent appointed or authorized to take charge of less than substantially all of the property of the debtor for the purpose of enforcing a lien against such property, was appointed or took possession.”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6ADCE1CA"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6CEF0C1" w14:textId="77777777" w:rsidR="00305A8F" w:rsidRDefault="00305A8F" w:rsidP="00323167">
      <w:pPr>
        <w:pStyle w:val="AODocTxt"/>
        <w:spacing w:before="0" w:line="240" w:lineRule="auto"/>
        <w:rPr>
          <w:rFonts w:ascii="Arial" w:hAnsi="Arial" w:cs="Arial"/>
        </w:rPr>
      </w:pPr>
    </w:p>
    <w:p w14:paraId="766D12EF" w14:textId="77777777" w:rsidR="006456DC" w:rsidRDefault="00305A8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violation of the automatic stay </w:t>
      </w:r>
      <w:r w:rsidR="00DF6811">
        <w:rPr>
          <w:rFonts w:ascii="Arial" w:hAnsi="Arial" w:cs="Arial"/>
          <w:color w:val="7B7B7B" w:themeColor="accent3" w:themeShade="BF"/>
          <w:sz w:val="22"/>
          <w:szCs w:val="22"/>
          <w:lang w:val="en-GB"/>
        </w:rPr>
        <w:t>will</w:t>
      </w:r>
      <w:r>
        <w:rPr>
          <w:rFonts w:ascii="Arial" w:hAnsi="Arial" w:cs="Arial"/>
          <w:color w:val="7B7B7B" w:themeColor="accent3" w:themeShade="BF"/>
          <w:sz w:val="22"/>
          <w:szCs w:val="22"/>
          <w:lang w:val="en-GB"/>
        </w:rPr>
        <w:t xml:space="preserve"> result in </w:t>
      </w:r>
      <w:r w:rsidR="00F307FE">
        <w:rPr>
          <w:rFonts w:ascii="Arial" w:hAnsi="Arial" w:cs="Arial"/>
          <w:color w:val="7B7B7B" w:themeColor="accent3" w:themeShade="BF"/>
          <w:sz w:val="22"/>
          <w:szCs w:val="22"/>
          <w:lang w:val="en-GB"/>
        </w:rPr>
        <w:t xml:space="preserve">the violating party being found in contempt of court </w:t>
      </w:r>
      <w:r w:rsidR="006456DC">
        <w:rPr>
          <w:rFonts w:ascii="Arial" w:hAnsi="Arial" w:cs="Arial"/>
          <w:color w:val="7B7B7B" w:themeColor="accent3" w:themeShade="BF"/>
          <w:sz w:val="22"/>
          <w:szCs w:val="22"/>
          <w:lang w:val="en-GB"/>
        </w:rPr>
        <w:t xml:space="preserve">and is void or voidable.  </w:t>
      </w:r>
    </w:p>
    <w:p w14:paraId="33FDE7BF" w14:textId="517C4F7D" w:rsidR="00E12EC4" w:rsidRPr="00FF5098" w:rsidRDefault="006456DC"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F307FE">
        <w:rPr>
          <w:rFonts w:ascii="Arial" w:hAnsi="Arial" w:cs="Arial"/>
          <w:color w:val="7B7B7B" w:themeColor="accent3" w:themeShade="BF"/>
          <w:sz w:val="22"/>
          <w:szCs w:val="22"/>
          <w:lang w:val="en-GB"/>
        </w:rPr>
        <w:t xml:space="preserve">he violating party can be asked to pay the debtor’s attorney’s fees, or to pay a daily fine in a situation where the court has ordered the violating act to be undone, until such order has been complied with.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033813AC" w14:textId="58F091A9" w:rsidR="00CF77D8" w:rsidRDefault="00724A9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claim is impaired if it the plan of reorganization alters the creditor’s legal, equitable and contractual rights</w:t>
      </w:r>
      <w:r w:rsidR="00CF77D8">
        <w:rPr>
          <w:rFonts w:ascii="Arial" w:hAnsi="Arial" w:cs="Arial"/>
          <w:color w:val="7B7B7B" w:themeColor="accent3" w:themeShade="BF"/>
          <w:sz w:val="22"/>
          <w:szCs w:val="22"/>
          <w:lang w:val="en-GB"/>
        </w:rPr>
        <w:t xml:space="preserve">.  </w:t>
      </w:r>
    </w:p>
    <w:p w14:paraId="5848110E" w14:textId="5FC324B8" w:rsidR="00CF77D8" w:rsidRDefault="00CF77D8" w:rsidP="00E12EC4">
      <w:pPr>
        <w:jc w:val="both"/>
        <w:rPr>
          <w:rFonts w:ascii="Arial" w:hAnsi="Arial" w:cs="Arial"/>
          <w:color w:val="7B7B7B" w:themeColor="accent3" w:themeShade="BF"/>
          <w:sz w:val="22"/>
          <w:szCs w:val="22"/>
          <w:lang w:val="en-GB"/>
        </w:rPr>
      </w:pPr>
    </w:p>
    <w:p w14:paraId="5C64907E" w14:textId="10D0D82A" w:rsidR="00CF77D8" w:rsidRDefault="00CF77D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full payment is delayed after the effective date of the plan, this will be considered an impaired claim.  </w:t>
      </w:r>
    </w:p>
    <w:p w14:paraId="370181F9" w14:textId="2010DD02" w:rsidR="00CF77D8" w:rsidRDefault="00CF77D8" w:rsidP="00E12EC4">
      <w:pPr>
        <w:jc w:val="both"/>
        <w:rPr>
          <w:rFonts w:ascii="Arial" w:hAnsi="Arial" w:cs="Arial"/>
          <w:color w:val="7B7B7B" w:themeColor="accent3" w:themeShade="BF"/>
          <w:sz w:val="22"/>
          <w:szCs w:val="22"/>
          <w:lang w:val="en-GB"/>
        </w:rPr>
      </w:pPr>
    </w:p>
    <w:p w14:paraId="0C499909" w14:textId="536A5567" w:rsidR="007B5D20" w:rsidRPr="007B5D20" w:rsidRDefault="007B5D20" w:rsidP="007B5D20">
      <w:pPr>
        <w:jc w:val="both"/>
        <w:rPr>
          <w:rFonts w:ascii="Arial" w:hAnsi="Arial" w:cs="Arial"/>
          <w:color w:val="7B7B7B" w:themeColor="accent3" w:themeShade="BF"/>
          <w:sz w:val="22"/>
          <w:szCs w:val="22"/>
          <w:lang w:val="en-GB"/>
        </w:rPr>
      </w:pPr>
      <w:r w:rsidRPr="007B5D20">
        <w:rPr>
          <w:rFonts w:ascii="Arial" w:hAnsi="Arial" w:cs="Arial"/>
          <w:color w:val="7B7B7B" w:themeColor="accent3" w:themeShade="BF"/>
          <w:sz w:val="22"/>
          <w:szCs w:val="22"/>
          <w:lang w:val="en-GB"/>
        </w:rPr>
        <w:t>However, the exception is where the plan reverses contractual acceleration by settling any monetary default and compensating the holder for damages.  In this case, the</w:t>
      </w:r>
      <w:r w:rsidR="00F13EE9">
        <w:rPr>
          <w:rFonts w:ascii="Arial" w:hAnsi="Arial" w:cs="Arial"/>
          <w:color w:val="7B7B7B" w:themeColor="accent3" w:themeShade="BF"/>
          <w:sz w:val="22"/>
          <w:szCs w:val="22"/>
          <w:lang w:val="en-GB"/>
        </w:rPr>
        <w:t xml:space="preserve"> </w:t>
      </w:r>
      <w:r w:rsidR="00F13EE9" w:rsidRPr="00F13EE9">
        <w:rPr>
          <w:rFonts w:ascii="Arial" w:hAnsi="Arial" w:cs="Arial"/>
          <w:color w:val="7B7B7B" w:themeColor="accent3" w:themeShade="BF"/>
          <w:sz w:val="22"/>
          <w:szCs w:val="22"/>
        </w:rPr>
        <w:t>full compensation eliminates the ability of a class to vote against the plan</w:t>
      </w:r>
    </w:p>
    <w:p w14:paraId="41FB5CAF" w14:textId="1B3FE0F3" w:rsidR="007B5D20" w:rsidRDefault="007B5D20" w:rsidP="00E12EC4">
      <w:pPr>
        <w:jc w:val="both"/>
        <w:rPr>
          <w:rFonts w:ascii="Arial" w:hAnsi="Arial" w:cs="Arial"/>
          <w:color w:val="7B7B7B" w:themeColor="accent3" w:themeShade="BF"/>
          <w:sz w:val="22"/>
          <w:szCs w:val="22"/>
          <w:lang w:val="en-GB"/>
        </w:rPr>
      </w:pPr>
    </w:p>
    <w:p w14:paraId="3A0B4207" w14:textId="14F12BBD" w:rsidR="00E12EC4" w:rsidRDefault="00D960DE" w:rsidP="00F13EE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holder would be constructively regarded as </w:t>
      </w:r>
      <w:r w:rsidRPr="00D960DE">
        <w:rPr>
          <w:rFonts w:ascii="Arial" w:hAnsi="Arial" w:cs="Arial"/>
          <w:color w:val="7B7B7B" w:themeColor="accent3" w:themeShade="BF"/>
          <w:sz w:val="22"/>
          <w:szCs w:val="22"/>
        </w:rPr>
        <w:t>unimpaired</w:t>
      </w:r>
      <w:r>
        <w:rPr>
          <w:rFonts w:ascii="Arial" w:hAnsi="Arial" w:cs="Arial"/>
          <w:color w:val="7B7B7B" w:themeColor="accent3" w:themeShade="BF"/>
          <w:sz w:val="22"/>
          <w:szCs w:val="22"/>
        </w:rPr>
        <w:t xml:space="preserve"> and by implication, </w:t>
      </w:r>
      <w:r w:rsidRPr="00D960DE">
        <w:rPr>
          <w:rFonts w:ascii="Arial" w:hAnsi="Arial" w:cs="Arial"/>
          <w:color w:val="7B7B7B" w:themeColor="accent3" w:themeShade="BF"/>
          <w:sz w:val="22"/>
          <w:szCs w:val="22"/>
        </w:rPr>
        <w:t>conclusively presumed to have accepted the plan</w:t>
      </w:r>
      <w:r w:rsidR="00F13EE9">
        <w:rPr>
          <w:rFonts w:ascii="Arial" w:hAnsi="Arial" w:cs="Arial"/>
          <w:color w:val="7B7B7B" w:themeColor="accent3" w:themeShade="BF"/>
          <w:sz w:val="22"/>
          <w:szCs w:val="22"/>
        </w:rPr>
        <w:t xml:space="preserve">.  </w:t>
      </w:r>
      <w:r w:rsidRPr="00D960DE">
        <w:rPr>
          <w:rFonts w:ascii="Arial" w:hAnsi="Arial" w:cs="Arial"/>
          <w:color w:val="7B7B7B" w:themeColor="accent3" w:themeShade="BF"/>
          <w:sz w:val="22"/>
          <w:szCs w:val="22"/>
        </w:rPr>
        <w:t xml:space="preserve"> </w:t>
      </w:r>
    </w:p>
    <w:p w14:paraId="0327B806" w14:textId="77777777" w:rsidR="00F13EE9" w:rsidRDefault="00F13EE9" w:rsidP="00F13EE9">
      <w:pPr>
        <w:jc w:val="both"/>
        <w:rPr>
          <w:rFonts w:ascii="Arial" w:hAnsi="Arial" w:cs="Arial"/>
          <w:color w:val="7B7B7B" w:themeColor="accent3" w:themeShade="BF"/>
          <w:sz w:val="22"/>
          <w:szCs w:val="22"/>
          <w:lang w:val="en-GB"/>
        </w:rPr>
      </w:pPr>
    </w:p>
    <w:p w14:paraId="0F4904D8" w14:textId="77777777" w:rsidR="00724A94" w:rsidRPr="00FF5098" w:rsidRDefault="00724A94" w:rsidP="00E12EC4">
      <w:pPr>
        <w:jc w:val="both"/>
        <w:rPr>
          <w:rFonts w:ascii="Arial" w:hAnsi="Arial" w:cs="Arial"/>
          <w:color w:val="7B7B7B" w:themeColor="accent3" w:themeShade="BF"/>
          <w:sz w:val="22"/>
          <w:szCs w:val="22"/>
          <w:lang w:val="en-GB"/>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5CCD2530" w:rsidR="00E12EC4" w:rsidRDefault="001C5996"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Preference.  </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2BF0C6EC" w:rsidR="005B2A9B" w:rsidRPr="00FF5098" w:rsidRDefault="004032A3"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1C5996">
        <w:rPr>
          <w:rFonts w:ascii="Arial" w:hAnsi="Arial" w:cs="Arial"/>
          <w:color w:val="7B7B7B" w:themeColor="accent3" w:themeShade="BF"/>
          <w:sz w:val="22"/>
          <w:szCs w:val="22"/>
          <w:lang w:val="en-GB"/>
        </w:rPr>
        <w:t xml:space="preserve">constructive </w:t>
      </w:r>
      <w:r>
        <w:rPr>
          <w:rFonts w:ascii="Arial" w:hAnsi="Arial" w:cs="Arial"/>
          <w:color w:val="7B7B7B" w:themeColor="accent3" w:themeShade="BF"/>
          <w:sz w:val="22"/>
          <w:szCs w:val="22"/>
          <w:lang w:val="en-GB"/>
        </w:rPr>
        <w:t>conveyance.</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5376EFE6" w:rsidR="005B2A9B" w:rsidRPr="00FF5098" w:rsidRDefault="00724A94"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actual conveyance.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66EE9915" w14:textId="77777777" w:rsidR="002D778F" w:rsidRDefault="002D778F" w:rsidP="005B2A9B">
      <w:pPr>
        <w:jc w:val="both"/>
        <w:rPr>
          <w:rFonts w:ascii="Arial" w:hAnsi="Arial" w:cs="Arial"/>
          <w:color w:val="7B7B7B" w:themeColor="accent3" w:themeShade="BF"/>
          <w:sz w:val="22"/>
          <w:szCs w:val="22"/>
          <w:lang w:val="en-GB"/>
        </w:rPr>
      </w:pPr>
    </w:p>
    <w:p w14:paraId="3A4F435D" w14:textId="77777777" w:rsidR="00795DED" w:rsidRDefault="007A6871" w:rsidP="005B2A9B">
      <w:pPr>
        <w:jc w:val="both"/>
        <w:rPr>
          <w:rFonts w:ascii="Arial" w:hAnsi="Arial" w:cs="Arial"/>
          <w:color w:val="7B7B7B" w:themeColor="accent3" w:themeShade="BF"/>
          <w:sz w:val="22"/>
          <w:szCs w:val="22"/>
        </w:rPr>
      </w:pPr>
      <w:r w:rsidRPr="007A6871">
        <w:rPr>
          <w:rFonts w:ascii="Arial" w:hAnsi="Arial" w:cs="Arial"/>
          <w:color w:val="7B7B7B" w:themeColor="accent3" w:themeShade="BF"/>
          <w:sz w:val="22"/>
          <w:szCs w:val="22"/>
        </w:rPr>
        <w:t>Article III</w:t>
      </w:r>
      <w:r>
        <w:rPr>
          <w:rFonts w:ascii="Arial" w:hAnsi="Arial" w:cs="Arial"/>
          <w:color w:val="7B7B7B" w:themeColor="accent3" w:themeShade="BF"/>
          <w:sz w:val="22"/>
          <w:szCs w:val="22"/>
        </w:rPr>
        <w:t xml:space="preserve"> </w:t>
      </w:r>
      <w:r w:rsidRPr="007A6871">
        <w:rPr>
          <w:rFonts w:ascii="Arial" w:hAnsi="Arial" w:cs="Arial"/>
          <w:color w:val="7B7B7B" w:themeColor="accent3" w:themeShade="BF"/>
          <w:sz w:val="22"/>
          <w:szCs w:val="22"/>
        </w:rPr>
        <w:t>of the Constitution vests "[t]he judicial power of the United States</w:t>
      </w:r>
      <w:r w:rsidR="00795DED">
        <w:rPr>
          <w:rFonts w:ascii="Arial" w:hAnsi="Arial" w:cs="Arial"/>
          <w:color w:val="7B7B7B" w:themeColor="accent3" w:themeShade="BF"/>
          <w:sz w:val="22"/>
          <w:szCs w:val="22"/>
        </w:rPr>
        <w:t xml:space="preserve"> </w:t>
      </w:r>
      <w:r w:rsidR="00CB3C46">
        <w:rPr>
          <w:rFonts w:ascii="Arial" w:hAnsi="Arial" w:cs="Arial"/>
          <w:color w:val="7B7B7B" w:themeColor="accent3" w:themeShade="BF"/>
          <w:sz w:val="22"/>
          <w:szCs w:val="22"/>
        </w:rPr>
        <w:t>in one Supreme Court, and in such inferior Courts as the Congress may from time to time ordain and establish</w:t>
      </w:r>
      <w:r w:rsidR="00795DED">
        <w:rPr>
          <w:rFonts w:ascii="Arial" w:hAnsi="Arial" w:cs="Arial"/>
          <w:color w:val="7B7B7B" w:themeColor="accent3" w:themeShade="BF"/>
          <w:sz w:val="22"/>
          <w:szCs w:val="22"/>
        </w:rPr>
        <w:t>,</w:t>
      </w:r>
      <w:r w:rsidR="00CB3C46">
        <w:rPr>
          <w:rFonts w:ascii="Arial" w:hAnsi="Arial" w:cs="Arial"/>
          <w:color w:val="7B7B7B" w:themeColor="accent3" w:themeShade="BF"/>
          <w:sz w:val="22"/>
          <w:szCs w:val="22"/>
        </w:rPr>
        <w:t xml:space="preserve">” and </w:t>
      </w:r>
      <w:r w:rsidR="00CB3C46" w:rsidRPr="00CB3C46">
        <w:rPr>
          <w:rFonts w:ascii="Arial" w:hAnsi="Arial" w:cs="Arial"/>
          <w:color w:val="7B7B7B" w:themeColor="accent3" w:themeShade="BF"/>
          <w:sz w:val="22"/>
          <w:szCs w:val="22"/>
        </w:rPr>
        <w:t xml:space="preserve">provides that the judges of those constitutional courts “receive for their </w:t>
      </w:r>
      <w:r w:rsidR="00CB3C46">
        <w:rPr>
          <w:rFonts w:ascii="Arial" w:hAnsi="Arial" w:cs="Arial"/>
          <w:color w:val="7B7B7B" w:themeColor="accent3" w:themeShade="BF"/>
          <w:sz w:val="22"/>
          <w:szCs w:val="22"/>
        </w:rPr>
        <w:t>s</w:t>
      </w:r>
      <w:r w:rsidR="00CB3C46" w:rsidRPr="00CB3C46">
        <w:rPr>
          <w:rFonts w:ascii="Arial" w:hAnsi="Arial" w:cs="Arial"/>
          <w:color w:val="7B7B7B" w:themeColor="accent3" w:themeShade="BF"/>
          <w:sz w:val="22"/>
          <w:szCs w:val="22"/>
        </w:rPr>
        <w:t xml:space="preserve">ervices a </w:t>
      </w:r>
      <w:r w:rsidR="00CB3C46">
        <w:rPr>
          <w:rFonts w:ascii="Arial" w:hAnsi="Arial" w:cs="Arial"/>
          <w:color w:val="7B7B7B" w:themeColor="accent3" w:themeShade="BF"/>
          <w:sz w:val="22"/>
          <w:szCs w:val="22"/>
        </w:rPr>
        <w:t>c</w:t>
      </w:r>
      <w:r w:rsidR="00CB3C46" w:rsidRPr="00CB3C46">
        <w:rPr>
          <w:rFonts w:ascii="Arial" w:hAnsi="Arial" w:cs="Arial"/>
          <w:color w:val="7B7B7B" w:themeColor="accent3" w:themeShade="BF"/>
          <w:sz w:val="22"/>
          <w:szCs w:val="22"/>
        </w:rPr>
        <w:t>ompensation</w:t>
      </w:r>
      <w:r w:rsidR="00CB3C46">
        <w:rPr>
          <w:rFonts w:ascii="Arial" w:hAnsi="Arial" w:cs="Arial"/>
          <w:color w:val="7B7B7B" w:themeColor="accent3" w:themeShade="BF"/>
          <w:sz w:val="22"/>
          <w:szCs w:val="22"/>
        </w:rPr>
        <w:t xml:space="preserve"> </w:t>
      </w:r>
      <w:r w:rsidR="00CB3C46" w:rsidRPr="00CB3C46">
        <w:rPr>
          <w:rFonts w:ascii="Arial" w:hAnsi="Arial" w:cs="Arial"/>
          <w:color w:val="7B7B7B" w:themeColor="accent3" w:themeShade="BF"/>
          <w:sz w:val="22"/>
          <w:szCs w:val="22"/>
        </w:rPr>
        <w:t>that</w:t>
      </w:r>
      <w:r w:rsidR="00CB3C46">
        <w:rPr>
          <w:rFonts w:ascii="Arial" w:hAnsi="Arial" w:cs="Arial"/>
          <w:color w:val="7B7B7B" w:themeColor="accent3" w:themeShade="BF"/>
          <w:sz w:val="22"/>
          <w:szCs w:val="22"/>
        </w:rPr>
        <w:t xml:space="preserve"> </w:t>
      </w:r>
      <w:r w:rsidR="00CB3C46" w:rsidRPr="00CB3C46">
        <w:rPr>
          <w:rFonts w:ascii="Arial" w:hAnsi="Arial" w:cs="Arial"/>
          <w:color w:val="7B7B7B" w:themeColor="accent3" w:themeShade="BF"/>
          <w:sz w:val="22"/>
          <w:szCs w:val="22"/>
        </w:rPr>
        <w:t>shall not be diminished” during their tenure</w:t>
      </w:r>
      <w:r w:rsidR="00CB3C46">
        <w:rPr>
          <w:rFonts w:ascii="Arial" w:hAnsi="Arial" w:cs="Arial"/>
          <w:color w:val="7B7B7B" w:themeColor="accent3" w:themeShade="BF"/>
          <w:sz w:val="22"/>
          <w:szCs w:val="22"/>
        </w:rPr>
        <w:t xml:space="preserve">.”  </w:t>
      </w:r>
    </w:p>
    <w:p w14:paraId="5D013576" w14:textId="450A619B" w:rsidR="00CB3C46" w:rsidRDefault="00CB3C46" w:rsidP="005B2A9B">
      <w:pPr>
        <w:jc w:val="both"/>
        <w:rPr>
          <w:rFonts w:ascii="Verdana" w:hAnsi="Verdana"/>
          <w:color w:val="333333"/>
          <w:shd w:val="clear" w:color="auto" w:fill="FFFFFF"/>
        </w:rPr>
      </w:pPr>
      <w:proofErr w:type="gramStart"/>
      <w:r>
        <w:rPr>
          <w:rFonts w:ascii="Arial" w:hAnsi="Arial" w:cs="Arial"/>
          <w:color w:val="7B7B7B" w:themeColor="accent3" w:themeShade="BF"/>
          <w:sz w:val="22"/>
          <w:szCs w:val="22"/>
        </w:rPr>
        <w:t>Thus</w:t>
      </w:r>
      <w:proofErr w:type="gramEnd"/>
      <w:r>
        <w:rPr>
          <w:rFonts w:ascii="Arial" w:hAnsi="Arial" w:cs="Arial"/>
          <w:color w:val="7B7B7B" w:themeColor="accent3" w:themeShade="BF"/>
          <w:sz w:val="22"/>
          <w:szCs w:val="22"/>
        </w:rPr>
        <w:t xml:space="preserve"> Article III carves out the system of </w:t>
      </w:r>
      <w:r w:rsidR="007A6871" w:rsidRPr="007A6871">
        <w:rPr>
          <w:rFonts w:ascii="Arial" w:hAnsi="Arial" w:cs="Arial"/>
          <w:color w:val="7B7B7B" w:themeColor="accent3" w:themeShade="BF"/>
          <w:sz w:val="22"/>
          <w:szCs w:val="22"/>
        </w:rPr>
        <w:t>life-tenured and salary-protected judges, who are nominated by the President and confirmed by the Senate.</w:t>
      </w:r>
      <w:r w:rsidRPr="00CB3C46">
        <w:rPr>
          <w:rFonts w:ascii="Verdana" w:hAnsi="Verdana"/>
          <w:color w:val="333333"/>
          <w:shd w:val="clear" w:color="auto" w:fill="FFFFFF"/>
        </w:rPr>
        <w:t xml:space="preserve"> </w:t>
      </w:r>
    </w:p>
    <w:p w14:paraId="4A62C7B2" w14:textId="4A93D134" w:rsidR="00624F7F" w:rsidRDefault="00624F7F" w:rsidP="005B2A9B">
      <w:pPr>
        <w:jc w:val="both"/>
        <w:rPr>
          <w:rFonts w:ascii="Verdana" w:hAnsi="Verdana"/>
          <w:color w:val="333333"/>
          <w:shd w:val="clear" w:color="auto" w:fill="FFFFFF"/>
        </w:rPr>
      </w:pPr>
    </w:p>
    <w:p w14:paraId="42249985" w14:textId="62A18A0F" w:rsidR="007A6871" w:rsidRDefault="00CB3C46" w:rsidP="005B2A9B">
      <w:pPr>
        <w:jc w:val="both"/>
        <w:rPr>
          <w:rFonts w:ascii="Arial" w:hAnsi="Arial" w:cs="Arial"/>
          <w:color w:val="7B7B7B" w:themeColor="accent3" w:themeShade="BF"/>
          <w:sz w:val="22"/>
          <w:szCs w:val="22"/>
          <w:lang w:val="en-GB"/>
        </w:rPr>
      </w:pPr>
      <w:r w:rsidRPr="00CB3C46">
        <w:rPr>
          <w:rFonts w:ascii="Arial" w:hAnsi="Arial" w:cs="Arial"/>
          <w:color w:val="7B7B7B" w:themeColor="accent3" w:themeShade="BF"/>
          <w:sz w:val="22"/>
          <w:szCs w:val="22"/>
        </w:rPr>
        <w:t xml:space="preserve">The </w:t>
      </w:r>
      <w:r w:rsidR="00624F7F">
        <w:rPr>
          <w:rFonts w:ascii="Arial" w:hAnsi="Arial" w:cs="Arial"/>
          <w:color w:val="7B7B7B" w:themeColor="accent3" w:themeShade="BF"/>
          <w:sz w:val="22"/>
          <w:szCs w:val="22"/>
        </w:rPr>
        <w:t xml:space="preserve">issue in </w:t>
      </w:r>
      <w:r w:rsidR="00624F7F">
        <w:rPr>
          <w:rFonts w:ascii="Arial" w:hAnsi="Arial" w:cs="Arial"/>
          <w:i/>
          <w:iCs/>
          <w:color w:val="7B7B7B" w:themeColor="accent3" w:themeShade="BF"/>
          <w:sz w:val="22"/>
          <w:szCs w:val="22"/>
        </w:rPr>
        <w:t xml:space="preserve">Stern v Marshall </w:t>
      </w:r>
      <w:r w:rsidR="00624F7F">
        <w:rPr>
          <w:rFonts w:ascii="Arial" w:hAnsi="Arial" w:cs="Arial"/>
          <w:color w:val="7B7B7B" w:themeColor="accent3" w:themeShade="BF"/>
          <w:sz w:val="22"/>
          <w:szCs w:val="22"/>
        </w:rPr>
        <w:t>was</w:t>
      </w:r>
      <w:r w:rsidRPr="00CB3C46">
        <w:rPr>
          <w:rFonts w:ascii="Arial" w:hAnsi="Arial" w:cs="Arial"/>
          <w:color w:val="7B7B7B" w:themeColor="accent3" w:themeShade="BF"/>
          <w:sz w:val="22"/>
          <w:szCs w:val="22"/>
        </w:rPr>
        <w:t xml:space="preserve"> whether a bankruptcy court judge who did not enjoy such tenure and salary protections had the authority under </w:t>
      </w:r>
      <w:hyperlink r:id="rId9" w:tooltip="subref" w:history="1">
        <w:r w:rsidRPr="00624F7F">
          <w:rPr>
            <w:rStyle w:val="Hyperlink"/>
            <w:rFonts w:ascii="Arial" w:hAnsi="Arial" w:cs="Arial"/>
            <w:color w:val="808080" w:themeColor="background1" w:themeShade="80"/>
            <w:sz w:val="22"/>
            <w:szCs w:val="22"/>
            <w:u w:val="none"/>
          </w:rPr>
          <w:t>28 U. S. C. §157</w:t>
        </w:r>
      </w:hyperlink>
      <w:r w:rsidRPr="00624F7F">
        <w:rPr>
          <w:rFonts w:ascii="Arial" w:hAnsi="Arial" w:cs="Arial"/>
          <w:color w:val="808080" w:themeColor="background1" w:themeShade="80"/>
          <w:sz w:val="22"/>
          <w:szCs w:val="22"/>
        </w:rPr>
        <w:t> </w:t>
      </w:r>
      <w:r w:rsidRPr="00CB3C46">
        <w:rPr>
          <w:rFonts w:ascii="Arial" w:hAnsi="Arial" w:cs="Arial"/>
          <w:color w:val="7B7B7B" w:themeColor="accent3" w:themeShade="BF"/>
          <w:sz w:val="22"/>
          <w:szCs w:val="22"/>
        </w:rPr>
        <w:t xml:space="preserve">and Article III to </w:t>
      </w:r>
      <w:r w:rsidR="00624F7F">
        <w:rPr>
          <w:rFonts w:ascii="Arial" w:hAnsi="Arial" w:cs="Arial"/>
          <w:color w:val="7B7B7B" w:themeColor="accent3" w:themeShade="BF"/>
          <w:sz w:val="22"/>
          <w:szCs w:val="22"/>
        </w:rPr>
        <w:t xml:space="preserve">constitutionally </w:t>
      </w:r>
      <w:r w:rsidRPr="00CB3C46">
        <w:rPr>
          <w:rFonts w:ascii="Arial" w:hAnsi="Arial" w:cs="Arial"/>
          <w:color w:val="7B7B7B" w:themeColor="accent3" w:themeShade="BF"/>
          <w:sz w:val="22"/>
          <w:szCs w:val="22"/>
        </w:rPr>
        <w:t xml:space="preserve">enter </w:t>
      </w:r>
      <w:r w:rsidR="00624F7F">
        <w:rPr>
          <w:rFonts w:ascii="Arial" w:hAnsi="Arial" w:cs="Arial"/>
          <w:color w:val="7B7B7B" w:themeColor="accent3" w:themeShade="BF"/>
          <w:sz w:val="22"/>
          <w:szCs w:val="22"/>
        </w:rPr>
        <w:t xml:space="preserve">a </w:t>
      </w:r>
      <w:r w:rsidRPr="00CB3C46">
        <w:rPr>
          <w:rFonts w:ascii="Arial" w:hAnsi="Arial" w:cs="Arial"/>
          <w:color w:val="7B7B7B" w:themeColor="accent3" w:themeShade="BF"/>
          <w:sz w:val="22"/>
          <w:szCs w:val="22"/>
        </w:rPr>
        <w:t xml:space="preserve">final judgment on a </w:t>
      </w:r>
      <w:r w:rsidR="00AD34C9">
        <w:rPr>
          <w:rFonts w:ascii="Arial" w:hAnsi="Arial" w:cs="Arial"/>
          <w:color w:val="7B7B7B" w:themeColor="accent3" w:themeShade="BF"/>
          <w:sz w:val="22"/>
          <w:szCs w:val="22"/>
        </w:rPr>
        <w:t xml:space="preserve">non-core tort </w:t>
      </w:r>
      <w:r w:rsidRPr="00CB3C46">
        <w:rPr>
          <w:rFonts w:ascii="Arial" w:hAnsi="Arial" w:cs="Arial"/>
          <w:color w:val="7B7B7B" w:themeColor="accent3" w:themeShade="BF"/>
          <w:sz w:val="22"/>
          <w:szCs w:val="22"/>
        </w:rPr>
        <w:t>counterclaim </w:t>
      </w:r>
      <w:r w:rsidR="00624F7F">
        <w:rPr>
          <w:rFonts w:ascii="Arial" w:hAnsi="Arial" w:cs="Arial"/>
          <w:color w:val="7B7B7B" w:themeColor="accent3" w:themeShade="BF"/>
          <w:sz w:val="22"/>
          <w:szCs w:val="22"/>
        </w:rPr>
        <w:t>brought by Stern.</w:t>
      </w:r>
    </w:p>
    <w:p w14:paraId="777B9CC7" w14:textId="041E2BB4" w:rsidR="00046FCD" w:rsidRDefault="00046FCD" w:rsidP="005B2A9B">
      <w:pPr>
        <w:jc w:val="both"/>
        <w:rPr>
          <w:rFonts w:ascii="Arial" w:hAnsi="Arial" w:cs="Arial"/>
          <w:color w:val="7B7B7B" w:themeColor="accent3" w:themeShade="BF"/>
          <w:sz w:val="22"/>
          <w:szCs w:val="22"/>
          <w:lang w:val="en-GB"/>
        </w:rPr>
      </w:pPr>
    </w:p>
    <w:p w14:paraId="5B4778C3" w14:textId="3C97DC09" w:rsidR="00624F7F" w:rsidRDefault="00624F7F" w:rsidP="00624F7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Prior to the decision in </w:t>
      </w:r>
      <w:r>
        <w:rPr>
          <w:rFonts w:ascii="Arial" w:hAnsi="Arial" w:cs="Arial"/>
          <w:i/>
          <w:iCs/>
          <w:color w:val="7B7B7B" w:themeColor="accent3" w:themeShade="BF"/>
          <w:sz w:val="22"/>
          <w:szCs w:val="22"/>
          <w:lang w:val="en-GB"/>
        </w:rPr>
        <w:t xml:space="preserve">Stern v </w:t>
      </w:r>
      <w:r w:rsidRPr="002D778F">
        <w:rPr>
          <w:rFonts w:ascii="Arial" w:hAnsi="Arial" w:cs="Arial"/>
          <w:color w:val="7B7B7B" w:themeColor="accent3" w:themeShade="BF"/>
          <w:sz w:val="22"/>
          <w:szCs w:val="22"/>
          <w:lang w:val="en-GB"/>
        </w:rPr>
        <w:t>Marshall</w:t>
      </w:r>
      <w:r>
        <w:rPr>
          <w:rFonts w:ascii="Arial" w:hAnsi="Arial" w:cs="Arial"/>
          <w:color w:val="7B7B7B" w:themeColor="accent3" w:themeShade="BF"/>
          <w:sz w:val="22"/>
          <w:szCs w:val="22"/>
          <w:lang w:val="en-GB"/>
        </w:rPr>
        <w:t>, a bankruptcy court, although created by the 1978 Bankruptcy Code</w:t>
      </w:r>
      <w:r w:rsidR="00795DE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could deal with core proceedings of bankruptcy.  </w:t>
      </w:r>
    </w:p>
    <w:p w14:paraId="528BE11A" w14:textId="77777777" w:rsidR="00624F7F" w:rsidRDefault="00624F7F" w:rsidP="005B2A9B">
      <w:pPr>
        <w:jc w:val="both"/>
        <w:rPr>
          <w:rFonts w:ascii="Arial" w:hAnsi="Arial" w:cs="Arial"/>
          <w:color w:val="7B7B7B" w:themeColor="accent3" w:themeShade="BF"/>
          <w:sz w:val="22"/>
          <w:szCs w:val="22"/>
          <w:lang w:val="en-GB"/>
        </w:rPr>
      </w:pPr>
    </w:p>
    <w:p w14:paraId="3DDA6A84" w14:textId="474832B0" w:rsidR="005B2A9B" w:rsidRPr="00FF5098" w:rsidRDefault="002D778F" w:rsidP="005B2A9B">
      <w:pPr>
        <w:jc w:val="both"/>
        <w:rPr>
          <w:rFonts w:ascii="Arial" w:hAnsi="Arial" w:cs="Arial"/>
          <w:color w:val="7B7B7B" w:themeColor="accent3" w:themeShade="BF"/>
          <w:sz w:val="22"/>
          <w:szCs w:val="22"/>
          <w:lang w:val="en-GB"/>
        </w:rPr>
      </w:pPr>
      <w:r w:rsidRPr="002D778F">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w:t>
      </w:r>
      <w:r w:rsidRPr="00CB210E">
        <w:rPr>
          <w:rFonts w:ascii="Arial" w:hAnsi="Arial" w:cs="Arial"/>
          <w:i/>
          <w:iCs/>
          <w:color w:val="7B7B7B" w:themeColor="accent3" w:themeShade="BF"/>
          <w:sz w:val="22"/>
          <w:szCs w:val="22"/>
          <w:lang w:val="en-GB"/>
        </w:rPr>
        <w:t xml:space="preserve">Stern </w:t>
      </w:r>
      <w:r w:rsidR="00CB210E" w:rsidRPr="00CB210E">
        <w:rPr>
          <w:rFonts w:ascii="Arial" w:hAnsi="Arial" w:cs="Arial"/>
          <w:i/>
          <w:iCs/>
          <w:color w:val="7B7B7B" w:themeColor="accent3" w:themeShade="BF"/>
          <w:sz w:val="22"/>
          <w:szCs w:val="22"/>
          <w:lang w:val="en-GB"/>
        </w:rPr>
        <w:t>v</w:t>
      </w:r>
      <w:r w:rsidRPr="00CB210E">
        <w:rPr>
          <w:rFonts w:ascii="Arial" w:hAnsi="Arial" w:cs="Arial"/>
          <w:i/>
          <w:iCs/>
          <w:color w:val="7B7B7B" w:themeColor="accent3" w:themeShade="BF"/>
          <w:sz w:val="22"/>
          <w:szCs w:val="22"/>
          <w:lang w:val="en-GB"/>
        </w:rPr>
        <w:t xml:space="preserve"> Marshall</w:t>
      </w:r>
      <w:r>
        <w:rPr>
          <w:rFonts w:ascii="Arial" w:hAnsi="Arial" w:cs="Arial"/>
          <w:color w:val="7B7B7B" w:themeColor="accent3" w:themeShade="BF"/>
          <w:sz w:val="22"/>
          <w:szCs w:val="22"/>
          <w:lang w:val="en-GB"/>
        </w:rPr>
        <w:t xml:space="preserve"> the </w:t>
      </w:r>
      <w:r w:rsidR="00530992">
        <w:rPr>
          <w:rFonts w:ascii="Arial" w:hAnsi="Arial" w:cs="Arial"/>
          <w:color w:val="7B7B7B" w:themeColor="accent3" w:themeShade="BF"/>
          <w:sz w:val="22"/>
          <w:szCs w:val="22"/>
          <w:lang w:val="en-GB"/>
        </w:rPr>
        <w:t xml:space="preserve">Supreme </w:t>
      </w:r>
      <w:r>
        <w:rPr>
          <w:rFonts w:ascii="Arial" w:hAnsi="Arial" w:cs="Arial"/>
          <w:color w:val="7B7B7B" w:themeColor="accent3" w:themeShade="BF"/>
          <w:sz w:val="22"/>
          <w:szCs w:val="22"/>
          <w:lang w:val="en-GB"/>
        </w:rPr>
        <w:t xml:space="preserve">Court held that </w:t>
      </w:r>
      <w:r w:rsidR="00530992">
        <w:rPr>
          <w:rFonts w:ascii="Arial" w:hAnsi="Arial" w:cs="Arial"/>
          <w:color w:val="7B7B7B" w:themeColor="accent3" w:themeShade="BF"/>
          <w:sz w:val="22"/>
          <w:szCs w:val="22"/>
          <w:lang w:val="en-GB"/>
        </w:rPr>
        <w:t xml:space="preserve">the Federal Judicial Code which addressed the bankruptcy court’s jurisdiction </w:t>
      </w:r>
      <w:r>
        <w:rPr>
          <w:rFonts w:ascii="Arial" w:hAnsi="Arial" w:cs="Arial"/>
          <w:color w:val="7B7B7B" w:themeColor="accent3" w:themeShade="BF"/>
          <w:sz w:val="22"/>
          <w:szCs w:val="22"/>
          <w:lang w:val="en-GB"/>
        </w:rPr>
        <w:t xml:space="preserve">in core proceedings, </w:t>
      </w:r>
      <w:r w:rsidR="00530992">
        <w:rPr>
          <w:rFonts w:ascii="Arial" w:hAnsi="Arial" w:cs="Arial"/>
          <w:color w:val="7B7B7B" w:themeColor="accent3" w:themeShade="BF"/>
          <w:sz w:val="22"/>
          <w:szCs w:val="22"/>
          <w:lang w:val="en-GB"/>
        </w:rPr>
        <w:t xml:space="preserve">was unconstitutional and </w:t>
      </w:r>
      <w:r>
        <w:rPr>
          <w:rFonts w:ascii="Arial" w:hAnsi="Arial" w:cs="Arial"/>
          <w:color w:val="7B7B7B" w:themeColor="accent3" w:themeShade="BF"/>
          <w:sz w:val="22"/>
          <w:szCs w:val="22"/>
          <w:lang w:val="en-GB"/>
        </w:rPr>
        <w:t>a bankruptcy court was not entitled to issue final order that invade</w:t>
      </w:r>
      <w:r w:rsidR="00530992">
        <w:rPr>
          <w:rFonts w:ascii="Arial" w:hAnsi="Arial" w:cs="Arial"/>
          <w:color w:val="7B7B7B" w:themeColor="accent3" w:themeShade="BF"/>
          <w:sz w:val="22"/>
          <w:szCs w:val="22"/>
          <w:lang w:val="en-GB"/>
        </w:rPr>
        <w:t xml:space="preserve">d </w:t>
      </w:r>
      <w:r>
        <w:rPr>
          <w:rFonts w:ascii="Arial" w:hAnsi="Arial" w:cs="Arial"/>
          <w:color w:val="7B7B7B" w:themeColor="accent3" w:themeShade="BF"/>
          <w:sz w:val="22"/>
          <w:szCs w:val="22"/>
          <w:lang w:val="en-GB"/>
        </w:rPr>
        <w:t xml:space="preserve">the jurisdiction granted by Article III.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C29BF96" w:rsidR="005B2A9B" w:rsidRDefault="00C86BE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91543">
        <w:rPr>
          <w:rFonts w:ascii="Arial" w:hAnsi="Arial" w:cs="Arial"/>
          <w:color w:val="7B7B7B" w:themeColor="accent3" w:themeShade="BF"/>
          <w:sz w:val="22"/>
          <w:szCs w:val="22"/>
          <w:lang w:val="en-GB"/>
        </w:rPr>
        <w:t>powers of avoiding</w:t>
      </w:r>
      <w:r w:rsidR="00802141">
        <w:rPr>
          <w:rFonts w:ascii="Arial" w:hAnsi="Arial" w:cs="Arial"/>
          <w:color w:val="7B7B7B" w:themeColor="accent3" w:themeShade="BF"/>
          <w:sz w:val="22"/>
          <w:szCs w:val="22"/>
          <w:lang w:val="en-GB"/>
        </w:rPr>
        <w:t xml:space="preserve"> fraudulent conveyances</w:t>
      </w:r>
      <w:r w:rsidR="001955E2">
        <w:rPr>
          <w:rFonts w:ascii="Arial" w:hAnsi="Arial" w:cs="Arial"/>
          <w:color w:val="7B7B7B" w:themeColor="accent3" w:themeShade="BF"/>
          <w:sz w:val="22"/>
          <w:szCs w:val="22"/>
          <w:lang w:val="en-GB"/>
        </w:rPr>
        <w:t xml:space="preserve"> (section 548)</w:t>
      </w:r>
      <w:r w:rsidR="00802141">
        <w:rPr>
          <w:rFonts w:ascii="Arial" w:hAnsi="Arial" w:cs="Arial"/>
          <w:color w:val="7B7B7B" w:themeColor="accent3" w:themeShade="BF"/>
          <w:sz w:val="22"/>
          <w:szCs w:val="22"/>
          <w:lang w:val="en-GB"/>
        </w:rPr>
        <w:t xml:space="preserve"> and preferences</w:t>
      </w:r>
      <w:r w:rsidR="001955E2">
        <w:rPr>
          <w:rFonts w:ascii="Arial" w:hAnsi="Arial" w:cs="Arial"/>
          <w:color w:val="7B7B7B" w:themeColor="accent3" w:themeShade="BF"/>
          <w:sz w:val="22"/>
          <w:szCs w:val="22"/>
          <w:lang w:val="en-GB"/>
        </w:rPr>
        <w:t xml:space="preserve"> (section 547)</w:t>
      </w:r>
      <w:r w:rsidR="0080214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granted under the Bankruptcy Code are excluded from the powers granted to a foreign representativ</w:t>
      </w:r>
      <w:r w:rsidR="00AA407C">
        <w:rPr>
          <w:rFonts w:ascii="Arial" w:hAnsi="Arial" w:cs="Arial"/>
          <w:color w:val="7B7B7B" w:themeColor="accent3" w:themeShade="BF"/>
          <w:sz w:val="22"/>
          <w:szCs w:val="22"/>
          <w:lang w:val="en-GB"/>
        </w:rPr>
        <w:t>e</w:t>
      </w:r>
      <w:r w:rsidR="00EF6135">
        <w:rPr>
          <w:rFonts w:ascii="Arial" w:hAnsi="Arial" w:cs="Arial"/>
          <w:color w:val="7B7B7B" w:themeColor="accent3" w:themeShade="BF"/>
          <w:sz w:val="22"/>
          <w:szCs w:val="22"/>
          <w:lang w:val="en-GB"/>
        </w:rPr>
        <w:t>.</w:t>
      </w:r>
      <w:r w:rsidR="00AA407C">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w:t>
      </w:r>
    </w:p>
    <w:p w14:paraId="5C6DD9A2" w14:textId="7D430187" w:rsidR="00785E22" w:rsidRDefault="00785E22" w:rsidP="005B2A9B">
      <w:pPr>
        <w:jc w:val="both"/>
        <w:rPr>
          <w:rFonts w:ascii="Arial" w:hAnsi="Arial" w:cs="Arial"/>
          <w:color w:val="7B7B7B" w:themeColor="accent3" w:themeShade="BF"/>
          <w:sz w:val="22"/>
          <w:szCs w:val="22"/>
          <w:lang w:val="en-GB"/>
        </w:rPr>
      </w:pPr>
    </w:p>
    <w:p w14:paraId="6E72CDC7" w14:textId="43D8A6E9" w:rsidR="00785E22" w:rsidRDefault="00785E2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Avoidance powers may only be awarded to the foreign representative in Chapter 7 or 11 proceedings.  </w:t>
      </w:r>
    </w:p>
    <w:p w14:paraId="698817A7" w14:textId="55C6BAC8" w:rsidR="00B473F3" w:rsidRDefault="00B473F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is also granted the power of selling assets outside the ordinary course, free</w:t>
      </w:r>
      <w:r w:rsidR="00E02353">
        <w:rPr>
          <w:rFonts w:ascii="Arial" w:hAnsi="Arial" w:cs="Arial"/>
          <w:color w:val="7B7B7B" w:themeColor="accent3" w:themeShade="BF"/>
          <w:sz w:val="22"/>
          <w:szCs w:val="22"/>
          <w:lang w:val="en-GB"/>
        </w:rPr>
        <w:t xml:space="preserve"> and clear</w:t>
      </w:r>
      <w:r>
        <w:rPr>
          <w:rFonts w:ascii="Arial" w:hAnsi="Arial" w:cs="Arial"/>
          <w:color w:val="7B7B7B" w:themeColor="accent3" w:themeShade="BF"/>
          <w:sz w:val="22"/>
          <w:szCs w:val="22"/>
          <w:lang w:val="en-GB"/>
        </w:rPr>
        <w:t xml:space="preserve"> of lien as provided for in section 363 of the Bankruptcy Code.  </w:t>
      </w:r>
    </w:p>
    <w:p w14:paraId="49B556A3" w14:textId="4CC97924" w:rsidR="00B473F3" w:rsidRDefault="00B473F3" w:rsidP="005B2A9B">
      <w:pPr>
        <w:jc w:val="both"/>
        <w:rPr>
          <w:rFonts w:ascii="Arial" w:hAnsi="Arial" w:cs="Arial"/>
          <w:color w:val="7B7B7B" w:themeColor="accent3" w:themeShade="BF"/>
          <w:sz w:val="22"/>
          <w:szCs w:val="22"/>
          <w:lang w:val="en-GB"/>
        </w:rPr>
      </w:pPr>
    </w:p>
    <w:p w14:paraId="68393052" w14:textId="77777777" w:rsidR="00B473F3" w:rsidRDefault="00B473F3" w:rsidP="005B2A9B">
      <w:pPr>
        <w:jc w:val="both"/>
        <w:rPr>
          <w:rFonts w:ascii="Arial" w:hAnsi="Arial" w:cs="Arial"/>
          <w:color w:val="7B7B7B" w:themeColor="accent3" w:themeShade="BF"/>
          <w:sz w:val="22"/>
          <w:szCs w:val="22"/>
          <w:lang w:val="en-GB"/>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21363A2E" w:rsidR="005B2A9B" w:rsidRDefault="009E7DB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 orders dispose of all issues leaving nothing more to be decided.  A final order is therefore binding on the parties.  </w:t>
      </w:r>
    </w:p>
    <w:p w14:paraId="402685BB" w14:textId="567EE5C1" w:rsidR="00AA0C3B" w:rsidRDefault="009E7DB0" w:rsidP="00AA0C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interlocutory order resolves only some or part of the issues of or in the main proceeding.  </w:t>
      </w:r>
    </w:p>
    <w:p w14:paraId="5D41087C" w14:textId="77777777" w:rsidR="00924C49" w:rsidRDefault="00924C49" w:rsidP="00AA0C3B">
      <w:pPr>
        <w:jc w:val="both"/>
        <w:rPr>
          <w:rFonts w:ascii="Arial" w:hAnsi="Arial" w:cs="Arial"/>
          <w:color w:val="7B7B7B" w:themeColor="accent3" w:themeShade="BF"/>
          <w:sz w:val="22"/>
          <w:szCs w:val="22"/>
          <w:lang w:val="en-GB"/>
        </w:rPr>
      </w:pPr>
    </w:p>
    <w:p w14:paraId="4CE02230" w14:textId="1594413E" w:rsidR="00F66BFA" w:rsidRDefault="00AA0C3B" w:rsidP="00AA0C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orders may be appealed as of right, whereas interlocuto</w:t>
      </w:r>
      <w:r w:rsidR="00F66BFA">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y orders require the permission</w:t>
      </w:r>
      <w:r w:rsidR="00F66BFA">
        <w:rPr>
          <w:rFonts w:ascii="Arial" w:hAnsi="Arial" w:cs="Arial"/>
          <w:color w:val="7B7B7B" w:themeColor="accent3" w:themeShade="BF"/>
          <w:sz w:val="22"/>
          <w:szCs w:val="22"/>
          <w:lang w:val="en-GB"/>
        </w:rPr>
        <w:t xml:space="preserve"> of the appellate court.  In </w:t>
      </w:r>
      <w:r w:rsidR="00F66BFA" w:rsidRPr="00F66BFA">
        <w:rPr>
          <w:rFonts w:ascii="Arial" w:hAnsi="Arial" w:cs="Arial"/>
          <w:i/>
          <w:iCs/>
          <w:color w:val="7B7B7B" w:themeColor="accent3" w:themeShade="BF"/>
          <w:sz w:val="22"/>
          <w:szCs w:val="22"/>
          <w:lang w:val="en-GB"/>
        </w:rPr>
        <w:t>Bullard v Blue Hills Bank</w:t>
      </w:r>
      <w:r w:rsidR="00F66BFA">
        <w:rPr>
          <w:rFonts w:ascii="Arial" w:hAnsi="Arial" w:cs="Arial"/>
          <w:color w:val="7B7B7B" w:themeColor="accent3" w:themeShade="BF"/>
          <w:sz w:val="22"/>
          <w:szCs w:val="22"/>
          <w:lang w:val="en-GB"/>
        </w:rPr>
        <w:t xml:space="preserve">, the Court held that an order which resolves the discrete dispute is a final order for appeal purposes.  </w:t>
      </w:r>
    </w:p>
    <w:p w14:paraId="1E18D306" w14:textId="53C7DC79" w:rsidR="007E486E" w:rsidRPr="007E486E" w:rsidRDefault="007E486E" w:rsidP="007E48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w:t>
      </w:r>
      <w:r w:rsidRPr="007E486E">
        <w:rPr>
          <w:rFonts w:ascii="Arial" w:hAnsi="Arial" w:cs="Arial"/>
          <w:color w:val="7B7B7B" w:themeColor="accent3" w:themeShade="BF"/>
          <w:sz w:val="22"/>
          <w:szCs w:val="22"/>
          <w:lang w:val="en-GB"/>
        </w:rPr>
        <w:t>he distinction whether the order is an interlocutory or a final one can be a grey area in certain instances such as deciding the post-petition interest rate applicable to the debtor’s obligations.</w:t>
      </w:r>
    </w:p>
    <w:p w14:paraId="7397B572" w14:textId="77777777" w:rsidR="007E486E" w:rsidRDefault="007E486E" w:rsidP="00AA0C3B">
      <w:pPr>
        <w:jc w:val="both"/>
        <w:rPr>
          <w:rFonts w:ascii="Arial" w:hAnsi="Arial" w:cs="Arial"/>
          <w:color w:val="7B7B7B" w:themeColor="accent3" w:themeShade="BF"/>
          <w:sz w:val="22"/>
          <w:szCs w:val="22"/>
          <w:lang w:val="en-GB"/>
        </w:rPr>
      </w:pPr>
    </w:p>
    <w:p w14:paraId="511C71B2" w14:textId="4333C9E5" w:rsidR="000E454E" w:rsidRDefault="007E486E" w:rsidP="00AA0C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A5280">
        <w:rPr>
          <w:rFonts w:ascii="Arial" w:hAnsi="Arial" w:cs="Arial"/>
          <w:color w:val="7B7B7B" w:themeColor="accent3" w:themeShade="BF"/>
          <w:sz w:val="22"/>
          <w:szCs w:val="22"/>
          <w:lang w:val="en-GB"/>
        </w:rPr>
        <w:t xml:space="preserve">distinction </w:t>
      </w:r>
      <w:r>
        <w:rPr>
          <w:rFonts w:ascii="Arial" w:hAnsi="Arial" w:cs="Arial"/>
          <w:color w:val="7B7B7B" w:themeColor="accent3" w:themeShade="BF"/>
          <w:sz w:val="22"/>
          <w:szCs w:val="22"/>
          <w:lang w:val="en-GB"/>
        </w:rPr>
        <w:t xml:space="preserve">is </w:t>
      </w:r>
      <w:r w:rsidR="002A5280">
        <w:rPr>
          <w:rFonts w:ascii="Arial" w:hAnsi="Arial" w:cs="Arial"/>
          <w:color w:val="7B7B7B" w:themeColor="accent3" w:themeShade="BF"/>
          <w:sz w:val="22"/>
          <w:szCs w:val="22"/>
          <w:lang w:val="en-GB"/>
        </w:rPr>
        <w:t xml:space="preserve">made as between constitutional bankruptcy judgments </w:t>
      </w:r>
      <w:r>
        <w:rPr>
          <w:rFonts w:ascii="Arial" w:hAnsi="Arial" w:cs="Arial"/>
          <w:color w:val="7B7B7B" w:themeColor="accent3" w:themeShade="BF"/>
          <w:sz w:val="22"/>
          <w:szCs w:val="22"/>
          <w:lang w:val="en-GB"/>
        </w:rPr>
        <w:t>handed down</w:t>
      </w:r>
      <w:r w:rsidR="002A5280">
        <w:rPr>
          <w:rFonts w:ascii="Arial" w:hAnsi="Arial" w:cs="Arial"/>
          <w:color w:val="7B7B7B" w:themeColor="accent3" w:themeShade="BF"/>
          <w:sz w:val="22"/>
          <w:szCs w:val="22"/>
          <w:lang w:val="en-GB"/>
        </w:rPr>
        <w:t xml:space="preserve"> by the Bankruptcy Court, which are not final if it does not resolve the entire issues in dispute</w:t>
      </w:r>
      <w:r w:rsidR="00721555">
        <w:rPr>
          <w:rFonts w:ascii="Arial" w:hAnsi="Arial" w:cs="Arial"/>
          <w:color w:val="7B7B7B" w:themeColor="accent3" w:themeShade="BF"/>
          <w:sz w:val="22"/>
          <w:szCs w:val="22"/>
          <w:lang w:val="en-GB"/>
        </w:rPr>
        <w:t xml:space="preserve">; and, on the other hand, an order that resolves the entire issues and would not be appealable in the constitutional sese if the parties consented to the jurisdiction of the bankruptcy court.  </w:t>
      </w:r>
    </w:p>
    <w:p w14:paraId="0B46C6F4" w14:textId="354B4274" w:rsidR="00654481" w:rsidRDefault="00654481" w:rsidP="00AA0C3B">
      <w:pPr>
        <w:jc w:val="both"/>
        <w:rPr>
          <w:rFonts w:ascii="Arial" w:hAnsi="Arial" w:cs="Arial"/>
          <w:color w:val="7B7B7B" w:themeColor="accent3" w:themeShade="BF"/>
          <w:sz w:val="22"/>
          <w:szCs w:val="22"/>
          <w:lang w:val="en-GB"/>
        </w:rPr>
      </w:pPr>
    </w:p>
    <w:p w14:paraId="391B7634" w14:textId="77777777" w:rsidR="005B3612" w:rsidRDefault="00654481" w:rsidP="00AA0C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of Appeals may hear direct appeals</w:t>
      </w:r>
      <w:r w:rsidR="005B3612">
        <w:rPr>
          <w:rFonts w:ascii="Arial" w:hAnsi="Arial" w:cs="Arial"/>
          <w:color w:val="7B7B7B" w:themeColor="accent3" w:themeShade="BF"/>
          <w:sz w:val="22"/>
          <w:szCs w:val="22"/>
          <w:lang w:val="en-GB"/>
        </w:rPr>
        <w:t xml:space="preserve"> where the Bankruptcy Court or district court certifies that either: </w:t>
      </w:r>
    </w:p>
    <w:p w14:paraId="02FFCD85" w14:textId="56E4C45A" w:rsidR="005B3612" w:rsidRDefault="005B3612" w:rsidP="005B3612">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 T</w:t>
      </w:r>
      <w:r w:rsidRPr="005B3612">
        <w:rPr>
          <w:rFonts w:ascii="Arial" w:hAnsi="Arial" w:cs="Arial"/>
          <w:color w:val="7B7B7B" w:themeColor="accent3" w:themeShade="BF"/>
          <w:sz w:val="22"/>
          <w:szCs w:val="22"/>
          <w:lang w:val="en-GB"/>
        </w:rPr>
        <w:t>he appeal raises a question of law for which no precedent or controlling decision exists from the circuit court or the Supreme Court of Appeal</w:t>
      </w:r>
      <w:r>
        <w:rPr>
          <w:rFonts w:ascii="Arial" w:hAnsi="Arial" w:cs="Arial"/>
          <w:color w:val="7B7B7B" w:themeColor="accent3" w:themeShade="BF"/>
          <w:sz w:val="22"/>
          <w:szCs w:val="22"/>
          <w:lang w:val="en-GB"/>
        </w:rPr>
        <w:t>; or</w:t>
      </w:r>
    </w:p>
    <w:p w14:paraId="7BCC44C0" w14:textId="7B24B03E" w:rsidR="005B3612" w:rsidRPr="005B3612" w:rsidRDefault="005B3612" w:rsidP="005B3612">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Immediate appeal may further advance the progress of the case.</w:t>
      </w:r>
    </w:p>
    <w:p w14:paraId="53F38F9A" w14:textId="77777777" w:rsidR="000E454E" w:rsidRDefault="000E454E" w:rsidP="00AA0C3B">
      <w:pPr>
        <w:jc w:val="both"/>
        <w:rPr>
          <w:rFonts w:ascii="Arial" w:hAnsi="Arial" w:cs="Arial"/>
          <w:color w:val="7B7B7B" w:themeColor="accent3" w:themeShade="BF"/>
          <w:sz w:val="22"/>
          <w:szCs w:val="22"/>
          <w:lang w:val="en-GB"/>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7991BEF3" w14:textId="4BECAB30" w:rsidR="00BC0D17" w:rsidRPr="001A4F7A" w:rsidRDefault="00BC0D17" w:rsidP="005B2A9B">
      <w:pPr>
        <w:jc w:val="both"/>
        <w:rPr>
          <w:rFonts w:ascii="Arial" w:hAnsi="Arial" w:cs="Arial"/>
          <w:color w:val="7B7B7B" w:themeColor="accent3" w:themeShade="BF"/>
          <w:sz w:val="22"/>
          <w:szCs w:val="22"/>
          <w:u w:val="single"/>
        </w:rPr>
      </w:pPr>
      <w:r w:rsidRPr="001A4F7A">
        <w:rPr>
          <w:rFonts w:ascii="Arial" w:hAnsi="Arial" w:cs="Arial"/>
          <w:color w:val="7B7B7B" w:themeColor="accent3" w:themeShade="BF"/>
          <w:sz w:val="22"/>
          <w:szCs w:val="22"/>
          <w:u w:val="single"/>
        </w:rPr>
        <w:t xml:space="preserve">What fiduciary duties do the </w:t>
      </w:r>
      <w:r w:rsidR="00E24F0A" w:rsidRPr="001A4F7A">
        <w:rPr>
          <w:rFonts w:ascii="Arial" w:hAnsi="Arial" w:cs="Arial"/>
          <w:color w:val="7B7B7B" w:themeColor="accent3" w:themeShade="BF"/>
          <w:sz w:val="22"/>
          <w:szCs w:val="22"/>
          <w:u w:val="single"/>
        </w:rPr>
        <w:t xml:space="preserve">Directors of Delaware corporations </w:t>
      </w:r>
      <w:r w:rsidRPr="001A4F7A">
        <w:rPr>
          <w:rFonts w:ascii="Arial" w:hAnsi="Arial" w:cs="Arial"/>
          <w:color w:val="7B7B7B" w:themeColor="accent3" w:themeShade="BF"/>
          <w:sz w:val="22"/>
          <w:szCs w:val="22"/>
          <w:u w:val="single"/>
        </w:rPr>
        <w:t xml:space="preserve">owe?  </w:t>
      </w:r>
    </w:p>
    <w:p w14:paraId="5704924E" w14:textId="77777777" w:rsidR="001A4F7A" w:rsidRDefault="001A4F7A" w:rsidP="005B2A9B">
      <w:pPr>
        <w:jc w:val="both"/>
        <w:rPr>
          <w:rFonts w:ascii="Arial" w:hAnsi="Arial" w:cs="Arial"/>
          <w:color w:val="7B7B7B" w:themeColor="accent3" w:themeShade="BF"/>
          <w:sz w:val="22"/>
          <w:szCs w:val="22"/>
        </w:rPr>
      </w:pPr>
    </w:p>
    <w:p w14:paraId="162E301E" w14:textId="39C85F80" w:rsidR="00E24F0A" w:rsidRDefault="00BC0D17" w:rsidP="005B2A9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Directors of Delaware companies </w:t>
      </w:r>
      <w:r w:rsidR="00E24F0A">
        <w:rPr>
          <w:rFonts w:ascii="Arial" w:hAnsi="Arial" w:cs="Arial"/>
          <w:color w:val="7B7B7B" w:themeColor="accent3" w:themeShade="BF"/>
          <w:sz w:val="22"/>
          <w:szCs w:val="22"/>
        </w:rPr>
        <w:t>owe a</w:t>
      </w:r>
      <w:r w:rsidR="00E24F0A" w:rsidRPr="00E24F0A">
        <w:rPr>
          <w:rFonts w:ascii="Arial" w:hAnsi="Arial" w:cs="Arial"/>
          <w:color w:val="7B7B7B" w:themeColor="accent3" w:themeShade="BF"/>
          <w:sz w:val="22"/>
          <w:szCs w:val="22"/>
        </w:rPr>
        <w:t xml:space="preserve"> fiduciary dut</w:t>
      </w:r>
      <w:r w:rsidR="00E24F0A">
        <w:rPr>
          <w:rFonts w:ascii="Arial" w:hAnsi="Arial" w:cs="Arial"/>
          <w:color w:val="7B7B7B" w:themeColor="accent3" w:themeShade="BF"/>
          <w:sz w:val="22"/>
          <w:szCs w:val="22"/>
        </w:rPr>
        <w:t>y</w:t>
      </w:r>
      <w:r w:rsidR="00E24F0A" w:rsidRPr="00E24F0A">
        <w:rPr>
          <w:rFonts w:ascii="Arial" w:hAnsi="Arial" w:cs="Arial"/>
          <w:color w:val="7B7B7B" w:themeColor="accent3" w:themeShade="BF"/>
          <w:sz w:val="22"/>
          <w:szCs w:val="22"/>
        </w:rPr>
        <w:t xml:space="preserve"> of care and loyalty </w:t>
      </w:r>
      <w:r w:rsidR="00E24F0A">
        <w:rPr>
          <w:rFonts w:ascii="Arial" w:hAnsi="Arial" w:cs="Arial"/>
          <w:color w:val="7B7B7B" w:themeColor="accent3" w:themeShade="BF"/>
          <w:sz w:val="22"/>
          <w:szCs w:val="22"/>
        </w:rPr>
        <w:t xml:space="preserve">to serve the best interests of the company.  </w:t>
      </w:r>
    </w:p>
    <w:p w14:paraId="6387D28B" w14:textId="426B82EB" w:rsidR="006C3F9F" w:rsidRDefault="00E24F0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Directors must act in</w:t>
      </w:r>
      <w:r w:rsidRPr="00E24F0A">
        <w:rPr>
          <w:rFonts w:ascii="Arial" w:hAnsi="Arial" w:cs="Arial"/>
          <w:color w:val="7B7B7B" w:themeColor="accent3" w:themeShade="BF"/>
          <w:sz w:val="22"/>
          <w:szCs w:val="22"/>
        </w:rPr>
        <w:t xml:space="preserve"> good faith</w:t>
      </w:r>
      <w:r>
        <w:rPr>
          <w:rFonts w:ascii="Arial" w:hAnsi="Arial" w:cs="Arial"/>
          <w:color w:val="7B7B7B" w:themeColor="accent3" w:themeShade="BF"/>
          <w:sz w:val="22"/>
          <w:szCs w:val="22"/>
        </w:rPr>
        <w:t xml:space="preserve"> </w:t>
      </w:r>
      <w:r w:rsidR="006C3F9F">
        <w:rPr>
          <w:rFonts w:ascii="Arial" w:hAnsi="Arial" w:cs="Arial"/>
          <w:color w:val="7B7B7B" w:themeColor="accent3" w:themeShade="BF"/>
          <w:sz w:val="22"/>
          <w:szCs w:val="22"/>
          <w:lang w:val="en-GB"/>
        </w:rPr>
        <w:t xml:space="preserve">and in educated decision making.  </w:t>
      </w:r>
    </w:p>
    <w:p w14:paraId="318A43F1" w14:textId="77777777" w:rsidR="007E0A41" w:rsidRDefault="007E0A41" w:rsidP="005B2A9B">
      <w:pPr>
        <w:jc w:val="both"/>
        <w:rPr>
          <w:rFonts w:ascii="Arial" w:hAnsi="Arial" w:cs="Arial"/>
          <w:color w:val="7B7B7B" w:themeColor="accent3" w:themeShade="BF"/>
          <w:sz w:val="22"/>
          <w:szCs w:val="22"/>
          <w:lang w:val="en-GB"/>
        </w:rPr>
      </w:pPr>
    </w:p>
    <w:p w14:paraId="093C1104" w14:textId="140C5FA7" w:rsidR="006C3F9F" w:rsidRPr="006C3F9F" w:rsidRDefault="007E0A41" w:rsidP="006C3F9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liability of directors </w:t>
      </w:r>
      <w:r w:rsidR="00D708E1">
        <w:rPr>
          <w:rFonts w:ascii="Arial" w:hAnsi="Arial" w:cs="Arial"/>
          <w:color w:val="7B7B7B" w:themeColor="accent3" w:themeShade="BF"/>
          <w:sz w:val="22"/>
          <w:szCs w:val="22"/>
          <w:lang w:val="en-GB"/>
        </w:rPr>
        <w:t>is</w:t>
      </w:r>
      <w:r w:rsidR="006C3F9F" w:rsidRPr="006C3F9F">
        <w:rPr>
          <w:rFonts w:ascii="Arial" w:hAnsi="Arial" w:cs="Arial"/>
          <w:color w:val="7B7B7B" w:themeColor="accent3" w:themeShade="BF"/>
          <w:sz w:val="22"/>
          <w:szCs w:val="22"/>
          <w:lang w:val="en-GB"/>
        </w:rPr>
        <w:t xml:space="preserve"> protected by the business Judgment rule.  Directors are presumed to have acted in good faith </w:t>
      </w:r>
      <w:r>
        <w:rPr>
          <w:rFonts w:ascii="Arial" w:hAnsi="Arial" w:cs="Arial"/>
          <w:color w:val="7B7B7B" w:themeColor="accent3" w:themeShade="BF"/>
          <w:sz w:val="22"/>
          <w:szCs w:val="22"/>
          <w:lang w:val="en-GB"/>
        </w:rPr>
        <w:t xml:space="preserve">and/or made decisions </w:t>
      </w:r>
      <w:r w:rsidR="006C3F9F" w:rsidRPr="006C3F9F">
        <w:rPr>
          <w:rFonts w:ascii="Arial" w:hAnsi="Arial" w:cs="Arial"/>
          <w:color w:val="7B7B7B" w:themeColor="accent3" w:themeShade="BF"/>
          <w:sz w:val="22"/>
          <w:szCs w:val="22"/>
          <w:lang w:val="en-GB"/>
        </w:rPr>
        <w:t xml:space="preserve">based on reasonable information.  </w:t>
      </w:r>
    </w:p>
    <w:p w14:paraId="699B17D5" w14:textId="66B41F22" w:rsidR="000C5913" w:rsidRDefault="006C3F9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presumption is </w:t>
      </w:r>
      <w:r w:rsidR="007E0A41">
        <w:rPr>
          <w:rFonts w:ascii="Arial" w:hAnsi="Arial" w:cs="Arial"/>
          <w:color w:val="7B7B7B" w:themeColor="accent3" w:themeShade="BF"/>
          <w:sz w:val="22"/>
          <w:szCs w:val="22"/>
          <w:lang w:val="en-GB"/>
        </w:rPr>
        <w:t xml:space="preserve">however </w:t>
      </w:r>
      <w:r>
        <w:rPr>
          <w:rFonts w:ascii="Arial" w:hAnsi="Arial" w:cs="Arial"/>
          <w:color w:val="7B7B7B" w:themeColor="accent3" w:themeShade="BF"/>
          <w:sz w:val="22"/>
          <w:szCs w:val="22"/>
          <w:lang w:val="en-GB"/>
        </w:rPr>
        <w:t xml:space="preserve">rebuttable </w:t>
      </w:r>
      <w:r w:rsidR="00DA296F">
        <w:rPr>
          <w:rFonts w:ascii="Arial" w:hAnsi="Arial" w:cs="Arial"/>
          <w:color w:val="7B7B7B" w:themeColor="accent3" w:themeShade="BF"/>
          <w:sz w:val="22"/>
          <w:szCs w:val="22"/>
          <w:lang w:val="en-GB"/>
        </w:rPr>
        <w:t xml:space="preserve">and </w:t>
      </w:r>
      <w:r w:rsidR="00D708E1">
        <w:rPr>
          <w:rFonts w:ascii="Arial" w:hAnsi="Arial" w:cs="Arial"/>
          <w:color w:val="7B7B7B" w:themeColor="accent3" w:themeShade="BF"/>
          <w:sz w:val="22"/>
          <w:szCs w:val="22"/>
          <w:lang w:val="en-GB"/>
        </w:rPr>
        <w:t xml:space="preserve">can only be overcome by showing that </w:t>
      </w:r>
      <w:proofErr w:type="gramStart"/>
      <w:r w:rsidR="00D708E1">
        <w:rPr>
          <w:rFonts w:ascii="Arial" w:hAnsi="Arial" w:cs="Arial"/>
          <w:color w:val="7B7B7B" w:themeColor="accent3" w:themeShade="BF"/>
          <w:sz w:val="22"/>
          <w:szCs w:val="22"/>
          <w:lang w:val="en-GB"/>
        </w:rPr>
        <w:t>the majority of</w:t>
      </w:r>
      <w:proofErr w:type="gramEnd"/>
      <w:r w:rsidR="00D708E1">
        <w:rPr>
          <w:rFonts w:ascii="Arial" w:hAnsi="Arial" w:cs="Arial"/>
          <w:color w:val="7B7B7B" w:themeColor="accent3" w:themeShade="BF"/>
          <w:sz w:val="22"/>
          <w:szCs w:val="22"/>
          <w:lang w:val="en-GB"/>
        </w:rPr>
        <w:t xml:space="preserve"> the board were not reasonably informed, or act</w:t>
      </w:r>
      <w:r w:rsidR="00E712B4">
        <w:rPr>
          <w:rFonts w:ascii="Arial" w:hAnsi="Arial" w:cs="Arial"/>
          <w:color w:val="7B7B7B" w:themeColor="accent3" w:themeShade="BF"/>
          <w:sz w:val="22"/>
          <w:szCs w:val="22"/>
          <w:lang w:val="en-GB"/>
        </w:rPr>
        <w:t>ed</w:t>
      </w:r>
      <w:r w:rsidR="00D708E1">
        <w:rPr>
          <w:rFonts w:ascii="Arial" w:hAnsi="Arial" w:cs="Arial"/>
          <w:color w:val="7B7B7B" w:themeColor="accent3" w:themeShade="BF"/>
          <w:sz w:val="22"/>
          <w:szCs w:val="22"/>
          <w:lang w:val="en-GB"/>
        </w:rPr>
        <w:t xml:space="preserve"> in good faith,</w:t>
      </w:r>
      <w:r w:rsidR="00E712B4">
        <w:rPr>
          <w:rFonts w:ascii="Arial" w:hAnsi="Arial" w:cs="Arial"/>
          <w:color w:val="7B7B7B" w:themeColor="accent3" w:themeShade="BF"/>
          <w:sz w:val="22"/>
          <w:szCs w:val="22"/>
          <w:lang w:val="en-GB"/>
        </w:rPr>
        <w:t xml:space="preserve"> or did not honestly believe that the decision they made was in the company’s best interests.  </w:t>
      </w:r>
    </w:p>
    <w:p w14:paraId="271B392A" w14:textId="30E149FA" w:rsidR="00E712B4" w:rsidRDefault="00E712B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presumption is not rebutted, directors will not be held liable.</w:t>
      </w:r>
      <w:r w:rsidR="00D87F4D">
        <w:rPr>
          <w:rFonts w:ascii="Arial" w:hAnsi="Arial" w:cs="Arial"/>
          <w:color w:val="7B7B7B" w:themeColor="accent3" w:themeShade="BF"/>
          <w:sz w:val="22"/>
          <w:szCs w:val="22"/>
          <w:lang w:val="en-GB"/>
        </w:rPr>
        <w:t xml:space="preserve">  </w:t>
      </w:r>
    </w:p>
    <w:p w14:paraId="4DDFD908" w14:textId="0A35AE0E" w:rsidR="00D87F4D" w:rsidRDefault="00D87F4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business judgment rule does not apply where the directors took decisions on the approval of transactions by a board majority that was not disinterested and independent, or where a controlling shareholder was on both sides of the transac</w:t>
      </w:r>
      <w:r w:rsidR="00424E70">
        <w:rPr>
          <w:rFonts w:ascii="Arial" w:hAnsi="Arial" w:cs="Arial"/>
          <w:color w:val="7B7B7B" w:themeColor="accent3" w:themeShade="BF"/>
          <w:sz w:val="22"/>
          <w:szCs w:val="22"/>
          <w:lang w:val="en-GB"/>
        </w:rPr>
        <w:t>tion.</w:t>
      </w:r>
      <w:r w:rsidR="00BC0D17">
        <w:rPr>
          <w:rFonts w:ascii="Arial" w:hAnsi="Arial" w:cs="Arial"/>
          <w:color w:val="7B7B7B" w:themeColor="accent3" w:themeShade="BF"/>
          <w:sz w:val="22"/>
          <w:szCs w:val="22"/>
          <w:lang w:val="en-GB"/>
        </w:rPr>
        <w:t xml:space="preserve">  In such a case, the transaction will be void unless the fairness standard is satisfied.</w:t>
      </w:r>
    </w:p>
    <w:p w14:paraId="0FBA871A" w14:textId="77777777" w:rsidR="007E0A41" w:rsidRDefault="007E0A41" w:rsidP="005B2A9B">
      <w:pPr>
        <w:jc w:val="both"/>
        <w:rPr>
          <w:rFonts w:ascii="Arial" w:hAnsi="Arial" w:cs="Arial"/>
          <w:color w:val="7B7B7B" w:themeColor="accent3" w:themeShade="BF"/>
          <w:sz w:val="22"/>
          <w:szCs w:val="22"/>
          <w:lang w:val="en-GB"/>
        </w:rPr>
      </w:pPr>
    </w:p>
    <w:p w14:paraId="2F7CB9E8" w14:textId="5DFE776B" w:rsidR="006C3F9F" w:rsidRDefault="000C591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exclusion</w:t>
      </w:r>
      <w:r w:rsidR="00776E26">
        <w:rPr>
          <w:rFonts w:ascii="Arial" w:hAnsi="Arial" w:cs="Arial"/>
          <w:color w:val="7B7B7B" w:themeColor="accent3" w:themeShade="BF"/>
          <w:sz w:val="22"/>
          <w:szCs w:val="22"/>
          <w:lang w:val="en-GB"/>
        </w:rPr>
        <w:t xml:space="preserve"> from liability for breach of duty </w:t>
      </w:r>
      <w:r w:rsidR="00D87F4D">
        <w:rPr>
          <w:rFonts w:ascii="Arial" w:hAnsi="Arial" w:cs="Arial"/>
          <w:color w:val="7B7B7B" w:themeColor="accent3" w:themeShade="BF"/>
          <w:sz w:val="22"/>
          <w:szCs w:val="22"/>
          <w:lang w:val="en-GB"/>
        </w:rPr>
        <w:t xml:space="preserve">of care can be </w:t>
      </w:r>
      <w:r w:rsidR="00776E26">
        <w:rPr>
          <w:rFonts w:ascii="Arial" w:hAnsi="Arial" w:cs="Arial"/>
          <w:color w:val="7B7B7B" w:themeColor="accent3" w:themeShade="BF"/>
          <w:sz w:val="22"/>
          <w:szCs w:val="22"/>
          <w:lang w:val="en-GB"/>
        </w:rPr>
        <w:t>embedded in the company’s Certificate of Incorporation</w:t>
      </w:r>
      <w:r w:rsidR="00D87F4D">
        <w:rPr>
          <w:rFonts w:ascii="Arial" w:hAnsi="Arial" w:cs="Arial"/>
          <w:color w:val="7B7B7B" w:themeColor="accent3" w:themeShade="BF"/>
          <w:sz w:val="22"/>
          <w:szCs w:val="22"/>
          <w:lang w:val="en-GB"/>
        </w:rPr>
        <w:t>, thus the directors are exempt from liability</w:t>
      </w:r>
      <w:r w:rsidR="00776E26">
        <w:rPr>
          <w:rFonts w:ascii="Arial" w:hAnsi="Arial" w:cs="Arial"/>
          <w:color w:val="7B7B7B" w:themeColor="accent3" w:themeShade="BF"/>
          <w:sz w:val="22"/>
          <w:szCs w:val="22"/>
          <w:lang w:val="en-GB"/>
        </w:rPr>
        <w:t>.</w:t>
      </w:r>
      <w:r w:rsidR="00D87F4D">
        <w:rPr>
          <w:rFonts w:ascii="Arial" w:hAnsi="Arial" w:cs="Arial"/>
          <w:color w:val="7B7B7B" w:themeColor="accent3" w:themeShade="BF"/>
          <w:sz w:val="22"/>
          <w:szCs w:val="22"/>
          <w:lang w:val="en-GB"/>
        </w:rPr>
        <w:t xml:space="preserve">  However, b</w:t>
      </w:r>
      <w:r w:rsidR="00776E26">
        <w:rPr>
          <w:rFonts w:ascii="Arial" w:hAnsi="Arial" w:cs="Arial"/>
          <w:color w:val="7B7B7B" w:themeColor="accent3" w:themeShade="BF"/>
          <w:sz w:val="22"/>
          <w:szCs w:val="22"/>
          <w:lang w:val="en-GB"/>
        </w:rPr>
        <w:t xml:space="preserve">reach of duty of loyalty </w:t>
      </w:r>
      <w:r w:rsidR="00D87F4D">
        <w:rPr>
          <w:rFonts w:ascii="Arial" w:hAnsi="Arial" w:cs="Arial"/>
          <w:color w:val="7B7B7B" w:themeColor="accent3" w:themeShade="BF"/>
          <w:sz w:val="22"/>
          <w:szCs w:val="22"/>
          <w:lang w:val="en-GB"/>
        </w:rPr>
        <w:t xml:space="preserve">to the company will never be incorporated into the company’s Certificate of Incorporation.  </w:t>
      </w:r>
    </w:p>
    <w:p w14:paraId="06383385" w14:textId="517026C1" w:rsidR="00D87F4D" w:rsidRDefault="00D87F4D" w:rsidP="005B2A9B">
      <w:pPr>
        <w:jc w:val="both"/>
        <w:rPr>
          <w:rFonts w:ascii="Arial" w:hAnsi="Arial" w:cs="Arial"/>
          <w:color w:val="7B7B7B" w:themeColor="accent3" w:themeShade="BF"/>
          <w:sz w:val="22"/>
          <w:szCs w:val="22"/>
          <w:lang w:val="en-GB"/>
        </w:rPr>
      </w:pPr>
    </w:p>
    <w:p w14:paraId="568B9D8B" w14:textId="1F840108" w:rsidR="00BC0D17" w:rsidRPr="001A4F7A" w:rsidRDefault="00BC0D17" w:rsidP="005B2A9B">
      <w:pPr>
        <w:jc w:val="both"/>
        <w:rPr>
          <w:rFonts w:ascii="Arial" w:hAnsi="Arial" w:cs="Arial"/>
          <w:color w:val="7B7B7B" w:themeColor="accent3" w:themeShade="BF"/>
          <w:sz w:val="22"/>
          <w:szCs w:val="22"/>
          <w:u w:val="single"/>
          <w:lang w:val="en-GB"/>
        </w:rPr>
      </w:pPr>
      <w:r w:rsidRPr="001A4F7A">
        <w:rPr>
          <w:rFonts w:ascii="Arial" w:hAnsi="Arial" w:cs="Arial"/>
          <w:color w:val="7B7B7B" w:themeColor="accent3" w:themeShade="BF"/>
          <w:sz w:val="22"/>
          <w:szCs w:val="22"/>
          <w:u w:val="single"/>
          <w:lang w:val="en-GB"/>
        </w:rPr>
        <w:t>To whom are these duties owed</w:t>
      </w:r>
      <w:r w:rsidR="001759D0">
        <w:rPr>
          <w:rFonts w:ascii="Arial" w:hAnsi="Arial" w:cs="Arial"/>
          <w:color w:val="7B7B7B" w:themeColor="accent3" w:themeShade="BF"/>
          <w:sz w:val="22"/>
          <w:szCs w:val="22"/>
          <w:u w:val="single"/>
          <w:lang w:val="en-GB"/>
        </w:rPr>
        <w:t xml:space="preserve"> and when</w:t>
      </w:r>
      <w:r w:rsidRPr="001A4F7A">
        <w:rPr>
          <w:rFonts w:ascii="Arial" w:hAnsi="Arial" w:cs="Arial"/>
          <w:color w:val="7B7B7B" w:themeColor="accent3" w:themeShade="BF"/>
          <w:sz w:val="22"/>
          <w:szCs w:val="22"/>
          <w:u w:val="single"/>
          <w:lang w:val="en-GB"/>
        </w:rPr>
        <w:t>?</w:t>
      </w:r>
    </w:p>
    <w:p w14:paraId="3BC2A704" w14:textId="77777777" w:rsidR="001A4F7A" w:rsidRDefault="001A4F7A" w:rsidP="005B2A9B">
      <w:pPr>
        <w:jc w:val="both"/>
        <w:rPr>
          <w:rFonts w:ascii="Arial" w:hAnsi="Arial" w:cs="Arial"/>
          <w:color w:val="7B7B7B" w:themeColor="accent3" w:themeShade="BF"/>
          <w:sz w:val="22"/>
          <w:szCs w:val="22"/>
          <w:lang w:val="en-GB"/>
        </w:rPr>
      </w:pPr>
    </w:p>
    <w:p w14:paraId="3CEAE717" w14:textId="1AB02BCF" w:rsidR="005E111B" w:rsidRDefault="0039148A" w:rsidP="00A5165A">
      <w:pPr>
        <w:pStyle w:val="ListParagraph"/>
        <w:numPr>
          <w:ilvl w:val="0"/>
          <w:numId w:val="19"/>
        </w:numPr>
        <w:jc w:val="both"/>
        <w:rPr>
          <w:rFonts w:ascii="Arial" w:hAnsi="Arial" w:cs="Arial"/>
          <w:color w:val="7B7B7B" w:themeColor="accent3" w:themeShade="BF"/>
          <w:sz w:val="22"/>
          <w:szCs w:val="22"/>
          <w:lang w:val="en-GB"/>
        </w:rPr>
      </w:pPr>
      <w:r w:rsidRPr="005E111B">
        <w:rPr>
          <w:rFonts w:ascii="Arial" w:hAnsi="Arial" w:cs="Arial"/>
          <w:color w:val="7B7B7B" w:themeColor="accent3" w:themeShade="BF"/>
          <w:sz w:val="22"/>
          <w:szCs w:val="22"/>
          <w:lang w:val="en-GB"/>
        </w:rPr>
        <w:t xml:space="preserve"> </w:t>
      </w:r>
      <w:r w:rsidR="00BC0D17" w:rsidRPr="005E111B">
        <w:rPr>
          <w:rFonts w:ascii="Arial" w:hAnsi="Arial" w:cs="Arial"/>
          <w:color w:val="7B7B7B" w:themeColor="accent3" w:themeShade="BF"/>
          <w:sz w:val="22"/>
          <w:szCs w:val="22"/>
          <w:lang w:val="en-GB"/>
        </w:rPr>
        <w:t xml:space="preserve">During the solvency of a company, directors owe a duty of care and loyalty to the company, and by implication, its shareholders.  </w:t>
      </w:r>
    </w:p>
    <w:p w14:paraId="738D5E7E" w14:textId="77777777" w:rsidR="005E111B" w:rsidRDefault="005E111B" w:rsidP="005E111B">
      <w:pPr>
        <w:pStyle w:val="ListParagraph"/>
        <w:jc w:val="both"/>
        <w:rPr>
          <w:rFonts w:ascii="Arial" w:hAnsi="Arial" w:cs="Arial"/>
          <w:color w:val="7B7B7B" w:themeColor="accent3" w:themeShade="BF"/>
          <w:sz w:val="22"/>
          <w:szCs w:val="22"/>
          <w:lang w:val="en-GB"/>
        </w:rPr>
      </w:pPr>
    </w:p>
    <w:p w14:paraId="147011BC" w14:textId="56F13097" w:rsidR="001A4F7A" w:rsidRPr="005E111B" w:rsidRDefault="00BC0D17" w:rsidP="00A5165A">
      <w:pPr>
        <w:pStyle w:val="ListParagraph"/>
        <w:numPr>
          <w:ilvl w:val="0"/>
          <w:numId w:val="19"/>
        </w:numPr>
        <w:jc w:val="both"/>
        <w:rPr>
          <w:rFonts w:ascii="Arial" w:hAnsi="Arial" w:cs="Arial"/>
          <w:color w:val="7B7B7B" w:themeColor="accent3" w:themeShade="BF"/>
          <w:sz w:val="22"/>
          <w:szCs w:val="22"/>
          <w:lang w:val="en-GB"/>
        </w:rPr>
      </w:pPr>
      <w:r w:rsidRPr="005E111B">
        <w:rPr>
          <w:rFonts w:ascii="Arial" w:hAnsi="Arial" w:cs="Arial"/>
          <w:color w:val="7B7B7B" w:themeColor="accent3" w:themeShade="BF"/>
          <w:sz w:val="22"/>
          <w:szCs w:val="22"/>
          <w:lang w:val="en-GB"/>
        </w:rPr>
        <w:t>When the company is</w:t>
      </w:r>
      <w:r w:rsidR="001A4F7A" w:rsidRPr="005E111B">
        <w:rPr>
          <w:rFonts w:ascii="Arial" w:hAnsi="Arial" w:cs="Arial"/>
          <w:color w:val="7B7B7B" w:themeColor="accent3" w:themeShade="BF"/>
          <w:sz w:val="22"/>
          <w:szCs w:val="22"/>
          <w:lang w:val="en-GB"/>
        </w:rPr>
        <w:t xml:space="preserve"> teetering on</w:t>
      </w:r>
      <w:r w:rsidRPr="005E111B">
        <w:rPr>
          <w:rFonts w:ascii="Arial" w:hAnsi="Arial" w:cs="Arial"/>
          <w:color w:val="7B7B7B" w:themeColor="accent3" w:themeShade="BF"/>
          <w:sz w:val="22"/>
          <w:szCs w:val="22"/>
          <w:lang w:val="en-GB"/>
        </w:rPr>
        <w:t xml:space="preserve"> insolven</w:t>
      </w:r>
      <w:r w:rsidR="001A4F7A" w:rsidRPr="005E111B">
        <w:rPr>
          <w:rFonts w:ascii="Arial" w:hAnsi="Arial" w:cs="Arial"/>
          <w:color w:val="7B7B7B" w:themeColor="accent3" w:themeShade="BF"/>
          <w:sz w:val="22"/>
          <w:szCs w:val="22"/>
          <w:lang w:val="en-GB"/>
        </w:rPr>
        <w:t>cy</w:t>
      </w:r>
      <w:r w:rsidR="004B55F3">
        <w:rPr>
          <w:rFonts w:ascii="Arial" w:hAnsi="Arial" w:cs="Arial"/>
          <w:color w:val="7B7B7B" w:themeColor="accent3" w:themeShade="BF"/>
          <w:sz w:val="22"/>
          <w:szCs w:val="22"/>
          <w:lang w:val="en-GB"/>
        </w:rPr>
        <w:t xml:space="preserve"> (potentially insolvent)</w:t>
      </w:r>
      <w:r w:rsidRPr="005E111B">
        <w:rPr>
          <w:rFonts w:ascii="Arial" w:hAnsi="Arial" w:cs="Arial"/>
          <w:color w:val="7B7B7B" w:themeColor="accent3" w:themeShade="BF"/>
          <w:sz w:val="22"/>
          <w:szCs w:val="22"/>
          <w:lang w:val="en-GB"/>
        </w:rPr>
        <w:t>,</w:t>
      </w:r>
      <w:r w:rsidR="001A4F7A" w:rsidRPr="005E111B">
        <w:rPr>
          <w:rFonts w:ascii="Arial" w:hAnsi="Arial" w:cs="Arial"/>
          <w:color w:val="7B7B7B" w:themeColor="accent3" w:themeShade="BF"/>
          <w:sz w:val="22"/>
          <w:szCs w:val="22"/>
          <w:lang w:val="en-GB"/>
        </w:rPr>
        <w:t xml:space="preserve"> the fiduciary duties of the directors remain the same as found in the case of </w:t>
      </w:r>
      <w:proofErr w:type="gramStart"/>
      <w:r w:rsidR="001A4F7A" w:rsidRPr="005E111B">
        <w:rPr>
          <w:rFonts w:ascii="Arial" w:hAnsi="Arial" w:cs="Arial"/>
          <w:i/>
          <w:iCs/>
          <w:color w:val="7B7B7B" w:themeColor="accent3" w:themeShade="BF"/>
          <w:sz w:val="22"/>
          <w:szCs w:val="22"/>
          <w:lang w:val="en-GB"/>
        </w:rPr>
        <w:t>In</w:t>
      </w:r>
      <w:proofErr w:type="gramEnd"/>
      <w:r w:rsidR="001A4F7A" w:rsidRPr="005E111B">
        <w:rPr>
          <w:rFonts w:ascii="Arial" w:hAnsi="Arial" w:cs="Arial"/>
          <w:i/>
          <w:iCs/>
          <w:color w:val="7B7B7B" w:themeColor="accent3" w:themeShade="BF"/>
          <w:sz w:val="22"/>
          <w:szCs w:val="22"/>
          <w:lang w:val="en-GB"/>
        </w:rPr>
        <w:t xml:space="preserve"> the matter of </w:t>
      </w:r>
      <w:r w:rsidR="001A4F7A" w:rsidRPr="005E111B">
        <w:rPr>
          <w:rFonts w:ascii="Arial" w:hAnsi="Arial" w:cs="Arial"/>
          <w:i/>
          <w:iCs/>
          <w:color w:val="7B7B7B" w:themeColor="accent3" w:themeShade="BF"/>
          <w:sz w:val="22"/>
          <w:szCs w:val="22"/>
        </w:rPr>
        <w:t xml:space="preserve">North American Catholic Educational Programming v. </w:t>
      </w:r>
      <w:proofErr w:type="spellStart"/>
      <w:r w:rsidR="001A4F7A" w:rsidRPr="005E111B">
        <w:rPr>
          <w:rFonts w:ascii="Arial" w:hAnsi="Arial" w:cs="Arial"/>
          <w:i/>
          <w:iCs/>
          <w:color w:val="7B7B7B" w:themeColor="accent3" w:themeShade="BF"/>
          <w:sz w:val="22"/>
          <w:szCs w:val="22"/>
        </w:rPr>
        <w:t>Gheewalla</w:t>
      </w:r>
      <w:proofErr w:type="spellEnd"/>
      <w:r w:rsidR="001A4F7A" w:rsidRPr="005E111B">
        <w:rPr>
          <w:rFonts w:ascii="Arial" w:hAnsi="Arial" w:cs="Arial"/>
          <w:color w:val="7B7B7B" w:themeColor="accent3" w:themeShade="BF"/>
          <w:sz w:val="22"/>
          <w:szCs w:val="22"/>
        </w:rPr>
        <w:t> (Del. Supr. 2007)</w:t>
      </w:r>
      <w:r w:rsidR="001A4F7A" w:rsidRPr="005E111B">
        <w:rPr>
          <w:rFonts w:ascii="Arial" w:hAnsi="Arial" w:cs="Arial"/>
          <w:color w:val="7B7B7B" w:themeColor="accent3" w:themeShade="BF"/>
          <w:sz w:val="22"/>
          <w:szCs w:val="22"/>
          <w:lang w:val="en-GB"/>
        </w:rPr>
        <w:t xml:space="preserve"> where the Court held:</w:t>
      </w:r>
    </w:p>
    <w:p w14:paraId="044E3B16" w14:textId="77777777" w:rsidR="001A4F7A" w:rsidRDefault="001A4F7A" w:rsidP="005B2A9B">
      <w:pPr>
        <w:jc w:val="both"/>
        <w:rPr>
          <w:rFonts w:ascii="Arial" w:hAnsi="Arial" w:cs="Arial"/>
          <w:color w:val="7B7B7B" w:themeColor="accent3" w:themeShade="BF"/>
          <w:sz w:val="22"/>
          <w:szCs w:val="22"/>
          <w:lang w:val="en-GB"/>
        </w:rPr>
      </w:pPr>
    </w:p>
    <w:p w14:paraId="5E57875A" w14:textId="05467797" w:rsidR="001A4F7A" w:rsidRPr="0039148A" w:rsidRDefault="001A4F7A" w:rsidP="001A4F7A">
      <w:pPr>
        <w:jc w:val="center"/>
        <w:rPr>
          <w:rFonts w:ascii="Arial" w:hAnsi="Arial" w:cs="Arial"/>
          <w:color w:val="7B7B7B" w:themeColor="accent3" w:themeShade="BF"/>
          <w:sz w:val="22"/>
          <w:szCs w:val="22"/>
        </w:rPr>
      </w:pPr>
      <w:r w:rsidRPr="001A4F7A">
        <w:rPr>
          <w:rFonts w:ascii="Arial" w:hAnsi="Arial" w:cs="Arial"/>
          <w:i/>
          <w:iCs/>
          <w:color w:val="7B7B7B" w:themeColor="accent3" w:themeShade="BF"/>
          <w:sz w:val="22"/>
          <w:szCs w:val="22"/>
        </w:rPr>
        <w:t>“[D]</w:t>
      </w:r>
      <w:proofErr w:type="spellStart"/>
      <w:r w:rsidRPr="001A4F7A">
        <w:rPr>
          <w:rFonts w:ascii="Arial" w:hAnsi="Arial" w:cs="Arial"/>
          <w:i/>
          <w:iCs/>
          <w:color w:val="7B7B7B" w:themeColor="accent3" w:themeShade="BF"/>
          <w:sz w:val="22"/>
          <w:szCs w:val="22"/>
        </w:rPr>
        <w:t>irectors</w:t>
      </w:r>
      <w:proofErr w:type="spellEnd"/>
      <w:r w:rsidRPr="001A4F7A">
        <w:rPr>
          <w:rFonts w:ascii="Arial" w:hAnsi="Arial" w:cs="Arial"/>
          <w:i/>
          <w:iCs/>
          <w:color w:val="7B7B7B" w:themeColor="accent3" w:themeShade="BF"/>
          <w:sz w:val="22"/>
          <w:szCs w:val="22"/>
        </w:rPr>
        <w:t xml:space="preserve"> owe their fiduciary obligations to the corporation and its shareholders…. When a solvent corporation is navigating in the zone of insolvency, the focus for Delaware directors does not </w:t>
      </w:r>
      <w:proofErr w:type="gramStart"/>
      <w:r w:rsidRPr="001A4F7A">
        <w:rPr>
          <w:rFonts w:ascii="Arial" w:hAnsi="Arial" w:cs="Arial"/>
          <w:i/>
          <w:iCs/>
          <w:color w:val="7B7B7B" w:themeColor="accent3" w:themeShade="BF"/>
          <w:sz w:val="22"/>
          <w:szCs w:val="22"/>
        </w:rPr>
        <w:t>change:</w:t>
      </w:r>
      <w:proofErr w:type="gramEnd"/>
      <w:r w:rsidRPr="001A4F7A">
        <w:rPr>
          <w:rFonts w:ascii="Arial" w:hAnsi="Arial" w:cs="Arial"/>
          <w:i/>
          <w:iCs/>
          <w:color w:val="7B7B7B" w:themeColor="accent3" w:themeShade="BF"/>
          <w:sz w:val="22"/>
          <w:szCs w:val="22"/>
        </w:rPr>
        <w:t xml:space="preserve"> directors must continue to discharge their fiduciary duties to the corporation and its shareholders by exercising their business judgment in the best interests of the corporation for the benefit of its shareholder owners.”</w:t>
      </w:r>
      <w:r w:rsidR="0039148A">
        <w:rPr>
          <w:rStyle w:val="FootnoteReference"/>
          <w:rFonts w:ascii="Arial" w:hAnsi="Arial" w:cs="Arial"/>
          <w:i/>
          <w:iCs/>
          <w:color w:val="7B7B7B" w:themeColor="accent3" w:themeShade="BF"/>
          <w:sz w:val="22"/>
          <w:szCs w:val="22"/>
        </w:rPr>
        <w:footnoteReference w:id="2"/>
      </w:r>
    </w:p>
    <w:p w14:paraId="2A7BA0D1" w14:textId="77777777" w:rsidR="004B55F3" w:rsidRDefault="004B55F3" w:rsidP="005B2A9B">
      <w:pPr>
        <w:jc w:val="both"/>
        <w:rPr>
          <w:rFonts w:ascii="Arial" w:hAnsi="Arial" w:cs="Arial"/>
          <w:color w:val="7B7B7B" w:themeColor="accent3" w:themeShade="BF"/>
          <w:sz w:val="22"/>
          <w:szCs w:val="22"/>
        </w:rPr>
      </w:pPr>
    </w:p>
    <w:p w14:paraId="6379353D" w14:textId="504C59D4" w:rsidR="00BC0D17" w:rsidRDefault="004B55F3" w:rsidP="005B2A9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1A4F7A">
        <w:rPr>
          <w:rFonts w:ascii="Arial" w:hAnsi="Arial" w:cs="Arial"/>
          <w:color w:val="7B7B7B" w:themeColor="accent3" w:themeShade="BF"/>
          <w:sz w:val="22"/>
          <w:szCs w:val="22"/>
        </w:rPr>
        <w:t>Court</w:t>
      </w:r>
      <w:r>
        <w:rPr>
          <w:rFonts w:ascii="Arial" w:hAnsi="Arial" w:cs="Arial"/>
          <w:color w:val="7B7B7B" w:themeColor="accent3" w:themeShade="BF"/>
          <w:sz w:val="22"/>
          <w:szCs w:val="22"/>
        </w:rPr>
        <w:t xml:space="preserve"> went further to hold that </w:t>
      </w:r>
      <w:r w:rsidR="001A4F7A">
        <w:rPr>
          <w:rFonts w:ascii="Arial" w:hAnsi="Arial" w:cs="Arial"/>
          <w:color w:val="7B7B7B" w:themeColor="accent3" w:themeShade="BF"/>
          <w:sz w:val="22"/>
          <w:szCs w:val="22"/>
        </w:rPr>
        <w:t>the fiduc</w:t>
      </w:r>
      <w:r w:rsidR="0039148A">
        <w:rPr>
          <w:rFonts w:ascii="Arial" w:hAnsi="Arial" w:cs="Arial"/>
          <w:color w:val="7B7B7B" w:themeColor="accent3" w:themeShade="BF"/>
          <w:sz w:val="22"/>
          <w:szCs w:val="22"/>
        </w:rPr>
        <w:t>iary duties of directors in a situation where the company operates in the zone of insolvency does not extend to creditors, as it would “</w:t>
      </w:r>
      <w:r w:rsidR="001A4F7A" w:rsidRPr="001A4F7A">
        <w:rPr>
          <w:rFonts w:ascii="Arial" w:hAnsi="Arial" w:cs="Arial"/>
          <w:color w:val="7B7B7B" w:themeColor="accent3" w:themeShade="BF"/>
          <w:sz w:val="22"/>
          <w:szCs w:val="22"/>
        </w:rPr>
        <w:t xml:space="preserve">create a conflict between those directors’ duty to maximize the value of the insolvent corporation for </w:t>
      </w:r>
      <w:r w:rsidR="001A4F7A" w:rsidRPr="001A4F7A">
        <w:rPr>
          <w:rFonts w:ascii="Arial" w:hAnsi="Arial" w:cs="Arial"/>
          <w:color w:val="7B7B7B" w:themeColor="accent3" w:themeShade="BF"/>
          <w:sz w:val="22"/>
          <w:szCs w:val="22"/>
        </w:rPr>
        <w:lastRenderedPageBreak/>
        <w:t>the benefit of all those having an interest in it, and the newly recognized direct fiduciary duty to individual creditors.”</w:t>
      </w:r>
      <w:r w:rsidR="0039148A">
        <w:rPr>
          <w:rStyle w:val="FootnoteReference"/>
          <w:rFonts w:ascii="Arial" w:hAnsi="Arial" w:cs="Arial"/>
          <w:color w:val="7B7B7B" w:themeColor="accent3" w:themeShade="BF"/>
          <w:sz w:val="22"/>
          <w:szCs w:val="22"/>
        </w:rPr>
        <w:footnoteReference w:id="3"/>
      </w:r>
      <w:r w:rsidR="005E111B">
        <w:rPr>
          <w:rFonts w:ascii="Arial" w:hAnsi="Arial" w:cs="Arial"/>
          <w:color w:val="7B7B7B" w:themeColor="accent3" w:themeShade="BF"/>
          <w:sz w:val="22"/>
          <w:szCs w:val="22"/>
        </w:rPr>
        <w:t xml:space="preserve">  </w:t>
      </w:r>
    </w:p>
    <w:p w14:paraId="22927668" w14:textId="2D9DB672" w:rsidR="005E111B" w:rsidRDefault="005E111B" w:rsidP="005B2A9B">
      <w:pPr>
        <w:jc w:val="both"/>
        <w:rPr>
          <w:rFonts w:ascii="Arial" w:hAnsi="Arial" w:cs="Arial"/>
          <w:color w:val="7B7B7B" w:themeColor="accent3" w:themeShade="BF"/>
          <w:sz w:val="22"/>
          <w:szCs w:val="22"/>
        </w:rPr>
      </w:pPr>
    </w:p>
    <w:p w14:paraId="7BBF4D90" w14:textId="7BB1D3CF" w:rsidR="005E111B" w:rsidRPr="005E111B" w:rsidRDefault="005E111B" w:rsidP="005E111B">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Where the company is </w:t>
      </w:r>
      <w:proofErr w:type="gramStart"/>
      <w:r>
        <w:rPr>
          <w:rFonts w:ascii="Arial" w:hAnsi="Arial" w:cs="Arial"/>
          <w:color w:val="7B7B7B" w:themeColor="accent3" w:themeShade="BF"/>
          <w:sz w:val="22"/>
          <w:szCs w:val="22"/>
          <w:lang w:val="en-GB"/>
        </w:rPr>
        <w:t>actually insolvent</w:t>
      </w:r>
      <w:proofErr w:type="gramEnd"/>
      <w:r>
        <w:rPr>
          <w:rFonts w:ascii="Arial" w:hAnsi="Arial" w:cs="Arial"/>
          <w:color w:val="7B7B7B" w:themeColor="accent3" w:themeShade="BF"/>
          <w:sz w:val="22"/>
          <w:szCs w:val="22"/>
          <w:lang w:val="en-GB"/>
        </w:rPr>
        <w:t>, the directors owe a fiduciary duty of good faith to both the shareholders and the creditors.</w:t>
      </w:r>
      <w:r w:rsidR="000B2138">
        <w:rPr>
          <w:rFonts w:ascii="Arial" w:hAnsi="Arial" w:cs="Arial"/>
          <w:color w:val="7B7B7B" w:themeColor="accent3" w:themeShade="BF"/>
          <w:sz w:val="22"/>
          <w:szCs w:val="22"/>
          <w:lang w:val="en-GB"/>
        </w:rPr>
        <w:t xml:space="preserve">  </w:t>
      </w:r>
      <w:r w:rsidR="004B55F3">
        <w:rPr>
          <w:rFonts w:ascii="Arial" w:hAnsi="Arial" w:cs="Arial"/>
          <w:color w:val="7B7B7B" w:themeColor="accent3" w:themeShade="BF"/>
          <w:sz w:val="22"/>
          <w:szCs w:val="22"/>
          <w:lang w:val="en-GB"/>
        </w:rPr>
        <w:t>However, c</w:t>
      </w:r>
      <w:r w:rsidR="000B2138">
        <w:rPr>
          <w:rFonts w:ascii="Arial" w:hAnsi="Arial" w:cs="Arial"/>
          <w:color w:val="7B7B7B" w:themeColor="accent3" w:themeShade="BF"/>
          <w:sz w:val="22"/>
          <w:szCs w:val="22"/>
          <w:lang w:val="en-GB"/>
        </w:rPr>
        <w:t xml:space="preserve">reditors may not bring direct claims against directors for breach of fiduciary </w:t>
      </w:r>
      <w:proofErr w:type="gramStart"/>
      <w:r w:rsidR="000B2138">
        <w:rPr>
          <w:rFonts w:ascii="Arial" w:hAnsi="Arial" w:cs="Arial"/>
          <w:color w:val="7B7B7B" w:themeColor="accent3" w:themeShade="BF"/>
          <w:sz w:val="22"/>
          <w:szCs w:val="22"/>
          <w:lang w:val="en-GB"/>
        </w:rPr>
        <w:t>duties,</w:t>
      </w:r>
      <w:r w:rsidR="004B55F3">
        <w:rPr>
          <w:rFonts w:ascii="Arial" w:hAnsi="Arial" w:cs="Arial"/>
          <w:color w:val="7B7B7B" w:themeColor="accent3" w:themeShade="BF"/>
          <w:sz w:val="22"/>
          <w:szCs w:val="22"/>
          <w:lang w:val="en-GB"/>
        </w:rPr>
        <w:t xml:space="preserve"> </w:t>
      </w:r>
      <w:r w:rsidR="000B2138">
        <w:rPr>
          <w:rFonts w:ascii="Arial" w:hAnsi="Arial" w:cs="Arial"/>
          <w:color w:val="7B7B7B" w:themeColor="accent3" w:themeShade="BF"/>
          <w:sz w:val="22"/>
          <w:szCs w:val="22"/>
          <w:lang w:val="en-GB"/>
        </w:rPr>
        <w:t>but</w:t>
      </w:r>
      <w:proofErr w:type="gramEnd"/>
      <w:r w:rsidR="000B2138">
        <w:rPr>
          <w:rFonts w:ascii="Arial" w:hAnsi="Arial" w:cs="Arial"/>
          <w:color w:val="7B7B7B" w:themeColor="accent3" w:themeShade="BF"/>
          <w:sz w:val="22"/>
          <w:szCs w:val="22"/>
          <w:lang w:val="en-GB"/>
        </w:rPr>
        <w:t xml:space="preserve"> can assert derivative claims on behalf of the insolvent company.</w:t>
      </w:r>
      <w:r w:rsidR="004B55F3">
        <w:rPr>
          <w:rFonts w:ascii="Arial" w:hAnsi="Arial" w:cs="Arial"/>
          <w:color w:val="7B7B7B" w:themeColor="accent3" w:themeShade="BF"/>
          <w:sz w:val="22"/>
          <w:szCs w:val="22"/>
          <w:lang w:val="en-GB"/>
        </w:rPr>
        <w:t xml:space="preserve">  </w:t>
      </w:r>
      <w:proofErr w:type="spellStart"/>
      <w:r w:rsidR="004B55F3">
        <w:rPr>
          <w:rFonts w:ascii="Arial" w:hAnsi="Arial" w:cs="Arial"/>
          <w:i/>
          <w:iCs/>
          <w:color w:val="7B7B7B" w:themeColor="accent3" w:themeShade="BF"/>
          <w:sz w:val="22"/>
          <w:szCs w:val="22"/>
          <w:lang w:val="en-GB"/>
        </w:rPr>
        <w:t>Ghewalla</w:t>
      </w:r>
      <w:proofErr w:type="spellEnd"/>
      <w:r w:rsidR="004B55F3">
        <w:rPr>
          <w:rFonts w:ascii="Arial" w:hAnsi="Arial" w:cs="Arial"/>
          <w:i/>
          <w:iCs/>
          <w:color w:val="7B7B7B" w:themeColor="accent3" w:themeShade="BF"/>
          <w:sz w:val="22"/>
          <w:szCs w:val="22"/>
          <w:lang w:val="en-GB"/>
        </w:rPr>
        <w:t xml:space="preserve"> </w:t>
      </w:r>
      <w:r w:rsidR="004B55F3">
        <w:rPr>
          <w:rFonts w:ascii="Arial" w:hAnsi="Arial" w:cs="Arial"/>
          <w:color w:val="7B7B7B" w:themeColor="accent3" w:themeShade="BF"/>
          <w:sz w:val="22"/>
          <w:szCs w:val="22"/>
          <w:lang w:val="en-GB"/>
        </w:rPr>
        <w:t xml:space="preserve">finds that creditors have rights of recourse through contract and statutory laws and therefore there is no need to extend the ambit for creditor-action on a breach of a fiduciary duty on this aspect.  </w:t>
      </w:r>
    </w:p>
    <w:p w14:paraId="38A79CF5" w14:textId="01EA4C26" w:rsidR="00D87F4D" w:rsidRDefault="00D87F4D" w:rsidP="005B2A9B">
      <w:pPr>
        <w:jc w:val="both"/>
        <w:rPr>
          <w:rFonts w:ascii="Arial" w:hAnsi="Arial" w:cs="Arial"/>
          <w:color w:val="7B7B7B" w:themeColor="accent3" w:themeShade="BF"/>
          <w:sz w:val="22"/>
          <w:szCs w:val="22"/>
          <w:lang w:val="en-GB"/>
        </w:rPr>
      </w:pP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w:t>
      </w:r>
      <w:r w:rsidRPr="00AB6E57">
        <w:rPr>
          <w:rFonts w:ascii="Arial" w:hAnsi="Arial" w:cs="Arial"/>
        </w:rPr>
        <w:t>Las Vegas,</w:t>
      </w:r>
      <w:r w:rsidRPr="00323167">
        <w:rPr>
          <w:rFonts w:ascii="Arial" w:hAnsi="Arial" w:cs="Arial"/>
        </w:rPr>
        <w:t xml:space="preserve">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2E939680"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6F017840" w14:textId="77777777" w:rsidR="00D9761E" w:rsidRDefault="00D9761E" w:rsidP="00323167">
      <w:pPr>
        <w:pStyle w:val="AODocTxt"/>
        <w:spacing w:before="0" w:line="240" w:lineRule="auto"/>
        <w:rPr>
          <w:rFonts w:ascii="Arial" w:hAnsi="Arial" w:cs="Arial"/>
        </w:rPr>
      </w:pPr>
    </w:p>
    <w:p w14:paraId="2F0C952D" w14:textId="77777777" w:rsidR="00D9761E" w:rsidRDefault="00D9761E" w:rsidP="00323167">
      <w:pPr>
        <w:pStyle w:val="AODocTxt"/>
        <w:spacing w:before="0" w:line="240" w:lineRule="auto"/>
        <w:rPr>
          <w:rFonts w:ascii="Arial" w:hAnsi="Arial" w:cs="Arial"/>
        </w:rPr>
      </w:pPr>
    </w:p>
    <w:p w14:paraId="44B17241" w14:textId="66790B57" w:rsidR="00DC359F" w:rsidRDefault="00DC359F" w:rsidP="00323167">
      <w:pPr>
        <w:pStyle w:val="AODocTxt"/>
        <w:spacing w:before="0" w:line="240" w:lineRule="auto"/>
        <w:rPr>
          <w:rFonts w:ascii="Arial" w:hAnsi="Arial" w:cs="Arial"/>
        </w:rPr>
      </w:pPr>
    </w:p>
    <w:p w14:paraId="5124E49E" w14:textId="6D02301A" w:rsidR="00851519" w:rsidRDefault="00851519" w:rsidP="00AE5AC5">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INTRODUCTION</w:t>
      </w:r>
      <w:r w:rsidR="00534DA2">
        <w:rPr>
          <w:rFonts w:ascii="Arial" w:hAnsi="Arial" w:cs="Arial"/>
          <w:b/>
          <w:bCs/>
          <w:color w:val="7B7B7B" w:themeColor="accent3" w:themeShade="BF"/>
          <w:sz w:val="22"/>
          <w:szCs w:val="22"/>
          <w:u w:val="single"/>
          <w:lang w:val="en-GB"/>
        </w:rPr>
        <w:t>:</w:t>
      </w:r>
    </w:p>
    <w:p w14:paraId="07FC4338" w14:textId="77777777" w:rsidR="007D28E5" w:rsidRPr="00851519" w:rsidRDefault="007D28E5" w:rsidP="00AE5AC5">
      <w:pPr>
        <w:jc w:val="both"/>
        <w:rPr>
          <w:rFonts w:ascii="Arial" w:hAnsi="Arial" w:cs="Arial"/>
          <w:b/>
          <w:bCs/>
          <w:color w:val="7B7B7B" w:themeColor="accent3" w:themeShade="BF"/>
          <w:sz w:val="22"/>
          <w:szCs w:val="22"/>
          <w:u w:val="single"/>
          <w:lang w:val="en-GB"/>
        </w:rPr>
      </w:pPr>
    </w:p>
    <w:p w14:paraId="784BA57F" w14:textId="45BA63B1" w:rsidR="004671C1" w:rsidRPr="002E1D3F" w:rsidRDefault="007B0D18" w:rsidP="004671C1">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Chapter 15 of the US Bankruptcy </w:t>
      </w:r>
      <w:r w:rsidR="00C9764B">
        <w:rPr>
          <w:rFonts w:ascii="Arial" w:hAnsi="Arial" w:cs="Arial"/>
          <w:color w:val="7B7B7B" w:themeColor="accent3" w:themeShade="BF"/>
          <w:sz w:val="22"/>
          <w:szCs w:val="22"/>
          <w:lang w:val="en-GB"/>
        </w:rPr>
        <w:t xml:space="preserve">Code </w:t>
      </w:r>
      <w:r w:rsidR="00A85005">
        <w:rPr>
          <w:rFonts w:ascii="Arial" w:hAnsi="Arial" w:cs="Arial"/>
          <w:color w:val="7B7B7B" w:themeColor="accent3" w:themeShade="BF"/>
          <w:sz w:val="22"/>
          <w:szCs w:val="22"/>
          <w:lang w:val="en-GB"/>
        </w:rPr>
        <w:t xml:space="preserve">(“Code”) </w:t>
      </w:r>
      <w:r w:rsidR="004671C1" w:rsidRPr="004671C1">
        <w:rPr>
          <w:rFonts w:ascii="Arial" w:hAnsi="Arial" w:cs="Arial"/>
          <w:color w:val="7B7B7B" w:themeColor="accent3" w:themeShade="BF"/>
          <w:sz w:val="22"/>
          <w:szCs w:val="22"/>
        </w:rPr>
        <w:t xml:space="preserve">applies in cases where </w:t>
      </w:r>
      <w:r w:rsidR="004671C1" w:rsidRPr="002E1D3F">
        <w:rPr>
          <w:rFonts w:ascii="Arial" w:hAnsi="Arial" w:cs="Arial"/>
          <w:color w:val="7B7B7B" w:themeColor="accent3" w:themeShade="BF"/>
          <w:sz w:val="22"/>
          <w:szCs w:val="22"/>
        </w:rPr>
        <w:t xml:space="preserve">assistance is sought in the </w:t>
      </w:r>
      <w:r w:rsidR="004671C1" w:rsidRPr="004671C1">
        <w:rPr>
          <w:rFonts w:ascii="Arial" w:hAnsi="Arial" w:cs="Arial"/>
          <w:color w:val="7B7B7B" w:themeColor="accent3" w:themeShade="BF"/>
          <w:sz w:val="22"/>
          <w:szCs w:val="22"/>
        </w:rPr>
        <w:t xml:space="preserve">US </w:t>
      </w:r>
      <w:r w:rsidR="004671C1" w:rsidRPr="002E1D3F">
        <w:rPr>
          <w:rFonts w:ascii="Arial" w:hAnsi="Arial" w:cs="Arial"/>
          <w:color w:val="7B7B7B" w:themeColor="accent3" w:themeShade="BF"/>
          <w:sz w:val="22"/>
          <w:szCs w:val="22"/>
        </w:rPr>
        <w:t>by a foreign court or a foreign representative in connection with a foreign proceeding</w:t>
      </w:r>
      <w:r w:rsidR="004671C1" w:rsidRPr="004671C1">
        <w:rPr>
          <w:rFonts w:ascii="Arial" w:hAnsi="Arial" w:cs="Arial"/>
          <w:color w:val="7B7B7B" w:themeColor="accent3" w:themeShade="BF"/>
          <w:sz w:val="22"/>
          <w:szCs w:val="22"/>
        </w:rPr>
        <w:t>.</w:t>
      </w:r>
      <w:r w:rsidR="004671C1" w:rsidRPr="002E1D3F">
        <w:rPr>
          <w:rFonts w:ascii="Arial" w:hAnsi="Arial" w:cs="Arial"/>
          <w:color w:val="7B7B7B" w:themeColor="accent3" w:themeShade="BF"/>
          <w:sz w:val="22"/>
          <w:szCs w:val="22"/>
        </w:rPr>
        <w:t xml:space="preserve"> </w:t>
      </w:r>
    </w:p>
    <w:p w14:paraId="52B67440" w14:textId="77777777" w:rsidR="004671C1" w:rsidRDefault="004671C1" w:rsidP="00AE5AC5">
      <w:pPr>
        <w:jc w:val="both"/>
        <w:rPr>
          <w:rFonts w:ascii="Arial" w:hAnsi="Arial" w:cs="Arial"/>
          <w:color w:val="7B7B7B" w:themeColor="accent3" w:themeShade="BF"/>
          <w:sz w:val="22"/>
          <w:szCs w:val="22"/>
          <w:lang w:val="en-GB"/>
        </w:rPr>
      </w:pPr>
    </w:p>
    <w:p w14:paraId="4EAD5CB4" w14:textId="1F8F527D" w:rsidR="007B0D18" w:rsidRDefault="004671C1" w:rsidP="00AE5AC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t>
      </w:r>
      <w:r w:rsidR="00C9764B">
        <w:rPr>
          <w:rFonts w:ascii="Arial" w:hAnsi="Arial" w:cs="Arial"/>
          <w:color w:val="7B7B7B" w:themeColor="accent3" w:themeShade="BF"/>
          <w:sz w:val="22"/>
          <w:szCs w:val="22"/>
          <w:lang w:val="en-GB"/>
        </w:rPr>
        <w:t>is predicated upon Article 4 of the UNCITRAL Model</w:t>
      </w:r>
      <w:r>
        <w:rPr>
          <w:rFonts w:ascii="Arial" w:hAnsi="Arial" w:cs="Arial"/>
          <w:color w:val="7B7B7B" w:themeColor="accent3" w:themeShade="BF"/>
          <w:sz w:val="22"/>
          <w:szCs w:val="22"/>
          <w:lang w:val="en-GB"/>
        </w:rPr>
        <w:t xml:space="preserve"> Law</w:t>
      </w:r>
      <w:r w:rsidR="00C9764B">
        <w:rPr>
          <w:rFonts w:ascii="Arial" w:hAnsi="Arial" w:cs="Arial"/>
          <w:color w:val="7B7B7B" w:themeColor="accent3" w:themeShade="BF"/>
          <w:sz w:val="22"/>
          <w:szCs w:val="22"/>
          <w:lang w:val="en-GB"/>
        </w:rPr>
        <w:t xml:space="preserve"> with virtually no amendments</w:t>
      </w:r>
      <w:r w:rsidR="007B0D18">
        <w:rPr>
          <w:rFonts w:ascii="Arial" w:hAnsi="Arial" w:cs="Arial"/>
          <w:color w:val="7B7B7B" w:themeColor="accent3" w:themeShade="BF"/>
          <w:sz w:val="22"/>
          <w:szCs w:val="22"/>
          <w:lang w:val="en-GB"/>
        </w:rPr>
        <w:t xml:space="preserve">.  Consequently, section 1 of the Model Law can be found embedded into section 1501 </w:t>
      </w:r>
      <w:r w:rsidR="00C9764B">
        <w:rPr>
          <w:rFonts w:ascii="Arial" w:hAnsi="Arial" w:cs="Arial"/>
          <w:color w:val="7B7B7B" w:themeColor="accent3" w:themeShade="BF"/>
          <w:sz w:val="22"/>
          <w:szCs w:val="22"/>
          <w:lang w:val="en-GB"/>
        </w:rPr>
        <w:t>of the Code</w:t>
      </w:r>
      <w:r w:rsidR="007B0D18">
        <w:rPr>
          <w:rFonts w:ascii="Arial" w:hAnsi="Arial" w:cs="Arial"/>
          <w:color w:val="7B7B7B" w:themeColor="accent3" w:themeShade="BF"/>
          <w:sz w:val="22"/>
          <w:szCs w:val="22"/>
          <w:lang w:val="en-GB"/>
        </w:rPr>
        <w:t xml:space="preserve">.  </w:t>
      </w:r>
    </w:p>
    <w:p w14:paraId="5D3932DA" w14:textId="4495D062" w:rsidR="007B0D18" w:rsidRDefault="007D28E5" w:rsidP="00AE5AC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Chapter 15 proceedings,</w:t>
      </w:r>
      <w:r w:rsidR="007B0D18">
        <w:rPr>
          <w:rFonts w:ascii="Arial" w:hAnsi="Arial" w:cs="Arial"/>
          <w:color w:val="7B7B7B" w:themeColor="accent3" w:themeShade="BF"/>
          <w:sz w:val="22"/>
          <w:szCs w:val="22"/>
          <w:lang w:val="en-GB"/>
        </w:rPr>
        <w:t xml:space="preserve"> key principles such as the facilitation </w:t>
      </w:r>
      <w:r w:rsidR="004A73A7">
        <w:rPr>
          <w:rFonts w:ascii="Arial" w:hAnsi="Arial" w:cs="Arial"/>
          <w:color w:val="7B7B7B" w:themeColor="accent3" w:themeShade="BF"/>
          <w:sz w:val="22"/>
          <w:szCs w:val="22"/>
          <w:lang w:val="en-GB"/>
        </w:rPr>
        <w:t>of cooperation, an increase in legal certainty</w:t>
      </w:r>
      <w:r w:rsidR="00A62B6E">
        <w:rPr>
          <w:rFonts w:ascii="Arial" w:hAnsi="Arial" w:cs="Arial"/>
          <w:color w:val="7B7B7B" w:themeColor="accent3" w:themeShade="BF"/>
          <w:sz w:val="22"/>
          <w:szCs w:val="22"/>
          <w:lang w:val="en-GB"/>
        </w:rPr>
        <w:t>, the fair and efficient administration of cross-border insolvencies, protection and maximization of the debtor’s assets and facilitating the rescue of troubled businesses</w:t>
      </w:r>
      <w:r>
        <w:rPr>
          <w:rFonts w:ascii="Arial" w:hAnsi="Arial" w:cs="Arial"/>
          <w:color w:val="7B7B7B" w:themeColor="accent3" w:themeShade="BF"/>
          <w:sz w:val="22"/>
          <w:szCs w:val="22"/>
          <w:lang w:val="en-GB"/>
        </w:rPr>
        <w:t xml:space="preserve"> underscore the purpose of recognition.</w:t>
      </w:r>
      <w:r w:rsidR="00B87CE2">
        <w:rPr>
          <w:rFonts w:ascii="Arial" w:hAnsi="Arial" w:cs="Arial"/>
          <w:color w:val="7B7B7B" w:themeColor="accent3" w:themeShade="BF"/>
          <w:sz w:val="22"/>
          <w:szCs w:val="22"/>
          <w:lang w:val="en-GB"/>
        </w:rPr>
        <w:t xml:space="preserve">  </w:t>
      </w:r>
    </w:p>
    <w:p w14:paraId="426818FE" w14:textId="77777777" w:rsidR="00D9761E" w:rsidRDefault="00D9761E" w:rsidP="00AE5AC5">
      <w:pPr>
        <w:jc w:val="both"/>
        <w:rPr>
          <w:rFonts w:ascii="Arial" w:hAnsi="Arial" w:cs="Arial"/>
          <w:color w:val="7B7B7B" w:themeColor="accent3" w:themeShade="BF"/>
          <w:sz w:val="22"/>
          <w:szCs w:val="22"/>
          <w:lang w:val="en-GB"/>
        </w:rPr>
      </w:pPr>
    </w:p>
    <w:p w14:paraId="317BE262" w14:textId="78A89221" w:rsidR="00D73FB6" w:rsidRDefault="00D73FB6" w:rsidP="009C78FB">
      <w:pPr>
        <w:jc w:val="both"/>
        <w:rPr>
          <w:rFonts w:ascii="Arial" w:hAnsi="Arial" w:cs="Arial"/>
          <w:color w:val="7B7B7B" w:themeColor="accent3" w:themeShade="BF"/>
          <w:sz w:val="22"/>
          <w:szCs w:val="22"/>
          <w:lang w:val="en-GB"/>
        </w:rPr>
      </w:pPr>
    </w:p>
    <w:p w14:paraId="6D572BC6" w14:textId="6C6D3307" w:rsidR="00851519" w:rsidRDefault="00851519" w:rsidP="009C78FB">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ISSUE</w:t>
      </w:r>
      <w:r w:rsidR="00534DA2">
        <w:rPr>
          <w:rFonts w:ascii="Arial" w:hAnsi="Arial" w:cs="Arial"/>
          <w:b/>
          <w:bCs/>
          <w:color w:val="7B7B7B" w:themeColor="accent3" w:themeShade="BF"/>
          <w:sz w:val="22"/>
          <w:szCs w:val="22"/>
          <w:u w:val="single"/>
          <w:lang w:val="en-GB"/>
        </w:rPr>
        <w:t>:</w:t>
      </w:r>
    </w:p>
    <w:p w14:paraId="344B85BC" w14:textId="77777777" w:rsidR="007D28E5" w:rsidRPr="00851519" w:rsidRDefault="007D28E5" w:rsidP="009C78FB">
      <w:pPr>
        <w:jc w:val="both"/>
        <w:rPr>
          <w:rFonts w:ascii="Arial" w:hAnsi="Arial" w:cs="Arial"/>
          <w:b/>
          <w:bCs/>
          <w:color w:val="7B7B7B" w:themeColor="accent3" w:themeShade="BF"/>
          <w:sz w:val="22"/>
          <w:szCs w:val="22"/>
          <w:u w:val="single"/>
          <w:lang w:val="en-GB"/>
        </w:rPr>
      </w:pPr>
    </w:p>
    <w:p w14:paraId="0A4EF4D7" w14:textId="713FF55A" w:rsidR="007D28E5" w:rsidRDefault="00D73FB6" w:rsidP="009C78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issue </w:t>
      </w:r>
      <w:r w:rsidR="007D28E5">
        <w:rPr>
          <w:rFonts w:ascii="Arial" w:hAnsi="Arial" w:cs="Arial"/>
          <w:color w:val="7B7B7B" w:themeColor="accent3" w:themeShade="BF"/>
          <w:sz w:val="22"/>
          <w:szCs w:val="22"/>
          <w:lang w:val="en-GB"/>
        </w:rPr>
        <w:t xml:space="preserve">herein is </w:t>
      </w:r>
      <w:r>
        <w:rPr>
          <w:rFonts w:ascii="Arial" w:hAnsi="Arial" w:cs="Arial"/>
          <w:color w:val="7B7B7B" w:themeColor="accent3" w:themeShade="BF"/>
          <w:sz w:val="22"/>
          <w:szCs w:val="22"/>
          <w:lang w:val="en-GB"/>
        </w:rPr>
        <w:t>whether the English Scheme of Arrangement could be granted recognition</w:t>
      </w:r>
      <w:r w:rsidR="00AB6E57">
        <w:rPr>
          <w:rFonts w:ascii="Arial" w:hAnsi="Arial" w:cs="Arial"/>
          <w:color w:val="7B7B7B" w:themeColor="accent3" w:themeShade="BF"/>
          <w:sz w:val="22"/>
          <w:szCs w:val="22"/>
          <w:lang w:val="en-GB"/>
        </w:rPr>
        <w:t>, and if so, whether it would be recognized</w:t>
      </w:r>
      <w:r>
        <w:rPr>
          <w:rFonts w:ascii="Arial" w:hAnsi="Arial" w:cs="Arial"/>
          <w:color w:val="7B7B7B" w:themeColor="accent3" w:themeShade="BF"/>
          <w:sz w:val="22"/>
          <w:szCs w:val="22"/>
          <w:lang w:val="en-GB"/>
        </w:rPr>
        <w:t xml:space="preserve"> as a foreign main, or foreign non-main proceeding</w:t>
      </w:r>
      <w:r w:rsidR="007D28E5">
        <w:rPr>
          <w:rFonts w:ascii="Arial" w:hAnsi="Arial" w:cs="Arial"/>
          <w:color w:val="7B7B7B" w:themeColor="accent3" w:themeShade="BF"/>
          <w:sz w:val="22"/>
          <w:szCs w:val="22"/>
          <w:lang w:val="en-GB"/>
        </w:rPr>
        <w:t xml:space="preserve"> in the USA? </w:t>
      </w:r>
    </w:p>
    <w:p w14:paraId="3DB477C1" w14:textId="10C3B777" w:rsidR="00F64E1A" w:rsidRDefault="00F64E1A" w:rsidP="009C78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issue is essentially a procedural one, and the second, substantive.</w:t>
      </w:r>
    </w:p>
    <w:p w14:paraId="3F621B16" w14:textId="31B5E014" w:rsidR="00D9761E" w:rsidRDefault="00D9761E" w:rsidP="009C78FB">
      <w:pPr>
        <w:jc w:val="both"/>
        <w:rPr>
          <w:rFonts w:ascii="Arial" w:hAnsi="Arial" w:cs="Arial"/>
          <w:color w:val="7B7B7B" w:themeColor="accent3" w:themeShade="BF"/>
          <w:sz w:val="22"/>
          <w:szCs w:val="22"/>
          <w:lang w:val="en-GB"/>
        </w:rPr>
      </w:pPr>
    </w:p>
    <w:p w14:paraId="296224E0" w14:textId="352D7566" w:rsidR="00D9761E" w:rsidRDefault="00D9761E" w:rsidP="009C78FB">
      <w:pPr>
        <w:jc w:val="both"/>
        <w:rPr>
          <w:rFonts w:ascii="Arial" w:hAnsi="Arial" w:cs="Arial"/>
          <w:color w:val="7B7B7B" w:themeColor="accent3" w:themeShade="BF"/>
          <w:sz w:val="22"/>
          <w:szCs w:val="22"/>
          <w:lang w:val="en-GB"/>
        </w:rPr>
      </w:pPr>
    </w:p>
    <w:p w14:paraId="68E8DE36" w14:textId="77777777" w:rsidR="00276204" w:rsidRDefault="00276204" w:rsidP="009C78FB">
      <w:pPr>
        <w:jc w:val="both"/>
        <w:rPr>
          <w:rFonts w:ascii="Arial" w:hAnsi="Arial" w:cs="Arial"/>
          <w:b/>
          <w:bCs/>
          <w:color w:val="7B7B7B" w:themeColor="accent3" w:themeShade="BF"/>
          <w:sz w:val="22"/>
          <w:szCs w:val="22"/>
          <w:u w:val="single"/>
          <w:lang w:val="en-GB"/>
        </w:rPr>
      </w:pPr>
    </w:p>
    <w:p w14:paraId="7B8C860B" w14:textId="77777777" w:rsidR="00276204" w:rsidRDefault="00276204" w:rsidP="009C78FB">
      <w:pPr>
        <w:jc w:val="both"/>
        <w:rPr>
          <w:rFonts w:ascii="Arial" w:hAnsi="Arial" w:cs="Arial"/>
          <w:b/>
          <w:bCs/>
          <w:color w:val="7B7B7B" w:themeColor="accent3" w:themeShade="BF"/>
          <w:sz w:val="22"/>
          <w:szCs w:val="22"/>
          <w:u w:val="single"/>
          <w:lang w:val="en-GB"/>
        </w:rPr>
      </w:pPr>
    </w:p>
    <w:p w14:paraId="52F840C2" w14:textId="77777777" w:rsidR="00276204" w:rsidRDefault="00276204" w:rsidP="009C78FB">
      <w:pPr>
        <w:jc w:val="both"/>
        <w:rPr>
          <w:rFonts w:ascii="Arial" w:hAnsi="Arial" w:cs="Arial"/>
          <w:b/>
          <w:bCs/>
          <w:color w:val="7B7B7B" w:themeColor="accent3" w:themeShade="BF"/>
          <w:sz w:val="22"/>
          <w:szCs w:val="22"/>
          <w:u w:val="single"/>
          <w:lang w:val="en-GB"/>
        </w:rPr>
      </w:pPr>
    </w:p>
    <w:p w14:paraId="5FFE8028" w14:textId="77777777" w:rsidR="00276204" w:rsidRDefault="00276204" w:rsidP="009C78FB">
      <w:pPr>
        <w:jc w:val="both"/>
        <w:rPr>
          <w:rFonts w:ascii="Arial" w:hAnsi="Arial" w:cs="Arial"/>
          <w:b/>
          <w:bCs/>
          <w:color w:val="7B7B7B" w:themeColor="accent3" w:themeShade="BF"/>
          <w:sz w:val="22"/>
          <w:szCs w:val="22"/>
          <w:u w:val="single"/>
          <w:lang w:val="en-GB"/>
        </w:rPr>
      </w:pPr>
    </w:p>
    <w:p w14:paraId="137728E6" w14:textId="18D93622" w:rsidR="007D28E5" w:rsidRDefault="007D28E5" w:rsidP="009C78FB">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lastRenderedPageBreak/>
        <w:t>LAW:</w:t>
      </w:r>
    </w:p>
    <w:p w14:paraId="14D043F3" w14:textId="14CB79A0" w:rsidR="007D28E5" w:rsidRDefault="007D28E5" w:rsidP="009C78FB">
      <w:pPr>
        <w:jc w:val="both"/>
        <w:rPr>
          <w:rFonts w:ascii="Arial" w:hAnsi="Arial" w:cs="Arial"/>
          <w:b/>
          <w:bCs/>
          <w:color w:val="7B7B7B" w:themeColor="accent3" w:themeShade="BF"/>
          <w:sz w:val="22"/>
          <w:szCs w:val="22"/>
          <w:u w:val="single"/>
          <w:lang w:val="en-GB"/>
        </w:rPr>
      </w:pPr>
    </w:p>
    <w:p w14:paraId="5D05B961" w14:textId="102A7442" w:rsidR="007D28E5" w:rsidRDefault="007D28E5" w:rsidP="009C78FB">
      <w:pPr>
        <w:jc w:val="both"/>
        <w:rPr>
          <w:rFonts w:ascii="Arial" w:hAnsi="Arial" w:cs="Arial"/>
          <w:b/>
          <w:bCs/>
          <w:i/>
          <w:iCs/>
          <w:color w:val="7B7B7B" w:themeColor="accent3" w:themeShade="BF"/>
          <w:sz w:val="22"/>
          <w:szCs w:val="22"/>
          <w:lang w:val="en-GB"/>
        </w:rPr>
      </w:pPr>
      <w:r w:rsidRPr="004671C1">
        <w:rPr>
          <w:rFonts w:ascii="Arial" w:hAnsi="Arial" w:cs="Arial"/>
          <w:b/>
          <w:bCs/>
          <w:i/>
          <w:iCs/>
          <w:color w:val="7B7B7B" w:themeColor="accent3" w:themeShade="BF"/>
          <w:sz w:val="22"/>
          <w:szCs w:val="22"/>
          <w:lang w:val="en-GB"/>
        </w:rPr>
        <w:t xml:space="preserve">Preliminaries – Procedural Aspects </w:t>
      </w:r>
    </w:p>
    <w:p w14:paraId="47BAD407" w14:textId="77777777" w:rsidR="00953F64" w:rsidRPr="004671C1" w:rsidRDefault="00953F64" w:rsidP="009C78FB">
      <w:pPr>
        <w:jc w:val="both"/>
        <w:rPr>
          <w:rFonts w:ascii="Arial" w:hAnsi="Arial" w:cs="Arial"/>
          <w:b/>
          <w:bCs/>
          <w:i/>
          <w:iCs/>
          <w:color w:val="7B7B7B" w:themeColor="accent3" w:themeShade="BF"/>
          <w:sz w:val="22"/>
          <w:szCs w:val="22"/>
          <w:lang w:val="en-GB"/>
        </w:rPr>
      </w:pPr>
    </w:p>
    <w:p w14:paraId="71E6EF22" w14:textId="6652277A" w:rsidR="007D28E5" w:rsidRPr="007D28E5" w:rsidRDefault="007D28E5" w:rsidP="007D28E5">
      <w:pPr>
        <w:jc w:val="both"/>
        <w:rPr>
          <w:rFonts w:ascii="Arial" w:hAnsi="Arial" w:cs="Arial"/>
          <w:color w:val="7B7B7B" w:themeColor="accent3" w:themeShade="BF"/>
          <w:sz w:val="22"/>
          <w:szCs w:val="22"/>
          <w:lang w:val="en-GB"/>
        </w:rPr>
      </w:pPr>
      <w:r w:rsidRPr="007D28E5">
        <w:rPr>
          <w:rFonts w:ascii="Arial" w:hAnsi="Arial" w:cs="Arial"/>
          <w:color w:val="7B7B7B" w:themeColor="accent3" w:themeShade="BF"/>
          <w:sz w:val="22"/>
          <w:szCs w:val="22"/>
          <w:lang w:val="en-GB"/>
        </w:rPr>
        <w:t>Recognition of a foreign proceeding commences by the filing of a petition by the foreign representative</w:t>
      </w:r>
      <w:r w:rsidR="00AE3FA7">
        <w:rPr>
          <w:rFonts w:ascii="Arial" w:hAnsi="Arial" w:cs="Arial"/>
          <w:color w:val="7B7B7B" w:themeColor="accent3" w:themeShade="BF"/>
          <w:sz w:val="22"/>
          <w:szCs w:val="22"/>
          <w:lang w:val="en-GB"/>
        </w:rPr>
        <w:t xml:space="preserve"> under section 15</w:t>
      </w:r>
      <w:r w:rsidR="00AB6E57">
        <w:rPr>
          <w:rFonts w:ascii="Arial" w:hAnsi="Arial" w:cs="Arial"/>
          <w:color w:val="7B7B7B" w:themeColor="accent3" w:themeShade="BF"/>
          <w:sz w:val="22"/>
          <w:szCs w:val="22"/>
          <w:lang w:val="en-GB"/>
        </w:rPr>
        <w:t>04 read with section 15</w:t>
      </w:r>
      <w:r w:rsidR="00AE3FA7">
        <w:rPr>
          <w:rFonts w:ascii="Arial" w:hAnsi="Arial" w:cs="Arial"/>
          <w:color w:val="7B7B7B" w:themeColor="accent3" w:themeShade="BF"/>
          <w:sz w:val="22"/>
          <w:szCs w:val="22"/>
          <w:lang w:val="en-GB"/>
        </w:rPr>
        <w:t>15</w:t>
      </w:r>
      <w:r w:rsidR="00AB6E57">
        <w:rPr>
          <w:rFonts w:ascii="Arial" w:hAnsi="Arial" w:cs="Arial"/>
          <w:color w:val="7B7B7B" w:themeColor="accent3" w:themeShade="BF"/>
          <w:sz w:val="22"/>
          <w:szCs w:val="22"/>
          <w:lang w:val="en-GB"/>
        </w:rPr>
        <w:t xml:space="preserve"> of the Code</w:t>
      </w:r>
      <w:r w:rsidR="00AE3FA7">
        <w:rPr>
          <w:rFonts w:ascii="Arial" w:hAnsi="Arial" w:cs="Arial"/>
          <w:color w:val="7B7B7B" w:themeColor="accent3" w:themeShade="BF"/>
          <w:sz w:val="22"/>
          <w:szCs w:val="22"/>
          <w:lang w:val="en-GB"/>
        </w:rPr>
        <w:t>.</w:t>
      </w:r>
      <w:r w:rsidRPr="007D28E5">
        <w:rPr>
          <w:rFonts w:ascii="Arial" w:hAnsi="Arial" w:cs="Arial"/>
          <w:color w:val="7B7B7B" w:themeColor="accent3" w:themeShade="BF"/>
          <w:sz w:val="22"/>
          <w:szCs w:val="22"/>
          <w:lang w:val="en-GB"/>
        </w:rPr>
        <w:t xml:space="preserve">  </w:t>
      </w:r>
    </w:p>
    <w:p w14:paraId="4370F179" w14:textId="77777777" w:rsidR="007D28E5" w:rsidRPr="007D28E5" w:rsidRDefault="007D28E5" w:rsidP="007D28E5">
      <w:pPr>
        <w:jc w:val="both"/>
        <w:rPr>
          <w:rFonts w:ascii="Arial" w:hAnsi="Arial" w:cs="Arial"/>
          <w:color w:val="7B7B7B" w:themeColor="accent3" w:themeShade="BF"/>
          <w:sz w:val="22"/>
          <w:szCs w:val="22"/>
          <w:lang w:val="en-GB"/>
        </w:rPr>
      </w:pPr>
      <w:r w:rsidRPr="007D28E5">
        <w:rPr>
          <w:rFonts w:ascii="Arial" w:hAnsi="Arial" w:cs="Arial"/>
          <w:color w:val="7B7B7B" w:themeColor="accent3" w:themeShade="BF"/>
          <w:sz w:val="22"/>
          <w:szCs w:val="22"/>
          <w:lang w:val="en-GB"/>
        </w:rPr>
        <w:t>The petition will only be recognized if filed by a debtor.  Where a foreign representative acts on behalf of a creditor, such filing is impermissible.</w:t>
      </w:r>
    </w:p>
    <w:p w14:paraId="5EEC8E30" w14:textId="77777777" w:rsidR="007D28E5" w:rsidRPr="007D28E5" w:rsidRDefault="007D28E5" w:rsidP="007D28E5">
      <w:pPr>
        <w:jc w:val="both"/>
        <w:rPr>
          <w:rFonts w:ascii="Arial" w:hAnsi="Arial" w:cs="Arial"/>
          <w:color w:val="7B7B7B" w:themeColor="accent3" w:themeShade="BF"/>
          <w:sz w:val="22"/>
          <w:szCs w:val="22"/>
          <w:lang w:val="en-GB"/>
        </w:rPr>
      </w:pPr>
    </w:p>
    <w:p w14:paraId="3417C279" w14:textId="23A34907" w:rsidR="007D28E5" w:rsidRDefault="007D28E5" w:rsidP="007D28E5">
      <w:pPr>
        <w:jc w:val="both"/>
        <w:rPr>
          <w:rFonts w:ascii="Arial" w:hAnsi="Arial" w:cs="Arial"/>
          <w:color w:val="7B7B7B" w:themeColor="accent3" w:themeShade="BF"/>
          <w:sz w:val="22"/>
          <w:szCs w:val="22"/>
          <w:lang w:val="en-GB"/>
        </w:rPr>
      </w:pPr>
      <w:proofErr w:type="gramStart"/>
      <w:r w:rsidRPr="007D28E5">
        <w:rPr>
          <w:rFonts w:ascii="Arial" w:hAnsi="Arial" w:cs="Arial"/>
          <w:color w:val="7B7B7B" w:themeColor="accent3" w:themeShade="BF"/>
          <w:sz w:val="22"/>
          <w:szCs w:val="22"/>
          <w:lang w:val="en-GB"/>
        </w:rPr>
        <w:t>In order to</w:t>
      </w:r>
      <w:proofErr w:type="gramEnd"/>
      <w:r w:rsidRPr="007D28E5">
        <w:rPr>
          <w:rFonts w:ascii="Arial" w:hAnsi="Arial" w:cs="Arial"/>
          <w:color w:val="7B7B7B" w:themeColor="accent3" w:themeShade="BF"/>
          <w:sz w:val="22"/>
          <w:szCs w:val="22"/>
          <w:lang w:val="en-GB"/>
        </w:rPr>
        <w:t xml:space="preserve"> obtain recognition in the USA, the foreign representative must satisfy the threshold requirements.  These are:  </w:t>
      </w:r>
    </w:p>
    <w:p w14:paraId="4A355341" w14:textId="77777777" w:rsidR="002E1D3F" w:rsidRPr="007D28E5" w:rsidRDefault="002E1D3F" w:rsidP="007D28E5">
      <w:pPr>
        <w:jc w:val="both"/>
        <w:rPr>
          <w:rFonts w:ascii="Arial" w:hAnsi="Arial" w:cs="Arial"/>
          <w:color w:val="7B7B7B" w:themeColor="accent3" w:themeShade="BF"/>
          <w:sz w:val="22"/>
          <w:szCs w:val="22"/>
          <w:lang w:val="en-GB"/>
        </w:rPr>
      </w:pPr>
    </w:p>
    <w:p w14:paraId="0E8C592D" w14:textId="77777777" w:rsidR="007D28E5" w:rsidRPr="007D28E5" w:rsidRDefault="007D28E5" w:rsidP="007D28E5">
      <w:pPr>
        <w:numPr>
          <w:ilvl w:val="0"/>
          <w:numId w:val="16"/>
        </w:numPr>
        <w:jc w:val="both"/>
        <w:rPr>
          <w:rFonts w:ascii="Arial" w:hAnsi="Arial" w:cs="Arial"/>
          <w:color w:val="7B7B7B" w:themeColor="accent3" w:themeShade="BF"/>
          <w:sz w:val="22"/>
          <w:szCs w:val="22"/>
          <w:lang w:val="en-GB"/>
        </w:rPr>
      </w:pPr>
      <w:r w:rsidRPr="007D28E5">
        <w:rPr>
          <w:rFonts w:ascii="Arial" w:hAnsi="Arial" w:cs="Arial"/>
          <w:color w:val="7B7B7B" w:themeColor="accent3" w:themeShade="BF"/>
          <w:sz w:val="22"/>
          <w:szCs w:val="22"/>
          <w:lang w:val="en-GB"/>
        </w:rPr>
        <w:t xml:space="preserve"> A foreign court is dealing with a pending proceeding or administrative procedure; and </w:t>
      </w:r>
    </w:p>
    <w:p w14:paraId="3945D62F" w14:textId="77777777" w:rsidR="007D28E5" w:rsidRPr="007D28E5" w:rsidRDefault="007D28E5" w:rsidP="007D28E5">
      <w:pPr>
        <w:numPr>
          <w:ilvl w:val="0"/>
          <w:numId w:val="16"/>
        </w:numPr>
        <w:jc w:val="both"/>
        <w:rPr>
          <w:rFonts w:ascii="Arial" w:hAnsi="Arial" w:cs="Arial"/>
          <w:color w:val="7B7B7B" w:themeColor="accent3" w:themeShade="BF"/>
          <w:sz w:val="22"/>
          <w:szCs w:val="22"/>
          <w:lang w:val="en-GB"/>
        </w:rPr>
      </w:pPr>
      <w:r w:rsidRPr="007D28E5">
        <w:rPr>
          <w:rFonts w:ascii="Arial" w:hAnsi="Arial" w:cs="Arial"/>
          <w:color w:val="7B7B7B" w:themeColor="accent3" w:themeShade="BF"/>
          <w:sz w:val="22"/>
          <w:szCs w:val="22"/>
          <w:lang w:val="en-GB"/>
        </w:rPr>
        <w:t xml:space="preserve">The foreign representative is authorized to act in that proceeding.  </w:t>
      </w:r>
    </w:p>
    <w:p w14:paraId="4736A3D0" w14:textId="77777777" w:rsidR="007D28E5" w:rsidRPr="007D28E5" w:rsidRDefault="007D28E5" w:rsidP="007D28E5">
      <w:pPr>
        <w:jc w:val="both"/>
        <w:rPr>
          <w:rFonts w:ascii="Arial" w:hAnsi="Arial" w:cs="Arial"/>
          <w:color w:val="7B7B7B" w:themeColor="accent3" w:themeShade="BF"/>
          <w:sz w:val="22"/>
          <w:szCs w:val="22"/>
          <w:lang w:val="en-GB"/>
        </w:rPr>
      </w:pPr>
    </w:p>
    <w:p w14:paraId="16373B21" w14:textId="0C082D4F" w:rsidR="007D28E5" w:rsidRPr="007D28E5" w:rsidRDefault="007D28E5" w:rsidP="007D28E5">
      <w:pPr>
        <w:jc w:val="both"/>
        <w:rPr>
          <w:rFonts w:ascii="Arial" w:hAnsi="Arial" w:cs="Arial"/>
          <w:color w:val="7B7B7B" w:themeColor="accent3" w:themeShade="BF"/>
          <w:sz w:val="22"/>
          <w:szCs w:val="22"/>
          <w:lang w:val="en-GB"/>
        </w:rPr>
      </w:pPr>
      <w:r w:rsidRPr="007D28E5">
        <w:rPr>
          <w:rFonts w:ascii="Arial" w:hAnsi="Arial" w:cs="Arial"/>
          <w:color w:val="7B7B7B" w:themeColor="accent3" w:themeShade="BF"/>
          <w:sz w:val="22"/>
          <w:szCs w:val="22"/>
          <w:lang w:val="en-GB"/>
        </w:rPr>
        <w:t xml:space="preserve">The foreign proceeding itself need not be a carbon copy of the </w:t>
      </w:r>
      <w:r w:rsidR="002E1D3F">
        <w:rPr>
          <w:rFonts w:ascii="Arial" w:hAnsi="Arial" w:cs="Arial"/>
          <w:color w:val="7B7B7B" w:themeColor="accent3" w:themeShade="BF"/>
          <w:sz w:val="22"/>
          <w:szCs w:val="22"/>
          <w:lang w:val="en-GB"/>
        </w:rPr>
        <w:t xml:space="preserve">US </w:t>
      </w:r>
      <w:r w:rsidRPr="007D28E5">
        <w:rPr>
          <w:rFonts w:ascii="Arial" w:hAnsi="Arial" w:cs="Arial"/>
          <w:color w:val="7B7B7B" w:themeColor="accent3" w:themeShade="BF"/>
          <w:sz w:val="22"/>
          <w:szCs w:val="22"/>
          <w:lang w:val="en-GB"/>
        </w:rPr>
        <w:t xml:space="preserve">version of Bankruptcy proceedings.  At a minimum standard, the judgment must relate to a collective judicial proceeding or administrative procedure against the debtor under general bankruptcy laws such as insolvency or the adjustment of a debt and it must emanate from a court under which the assets and affairs of the subject to the control of the foreign court.  </w:t>
      </w:r>
    </w:p>
    <w:p w14:paraId="11B1ED3D" w14:textId="77777777" w:rsidR="007D28E5" w:rsidRDefault="007D28E5" w:rsidP="009C78FB">
      <w:pPr>
        <w:jc w:val="both"/>
        <w:rPr>
          <w:rFonts w:ascii="Arial" w:hAnsi="Arial" w:cs="Arial"/>
          <w:color w:val="7B7B7B" w:themeColor="accent3" w:themeShade="BF"/>
          <w:sz w:val="22"/>
          <w:szCs w:val="22"/>
          <w:lang w:val="en-GB"/>
        </w:rPr>
      </w:pPr>
    </w:p>
    <w:p w14:paraId="718E4794" w14:textId="77777777" w:rsidR="001A1403" w:rsidRDefault="001A1403" w:rsidP="009C78FB">
      <w:pPr>
        <w:jc w:val="both"/>
        <w:rPr>
          <w:rFonts w:ascii="Arial" w:hAnsi="Arial" w:cs="Arial"/>
          <w:i/>
          <w:iCs/>
          <w:color w:val="7B7B7B" w:themeColor="accent3" w:themeShade="BF"/>
          <w:sz w:val="22"/>
          <w:szCs w:val="22"/>
          <w:lang w:val="en-GB"/>
        </w:rPr>
      </w:pPr>
    </w:p>
    <w:p w14:paraId="5DD90840" w14:textId="5B76A469" w:rsidR="00305272" w:rsidRPr="009E1BEF" w:rsidRDefault="001704DE" w:rsidP="009C78FB">
      <w:pPr>
        <w:jc w:val="both"/>
        <w:rPr>
          <w:rFonts w:ascii="Arial" w:hAnsi="Arial" w:cs="Arial"/>
          <w:b/>
          <w:bCs/>
          <w:i/>
          <w:iCs/>
          <w:color w:val="7B7B7B" w:themeColor="accent3" w:themeShade="BF"/>
          <w:sz w:val="22"/>
          <w:szCs w:val="22"/>
          <w:lang w:val="en-GB"/>
        </w:rPr>
      </w:pPr>
      <w:r w:rsidRPr="009E1BEF">
        <w:rPr>
          <w:rFonts w:ascii="Arial" w:hAnsi="Arial" w:cs="Arial"/>
          <w:b/>
          <w:bCs/>
          <w:i/>
          <w:iCs/>
          <w:color w:val="7B7B7B" w:themeColor="accent3" w:themeShade="BF"/>
          <w:sz w:val="22"/>
          <w:szCs w:val="22"/>
          <w:lang w:val="en-GB"/>
        </w:rPr>
        <w:t>Substantive Law</w:t>
      </w:r>
      <w:r w:rsidR="00C86667" w:rsidRPr="009E1BEF">
        <w:rPr>
          <w:rFonts w:ascii="Arial" w:hAnsi="Arial" w:cs="Arial"/>
          <w:b/>
          <w:bCs/>
          <w:i/>
          <w:iCs/>
          <w:color w:val="7B7B7B" w:themeColor="accent3" w:themeShade="BF"/>
          <w:sz w:val="22"/>
          <w:szCs w:val="22"/>
          <w:lang w:val="en-GB"/>
        </w:rPr>
        <w:t xml:space="preserve"> </w:t>
      </w:r>
    </w:p>
    <w:p w14:paraId="57D577DE" w14:textId="77777777" w:rsidR="00E60511" w:rsidRDefault="00E60511" w:rsidP="009C78FB">
      <w:pPr>
        <w:jc w:val="both"/>
        <w:rPr>
          <w:rFonts w:ascii="Arial" w:hAnsi="Arial" w:cs="Arial"/>
          <w:i/>
          <w:iCs/>
          <w:color w:val="7B7B7B" w:themeColor="accent3" w:themeShade="BF"/>
          <w:sz w:val="22"/>
          <w:szCs w:val="22"/>
          <w:lang w:val="en-GB"/>
        </w:rPr>
      </w:pPr>
    </w:p>
    <w:p w14:paraId="3977235B" w14:textId="77777777" w:rsidR="00F64E1A" w:rsidRDefault="004671C1" w:rsidP="00184A87">
      <w:pPr>
        <w:jc w:val="both"/>
        <w:rPr>
          <w:rFonts w:ascii="Arial" w:hAnsi="Arial" w:cs="Arial"/>
          <w:color w:val="7B7B7B" w:themeColor="accent3" w:themeShade="BF"/>
          <w:sz w:val="22"/>
          <w:szCs w:val="22"/>
        </w:rPr>
      </w:pPr>
      <w:r w:rsidRPr="004671C1">
        <w:rPr>
          <w:rFonts w:ascii="Arial" w:hAnsi="Arial" w:cs="Arial"/>
          <w:color w:val="7B7B7B" w:themeColor="accent3" w:themeShade="BF"/>
          <w:sz w:val="22"/>
          <w:szCs w:val="22"/>
        </w:rPr>
        <w:t>Under section 1502(4) of the Code, a “foreign main proceeding” means one “pending in the country where the debtor has the center of its main interests” or “</w:t>
      </w:r>
      <w:r w:rsidR="00184A87">
        <w:rPr>
          <w:rFonts w:ascii="Arial" w:hAnsi="Arial" w:cs="Arial"/>
          <w:color w:val="7B7B7B" w:themeColor="accent3" w:themeShade="BF"/>
          <w:sz w:val="22"/>
          <w:szCs w:val="22"/>
        </w:rPr>
        <w:t xml:space="preserve">COMI.”  </w:t>
      </w:r>
    </w:p>
    <w:p w14:paraId="4C151E3C" w14:textId="1D2898B5" w:rsidR="00DB6501" w:rsidRDefault="00D67091" w:rsidP="00184A87">
      <w:pPr>
        <w:jc w:val="both"/>
        <w:rPr>
          <w:rFonts w:ascii="Arial" w:hAnsi="Arial" w:cs="Arial"/>
          <w:color w:val="7B7B7B" w:themeColor="accent3" w:themeShade="BF"/>
          <w:sz w:val="22"/>
          <w:szCs w:val="22"/>
          <w:lang w:val="en-GB"/>
        </w:rPr>
      </w:pPr>
      <w:r w:rsidRPr="00D67091">
        <w:rPr>
          <w:rFonts w:ascii="Arial" w:hAnsi="Arial" w:cs="Arial"/>
          <w:color w:val="7B7B7B" w:themeColor="accent3" w:themeShade="BF"/>
          <w:sz w:val="22"/>
          <w:szCs w:val="22"/>
          <w:lang w:val="en-GB"/>
        </w:rPr>
        <w:t>Although COMI is not defined by the Code</w:t>
      </w:r>
      <w:r w:rsidR="00E30E77">
        <w:rPr>
          <w:rFonts w:ascii="Arial" w:hAnsi="Arial" w:cs="Arial"/>
          <w:color w:val="7B7B7B" w:themeColor="accent3" w:themeShade="BF"/>
          <w:sz w:val="22"/>
          <w:szCs w:val="22"/>
          <w:lang w:val="en-GB"/>
        </w:rPr>
        <w:t xml:space="preserve">, </w:t>
      </w:r>
      <w:r w:rsidR="00184A87">
        <w:rPr>
          <w:rFonts w:ascii="Arial" w:hAnsi="Arial" w:cs="Arial"/>
          <w:color w:val="7B7B7B" w:themeColor="accent3" w:themeShade="BF"/>
          <w:sz w:val="22"/>
          <w:szCs w:val="22"/>
        </w:rPr>
        <w:t>COMI may be understood</w:t>
      </w:r>
      <w:r w:rsidR="00184A87">
        <w:rPr>
          <w:rFonts w:ascii="Arial" w:hAnsi="Arial" w:cs="Arial"/>
          <w:color w:val="7B7B7B" w:themeColor="accent3" w:themeShade="BF"/>
          <w:sz w:val="22"/>
          <w:szCs w:val="22"/>
          <w:lang w:val="en-GB"/>
        </w:rPr>
        <w:t xml:space="preserve"> a</w:t>
      </w:r>
      <w:r w:rsidR="00184A87" w:rsidRPr="00184A87">
        <w:rPr>
          <w:rFonts w:ascii="Arial" w:hAnsi="Arial" w:cs="Arial"/>
          <w:color w:val="7B7B7B" w:themeColor="accent3" w:themeShade="BF"/>
          <w:sz w:val="22"/>
          <w:szCs w:val="22"/>
          <w:lang w:val="en-GB"/>
        </w:rPr>
        <w:t xml:space="preserve">s a single geographical </w:t>
      </w:r>
      <w:r w:rsidR="00184A87" w:rsidRPr="00184A87">
        <w:rPr>
          <w:rFonts w:ascii="Arial" w:hAnsi="Arial" w:cs="Arial"/>
          <w:i/>
          <w:iCs/>
          <w:color w:val="7B7B7B" w:themeColor="accent3" w:themeShade="BF"/>
          <w:sz w:val="22"/>
          <w:szCs w:val="22"/>
          <w:lang w:val="en-GB"/>
        </w:rPr>
        <w:t>locus</w:t>
      </w:r>
      <w:r w:rsidR="00184A87" w:rsidRPr="00184A87">
        <w:rPr>
          <w:rFonts w:ascii="Arial" w:hAnsi="Arial" w:cs="Arial"/>
          <w:color w:val="7B7B7B" w:themeColor="accent3" w:themeShade="BF"/>
          <w:sz w:val="22"/>
          <w:szCs w:val="22"/>
          <w:lang w:val="en-GB"/>
        </w:rPr>
        <w:t xml:space="preserve"> in which the </w:t>
      </w:r>
      <w:r w:rsidR="00184A87">
        <w:rPr>
          <w:rFonts w:ascii="Arial" w:hAnsi="Arial" w:cs="Arial"/>
          <w:color w:val="7B7B7B" w:themeColor="accent3" w:themeShade="BF"/>
          <w:sz w:val="22"/>
          <w:szCs w:val="22"/>
          <w:lang w:val="en-GB"/>
        </w:rPr>
        <w:t>c</w:t>
      </w:r>
      <w:r w:rsidR="00184A87" w:rsidRPr="00184A87">
        <w:rPr>
          <w:rFonts w:ascii="Arial" w:hAnsi="Arial" w:cs="Arial"/>
          <w:color w:val="7B7B7B" w:themeColor="accent3" w:themeShade="BF"/>
          <w:sz w:val="22"/>
          <w:szCs w:val="22"/>
          <w:lang w:val="en-GB"/>
        </w:rPr>
        <w:t xml:space="preserve">entre of </w:t>
      </w:r>
      <w:r w:rsidR="00184A87">
        <w:rPr>
          <w:rFonts w:ascii="Arial" w:hAnsi="Arial" w:cs="Arial"/>
          <w:color w:val="7B7B7B" w:themeColor="accent3" w:themeShade="BF"/>
          <w:sz w:val="22"/>
          <w:szCs w:val="22"/>
          <w:lang w:val="en-GB"/>
        </w:rPr>
        <w:t>the m</w:t>
      </w:r>
      <w:r w:rsidR="00184A87" w:rsidRPr="00184A87">
        <w:rPr>
          <w:rFonts w:ascii="Arial" w:hAnsi="Arial" w:cs="Arial"/>
          <w:color w:val="7B7B7B" w:themeColor="accent3" w:themeShade="BF"/>
          <w:sz w:val="22"/>
          <w:szCs w:val="22"/>
          <w:lang w:val="en-GB"/>
        </w:rPr>
        <w:t xml:space="preserve">ain </w:t>
      </w:r>
      <w:r w:rsidR="00184A87">
        <w:rPr>
          <w:rFonts w:ascii="Arial" w:hAnsi="Arial" w:cs="Arial"/>
          <w:color w:val="7B7B7B" w:themeColor="accent3" w:themeShade="BF"/>
          <w:sz w:val="22"/>
          <w:szCs w:val="22"/>
          <w:lang w:val="en-GB"/>
        </w:rPr>
        <w:t>i</w:t>
      </w:r>
      <w:r w:rsidR="00184A87" w:rsidRPr="00184A87">
        <w:rPr>
          <w:rFonts w:ascii="Arial" w:hAnsi="Arial" w:cs="Arial"/>
          <w:color w:val="7B7B7B" w:themeColor="accent3" w:themeShade="BF"/>
          <w:sz w:val="22"/>
          <w:szCs w:val="22"/>
          <w:lang w:val="en-GB"/>
        </w:rPr>
        <w:t>nterests of a company is the directional factor in deciding jurisdiction.</w:t>
      </w:r>
      <w:r w:rsidR="00184A87" w:rsidRPr="00184A87">
        <w:rPr>
          <w:rFonts w:ascii="Arial" w:hAnsi="Arial" w:cs="Arial"/>
          <w:color w:val="7B7B7B" w:themeColor="accent3" w:themeShade="BF"/>
          <w:sz w:val="22"/>
          <w:szCs w:val="22"/>
          <w:vertAlign w:val="superscript"/>
          <w:lang w:val="en-GB"/>
        </w:rPr>
        <w:footnoteReference w:id="4"/>
      </w:r>
      <w:r w:rsidR="00184A87" w:rsidRPr="00184A87">
        <w:rPr>
          <w:rFonts w:ascii="Arial" w:hAnsi="Arial" w:cs="Arial"/>
          <w:color w:val="7B7B7B" w:themeColor="accent3" w:themeShade="BF"/>
          <w:sz w:val="22"/>
          <w:szCs w:val="22"/>
          <w:lang w:val="en-GB"/>
        </w:rPr>
        <w:t xml:space="preserve">  </w:t>
      </w:r>
    </w:p>
    <w:p w14:paraId="435C8449" w14:textId="7F509F11" w:rsidR="00184A87" w:rsidRDefault="009421B3" w:rsidP="00184A87">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To anchor jurisdiction</w:t>
      </w:r>
      <w:r w:rsidR="00B75B0A">
        <w:rPr>
          <w:rFonts w:ascii="Arial" w:hAnsi="Arial" w:cs="Arial"/>
          <w:color w:val="7B7B7B" w:themeColor="accent3" w:themeShade="BF"/>
          <w:sz w:val="22"/>
          <w:szCs w:val="22"/>
          <w:lang w:val="en-GB"/>
        </w:rPr>
        <w:t xml:space="preserve"> to a main proceeding</w:t>
      </w:r>
      <w:r>
        <w:rPr>
          <w:rFonts w:ascii="Arial" w:hAnsi="Arial" w:cs="Arial"/>
          <w:color w:val="7B7B7B" w:themeColor="accent3" w:themeShade="BF"/>
          <w:sz w:val="22"/>
          <w:szCs w:val="22"/>
          <w:lang w:val="en-GB"/>
        </w:rPr>
        <w:t xml:space="preserve">, </w:t>
      </w:r>
      <w:r w:rsidR="00184A87" w:rsidRPr="00184A87">
        <w:rPr>
          <w:rFonts w:ascii="Arial" w:hAnsi="Arial" w:cs="Arial"/>
          <w:color w:val="7B7B7B" w:themeColor="accent3" w:themeShade="BF"/>
          <w:sz w:val="22"/>
          <w:szCs w:val="22"/>
          <w:lang w:val="en-GB"/>
        </w:rPr>
        <w:t>the Model Law</w:t>
      </w:r>
      <w:r>
        <w:rPr>
          <w:rFonts w:ascii="Arial" w:hAnsi="Arial" w:cs="Arial"/>
          <w:color w:val="7B7B7B" w:themeColor="accent3" w:themeShade="BF"/>
          <w:sz w:val="22"/>
          <w:szCs w:val="22"/>
          <w:lang w:val="en-GB"/>
        </w:rPr>
        <w:t xml:space="preserve"> defines </w:t>
      </w:r>
      <w:r w:rsidR="00184A87" w:rsidRPr="00184A87">
        <w:rPr>
          <w:rFonts w:ascii="Arial" w:hAnsi="Arial" w:cs="Arial"/>
          <w:color w:val="7B7B7B" w:themeColor="accent3" w:themeShade="BF"/>
          <w:sz w:val="22"/>
          <w:szCs w:val="22"/>
          <w:lang w:val="en-GB"/>
        </w:rPr>
        <w:t xml:space="preserve">COMI </w:t>
      </w:r>
      <w:r>
        <w:rPr>
          <w:rFonts w:ascii="Arial" w:hAnsi="Arial" w:cs="Arial"/>
          <w:color w:val="7B7B7B" w:themeColor="accent3" w:themeShade="BF"/>
          <w:sz w:val="22"/>
          <w:szCs w:val="22"/>
          <w:lang w:val="en-GB"/>
        </w:rPr>
        <w:t>as</w:t>
      </w:r>
      <w:r w:rsidR="00184A87" w:rsidRPr="00184A87">
        <w:rPr>
          <w:rFonts w:ascii="Arial" w:hAnsi="Arial" w:cs="Arial"/>
          <w:color w:val="7B7B7B" w:themeColor="accent3" w:themeShade="BF"/>
          <w:sz w:val="22"/>
          <w:szCs w:val="22"/>
          <w:lang w:val="en-GB"/>
        </w:rPr>
        <w:t xml:space="preserve"> </w:t>
      </w:r>
      <w:r w:rsidR="00184A87" w:rsidRPr="00184A87">
        <w:rPr>
          <w:rFonts w:ascii="Arial" w:hAnsi="Arial" w:cs="Arial"/>
          <w:color w:val="7B7B7B" w:themeColor="accent3" w:themeShade="BF"/>
          <w:sz w:val="22"/>
          <w:szCs w:val="22"/>
          <w:lang w:val="en-ZA"/>
        </w:rPr>
        <w:t xml:space="preserve">the place of the proceeding </w:t>
      </w:r>
      <w:r w:rsidR="00184A87" w:rsidRPr="00184A87">
        <w:rPr>
          <w:rFonts w:ascii="Arial" w:hAnsi="Arial" w:cs="Arial"/>
          <w:color w:val="7B7B7B" w:themeColor="accent3" w:themeShade="BF"/>
          <w:sz w:val="22"/>
          <w:szCs w:val="22"/>
        </w:rPr>
        <w:t>which is “expected to have principal responsibility for managing the insolvency of the debtor regardless of the number of States in which the debtor has assets and creditors, subject to appropriate coordination procedures to accommodate local needs.</w:t>
      </w:r>
      <w:r w:rsidR="00184A87" w:rsidRPr="00184A87">
        <w:rPr>
          <w:rFonts w:ascii="Arial" w:hAnsi="Arial" w:cs="Arial"/>
          <w:color w:val="7B7B7B" w:themeColor="accent3" w:themeShade="BF"/>
          <w:sz w:val="22"/>
          <w:szCs w:val="22"/>
          <w:vertAlign w:val="superscript"/>
        </w:rPr>
        <w:footnoteReference w:id="5"/>
      </w:r>
    </w:p>
    <w:p w14:paraId="4D326C44" w14:textId="0F75B0A3" w:rsidR="004671C1" w:rsidRDefault="00B75B0A" w:rsidP="004671C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The Code provides that i</w:t>
      </w:r>
      <w:r w:rsidR="00184A87">
        <w:rPr>
          <w:rFonts w:ascii="Arial" w:hAnsi="Arial" w:cs="Arial"/>
          <w:color w:val="7B7B7B" w:themeColor="accent3" w:themeShade="BF"/>
          <w:sz w:val="22"/>
          <w:szCs w:val="22"/>
        </w:rPr>
        <w:t>n establishing a debtor company’s COMI</w:t>
      </w:r>
      <w:r w:rsidR="00D67091">
        <w:rPr>
          <w:rFonts w:ascii="Arial" w:hAnsi="Arial" w:cs="Arial"/>
          <w:color w:val="7B7B7B" w:themeColor="accent3" w:themeShade="BF"/>
          <w:sz w:val="22"/>
          <w:szCs w:val="22"/>
        </w:rPr>
        <w:t xml:space="preserve">, absent evidence to the contrary, </w:t>
      </w:r>
      <w:r w:rsidR="004671C1" w:rsidRPr="004671C1">
        <w:rPr>
          <w:rFonts w:ascii="Arial" w:hAnsi="Arial" w:cs="Arial"/>
          <w:color w:val="7B7B7B" w:themeColor="accent3" w:themeShade="BF"/>
          <w:sz w:val="22"/>
          <w:szCs w:val="22"/>
        </w:rPr>
        <w:t>the debtor’s registered office is presumed to be its COMI.</w:t>
      </w:r>
      <w:r w:rsidR="00D67091">
        <w:rPr>
          <w:rStyle w:val="FootnoteReference"/>
          <w:rFonts w:ascii="Arial" w:hAnsi="Arial" w:cs="Arial"/>
          <w:color w:val="7B7B7B" w:themeColor="accent3" w:themeShade="BF"/>
          <w:sz w:val="22"/>
          <w:szCs w:val="22"/>
        </w:rPr>
        <w:footnoteReference w:id="6"/>
      </w:r>
      <w:r w:rsidR="004671C1" w:rsidRPr="004671C1">
        <w:rPr>
          <w:rFonts w:ascii="Arial" w:hAnsi="Arial" w:cs="Arial"/>
          <w:color w:val="7B7B7B" w:themeColor="accent3" w:themeShade="BF"/>
          <w:sz w:val="22"/>
          <w:szCs w:val="22"/>
        </w:rPr>
        <w:t xml:space="preserve">  Thus, a</w:t>
      </w:r>
      <w:r w:rsidR="004671C1" w:rsidRPr="004671C1">
        <w:rPr>
          <w:rFonts w:ascii="Arial" w:hAnsi="Arial" w:cs="Arial"/>
          <w:color w:val="7B7B7B" w:themeColor="accent3" w:themeShade="BF"/>
          <w:sz w:val="22"/>
          <w:szCs w:val="22"/>
          <w:lang w:val="en-GB"/>
        </w:rPr>
        <w:t xml:space="preserve"> rebuttable presumption exists wherein a debtor’s COMI is presumed to be its place of incorporation.    </w:t>
      </w:r>
    </w:p>
    <w:p w14:paraId="22EA0DC8" w14:textId="081F7BFD" w:rsidR="00F64E1A" w:rsidRDefault="00F64E1A" w:rsidP="004671C1">
      <w:pPr>
        <w:jc w:val="both"/>
        <w:rPr>
          <w:rFonts w:ascii="Arial" w:hAnsi="Arial" w:cs="Arial"/>
          <w:color w:val="7B7B7B" w:themeColor="accent3" w:themeShade="BF"/>
          <w:sz w:val="22"/>
          <w:szCs w:val="22"/>
          <w:lang w:val="en-GB"/>
        </w:rPr>
      </w:pPr>
    </w:p>
    <w:p w14:paraId="64673738" w14:textId="77777777" w:rsidR="00F64E1A" w:rsidRPr="00F64E1A" w:rsidRDefault="00F64E1A" w:rsidP="00F64E1A">
      <w:pPr>
        <w:jc w:val="both"/>
        <w:rPr>
          <w:rFonts w:ascii="Arial" w:hAnsi="Arial" w:cs="Arial"/>
          <w:i/>
          <w:iCs/>
          <w:color w:val="7B7B7B" w:themeColor="accent3" w:themeShade="BF"/>
          <w:sz w:val="22"/>
          <w:szCs w:val="22"/>
        </w:rPr>
      </w:pPr>
      <w:r w:rsidRPr="00F64E1A">
        <w:rPr>
          <w:rFonts w:ascii="Arial" w:hAnsi="Arial" w:cs="Arial"/>
          <w:color w:val="7B7B7B" w:themeColor="accent3" w:themeShade="BF"/>
          <w:sz w:val="22"/>
          <w:szCs w:val="22"/>
        </w:rPr>
        <w:t>Section 541 of the Code states that filing a bankruptcy petition brings into existence an estate made up of all property</w:t>
      </w:r>
      <w:r w:rsidRPr="00F64E1A">
        <w:rPr>
          <w:rFonts w:ascii="Arial" w:hAnsi="Arial" w:cs="Arial"/>
          <w:i/>
          <w:iCs/>
          <w:color w:val="7B7B7B" w:themeColor="accent3" w:themeShade="BF"/>
          <w:sz w:val="22"/>
          <w:szCs w:val="22"/>
        </w:rPr>
        <w:t xml:space="preserve">, “wherever located.” </w:t>
      </w:r>
    </w:p>
    <w:p w14:paraId="66BE531B" w14:textId="77777777" w:rsidR="00F64E1A" w:rsidRPr="00F64E1A" w:rsidRDefault="00F64E1A" w:rsidP="00F64E1A">
      <w:pPr>
        <w:jc w:val="both"/>
        <w:rPr>
          <w:rFonts w:ascii="Arial" w:hAnsi="Arial" w:cs="Arial"/>
          <w:i/>
          <w:iCs/>
          <w:color w:val="7B7B7B" w:themeColor="accent3" w:themeShade="BF"/>
          <w:sz w:val="22"/>
          <w:szCs w:val="22"/>
        </w:rPr>
      </w:pPr>
      <w:proofErr w:type="gramStart"/>
      <w:r w:rsidRPr="00F64E1A">
        <w:rPr>
          <w:rFonts w:ascii="Arial" w:hAnsi="Arial" w:cs="Arial"/>
          <w:color w:val="7B7B7B" w:themeColor="accent3" w:themeShade="BF"/>
          <w:sz w:val="22"/>
          <w:szCs w:val="22"/>
        </w:rPr>
        <w:t>Therefore</w:t>
      </w:r>
      <w:proofErr w:type="gramEnd"/>
      <w:r w:rsidRPr="00F64E1A">
        <w:rPr>
          <w:rFonts w:ascii="Arial" w:hAnsi="Arial" w:cs="Arial"/>
          <w:color w:val="7B7B7B" w:themeColor="accent3" w:themeShade="BF"/>
          <w:sz w:val="22"/>
          <w:szCs w:val="22"/>
        </w:rPr>
        <w:t xml:space="preserve"> a petition may be filed by</w:t>
      </w:r>
      <w:r w:rsidRPr="00F64E1A">
        <w:rPr>
          <w:rFonts w:ascii="Arial" w:hAnsi="Arial" w:cs="Arial"/>
          <w:i/>
          <w:iCs/>
          <w:color w:val="7B7B7B" w:themeColor="accent3" w:themeShade="BF"/>
          <w:sz w:val="22"/>
          <w:szCs w:val="22"/>
        </w:rPr>
        <w:t xml:space="preserve"> “a person that resides or has a domicile, a place of business, or property in the United States.”</w:t>
      </w:r>
      <w:r w:rsidRPr="00F64E1A">
        <w:rPr>
          <w:rFonts w:ascii="Arial" w:hAnsi="Arial" w:cs="Arial"/>
          <w:i/>
          <w:iCs/>
          <w:color w:val="7B7B7B" w:themeColor="accent3" w:themeShade="BF"/>
          <w:sz w:val="22"/>
          <w:szCs w:val="22"/>
          <w:vertAlign w:val="superscript"/>
        </w:rPr>
        <w:footnoteReference w:id="7"/>
      </w:r>
      <w:r w:rsidRPr="00F64E1A">
        <w:rPr>
          <w:rFonts w:ascii="Arial" w:hAnsi="Arial" w:cs="Arial"/>
          <w:i/>
          <w:iCs/>
          <w:color w:val="7B7B7B" w:themeColor="accent3" w:themeShade="BF"/>
          <w:sz w:val="22"/>
          <w:szCs w:val="22"/>
        </w:rPr>
        <w:t xml:space="preserve">  </w:t>
      </w:r>
    </w:p>
    <w:p w14:paraId="2E872500" w14:textId="77777777" w:rsidR="00F64E1A" w:rsidRPr="00F64E1A" w:rsidRDefault="00F64E1A" w:rsidP="00F64E1A">
      <w:pPr>
        <w:jc w:val="both"/>
        <w:rPr>
          <w:rFonts w:ascii="Arial" w:hAnsi="Arial" w:cs="Arial"/>
          <w:color w:val="7B7B7B" w:themeColor="accent3" w:themeShade="BF"/>
          <w:sz w:val="22"/>
          <w:szCs w:val="22"/>
        </w:rPr>
      </w:pPr>
      <w:r w:rsidRPr="00F64E1A">
        <w:rPr>
          <w:rFonts w:ascii="Arial" w:hAnsi="Arial" w:cs="Arial"/>
          <w:color w:val="7B7B7B" w:themeColor="accent3" w:themeShade="BF"/>
          <w:sz w:val="22"/>
          <w:szCs w:val="22"/>
        </w:rPr>
        <w:t>Property has been interpreted to include a bank account in the country</w:t>
      </w:r>
      <w:r w:rsidRPr="00F64E1A">
        <w:rPr>
          <w:rFonts w:ascii="Arial" w:hAnsi="Arial" w:cs="Arial"/>
          <w:i/>
          <w:iCs/>
          <w:color w:val="7B7B7B" w:themeColor="accent3" w:themeShade="BF"/>
          <w:sz w:val="22"/>
          <w:szCs w:val="22"/>
        </w:rPr>
        <w:t>.</w:t>
      </w:r>
      <w:r w:rsidRPr="00F64E1A">
        <w:rPr>
          <w:rFonts w:ascii="Arial" w:hAnsi="Arial" w:cs="Arial"/>
          <w:i/>
          <w:iCs/>
          <w:color w:val="7B7B7B" w:themeColor="accent3" w:themeShade="BF"/>
          <w:sz w:val="22"/>
          <w:szCs w:val="22"/>
          <w:vertAlign w:val="superscript"/>
        </w:rPr>
        <w:footnoteReference w:id="8"/>
      </w:r>
      <w:r w:rsidRPr="00F64E1A">
        <w:rPr>
          <w:rFonts w:ascii="Arial" w:hAnsi="Arial" w:cs="Arial"/>
          <w:i/>
          <w:iCs/>
          <w:color w:val="7B7B7B" w:themeColor="accent3" w:themeShade="BF"/>
          <w:sz w:val="22"/>
          <w:szCs w:val="22"/>
        </w:rPr>
        <w:t xml:space="preserve"> </w:t>
      </w:r>
    </w:p>
    <w:p w14:paraId="227047E5" w14:textId="77777777" w:rsidR="004671C1" w:rsidRPr="004671C1" w:rsidRDefault="004671C1" w:rsidP="004671C1">
      <w:pPr>
        <w:jc w:val="both"/>
        <w:rPr>
          <w:rFonts w:ascii="Arial" w:hAnsi="Arial" w:cs="Arial"/>
          <w:color w:val="7B7B7B" w:themeColor="accent3" w:themeShade="BF"/>
          <w:sz w:val="22"/>
          <w:szCs w:val="22"/>
          <w:lang w:val="en-GB"/>
        </w:rPr>
      </w:pPr>
    </w:p>
    <w:p w14:paraId="1D519DBE" w14:textId="77777777" w:rsidR="00F64E1A" w:rsidRDefault="00F64E1A" w:rsidP="009C78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It is precisely the wording of section 541 that has set the cat amongst the pigeons when deciding whether to recognize a proceeding as a foreign main, or non-main proceeding.  </w:t>
      </w:r>
    </w:p>
    <w:p w14:paraId="0CE0F42B" w14:textId="76D2A075" w:rsidR="00C83CAB" w:rsidRDefault="00F64E1A" w:rsidP="009C78FB">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Courts have over time, determined COMI along </w:t>
      </w:r>
      <w:r w:rsidR="00E30E77" w:rsidRPr="00E30E77">
        <w:rPr>
          <w:rFonts w:ascii="Arial" w:hAnsi="Arial" w:cs="Arial"/>
          <w:color w:val="7B7B7B" w:themeColor="accent3" w:themeShade="BF"/>
          <w:sz w:val="22"/>
          <w:szCs w:val="22"/>
          <w:lang w:val="en-GB"/>
        </w:rPr>
        <w:t xml:space="preserve">factual and objective </w:t>
      </w:r>
      <w:r w:rsidR="009421B3">
        <w:rPr>
          <w:rFonts w:ascii="Arial" w:hAnsi="Arial" w:cs="Arial"/>
          <w:color w:val="7B7B7B" w:themeColor="accent3" w:themeShade="BF"/>
          <w:sz w:val="22"/>
          <w:szCs w:val="22"/>
          <w:lang w:val="en-GB"/>
        </w:rPr>
        <w:t>lines</w:t>
      </w:r>
      <w:r w:rsidR="00E30E77" w:rsidRPr="00E30E77">
        <w:rPr>
          <w:rFonts w:ascii="Arial" w:hAnsi="Arial" w:cs="Arial"/>
          <w:color w:val="7B7B7B" w:themeColor="accent3" w:themeShade="BF"/>
          <w:sz w:val="22"/>
          <w:szCs w:val="22"/>
          <w:vertAlign w:val="superscript"/>
          <w:lang w:val="en-GB"/>
        </w:rPr>
        <w:footnoteReference w:id="9"/>
      </w:r>
      <w:r w:rsidR="00E30E77">
        <w:rPr>
          <w:rFonts w:ascii="Arial" w:hAnsi="Arial" w:cs="Arial"/>
          <w:color w:val="7B7B7B" w:themeColor="accent3" w:themeShade="BF"/>
          <w:sz w:val="22"/>
          <w:szCs w:val="22"/>
          <w:lang w:val="en-GB"/>
        </w:rPr>
        <w:t xml:space="preserve"> and </w:t>
      </w:r>
      <w:r w:rsidR="009421B3">
        <w:rPr>
          <w:rFonts w:ascii="Arial" w:hAnsi="Arial" w:cs="Arial"/>
          <w:color w:val="7B7B7B" w:themeColor="accent3" w:themeShade="BF"/>
          <w:sz w:val="22"/>
          <w:szCs w:val="22"/>
          <w:lang w:val="en-GB"/>
        </w:rPr>
        <w:t xml:space="preserve">this </w:t>
      </w:r>
      <w:r w:rsidR="00C83CAB">
        <w:rPr>
          <w:rFonts w:ascii="Arial" w:hAnsi="Arial" w:cs="Arial"/>
          <w:color w:val="7B7B7B" w:themeColor="accent3" w:themeShade="BF"/>
          <w:sz w:val="22"/>
          <w:szCs w:val="22"/>
        </w:rPr>
        <w:t xml:space="preserve">has led to the employment of </w:t>
      </w:r>
      <w:r w:rsidR="00184A87">
        <w:rPr>
          <w:rFonts w:ascii="Arial" w:hAnsi="Arial" w:cs="Arial"/>
          <w:color w:val="7B7B7B" w:themeColor="accent3" w:themeShade="BF"/>
          <w:sz w:val="22"/>
          <w:szCs w:val="22"/>
        </w:rPr>
        <w:t>two</w:t>
      </w:r>
      <w:r w:rsidR="00C83CAB">
        <w:rPr>
          <w:rFonts w:ascii="Arial" w:hAnsi="Arial" w:cs="Arial"/>
          <w:color w:val="7B7B7B" w:themeColor="accent3" w:themeShade="BF"/>
          <w:sz w:val="22"/>
          <w:szCs w:val="22"/>
        </w:rPr>
        <w:t xml:space="preserve"> distinct but overlapping tests:</w:t>
      </w:r>
    </w:p>
    <w:p w14:paraId="5784D061" w14:textId="1D3B0ECE" w:rsidR="00C83CAB" w:rsidRDefault="00C83CAB" w:rsidP="009C78FB">
      <w:pPr>
        <w:jc w:val="both"/>
        <w:rPr>
          <w:rFonts w:ascii="Arial" w:hAnsi="Arial" w:cs="Arial"/>
          <w:color w:val="7B7B7B" w:themeColor="accent3" w:themeShade="BF"/>
          <w:sz w:val="22"/>
          <w:szCs w:val="22"/>
        </w:rPr>
      </w:pPr>
    </w:p>
    <w:p w14:paraId="7DB3A815" w14:textId="1DDA3422" w:rsidR="00C83CAB" w:rsidRDefault="00C83CAB" w:rsidP="00C83CAB">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The “nerve-cente</w:t>
      </w:r>
      <w:r w:rsidR="006C0799">
        <w:rPr>
          <w:rFonts w:ascii="Arial" w:hAnsi="Arial" w:cs="Arial"/>
          <w:color w:val="7B7B7B" w:themeColor="accent3" w:themeShade="BF"/>
          <w:sz w:val="22"/>
          <w:szCs w:val="22"/>
        </w:rPr>
        <w:t>r</w:t>
      </w:r>
      <w:r>
        <w:rPr>
          <w:rFonts w:ascii="Arial" w:hAnsi="Arial" w:cs="Arial"/>
          <w:color w:val="7B7B7B" w:themeColor="accent3" w:themeShade="BF"/>
          <w:sz w:val="22"/>
          <w:szCs w:val="22"/>
        </w:rPr>
        <w:t>”</w:t>
      </w:r>
      <w:r w:rsidR="00B17E88">
        <w:rPr>
          <w:rStyle w:val="FootnoteReference"/>
          <w:rFonts w:ascii="Arial" w:hAnsi="Arial" w:cs="Arial"/>
          <w:color w:val="7B7B7B" w:themeColor="accent3" w:themeShade="BF"/>
          <w:sz w:val="22"/>
          <w:szCs w:val="22"/>
        </w:rPr>
        <w:footnoteReference w:id="10"/>
      </w:r>
      <w:r>
        <w:rPr>
          <w:rFonts w:ascii="Arial" w:hAnsi="Arial" w:cs="Arial"/>
          <w:color w:val="7B7B7B" w:themeColor="accent3" w:themeShade="BF"/>
          <w:sz w:val="22"/>
          <w:szCs w:val="22"/>
        </w:rPr>
        <w:t xml:space="preserve"> or principal place of business</w:t>
      </w:r>
      <w:r w:rsidR="00184A87">
        <w:rPr>
          <w:rFonts w:ascii="Arial" w:hAnsi="Arial" w:cs="Arial"/>
          <w:color w:val="7B7B7B" w:themeColor="accent3" w:themeShade="BF"/>
          <w:sz w:val="22"/>
          <w:szCs w:val="22"/>
        </w:rPr>
        <w:t xml:space="preserve"> test;</w:t>
      </w:r>
      <w:r>
        <w:rPr>
          <w:rFonts w:ascii="Arial" w:hAnsi="Arial" w:cs="Arial"/>
          <w:color w:val="7B7B7B" w:themeColor="accent3" w:themeShade="BF"/>
          <w:sz w:val="22"/>
          <w:szCs w:val="22"/>
        </w:rPr>
        <w:t xml:space="preserve"> </w:t>
      </w:r>
      <w:r w:rsidR="00DB6501">
        <w:rPr>
          <w:rFonts w:ascii="Arial" w:hAnsi="Arial" w:cs="Arial"/>
          <w:color w:val="7B7B7B" w:themeColor="accent3" w:themeShade="BF"/>
          <w:sz w:val="22"/>
          <w:szCs w:val="22"/>
        </w:rPr>
        <w:t>and</w:t>
      </w:r>
    </w:p>
    <w:p w14:paraId="09664848" w14:textId="41A3493F" w:rsidR="00C83CAB" w:rsidRPr="00C83CAB" w:rsidRDefault="00C83CAB" w:rsidP="00C83CAB">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objective factors test</w:t>
      </w:r>
      <w:r w:rsidR="00DB6501">
        <w:rPr>
          <w:rFonts w:ascii="Arial" w:hAnsi="Arial" w:cs="Arial"/>
          <w:color w:val="7B7B7B" w:themeColor="accent3" w:themeShade="BF"/>
          <w:sz w:val="22"/>
          <w:szCs w:val="22"/>
        </w:rPr>
        <w:t>.</w:t>
      </w:r>
    </w:p>
    <w:p w14:paraId="08CD2D26" w14:textId="7D8D2B82" w:rsidR="00C83CAB" w:rsidRDefault="00C83CAB" w:rsidP="009C78FB">
      <w:pPr>
        <w:jc w:val="both"/>
        <w:rPr>
          <w:rFonts w:ascii="Arial" w:hAnsi="Arial" w:cs="Arial"/>
          <w:color w:val="7B7B7B" w:themeColor="accent3" w:themeShade="BF"/>
          <w:sz w:val="22"/>
          <w:szCs w:val="22"/>
        </w:rPr>
      </w:pPr>
    </w:p>
    <w:p w14:paraId="5D33D32F" w14:textId="2F13E593" w:rsidR="00D67091" w:rsidRDefault="006C0799" w:rsidP="00906DE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nerve-center test was applied in</w:t>
      </w:r>
      <w:r w:rsidR="00D67091">
        <w:rPr>
          <w:rFonts w:ascii="Arial" w:hAnsi="Arial" w:cs="Arial"/>
          <w:color w:val="7B7B7B" w:themeColor="accent3" w:themeShade="BF"/>
          <w:sz w:val="22"/>
          <w:szCs w:val="22"/>
        </w:rPr>
        <w:t xml:space="preserve"> </w:t>
      </w:r>
      <w:proofErr w:type="gramStart"/>
      <w:r w:rsidR="00906DEB" w:rsidRPr="00D67091">
        <w:rPr>
          <w:rFonts w:ascii="Arial" w:hAnsi="Arial" w:cs="Arial"/>
          <w:i/>
          <w:iCs/>
          <w:color w:val="7B7B7B" w:themeColor="accent3" w:themeShade="BF"/>
          <w:sz w:val="22"/>
          <w:szCs w:val="22"/>
        </w:rPr>
        <w:t>In</w:t>
      </w:r>
      <w:proofErr w:type="gramEnd"/>
      <w:r w:rsidR="00906DEB" w:rsidRPr="00D67091">
        <w:rPr>
          <w:rFonts w:ascii="Arial" w:hAnsi="Arial" w:cs="Arial"/>
          <w:i/>
          <w:iCs/>
          <w:color w:val="7B7B7B" w:themeColor="accent3" w:themeShade="BF"/>
          <w:sz w:val="22"/>
          <w:szCs w:val="22"/>
        </w:rPr>
        <w:t xml:space="preserve"> re Tri-Continental Exchange Ltd</w:t>
      </w:r>
      <w:r w:rsidR="00B17E88">
        <w:rPr>
          <w:rStyle w:val="FootnoteReference"/>
          <w:rFonts w:ascii="Arial" w:hAnsi="Arial" w:cs="Arial"/>
          <w:i/>
          <w:iCs/>
          <w:color w:val="7B7B7B" w:themeColor="accent3" w:themeShade="BF"/>
          <w:sz w:val="22"/>
          <w:szCs w:val="22"/>
        </w:rPr>
        <w:footnoteReference w:id="11"/>
      </w:r>
      <w:r>
        <w:rPr>
          <w:rFonts w:ascii="Arial" w:hAnsi="Arial" w:cs="Arial"/>
          <w:color w:val="7B7B7B" w:themeColor="accent3" w:themeShade="BF"/>
          <w:sz w:val="22"/>
          <w:szCs w:val="22"/>
        </w:rPr>
        <w:t xml:space="preserve"> wherein </w:t>
      </w:r>
      <w:r w:rsidR="00906DEB" w:rsidRPr="00906DEB">
        <w:rPr>
          <w:rFonts w:ascii="Arial" w:hAnsi="Arial" w:cs="Arial"/>
          <w:color w:val="7B7B7B" w:themeColor="accent3" w:themeShade="BF"/>
          <w:sz w:val="22"/>
          <w:szCs w:val="22"/>
        </w:rPr>
        <w:t xml:space="preserve">the court </w:t>
      </w:r>
      <w:r w:rsidR="00B17E88">
        <w:rPr>
          <w:rFonts w:ascii="Arial" w:hAnsi="Arial" w:cs="Arial"/>
          <w:color w:val="7B7B7B" w:themeColor="accent3" w:themeShade="BF"/>
          <w:sz w:val="22"/>
          <w:szCs w:val="22"/>
        </w:rPr>
        <w:t xml:space="preserve">found that the </w:t>
      </w:r>
      <w:r w:rsidR="00B17E88" w:rsidRPr="00B17E88">
        <w:rPr>
          <w:rFonts w:ascii="Arial" w:hAnsi="Arial" w:cs="Arial"/>
          <w:color w:val="7B7B7B" w:themeColor="accent3" w:themeShade="BF"/>
          <w:sz w:val="22"/>
          <w:szCs w:val="22"/>
        </w:rPr>
        <w:t xml:space="preserve">registered office </w:t>
      </w:r>
      <w:r w:rsidR="00B17E88">
        <w:rPr>
          <w:rFonts w:ascii="Arial" w:hAnsi="Arial" w:cs="Arial"/>
          <w:color w:val="7B7B7B" w:themeColor="accent3" w:themeShade="BF"/>
          <w:sz w:val="22"/>
          <w:szCs w:val="22"/>
        </w:rPr>
        <w:t xml:space="preserve">of a debtor </w:t>
      </w:r>
      <w:r w:rsidR="00B17E88" w:rsidRPr="00B17E88">
        <w:rPr>
          <w:rFonts w:ascii="Arial" w:hAnsi="Arial" w:cs="Arial"/>
          <w:color w:val="7B7B7B" w:themeColor="accent3" w:themeShade="BF"/>
          <w:sz w:val="22"/>
          <w:szCs w:val="22"/>
        </w:rPr>
        <w:t>is evidence that is probative of</w:t>
      </w:r>
      <w:r w:rsidR="00B17E88">
        <w:rPr>
          <w:rFonts w:ascii="Arial" w:hAnsi="Arial" w:cs="Arial"/>
          <w:color w:val="7B7B7B" w:themeColor="accent3" w:themeShade="BF"/>
          <w:sz w:val="22"/>
          <w:szCs w:val="22"/>
        </w:rPr>
        <w:t xml:space="preserve"> its COMI.  </w:t>
      </w:r>
      <w:proofErr w:type="gramStart"/>
      <w:r w:rsidR="00B17E88">
        <w:rPr>
          <w:rFonts w:ascii="Arial" w:hAnsi="Arial" w:cs="Arial"/>
          <w:color w:val="7B7B7B" w:themeColor="accent3" w:themeShade="BF"/>
          <w:sz w:val="22"/>
          <w:szCs w:val="22"/>
        </w:rPr>
        <w:t>Thus</w:t>
      </w:r>
      <w:proofErr w:type="gramEnd"/>
      <w:r w:rsidR="00B17E88">
        <w:rPr>
          <w:rFonts w:ascii="Arial" w:hAnsi="Arial" w:cs="Arial"/>
          <w:color w:val="7B7B7B" w:themeColor="accent3" w:themeShade="BF"/>
          <w:sz w:val="22"/>
          <w:szCs w:val="22"/>
        </w:rPr>
        <w:t xml:space="preserve"> the Court </w:t>
      </w:r>
      <w:r>
        <w:rPr>
          <w:rFonts w:ascii="Arial" w:hAnsi="Arial" w:cs="Arial"/>
          <w:color w:val="7B7B7B" w:themeColor="accent3" w:themeShade="BF"/>
          <w:sz w:val="22"/>
          <w:szCs w:val="22"/>
        </w:rPr>
        <w:t xml:space="preserve">held </w:t>
      </w:r>
      <w:r w:rsidR="00906DEB" w:rsidRPr="00906DEB">
        <w:rPr>
          <w:rFonts w:ascii="Arial" w:hAnsi="Arial" w:cs="Arial"/>
          <w:color w:val="7B7B7B" w:themeColor="accent3" w:themeShade="BF"/>
          <w:sz w:val="22"/>
          <w:szCs w:val="22"/>
        </w:rPr>
        <w:t xml:space="preserve">that the COMI of certain debtor insurance companies was St. Vincent and the Grenadines; it therefore granted recognition of the case as a foreign main proceeding under Chapter </w:t>
      </w:r>
      <w:r w:rsidR="00D67091">
        <w:rPr>
          <w:rFonts w:ascii="Arial" w:hAnsi="Arial" w:cs="Arial"/>
          <w:color w:val="7B7B7B" w:themeColor="accent3" w:themeShade="BF"/>
          <w:sz w:val="22"/>
          <w:szCs w:val="22"/>
        </w:rPr>
        <w:t xml:space="preserve">15.  </w:t>
      </w:r>
    </w:p>
    <w:p w14:paraId="5558800F" w14:textId="7CF49EFA" w:rsidR="00C0704D" w:rsidRDefault="00C0704D" w:rsidP="00906DE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7510B9FF" w14:textId="73C4E20F" w:rsidR="00B75B0A" w:rsidRPr="00B75B0A" w:rsidRDefault="000E0957" w:rsidP="00B75B0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w:t>
      </w:r>
      <w:r w:rsidR="00B75B0A" w:rsidRPr="00B75B0A">
        <w:rPr>
          <w:rFonts w:ascii="Arial" w:hAnsi="Arial" w:cs="Arial"/>
          <w:i/>
          <w:iCs/>
          <w:color w:val="7B7B7B" w:themeColor="accent3" w:themeShade="BF"/>
          <w:sz w:val="22"/>
          <w:szCs w:val="22"/>
        </w:rPr>
        <w:t xml:space="preserve">In re </w:t>
      </w:r>
      <w:proofErr w:type="spellStart"/>
      <w:r w:rsidR="00B75B0A" w:rsidRPr="00B75B0A">
        <w:rPr>
          <w:rFonts w:ascii="Arial" w:hAnsi="Arial" w:cs="Arial"/>
          <w:i/>
          <w:iCs/>
          <w:color w:val="7B7B7B" w:themeColor="accent3" w:themeShade="BF"/>
          <w:sz w:val="22"/>
          <w:szCs w:val="22"/>
        </w:rPr>
        <w:t>SPhinx</w:t>
      </w:r>
      <w:proofErr w:type="spellEnd"/>
      <w:r w:rsidR="00B75B0A" w:rsidRPr="00B75B0A">
        <w:rPr>
          <w:rFonts w:ascii="Arial" w:hAnsi="Arial" w:cs="Arial"/>
          <w:i/>
          <w:iCs/>
          <w:color w:val="7B7B7B" w:themeColor="accent3" w:themeShade="BF"/>
          <w:sz w:val="22"/>
          <w:szCs w:val="22"/>
        </w:rPr>
        <w:t>, Ltd</w:t>
      </w:r>
      <w:r w:rsidR="00B75B0A" w:rsidRPr="00B75B0A">
        <w:rPr>
          <w:rFonts w:ascii="Arial" w:hAnsi="Arial" w:cs="Arial"/>
          <w:i/>
          <w:iCs/>
          <w:color w:val="7B7B7B" w:themeColor="accent3" w:themeShade="BF"/>
          <w:sz w:val="22"/>
          <w:szCs w:val="22"/>
          <w:vertAlign w:val="superscript"/>
        </w:rPr>
        <w:footnoteReference w:id="12"/>
      </w:r>
      <w:r w:rsidR="00B75B0A" w:rsidRPr="00B75B0A">
        <w:rPr>
          <w:rFonts w:ascii="Arial" w:hAnsi="Arial" w:cs="Arial"/>
          <w:color w:val="7B7B7B" w:themeColor="accent3" w:themeShade="BF"/>
          <w:sz w:val="22"/>
          <w:szCs w:val="22"/>
        </w:rPr>
        <w:t xml:space="preserve"> the court </w:t>
      </w:r>
      <w:r w:rsidR="006C0799">
        <w:rPr>
          <w:rFonts w:ascii="Arial" w:hAnsi="Arial" w:cs="Arial"/>
          <w:color w:val="7B7B7B" w:themeColor="accent3" w:themeShade="BF"/>
          <w:sz w:val="22"/>
          <w:szCs w:val="22"/>
        </w:rPr>
        <w:t xml:space="preserve">refined and </w:t>
      </w:r>
      <w:r w:rsidR="00B75B0A" w:rsidRPr="00B75B0A">
        <w:rPr>
          <w:rFonts w:ascii="Arial" w:hAnsi="Arial" w:cs="Arial"/>
          <w:color w:val="7B7B7B" w:themeColor="accent3" w:themeShade="BF"/>
          <w:sz w:val="22"/>
          <w:szCs w:val="22"/>
        </w:rPr>
        <w:t xml:space="preserve">evaluated COMI by asking where a third party, assessing certain objective factors, would perceive the corporate debtor to conduct the bulk of its business operations.  </w:t>
      </w:r>
    </w:p>
    <w:p w14:paraId="1DBC659F" w14:textId="77777777" w:rsidR="00B75B0A" w:rsidRPr="00B75B0A" w:rsidRDefault="00B75B0A" w:rsidP="00B75B0A">
      <w:pPr>
        <w:jc w:val="both"/>
        <w:rPr>
          <w:rFonts w:ascii="Arial" w:hAnsi="Arial" w:cs="Arial"/>
          <w:color w:val="7B7B7B" w:themeColor="accent3" w:themeShade="BF"/>
          <w:sz w:val="22"/>
          <w:szCs w:val="22"/>
        </w:rPr>
      </w:pPr>
      <w:r w:rsidRPr="00B75B0A">
        <w:rPr>
          <w:rFonts w:ascii="Arial" w:hAnsi="Arial" w:cs="Arial"/>
          <w:color w:val="7B7B7B" w:themeColor="accent3" w:themeShade="BF"/>
          <w:sz w:val="22"/>
          <w:szCs w:val="22"/>
        </w:rPr>
        <w:t xml:space="preserve">The Court concluded that while the presumption of the debtor’s COMI is its place of registration or incorporation, various factors could nevertheless rebut it, including:  </w:t>
      </w:r>
    </w:p>
    <w:p w14:paraId="5F935382" w14:textId="77777777" w:rsidR="00B75B0A" w:rsidRPr="00B75B0A" w:rsidRDefault="00B75B0A" w:rsidP="00B75B0A">
      <w:pPr>
        <w:jc w:val="both"/>
        <w:rPr>
          <w:rFonts w:ascii="Arial" w:hAnsi="Arial" w:cs="Arial"/>
          <w:color w:val="7B7B7B" w:themeColor="accent3" w:themeShade="BF"/>
          <w:sz w:val="22"/>
          <w:szCs w:val="22"/>
          <w:lang w:val="en-GB"/>
        </w:rPr>
      </w:pPr>
    </w:p>
    <w:p w14:paraId="31F79EC2" w14:textId="77777777" w:rsidR="00B75B0A" w:rsidRPr="00B75B0A" w:rsidRDefault="00B75B0A" w:rsidP="00B75B0A">
      <w:pPr>
        <w:numPr>
          <w:ilvl w:val="0"/>
          <w:numId w:val="17"/>
        </w:numPr>
        <w:jc w:val="both"/>
        <w:rPr>
          <w:rFonts w:ascii="Arial" w:hAnsi="Arial" w:cs="Arial"/>
          <w:color w:val="7B7B7B" w:themeColor="accent3" w:themeShade="BF"/>
          <w:sz w:val="22"/>
          <w:szCs w:val="22"/>
          <w:lang w:val="en-GB"/>
        </w:rPr>
      </w:pPr>
      <w:bookmarkStart w:id="1" w:name="_Hlk107859867"/>
      <w:r w:rsidRPr="00B75B0A">
        <w:rPr>
          <w:rFonts w:ascii="Arial" w:hAnsi="Arial" w:cs="Arial"/>
          <w:color w:val="7B7B7B" w:themeColor="accent3" w:themeShade="BF"/>
          <w:sz w:val="22"/>
          <w:szCs w:val="22"/>
          <w:lang w:val="en-GB"/>
        </w:rPr>
        <w:t>Where the debtor’s headquarters are located,</w:t>
      </w:r>
    </w:p>
    <w:p w14:paraId="03924DF9" w14:textId="77777777" w:rsidR="00B75B0A" w:rsidRPr="00B75B0A" w:rsidRDefault="00B75B0A" w:rsidP="00B75B0A">
      <w:pPr>
        <w:numPr>
          <w:ilvl w:val="0"/>
          <w:numId w:val="17"/>
        </w:numPr>
        <w:jc w:val="both"/>
        <w:rPr>
          <w:rFonts w:ascii="Arial" w:hAnsi="Arial" w:cs="Arial"/>
          <w:color w:val="7B7B7B" w:themeColor="accent3" w:themeShade="BF"/>
          <w:sz w:val="22"/>
          <w:szCs w:val="22"/>
          <w:lang w:val="en-GB"/>
        </w:rPr>
      </w:pPr>
      <w:r w:rsidRPr="00B75B0A">
        <w:rPr>
          <w:rFonts w:ascii="Arial" w:hAnsi="Arial" w:cs="Arial"/>
          <w:color w:val="7B7B7B" w:themeColor="accent3" w:themeShade="BF"/>
          <w:sz w:val="22"/>
          <w:szCs w:val="22"/>
          <w:lang w:val="en-GB"/>
        </w:rPr>
        <w:t>Where its management rests,</w:t>
      </w:r>
    </w:p>
    <w:p w14:paraId="1EC6069A" w14:textId="77777777" w:rsidR="00B75B0A" w:rsidRPr="00B75B0A" w:rsidRDefault="00B75B0A" w:rsidP="00B75B0A">
      <w:pPr>
        <w:numPr>
          <w:ilvl w:val="0"/>
          <w:numId w:val="17"/>
        </w:numPr>
        <w:jc w:val="both"/>
        <w:rPr>
          <w:rFonts w:ascii="Arial" w:hAnsi="Arial" w:cs="Arial"/>
          <w:color w:val="7B7B7B" w:themeColor="accent3" w:themeShade="BF"/>
          <w:sz w:val="22"/>
          <w:szCs w:val="22"/>
          <w:lang w:val="en-GB"/>
        </w:rPr>
      </w:pPr>
      <w:r w:rsidRPr="00B75B0A">
        <w:rPr>
          <w:rFonts w:ascii="Arial" w:hAnsi="Arial" w:cs="Arial"/>
          <w:color w:val="7B7B7B" w:themeColor="accent3" w:themeShade="BF"/>
          <w:sz w:val="22"/>
          <w:szCs w:val="22"/>
          <w:lang w:val="en-GB"/>
        </w:rPr>
        <w:t xml:space="preserve">Where its primary assets may be located,  </w:t>
      </w:r>
    </w:p>
    <w:p w14:paraId="2DF7FDD0" w14:textId="77777777" w:rsidR="00B75B0A" w:rsidRPr="00B75B0A" w:rsidRDefault="00B75B0A" w:rsidP="00B75B0A">
      <w:pPr>
        <w:numPr>
          <w:ilvl w:val="0"/>
          <w:numId w:val="17"/>
        </w:numPr>
        <w:jc w:val="both"/>
        <w:rPr>
          <w:rFonts w:ascii="Arial" w:hAnsi="Arial" w:cs="Arial"/>
          <w:color w:val="7B7B7B" w:themeColor="accent3" w:themeShade="BF"/>
          <w:sz w:val="22"/>
          <w:szCs w:val="22"/>
          <w:lang w:val="en-GB"/>
        </w:rPr>
      </w:pPr>
      <w:r w:rsidRPr="00B75B0A">
        <w:rPr>
          <w:rFonts w:ascii="Arial" w:hAnsi="Arial" w:cs="Arial"/>
          <w:color w:val="7B7B7B" w:themeColor="accent3" w:themeShade="BF"/>
          <w:sz w:val="22"/>
          <w:szCs w:val="22"/>
          <w:lang w:val="en-GB"/>
        </w:rPr>
        <w:t xml:space="preserve">Where </w:t>
      </w:r>
      <w:proofErr w:type="gramStart"/>
      <w:r w:rsidRPr="00B75B0A">
        <w:rPr>
          <w:rFonts w:ascii="Arial" w:hAnsi="Arial" w:cs="Arial"/>
          <w:color w:val="7B7B7B" w:themeColor="accent3" w:themeShade="BF"/>
          <w:sz w:val="22"/>
          <w:szCs w:val="22"/>
          <w:lang w:val="en-GB"/>
        </w:rPr>
        <w:t>the majority of</w:t>
      </w:r>
      <w:proofErr w:type="gramEnd"/>
      <w:r w:rsidRPr="00B75B0A">
        <w:rPr>
          <w:rFonts w:ascii="Arial" w:hAnsi="Arial" w:cs="Arial"/>
          <w:color w:val="7B7B7B" w:themeColor="accent3" w:themeShade="BF"/>
          <w:sz w:val="22"/>
          <w:szCs w:val="22"/>
          <w:lang w:val="en-GB"/>
        </w:rPr>
        <w:t xml:space="preserve"> creditors can be found, either those of the debtor, or those affected,</w:t>
      </w:r>
    </w:p>
    <w:p w14:paraId="1DD0F36D" w14:textId="77777777" w:rsidR="00B75B0A" w:rsidRPr="00B75B0A" w:rsidRDefault="00B75B0A" w:rsidP="00B75B0A">
      <w:pPr>
        <w:numPr>
          <w:ilvl w:val="0"/>
          <w:numId w:val="17"/>
        </w:numPr>
        <w:jc w:val="both"/>
        <w:rPr>
          <w:rFonts w:ascii="Arial" w:hAnsi="Arial" w:cs="Arial"/>
          <w:color w:val="7B7B7B" w:themeColor="accent3" w:themeShade="BF"/>
          <w:sz w:val="22"/>
          <w:szCs w:val="22"/>
          <w:lang w:val="en-GB"/>
        </w:rPr>
      </w:pPr>
      <w:r w:rsidRPr="00B75B0A">
        <w:rPr>
          <w:rFonts w:ascii="Arial" w:hAnsi="Arial" w:cs="Arial"/>
          <w:color w:val="7B7B7B" w:themeColor="accent3" w:themeShade="BF"/>
          <w:sz w:val="22"/>
          <w:szCs w:val="22"/>
        </w:rPr>
        <w:t xml:space="preserve">The law of the most applicable jurisdiction; and </w:t>
      </w:r>
    </w:p>
    <w:p w14:paraId="74174E6C" w14:textId="77777777" w:rsidR="00B75B0A" w:rsidRPr="00B75B0A" w:rsidRDefault="00B75B0A" w:rsidP="00B75B0A">
      <w:pPr>
        <w:numPr>
          <w:ilvl w:val="0"/>
          <w:numId w:val="17"/>
        </w:numPr>
        <w:jc w:val="both"/>
        <w:rPr>
          <w:rFonts w:ascii="Arial" w:hAnsi="Arial" w:cs="Arial"/>
          <w:color w:val="7B7B7B" w:themeColor="accent3" w:themeShade="BF"/>
          <w:sz w:val="22"/>
          <w:szCs w:val="22"/>
          <w:lang w:val="en-GB"/>
        </w:rPr>
      </w:pPr>
      <w:r w:rsidRPr="00B75B0A">
        <w:rPr>
          <w:rFonts w:ascii="Arial" w:hAnsi="Arial" w:cs="Arial"/>
          <w:color w:val="7B7B7B" w:themeColor="accent3" w:themeShade="BF"/>
          <w:sz w:val="22"/>
          <w:szCs w:val="22"/>
        </w:rPr>
        <w:t>The perception of third parties.</w:t>
      </w:r>
    </w:p>
    <w:bookmarkEnd w:id="1"/>
    <w:p w14:paraId="5F846482" w14:textId="0B637F25" w:rsidR="00B75B0A" w:rsidRDefault="00B75B0A" w:rsidP="00906DEB">
      <w:pPr>
        <w:jc w:val="both"/>
        <w:rPr>
          <w:rFonts w:ascii="Arial" w:hAnsi="Arial" w:cs="Arial"/>
          <w:color w:val="7B7B7B" w:themeColor="accent3" w:themeShade="BF"/>
          <w:sz w:val="22"/>
          <w:szCs w:val="22"/>
        </w:rPr>
      </w:pPr>
    </w:p>
    <w:p w14:paraId="4C9242DD" w14:textId="4FD19D7E" w:rsidR="006C0799" w:rsidRDefault="006C0799" w:rsidP="006C079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following cases demonstrate a</w:t>
      </w:r>
      <w:r w:rsidR="00046A1C">
        <w:rPr>
          <w:rFonts w:ascii="Arial" w:hAnsi="Arial" w:cs="Arial"/>
          <w:color w:val="7B7B7B" w:themeColor="accent3" w:themeShade="BF"/>
          <w:sz w:val="22"/>
          <w:szCs w:val="22"/>
        </w:rPr>
        <w:t xml:space="preserve"> gradual</w:t>
      </w:r>
      <w:r>
        <w:rPr>
          <w:rFonts w:ascii="Arial" w:hAnsi="Arial" w:cs="Arial"/>
          <w:color w:val="7B7B7B" w:themeColor="accent3" w:themeShade="BF"/>
          <w:sz w:val="22"/>
          <w:szCs w:val="22"/>
        </w:rPr>
        <w:t xml:space="preserve"> </w:t>
      </w:r>
      <w:r w:rsidR="00046A1C">
        <w:rPr>
          <w:rFonts w:ascii="Arial" w:hAnsi="Arial" w:cs="Arial"/>
          <w:color w:val="7B7B7B" w:themeColor="accent3" w:themeShade="BF"/>
          <w:sz w:val="22"/>
          <w:szCs w:val="22"/>
        </w:rPr>
        <w:t xml:space="preserve">refinement of the </w:t>
      </w:r>
      <w:r>
        <w:rPr>
          <w:rFonts w:ascii="Arial" w:hAnsi="Arial" w:cs="Arial"/>
          <w:color w:val="7B7B7B" w:themeColor="accent3" w:themeShade="BF"/>
          <w:sz w:val="22"/>
          <w:szCs w:val="22"/>
        </w:rPr>
        <w:t xml:space="preserve">application of the “objective-factors” test:  </w:t>
      </w:r>
    </w:p>
    <w:p w14:paraId="24C2CBB2" w14:textId="77777777" w:rsidR="006C0799" w:rsidRDefault="006C0799" w:rsidP="006C0799">
      <w:pPr>
        <w:jc w:val="both"/>
        <w:rPr>
          <w:rFonts w:ascii="Arial" w:hAnsi="Arial" w:cs="Arial"/>
          <w:color w:val="7B7B7B" w:themeColor="accent3" w:themeShade="BF"/>
          <w:sz w:val="22"/>
          <w:szCs w:val="22"/>
        </w:rPr>
      </w:pPr>
    </w:p>
    <w:p w14:paraId="4BF1F109" w14:textId="221BEF94" w:rsidR="006C0799" w:rsidRPr="006C0799" w:rsidRDefault="006C0799" w:rsidP="006C0799">
      <w:pPr>
        <w:jc w:val="both"/>
        <w:rPr>
          <w:rFonts w:ascii="Arial" w:hAnsi="Arial" w:cs="Arial"/>
          <w:color w:val="7B7B7B" w:themeColor="accent3" w:themeShade="BF"/>
          <w:sz w:val="22"/>
          <w:szCs w:val="22"/>
        </w:rPr>
      </w:pPr>
      <w:r w:rsidRPr="006C0799">
        <w:rPr>
          <w:rFonts w:ascii="Arial" w:hAnsi="Arial" w:cs="Arial"/>
          <w:color w:val="7B7B7B" w:themeColor="accent3" w:themeShade="BF"/>
          <w:sz w:val="22"/>
          <w:szCs w:val="22"/>
        </w:rPr>
        <w:t xml:space="preserve">In </w:t>
      </w:r>
      <w:r w:rsidRPr="006C0799">
        <w:rPr>
          <w:rFonts w:ascii="Arial" w:hAnsi="Arial" w:cs="Arial"/>
          <w:i/>
          <w:iCs/>
          <w:color w:val="7B7B7B" w:themeColor="accent3" w:themeShade="BF"/>
          <w:sz w:val="22"/>
          <w:szCs w:val="22"/>
        </w:rPr>
        <w:t>In re British American Insurance Co., Ltd</w:t>
      </w:r>
      <w:r w:rsidRPr="006C0799">
        <w:rPr>
          <w:rFonts w:ascii="Arial" w:hAnsi="Arial" w:cs="Arial"/>
          <w:color w:val="7B7B7B" w:themeColor="accent3" w:themeShade="BF"/>
          <w:sz w:val="22"/>
          <w:szCs w:val="22"/>
          <w:vertAlign w:val="superscript"/>
        </w:rPr>
        <w:footnoteReference w:id="13"/>
      </w:r>
      <w:r w:rsidRPr="006C0799">
        <w:rPr>
          <w:rFonts w:ascii="Arial" w:hAnsi="Arial" w:cs="Arial"/>
          <w:color w:val="7B7B7B" w:themeColor="accent3" w:themeShade="BF"/>
          <w:sz w:val="22"/>
          <w:szCs w:val="22"/>
        </w:rPr>
        <w:t xml:space="preserve"> the Court found that although the debtor was incorporated in the Bahamas, its headquarters </w:t>
      </w:r>
      <w:proofErr w:type="gramStart"/>
      <w:r w:rsidRPr="006C0799">
        <w:rPr>
          <w:rFonts w:ascii="Arial" w:hAnsi="Arial" w:cs="Arial"/>
          <w:color w:val="7B7B7B" w:themeColor="accent3" w:themeShade="BF"/>
          <w:sz w:val="22"/>
          <w:szCs w:val="22"/>
        </w:rPr>
        <w:t>were located in</w:t>
      </w:r>
      <w:proofErr w:type="gramEnd"/>
      <w:r w:rsidRPr="006C0799">
        <w:rPr>
          <w:rFonts w:ascii="Arial" w:hAnsi="Arial" w:cs="Arial"/>
          <w:color w:val="7B7B7B" w:themeColor="accent3" w:themeShade="BF"/>
          <w:sz w:val="22"/>
          <w:szCs w:val="22"/>
        </w:rPr>
        <w:t xml:space="preserve"> Trinidad.  This was where the debtor’s subsidiary conducted its financial, administrative, actuarial, legal, policy, administration, and claims processing, as well as the day-to-day affairs of the company. </w:t>
      </w:r>
    </w:p>
    <w:p w14:paraId="1BB8C4AF" w14:textId="77777777" w:rsidR="006C0799" w:rsidRPr="006C0799" w:rsidRDefault="006C0799" w:rsidP="006C0799">
      <w:pPr>
        <w:jc w:val="both"/>
        <w:rPr>
          <w:rFonts w:ascii="Arial" w:hAnsi="Arial" w:cs="Arial"/>
          <w:color w:val="7B7B7B" w:themeColor="accent3" w:themeShade="BF"/>
          <w:sz w:val="22"/>
          <w:szCs w:val="22"/>
        </w:rPr>
      </w:pPr>
      <w:r w:rsidRPr="006C0799">
        <w:rPr>
          <w:rFonts w:ascii="Arial" w:hAnsi="Arial" w:cs="Arial"/>
          <w:color w:val="7B7B7B" w:themeColor="accent3" w:themeShade="BF"/>
          <w:sz w:val="22"/>
          <w:szCs w:val="22"/>
        </w:rPr>
        <w:t xml:space="preserve">The Court further found that its assets </w:t>
      </w:r>
      <w:proofErr w:type="gramStart"/>
      <w:r w:rsidRPr="006C0799">
        <w:rPr>
          <w:rFonts w:ascii="Arial" w:hAnsi="Arial" w:cs="Arial"/>
          <w:color w:val="7B7B7B" w:themeColor="accent3" w:themeShade="BF"/>
          <w:sz w:val="22"/>
          <w:szCs w:val="22"/>
        </w:rPr>
        <w:t>were located in</w:t>
      </w:r>
      <w:proofErr w:type="gramEnd"/>
      <w:r w:rsidRPr="006C0799">
        <w:rPr>
          <w:rFonts w:ascii="Arial" w:hAnsi="Arial" w:cs="Arial"/>
          <w:color w:val="7B7B7B" w:themeColor="accent3" w:themeShade="BF"/>
          <w:sz w:val="22"/>
          <w:szCs w:val="22"/>
        </w:rPr>
        <w:t xml:space="preserve"> its Eastern Caribbean branches, while its creditors were located outside of the Bahamas.</w:t>
      </w:r>
    </w:p>
    <w:p w14:paraId="1A5E32F6" w14:textId="01BDAFAC" w:rsidR="006C0799" w:rsidRDefault="006C0799" w:rsidP="006C0799">
      <w:pPr>
        <w:jc w:val="both"/>
        <w:rPr>
          <w:rFonts w:ascii="Arial" w:hAnsi="Arial" w:cs="Arial"/>
          <w:color w:val="7B7B7B" w:themeColor="accent3" w:themeShade="BF"/>
          <w:sz w:val="22"/>
          <w:szCs w:val="22"/>
        </w:rPr>
      </w:pPr>
      <w:r w:rsidRPr="006C0799">
        <w:rPr>
          <w:rFonts w:ascii="Arial" w:hAnsi="Arial" w:cs="Arial"/>
          <w:color w:val="7B7B7B" w:themeColor="accent3" w:themeShade="BF"/>
          <w:sz w:val="22"/>
          <w:szCs w:val="22"/>
        </w:rPr>
        <w:t>Lastly, the Court considered the objective perception of its creditors and found they were unlikely to perceive that the debtor’s operational hub was in the Bahamas given that its business was not conducted there.  The Court therefore held that the Bahamas were not its COMI and did not fall within the meaning of “foreign main proceeding.”</w:t>
      </w:r>
    </w:p>
    <w:p w14:paraId="65090C22" w14:textId="27236C77" w:rsidR="0019217F" w:rsidRDefault="0019217F" w:rsidP="006C0799">
      <w:pPr>
        <w:jc w:val="both"/>
        <w:rPr>
          <w:rFonts w:ascii="Arial" w:hAnsi="Arial" w:cs="Arial"/>
          <w:color w:val="7B7B7B" w:themeColor="accent3" w:themeShade="BF"/>
          <w:sz w:val="22"/>
          <w:szCs w:val="22"/>
        </w:rPr>
      </w:pPr>
    </w:p>
    <w:p w14:paraId="4A6FA376" w14:textId="77777777" w:rsidR="00046A1C" w:rsidRDefault="008311E7" w:rsidP="001921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w:t>
      </w:r>
      <w:r w:rsidR="0019217F" w:rsidRPr="0019217F">
        <w:rPr>
          <w:rFonts w:ascii="Arial" w:hAnsi="Arial" w:cs="Arial"/>
          <w:color w:val="7B7B7B" w:themeColor="accent3" w:themeShade="BF"/>
          <w:sz w:val="22"/>
          <w:szCs w:val="22"/>
        </w:rPr>
        <w:t xml:space="preserve">n </w:t>
      </w:r>
      <w:r w:rsidR="0019217F" w:rsidRPr="0019217F">
        <w:rPr>
          <w:rFonts w:ascii="Arial" w:hAnsi="Arial" w:cs="Arial"/>
          <w:i/>
          <w:iCs/>
          <w:color w:val="7B7B7B" w:themeColor="accent3" w:themeShade="BF"/>
          <w:sz w:val="22"/>
          <w:szCs w:val="22"/>
        </w:rPr>
        <w:t xml:space="preserve">In re </w:t>
      </w:r>
      <w:proofErr w:type="spellStart"/>
      <w:r w:rsidR="0019217F" w:rsidRPr="0019217F">
        <w:rPr>
          <w:rFonts w:ascii="Arial" w:hAnsi="Arial" w:cs="Arial"/>
          <w:i/>
          <w:iCs/>
          <w:color w:val="7B7B7B" w:themeColor="accent3" w:themeShade="BF"/>
          <w:sz w:val="22"/>
          <w:szCs w:val="22"/>
        </w:rPr>
        <w:t>Millenium</w:t>
      </w:r>
      <w:proofErr w:type="spellEnd"/>
      <w:r w:rsidR="0019217F" w:rsidRPr="0019217F">
        <w:rPr>
          <w:rFonts w:ascii="Arial" w:hAnsi="Arial" w:cs="Arial"/>
          <w:i/>
          <w:iCs/>
          <w:color w:val="7B7B7B" w:themeColor="accent3" w:themeShade="BF"/>
          <w:sz w:val="22"/>
          <w:szCs w:val="22"/>
        </w:rPr>
        <w:t xml:space="preserve"> Global Emerging Credit Master Fund Limited</w:t>
      </w:r>
      <w:r w:rsidRPr="008311E7">
        <w:rPr>
          <w:rFonts w:ascii="Arial" w:hAnsi="Arial" w:cs="Arial"/>
          <w:color w:val="7B7B7B" w:themeColor="accent3" w:themeShade="BF"/>
          <w:sz w:val="22"/>
          <w:szCs w:val="22"/>
          <w:vertAlign w:val="superscript"/>
        </w:rPr>
        <w:footnoteReference w:id="14"/>
      </w:r>
      <w:r>
        <w:rPr>
          <w:rFonts w:ascii="Arial" w:hAnsi="Arial" w:cs="Arial"/>
          <w:i/>
          <w:iCs/>
          <w:color w:val="7B7B7B" w:themeColor="accent3" w:themeShade="BF"/>
          <w:sz w:val="22"/>
          <w:szCs w:val="22"/>
        </w:rPr>
        <w:t xml:space="preserve"> </w:t>
      </w:r>
      <w:r>
        <w:rPr>
          <w:rFonts w:ascii="Arial" w:hAnsi="Arial" w:cs="Arial"/>
          <w:color w:val="7B7B7B" w:themeColor="accent3" w:themeShade="BF"/>
          <w:sz w:val="22"/>
          <w:szCs w:val="22"/>
        </w:rPr>
        <w:t xml:space="preserve">despite an absence of </w:t>
      </w:r>
      <w:r w:rsidRPr="0019217F">
        <w:rPr>
          <w:rFonts w:ascii="Arial" w:hAnsi="Arial" w:cs="Arial"/>
          <w:color w:val="7B7B7B" w:themeColor="accent3" w:themeShade="BF"/>
          <w:sz w:val="22"/>
          <w:szCs w:val="22"/>
        </w:rPr>
        <w:t>management, investors, creditors, or property in Bermuda</w:t>
      </w:r>
      <w:r w:rsidR="00046A1C">
        <w:rPr>
          <w:rFonts w:ascii="Arial" w:hAnsi="Arial" w:cs="Arial"/>
          <w:color w:val="7B7B7B" w:themeColor="accent3" w:themeShade="BF"/>
          <w:sz w:val="22"/>
          <w:szCs w:val="22"/>
        </w:rPr>
        <w:t>,</w:t>
      </w:r>
      <w:r>
        <w:rPr>
          <w:rFonts w:ascii="Arial" w:hAnsi="Arial" w:cs="Arial"/>
          <w:i/>
          <w:iCs/>
          <w:color w:val="7B7B7B" w:themeColor="accent3" w:themeShade="BF"/>
          <w:sz w:val="22"/>
          <w:szCs w:val="22"/>
        </w:rPr>
        <w:t xml:space="preserve"> </w:t>
      </w:r>
      <w:r>
        <w:rPr>
          <w:rFonts w:ascii="Arial" w:hAnsi="Arial" w:cs="Arial"/>
          <w:color w:val="7B7B7B" w:themeColor="accent3" w:themeShade="BF"/>
          <w:sz w:val="22"/>
          <w:szCs w:val="22"/>
        </w:rPr>
        <w:t xml:space="preserve">the Court </w:t>
      </w:r>
      <w:r w:rsidR="00046A1C">
        <w:rPr>
          <w:rFonts w:ascii="Arial" w:hAnsi="Arial" w:cs="Arial"/>
          <w:color w:val="7B7B7B" w:themeColor="accent3" w:themeShade="BF"/>
          <w:sz w:val="22"/>
          <w:szCs w:val="22"/>
        </w:rPr>
        <w:t xml:space="preserve">nevertheless </w:t>
      </w:r>
      <w:r>
        <w:rPr>
          <w:rFonts w:ascii="Arial" w:hAnsi="Arial" w:cs="Arial"/>
          <w:color w:val="7B7B7B" w:themeColor="accent3" w:themeShade="BF"/>
          <w:sz w:val="22"/>
          <w:szCs w:val="22"/>
        </w:rPr>
        <w:t>conclude</w:t>
      </w:r>
      <w:r w:rsidR="00046A1C">
        <w:rPr>
          <w:rFonts w:ascii="Arial" w:hAnsi="Arial" w:cs="Arial"/>
          <w:color w:val="7B7B7B" w:themeColor="accent3" w:themeShade="BF"/>
          <w:sz w:val="22"/>
          <w:szCs w:val="22"/>
        </w:rPr>
        <w:t>d</w:t>
      </w:r>
      <w:r>
        <w:rPr>
          <w:rFonts w:ascii="Arial" w:hAnsi="Arial" w:cs="Arial"/>
          <w:color w:val="7B7B7B" w:themeColor="accent3" w:themeShade="BF"/>
          <w:sz w:val="22"/>
          <w:szCs w:val="22"/>
        </w:rPr>
        <w:t xml:space="preserve"> that the debtor’s COMI was in Bermuda.  </w:t>
      </w:r>
    </w:p>
    <w:p w14:paraId="13DE1DA2" w14:textId="025F4FF4" w:rsidR="0019217F" w:rsidRPr="0019217F" w:rsidRDefault="00046A1C" w:rsidP="0019217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This was because i</w:t>
      </w:r>
      <w:r w:rsidR="008311E7">
        <w:rPr>
          <w:rFonts w:ascii="Arial" w:hAnsi="Arial" w:cs="Arial"/>
          <w:color w:val="7B7B7B" w:themeColor="accent3" w:themeShade="BF"/>
          <w:sz w:val="22"/>
          <w:szCs w:val="22"/>
        </w:rPr>
        <w:t xml:space="preserve">n the first place, </w:t>
      </w:r>
      <w:r w:rsidR="0019217F" w:rsidRPr="0019217F">
        <w:rPr>
          <w:rFonts w:ascii="Arial" w:hAnsi="Arial" w:cs="Arial"/>
          <w:color w:val="7B7B7B" w:themeColor="accent3" w:themeShade="BF"/>
          <w:sz w:val="22"/>
          <w:szCs w:val="22"/>
        </w:rPr>
        <w:t xml:space="preserve">two of the debtors’ three directors </w:t>
      </w:r>
      <w:proofErr w:type="gramStart"/>
      <w:r w:rsidR="0019217F" w:rsidRPr="0019217F">
        <w:rPr>
          <w:rFonts w:ascii="Arial" w:hAnsi="Arial" w:cs="Arial"/>
          <w:color w:val="7B7B7B" w:themeColor="accent3" w:themeShade="BF"/>
          <w:sz w:val="22"/>
          <w:szCs w:val="22"/>
        </w:rPr>
        <w:t>were located in</w:t>
      </w:r>
      <w:proofErr w:type="gramEnd"/>
      <w:r w:rsidR="0019217F" w:rsidRPr="0019217F">
        <w:rPr>
          <w:rFonts w:ascii="Arial" w:hAnsi="Arial" w:cs="Arial"/>
          <w:color w:val="7B7B7B" w:themeColor="accent3" w:themeShade="BF"/>
          <w:sz w:val="22"/>
          <w:szCs w:val="22"/>
        </w:rPr>
        <w:t xml:space="preserve"> Bermuda</w:t>
      </w:r>
      <w:r w:rsidR="008311E7">
        <w:rPr>
          <w:rFonts w:ascii="Arial" w:hAnsi="Arial" w:cs="Arial"/>
          <w:color w:val="7B7B7B" w:themeColor="accent3" w:themeShade="BF"/>
          <w:sz w:val="22"/>
          <w:szCs w:val="22"/>
        </w:rPr>
        <w:t xml:space="preserve"> and t</w:t>
      </w:r>
      <w:r w:rsidR="0019217F" w:rsidRPr="0019217F">
        <w:rPr>
          <w:rFonts w:ascii="Arial" w:hAnsi="Arial" w:cs="Arial"/>
          <w:color w:val="7B7B7B" w:themeColor="accent3" w:themeShade="BF"/>
          <w:sz w:val="22"/>
          <w:szCs w:val="22"/>
        </w:rPr>
        <w:t xml:space="preserve">hese directors had the right to replace all of the debtors’ other agents, and to determine </w:t>
      </w:r>
      <w:r w:rsidR="0019217F" w:rsidRPr="0019217F">
        <w:rPr>
          <w:rFonts w:ascii="Arial" w:hAnsi="Arial" w:cs="Arial"/>
          <w:color w:val="7B7B7B" w:themeColor="accent3" w:themeShade="BF"/>
          <w:sz w:val="22"/>
          <w:szCs w:val="22"/>
        </w:rPr>
        <w:lastRenderedPageBreak/>
        <w:t xml:space="preserve">whether to place the funds into an insolvency proceeding. </w:t>
      </w:r>
      <w:r w:rsidR="008311E7">
        <w:rPr>
          <w:rFonts w:ascii="Arial" w:hAnsi="Arial" w:cs="Arial"/>
          <w:color w:val="7B7B7B" w:themeColor="accent3" w:themeShade="BF"/>
          <w:sz w:val="22"/>
          <w:szCs w:val="22"/>
        </w:rPr>
        <w:t>Also, t</w:t>
      </w:r>
      <w:r w:rsidR="0019217F" w:rsidRPr="0019217F">
        <w:rPr>
          <w:rFonts w:ascii="Arial" w:hAnsi="Arial" w:cs="Arial"/>
          <w:color w:val="7B7B7B" w:themeColor="accent3" w:themeShade="BF"/>
          <w:sz w:val="22"/>
          <w:szCs w:val="22"/>
        </w:rPr>
        <w:t>he funds’ bank, their custodian, and auditors also resided there.</w:t>
      </w:r>
      <w:r w:rsidR="008311E7">
        <w:rPr>
          <w:rFonts w:ascii="Arial" w:hAnsi="Arial" w:cs="Arial"/>
          <w:color w:val="7B7B7B" w:themeColor="accent3" w:themeShade="BF"/>
          <w:sz w:val="22"/>
          <w:szCs w:val="22"/>
        </w:rPr>
        <w:t xml:space="preserve">  </w:t>
      </w:r>
    </w:p>
    <w:p w14:paraId="03115B8D" w14:textId="77777777" w:rsidR="006C0799" w:rsidRDefault="006C0799" w:rsidP="00906DEB">
      <w:pPr>
        <w:jc w:val="both"/>
        <w:rPr>
          <w:rFonts w:ascii="Arial" w:hAnsi="Arial" w:cs="Arial"/>
          <w:color w:val="7B7B7B" w:themeColor="accent3" w:themeShade="BF"/>
          <w:sz w:val="22"/>
          <w:szCs w:val="22"/>
        </w:rPr>
      </w:pPr>
    </w:p>
    <w:p w14:paraId="23A9C399" w14:textId="50B65054" w:rsidR="00C0704D" w:rsidRDefault="00D67091" w:rsidP="00906DE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w:t>
      </w:r>
      <w:r w:rsidR="00F175E4" w:rsidRPr="00F175E4">
        <w:rPr>
          <w:rFonts w:ascii="Arial" w:hAnsi="Arial" w:cs="Arial"/>
          <w:i/>
          <w:iCs/>
          <w:color w:val="7B7B7B" w:themeColor="accent3" w:themeShade="BF"/>
          <w:sz w:val="22"/>
          <w:szCs w:val="22"/>
          <w:lang w:val="en-ZA"/>
        </w:rPr>
        <w:t xml:space="preserve">Morning Mist Holdings Ltd. v. </w:t>
      </w:r>
      <w:proofErr w:type="spellStart"/>
      <w:r w:rsidR="00F175E4" w:rsidRPr="00F175E4">
        <w:rPr>
          <w:rFonts w:ascii="Arial" w:hAnsi="Arial" w:cs="Arial"/>
          <w:i/>
          <w:iCs/>
          <w:color w:val="7B7B7B" w:themeColor="accent3" w:themeShade="BF"/>
          <w:sz w:val="22"/>
          <w:szCs w:val="22"/>
          <w:lang w:val="en-ZA"/>
        </w:rPr>
        <w:t>Krys</w:t>
      </w:r>
      <w:proofErr w:type="spellEnd"/>
      <w:r w:rsidR="00F175E4" w:rsidRPr="00F175E4">
        <w:rPr>
          <w:rFonts w:ascii="Arial" w:hAnsi="Arial" w:cs="Arial"/>
          <w:i/>
          <w:iCs/>
          <w:color w:val="7B7B7B" w:themeColor="accent3" w:themeShade="BF"/>
          <w:sz w:val="22"/>
          <w:szCs w:val="22"/>
          <w:lang w:val="en-ZA"/>
        </w:rPr>
        <w:t>, (In re Fairfield Sentry Ltd.)</w:t>
      </w:r>
      <w:r w:rsidR="006C0799">
        <w:rPr>
          <w:rStyle w:val="FootnoteReference"/>
          <w:rFonts w:ascii="Arial" w:hAnsi="Arial" w:cs="Arial"/>
          <w:i/>
          <w:iCs/>
          <w:color w:val="7B7B7B" w:themeColor="accent3" w:themeShade="BF"/>
          <w:sz w:val="22"/>
          <w:szCs w:val="22"/>
          <w:lang w:val="en-ZA"/>
        </w:rPr>
        <w:footnoteReference w:id="15"/>
      </w:r>
      <w:r w:rsidR="006C0799">
        <w:rPr>
          <w:rFonts w:ascii="Arial" w:hAnsi="Arial" w:cs="Arial"/>
          <w:i/>
          <w:iCs/>
          <w:color w:val="7B7B7B" w:themeColor="accent3" w:themeShade="BF"/>
          <w:sz w:val="22"/>
          <w:szCs w:val="22"/>
          <w:lang w:val="en-ZA"/>
        </w:rPr>
        <w:t xml:space="preserve"> </w:t>
      </w:r>
      <w:r w:rsidR="00C0704D">
        <w:rPr>
          <w:rFonts w:ascii="Arial" w:hAnsi="Arial" w:cs="Arial"/>
          <w:color w:val="7B7B7B" w:themeColor="accent3" w:themeShade="BF"/>
          <w:sz w:val="22"/>
          <w:szCs w:val="22"/>
        </w:rPr>
        <w:t xml:space="preserve">the </w:t>
      </w:r>
      <w:r w:rsidR="00F175E4">
        <w:rPr>
          <w:rFonts w:ascii="Arial" w:hAnsi="Arial" w:cs="Arial"/>
          <w:color w:val="7B7B7B" w:themeColor="accent3" w:themeShade="BF"/>
          <w:sz w:val="22"/>
          <w:szCs w:val="22"/>
        </w:rPr>
        <w:t>C</w:t>
      </w:r>
      <w:r w:rsidR="00C0704D">
        <w:rPr>
          <w:rFonts w:ascii="Arial" w:hAnsi="Arial" w:cs="Arial"/>
          <w:color w:val="7B7B7B" w:themeColor="accent3" w:themeShade="BF"/>
          <w:sz w:val="22"/>
          <w:szCs w:val="22"/>
        </w:rPr>
        <w:t xml:space="preserve">ourt </w:t>
      </w:r>
      <w:r w:rsidR="00F175E4">
        <w:rPr>
          <w:rFonts w:ascii="Arial" w:hAnsi="Arial" w:cs="Arial"/>
          <w:color w:val="7B7B7B" w:themeColor="accent3" w:themeShade="BF"/>
          <w:sz w:val="22"/>
          <w:szCs w:val="22"/>
        </w:rPr>
        <w:t xml:space="preserve">recognized the proceedings in the British Virgin Islands as a Main proceeding as the </w:t>
      </w:r>
      <w:r w:rsidR="00C0704D" w:rsidRPr="00C0704D">
        <w:rPr>
          <w:rFonts w:ascii="Arial" w:hAnsi="Arial" w:cs="Arial"/>
          <w:color w:val="7B7B7B" w:themeColor="accent3" w:themeShade="BF"/>
          <w:sz w:val="22"/>
          <w:szCs w:val="22"/>
        </w:rPr>
        <w:t>debtors’ base of operations—its COMI—was the British Virgin Islands rather than the U</w:t>
      </w:r>
      <w:r w:rsidR="00C0704D">
        <w:rPr>
          <w:rFonts w:ascii="Arial" w:hAnsi="Arial" w:cs="Arial"/>
          <w:color w:val="7B7B7B" w:themeColor="accent3" w:themeShade="BF"/>
          <w:sz w:val="22"/>
          <w:szCs w:val="22"/>
        </w:rPr>
        <w:t xml:space="preserve">S.  </w:t>
      </w:r>
      <w:r w:rsidR="00C0704D" w:rsidRPr="00C0704D">
        <w:rPr>
          <w:rFonts w:ascii="Arial" w:hAnsi="Arial" w:cs="Arial"/>
          <w:color w:val="7B7B7B" w:themeColor="accent3" w:themeShade="BF"/>
          <w:sz w:val="22"/>
          <w:szCs w:val="22"/>
        </w:rPr>
        <w:t>Reaching this conclusion, the court found that the debtors had effectively quit operating in New York more than eighteen months before filing the recognition petition in the U.S., and seven months before commencing the foreign insolvency proceedings</w:t>
      </w:r>
      <w:r w:rsidR="00C0704D">
        <w:rPr>
          <w:rFonts w:ascii="Arial" w:hAnsi="Arial" w:cs="Arial"/>
          <w:color w:val="7B7B7B" w:themeColor="accent3" w:themeShade="BF"/>
          <w:sz w:val="22"/>
          <w:szCs w:val="22"/>
        </w:rPr>
        <w:t xml:space="preserve">.  </w:t>
      </w:r>
      <w:r w:rsidR="00C0704D" w:rsidRPr="00C0704D">
        <w:rPr>
          <w:rFonts w:ascii="Arial" w:hAnsi="Arial" w:cs="Arial"/>
          <w:color w:val="7B7B7B" w:themeColor="accent3" w:themeShade="BF"/>
          <w:sz w:val="22"/>
          <w:szCs w:val="22"/>
        </w:rPr>
        <w:t>Moreover, after ceasing operations, the debtors made most of their administrative decisions from the British Virgin Islands</w:t>
      </w:r>
      <w:r w:rsidR="00476ED5">
        <w:rPr>
          <w:rFonts w:ascii="Arial" w:hAnsi="Arial" w:cs="Arial"/>
          <w:color w:val="7B7B7B" w:themeColor="accent3" w:themeShade="BF"/>
          <w:sz w:val="22"/>
          <w:szCs w:val="22"/>
        </w:rPr>
        <w:t>.</w:t>
      </w:r>
    </w:p>
    <w:p w14:paraId="551DC0D9" w14:textId="717C2F01" w:rsidR="00476ED5" w:rsidRDefault="00476ED5" w:rsidP="00906DEB">
      <w:pPr>
        <w:jc w:val="both"/>
        <w:rPr>
          <w:rFonts w:ascii="Arial" w:hAnsi="Arial" w:cs="Arial"/>
          <w:color w:val="7B7B7B" w:themeColor="accent3" w:themeShade="BF"/>
          <w:sz w:val="22"/>
          <w:szCs w:val="22"/>
        </w:rPr>
      </w:pPr>
    </w:p>
    <w:p w14:paraId="00760F1A" w14:textId="486AA7A9" w:rsidR="00851519" w:rsidRDefault="00851519" w:rsidP="008515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w:t>
      </w:r>
      <w:r>
        <w:rPr>
          <w:rFonts w:ascii="Arial" w:hAnsi="Arial" w:cs="Arial"/>
          <w:i/>
          <w:iCs/>
          <w:color w:val="7B7B7B" w:themeColor="accent3" w:themeShade="BF"/>
          <w:sz w:val="22"/>
          <w:szCs w:val="22"/>
          <w:lang w:val="en-GB"/>
        </w:rPr>
        <w:t xml:space="preserve">Bear Sterns </w:t>
      </w:r>
      <w:r w:rsidR="0053766F" w:rsidRPr="0053766F">
        <w:rPr>
          <w:rFonts w:ascii="Arial" w:hAnsi="Arial" w:cs="Arial"/>
          <w:i/>
          <w:iCs/>
          <w:color w:val="7B7B7B" w:themeColor="accent3" w:themeShade="BF"/>
          <w:sz w:val="22"/>
          <w:szCs w:val="22"/>
        </w:rPr>
        <w:t>High-Grade Structured Credit Strategies Master Fund, Ltd</w:t>
      </w:r>
      <w:r w:rsidR="0053766F" w:rsidRPr="0053766F">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case, the US Bankruptcy Court </w:t>
      </w:r>
      <w:r w:rsidR="0053766F">
        <w:rPr>
          <w:rFonts w:ascii="Arial" w:hAnsi="Arial" w:cs="Arial"/>
          <w:color w:val="7B7B7B" w:themeColor="accent3" w:themeShade="BF"/>
          <w:sz w:val="22"/>
          <w:szCs w:val="22"/>
          <w:lang w:val="en-GB"/>
        </w:rPr>
        <w:t xml:space="preserve">rejected an application for the commencement of a foreign main proceeding finding that </w:t>
      </w:r>
      <w:r>
        <w:rPr>
          <w:rFonts w:ascii="Arial" w:hAnsi="Arial" w:cs="Arial"/>
          <w:color w:val="7B7B7B" w:themeColor="accent3" w:themeShade="BF"/>
          <w:sz w:val="22"/>
          <w:szCs w:val="22"/>
          <w:lang w:val="en-GB"/>
        </w:rPr>
        <w:t>the Cayman Islands could not be the COMI for the Cayman-</w:t>
      </w:r>
      <w:r w:rsidR="00C7408D">
        <w:rPr>
          <w:rFonts w:ascii="Arial" w:hAnsi="Arial" w:cs="Arial"/>
          <w:color w:val="7B7B7B" w:themeColor="accent3" w:themeShade="BF"/>
          <w:sz w:val="22"/>
          <w:szCs w:val="22"/>
          <w:lang w:val="en-GB"/>
        </w:rPr>
        <w:t>Islands hedge fund due to its licensing which made it exempt from operations in the Cayman Islands.</w:t>
      </w:r>
      <w:r w:rsidR="006B48E3">
        <w:rPr>
          <w:rFonts w:ascii="Arial" w:hAnsi="Arial" w:cs="Arial"/>
          <w:color w:val="7B7B7B" w:themeColor="accent3" w:themeShade="BF"/>
          <w:sz w:val="22"/>
          <w:szCs w:val="22"/>
          <w:lang w:val="en-GB"/>
        </w:rPr>
        <w:t xml:space="preserve">  This, although its registered office </w:t>
      </w:r>
      <w:proofErr w:type="gramStart"/>
      <w:r w:rsidR="006B48E3">
        <w:rPr>
          <w:rFonts w:ascii="Arial" w:hAnsi="Arial" w:cs="Arial"/>
          <w:color w:val="7B7B7B" w:themeColor="accent3" w:themeShade="BF"/>
          <w:sz w:val="22"/>
          <w:szCs w:val="22"/>
          <w:lang w:val="en-GB"/>
        </w:rPr>
        <w:t>was located in</w:t>
      </w:r>
      <w:proofErr w:type="gramEnd"/>
      <w:r w:rsidR="006B48E3">
        <w:rPr>
          <w:rFonts w:ascii="Arial" w:hAnsi="Arial" w:cs="Arial"/>
          <w:color w:val="7B7B7B" w:themeColor="accent3" w:themeShade="BF"/>
          <w:sz w:val="22"/>
          <w:szCs w:val="22"/>
          <w:lang w:val="en-GB"/>
        </w:rPr>
        <w:t xml:space="preserve"> the Cayman Islands.  The company had neither employees nor managers in the Cayman Islands.  B</w:t>
      </w:r>
      <w:proofErr w:type="spellStart"/>
      <w:r w:rsidR="006B48E3" w:rsidRPr="006B48E3">
        <w:rPr>
          <w:rFonts w:ascii="Arial" w:hAnsi="Arial" w:cs="Arial"/>
          <w:color w:val="7B7B7B" w:themeColor="accent3" w:themeShade="BF"/>
          <w:sz w:val="22"/>
          <w:szCs w:val="22"/>
        </w:rPr>
        <w:t>oth</w:t>
      </w:r>
      <w:proofErr w:type="spellEnd"/>
      <w:r w:rsidR="006B48E3" w:rsidRPr="006B48E3">
        <w:rPr>
          <w:rFonts w:ascii="Arial" w:hAnsi="Arial" w:cs="Arial"/>
          <w:color w:val="7B7B7B" w:themeColor="accent3" w:themeShade="BF"/>
          <w:sz w:val="22"/>
          <w:szCs w:val="22"/>
        </w:rPr>
        <w:t xml:space="preserve"> its investment manager and administrator were based in the U</w:t>
      </w:r>
      <w:r w:rsidR="006B48E3">
        <w:rPr>
          <w:rFonts w:ascii="Arial" w:hAnsi="Arial" w:cs="Arial"/>
          <w:color w:val="7B7B7B" w:themeColor="accent3" w:themeShade="BF"/>
          <w:sz w:val="22"/>
          <w:szCs w:val="22"/>
        </w:rPr>
        <w:t>S</w:t>
      </w:r>
      <w:r w:rsidR="006B48E3" w:rsidRPr="006B48E3">
        <w:rPr>
          <w:rFonts w:ascii="Arial" w:hAnsi="Arial" w:cs="Arial"/>
          <w:color w:val="7B7B7B" w:themeColor="accent3" w:themeShade="BF"/>
          <w:sz w:val="22"/>
          <w:szCs w:val="22"/>
        </w:rPr>
        <w:t xml:space="preserve">, along with its books and records, and </w:t>
      </w:r>
      <w:proofErr w:type="gramStart"/>
      <w:r w:rsidR="006B48E3" w:rsidRPr="006B48E3">
        <w:rPr>
          <w:rFonts w:ascii="Arial" w:hAnsi="Arial" w:cs="Arial"/>
          <w:color w:val="7B7B7B" w:themeColor="accent3" w:themeShade="BF"/>
          <w:sz w:val="22"/>
          <w:szCs w:val="22"/>
        </w:rPr>
        <w:t>all of</w:t>
      </w:r>
      <w:proofErr w:type="gramEnd"/>
      <w:r w:rsidR="006B48E3" w:rsidRPr="006B48E3">
        <w:rPr>
          <w:rFonts w:ascii="Arial" w:hAnsi="Arial" w:cs="Arial"/>
          <w:color w:val="7B7B7B" w:themeColor="accent3" w:themeShade="BF"/>
          <w:sz w:val="22"/>
          <w:szCs w:val="22"/>
        </w:rPr>
        <w:t xml:space="preserve"> the company’s liquid assets</w:t>
      </w:r>
      <w:r w:rsidR="006B48E3">
        <w:rPr>
          <w:rFonts w:ascii="Arial" w:hAnsi="Arial" w:cs="Arial"/>
          <w:color w:val="7B7B7B" w:themeColor="accent3" w:themeShade="BF"/>
          <w:sz w:val="22"/>
          <w:szCs w:val="22"/>
          <w:lang w:val="en-GB"/>
        </w:rPr>
        <w:t xml:space="preserve">.  For all these reasons </w:t>
      </w:r>
      <w:r w:rsidR="00C7408D">
        <w:rPr>
          <w:rFonts w:ascii="Arial" w:hAnsi="Arial" w:cs="Arial"/>
          <w:color w:val="7B7B7B" w:themeColor="accent3" w:themeShade="BF"/>
          <w:sz w:val="22"/>
          <w:szCs w:val="22"/>
          <w:lang w:val="en-GB"/>
        </w:rPr>
        <w:t>the Cayman liquidation could not be recognized as a foreign</w:t>
      </w:r>
      <w:r w:rsidR="006B48E3">
        <w:rPr>
          <w:rFonts w:ascii="Arial" w:hAnsi="Arial" w:cs="Arial"/>
          <w:color w:val="7B7B7B" w:themeColor="accent3" w:themeShade="BF"/>
          <w:sz w:val="22"/>
          <w:szCs w:val="22"/>
          <w:lang w:val="en-GB"/>
        </w:rPr>
        <w:t xml:space="preserve"> main proceeding</w:t>
      </w:r>
      <w:r w:rsidR="00C7408D">
        <w:rPr>
          <w:rFonts w:ascii="Arial" w:hAnsi="Arial" w:cs="Arial"/>
          <w:color w:val="7B7B7B" w:themeColor="accent3" w:themeShade="BF"/>
          <w:sz w:val="22"/>
          <w:szCs w:val="22"/>
          <w:lang w:val="en-GB"/>
        </w:rPr>
        <w:t xml:space="preserve">.  </w:t>
      </w:r>
    </w:p>
    <w:p w14:paraId="3EAEDF47" w14:textId="19B036FD" w:rsidR="00F175E4" w:rsidRPr="00F175E4" w:rsidRDefault="00F175E4" w:rsidP="008515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w:t>
      </w:r>
      <w:r>
        <w:rPr>
          <w:rFonts w:ascii="Arial" w:hAnsi="Arial" w:cs="Arial"/>
          <w:i/>
          <w:iCs/>
          <w:color w:val="7B7B7B" w:themeColor="accent3" w:themeShade="BF"/>
          <w:sz w:val="22"/>
          <w:szCs w:val="22"/>
          <w:lang w:val="en-GB"/>
        </w:rPr>
        <w:t xml:space="preserve">Bear Sterns </w:t>
      </w:r>
      <w:r>
        <w:rPr>
          <w:rFonts w:ascii="Arial" w:hAnsi="Arial" w:cs="Arial"/>
          <w:color w:val="7B7B7B" w:themeColor="accent3" w:themeShade="BF"/>
          <w:sz w:val="22"/>
          <w:szCs w:val="22"/>
          <w:lang w:val="en-GB"/>
        </w:rPr>
        <w:t>decision, US Courts lean in favour of assessing COMI as at the date of the petition filed, and not the commencement of foreign proceedings.</w:t>
      </w:r>
    </w:p>
    <w:p w14:paraId="5E9B5F8C" w14:textId="09AD602B" w:rsidR="00951B1E" w:rsidRDefault="00951B1E" w:rsidP="00851519">
      <w:pPr>
        <w:jc w:val="both"/>
        <w:rPr>
          <w:rFonts w:ascii="Arial" w:hAnsi="Arial" w:cs="Arial"/>
          <w:color w:val="7B7B7B" w:themeColor="accent3" w:themeShade="BF"/>
          <w:sz w:val="22"/>
          <w:szCs w:val="22"/>
          <w:lang w:val="en-GB"/>
        </w:rPr>
      </w:pPr>
    </w:p>
    <w:p w14:paraId="798FB7C9" w14:textId="77777777" w:rsidR="00951B1E" w:rsidRPr="00951B1E" w:rsidRDefault="00951B1E" w:rsidP="00951B1E">
      <w:pPr>
        <w:jc w:val="both"/>
        <w:rPr>
          <w:rFonts w:ascii="Arial" w:hAnsi="Arial" w:cs="Arial"/>
          <w:color w:val="7B7B7B" w:themeColor="accent3" w:themeShade="BF"/>
          <w:sz w:val="22"/>
          <w:szCs w:val="22"/>
          <w:lang w:val="en-GB"/>
        </w:rPr>
      </w:pPr>
    </w:p>
    <w:p w14:paraId="7AD5F5FB" w14:textId="77777777" w:rsidR="00534DA2" w:rsidRDefault="00534DA2" w:rsidP="00851519">
      <w:pPr>
        <w:jc w:val="both"/>
        <w:rPr>
          <w:rFonts w:ascii="Arial" w:hAnsi="Arial" w:cs="Arial"/>
          <w:color w:val="7B7B7B" w:themeColor="accent3" w:themeShade="BF"/>
          <w:sz w:val="22"/>
          <w:szCs w:val="22"/>
          <w:lang w:val="en-GB"/>
        </w:rPr>
      </w:pPr>
    </w:p>
    <w:p w14:paraId="14B4FC3C" w14:textId="348F92D2" w:rsidR="00534DA2" w:rsidRDefault="00534DA2" w:rsidP="00851519">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APPLICATION OF THE LAW TO THE FACTS:</w:t>
      </w:r>
    </w:p>
    <w:p w14:paraId="03005B4F" w14:textId="3FBB9115" w:rsidR="00534DA2" w:rsidRDefault="00534DA2" w:rsidP="00851519">
      <w:pPr>
        <w:jc w:val="both"/>
        <w:rPr>
          <w:rFonts w:ascii="Arial" w:hAnsi="Arial" w:cs="Arial"/>
          <w:color w:val="7B7B7B" w:themeColor="accent3" w:themeShade="BF"/>
          <w:sz w:val="22"/>
          <w:szCs w:val="22"/>
          <w:u w:val="single"/>
          <w:lang w:val="en-GB"/>
        </w:rPr>
      </w:pPr>
    </w:p>
    <w:p w14:paraId="19B9B2FE" w14:textId="497566C9" w:rsidR="00534DA2" w:rsidRDefault="00534DA2" w:rsidP="008515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Gambling Corporation </w:t>
      </w:r>
      <w:r w:rsidR="008A5D7C">
        <w:rPr>
          <w:rFonts w:ascii="Arial" w:hAnsi="Arial" w:cs="Arial"/>
          <w:color w:val="7B7B7B" w:themeColor="accent3" w:themeShade="BF"/>
          <w:sz w:val="22"/>
          <w:szCs w:val="22"/>
          <w:lang w:val="en-GB"/>
        </w:rPr>
        <w:t xml:space="preserve">is </w:t>
      </w:r>
      <w:r w:rsidR="00046A1C">
        <w:rPr>
          <w:rFonts w:ascii="Arial" w:hAnsi="Arial" w:cs="Arial"/>
          <w:color w:val="7B7B7B" w:themeColor="accent3" w:themeShade="BF"/>
          <w:sz w:val="22"/>
          <w:szCs w:val="22"/>
          <w:lang w:val="en-GB"/>
        </w:rPr>
        <w:t>incorporat</w:t>
      </w:r>
      <w:r w:rsidR="008A5D7C">
        <w:rPr>
          <w:rFonts w:ascii="Arial" w:hAnsi="Arial" w:cs="Arial"/>
          <w:color w:val="7B7B7B" w:themeColor="accent3" w:themeShade="BF"/>
          <w:sz w:val="22"/>
          <w:szCs w:val="22"/>
          <w:lang w:val="en-GB"/>
        </w:rPr>
        <w:t>ed</w:t>
      </w:r>
      <w:r w:rsidR="00046A1C">
        <w:rPr>
          <w:rFonts w:ascii="Arial" w:hAnsi="Arial" w:cs="Arial"/>
          <w:color w:val="7B7B7B" w:themeColor="accent3" w:themeShade="BF"/>
          <w:sz w:val="22"/>
          <w:szCs w:val="22"/>
          <w:lang w:val="en-GB"/>
        </w:rPr>
        <w:t xml:space="preserve"> and</w:t>
      </w:r>
      <w:r w:rsidR="008A5D7C">
        <w:rPr>
          <w:rFonts w:ascii="Arial" w:hAnsi="Arial" w:cs="Arial"/>
          <w:color w:val="7B7B7B" w:themeColor="accent3" w:themeShade="BF"/>
          <w:sz w:val="22"/>
          <w:szCs w:val="22"/>
          <w:lang w:val="en-GB"/>
        </w:rPr>
        <w:t xml:space="preserve"> has its</w:t>
      </w:r>
      <w:r w:rsidR="00046A1C">
        <w:rPr>
          <w:rFonts w:ascii="Arial" w:hAnsi="Arial" w:cs="Arial"/>
          <w:color w:val="7B7B7B" w:themeColor="accent3" w:themeShade="BF"/>
          <w:sz w:val="22"/>
          <w:szCs w:val="22"/>
          <w:lang w:val="en-GB"/>
        </w:rPr>
        <w:t xml:space="preserve"> principal place of business </w:t>
      </w:r>
      <w:r>
        <w:rPr>
          <w:rFonts w:ascii="Arial" w:hAnsi="Arial" w:cs="Arial"/>
          <w:color w:val="7B7B7B" w:themeColor="accent3" w:themeShade="BF"/>
          <w:sz w:val="22"/>
          <w:szCs w:val="22"/>
          <w:lang w:val="en-GB"/>
        </w:rPr>
        <w:t>in Greece</w:t>
      </w:r>
      <w:r w:rsidR="008A5D7C">
        <w:rPr>
          <w:rFonts w:ascii="Arial" w:hAnsi="Arial" w:cs="Arial"/>
          <w:color w:val="7B7B7B" w:themeColor="accent3" w:themeShade="BF"/>
          <w:sz w:val="22"/>
          <w:szCs w:val="22"/>
          <w:lang w:val="en-GB"/>
        </w:rPr>
        <w:t xml:space="preserve">.  </w:t>
      </w:r>
      <w:r w:rsidR="00E232AE">
        <w:rPr>
          <w:rFonts w:ascii="Arial" w:hAnsi="Arial" w:cs="Arial"/>
          <w:color w:val="7B7B7B" w:themeColor="accent3" w:themeShade="BF"/>
          <w:sz w:val="22"/>
          <w:szCs w:val="22"/>
          <w:lang w:val="en-GB"/>
        </w:rPr>
        <w:t xml:space="preserve">Applying </w:t>
      </w:r>
      <w:r w:rsidR="00E232AE" w:rsidRPr="00E232AE">
        <w:rPr>
          <w:rFonts w:ascii="Arial" w:hAnsi="Arial" w:cs="Arial"/>
          <w:i/>
          <w:iCs/>
          <w:color w:val="7B7B7B" w:themeColor="accent3" w:themeShade="BF"/>
          <w:sz w:val="22"/>
          <w:szCs w:val="22"/>
          <w:lang w:val="en-GB"/>
        </w:rPr>
        <w:t>Tri-Continental Exchange Limited</w:t>
      </w:r>
      <w:r w:rsidR="00E232AE">
        <w:rPr>
          <w:rFonts w:ascii="Arial" w:hAnsi="Arial" w:cs="Arial"/>
          <w:color w:val="7B7B7B" w:themeColor="accent3" w:themeShade="BF"/>
          <w:sz w:val="22"/>
          <w:szCs w:val="22"/>
          <w:lang w:val="en-GB"/>
        </w:rPr>
        <w:t>, i</w:t>
      </w:r>
      <w:r w:rsidR="008A5D7C">
        <w:rPr>
          <w:rFonts w:ascii="Arial" w:hAnsi="Arial" w:cs="Arial"/>
          <w:color w:val="7B7B7B" w:themeColor="accent3" w:themeShade="BF"/>
          <w:sz w:val="22"/>
          <w:szCs w:val="22"/>
          <w:lang w:val="en-GB"/>
        </w:rPr>
        <w:t>t may be inferred absent evidence to the contrary that this is where its headquarters are and its management rests.  If so, Gambling Corporation</w:t>
      </w:r>
      <w:r>
        <w:rPr>
          <w:rFonts w:ascii="Arial" w:hAnsi="Arial" w:cs="Arial"/>
          <w:color w:val="7B7B7B" w:themeColor="accent3" w:themeShade="BF"/>
          <w:sz w:val="22"/>
          <w:szCs w:val="22"/>
          <w:lang w:val="en-GB"/>
        </w:rPr>
        <w:t xml:space="preserve"> </w:t>
      </w:r>
      <w:r w:rsidR="00E26065">
        <w:rPr>
          <w:rFonts w:ascii="Arial" w:hAnsi="Arial" w:cs="Arial"/>
          <w:color w:val="7B7B7B" w:themeColor="accent3" w:themeShade="BF"/>
          <w:sz w:val="22"/>
          <w:szCs w:val="22"/>
          <w:lang w:val="en-GB"/>
        </w:rPr>
        <w:t>satisfies the presumption that the company’s COMI is Greece</w:t>
      </w:r>
      <w:r w:rsidR="008C355B">
        <w:rPr>
          <w:rFonts w:ascii="Arial" w:hAnsi="Arial" w:cs="Arial"/>
          <w:color w:val="7B7B7B" w:themeColor="accent3" w:themeShade="BF"/>
          <w:sz w:val="22"/>
          <w:szCs w:val="22"/>
          <w:lang w:val="en-GB"/>
        </w:rPr>
        <w:t xml:space="preserve"> and the place at which the main proceeding should be opened.</w:t>
      </w:r>
      <w:r w:rsidR="008A5D7C">
        <w:rPr>
          <w:rFonts w:ascii="Arial" w:hAnsi="Arial" w:cs="Arial"/>
          <w:color w:val="7B7B7B" w:themeColor="accent3" w:themeShade="BF"/>
          <w:sz w:val="22"/>
          <w:szCs w:val="22"/>
          <w:lang w:val="en-GB"/>
        </w:rPr>
        <w:t xml:space="preserve"> </w:t>
      </w:r>
    </w:p>
    <w:p w14:paraId="45B64F4D" w14:textId="7E0D166F" w:rsidR="008A5D7C" w:rsidRDefault="008A5D7C" w:rsidP="00851519">
      <w:pPr>
        <w:jc w:val="both"/>
        <w:rPr>
          <w:rFonts w:ascii="Arial" w:hAnsi="Arial" w:cs="Arial"/>
          <w:color w:val="7B7B7B" w:themeColor="accent3" w:themeShade="BF"/>
          <w:sz w:val="22"/>
          <w:szCs w:val="22"/>
          <w:lang w:val="en-GB"/>
        </w:rPr>
      </w:pPr>
    </w:p>
    <w:p w14:paraId="5D21665B" w14:textId="39D8E170" w:rsidR="00052F83" w:rsidRDefault="00052F83" w:rsidP="008515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8C355B">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w:t>
      </w:r>
      <w:r w:rsidR="008A5D7C">
        <w:rPr>
          <w:rFonts w:ascii="Arial" w:hAnsi="Arial" w:cs="Arial"/>
          <w:color w:val="7B7B7B" w:themeColor="accent3" w:themeShade="BF"/>
          <w:sz w:val="22"/>
          <w:szCs w:val="22"/>
          <w:lang w:val="en-GB"/>
        </w:rPr>
        <w:t xml:space="preserve">fact of </w:t>
      </w:r>
      <w:r>
        <w:rPr>
          <w:rFonts w:ascii="Arial" w:hAnsi="Arial" w:cs="Arial"/>
          <w:color w:val="7B7B7B" w:themeColor="accent3" w:themeShade="BF"/>
          <w:sz w:val="22"/>
          <w:szCs w:val="22"/>
          <w:lang w:val="en-GB"/>
        </w:rPr>
        <w:t xml:space="preserve">an operation in Las Vegas leads to the reasonable inference that there is property within the jurisdiction of the USA that would </w:t>
      </w:r>
      <w:proofErr w:type="gramStart"/>
      <w:r>
        <w:rPr>
          <w:rFonts w:ascii="Arial" w:hAnsi="Arial" w:cs="Arial"/>
          <w:color w:val="7B7B7B" w:themeColor="accent3" w:themeShade="BF"/>
          <w:sz w:val="22"/>
          <w:szCs w:val="22"/>
          <w:lang w:val="en-GB"/>
        </w:rPr>
        <w:t>found</w:t>
      </w:r>
      <w:proofErr w:type="gramEnd"/>
      <w:r>
        <w:rPr>
          <w:rFonts w:ascii="Arial" w:hAnsi="Arial" w:cs="Arial"/>
          <w:color w:val="7B7B7B" w:themeColor="accent3" w:themeShade="BF"/>
          <w:sz w:val="22"/>
          <w:szCs w:val="22"/>
          <w:lang w:val="en-GB"/>
        </w:rPr>
        <w:t xml:space="preserve"> an application for recognition of a foreign proceeding.  </w:t>
      </w:r>
    </w:p>
    <w:p w14:paraId="14F59B58" w14:textId="0F96CD34" w:rsidR="008C355B" w:rsidRDefault="008C355B" w:rsidP="008515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But </w:t>
      </w:r>
      <w:r w:rsidRPr="008C355B">
        <w:rPr>
          <w:rFonts w:ascii="Arial" w:hAnsi="Arial" w:cs="Arial"/>
          <w:color w:val="7B7B7B" w:themeColor="accent3" w:themeShade="BF"/>
          <w:sz w:val="22"/>
          <w:szCs w:val="22"/>
          <w:lang w:val="en-GB"/>
        </w:rPr>
        <w:t xml:space="preserve">Gambling Corporation’s primary assets are English bonds which </w:t>
      </w:r>
      <w:proofErr w:type="gramStart"/>
      <w:r w:rsidRPr="008C355B">
        <w:rPr>
          <w:rFonts w:ascii="Arial" w:hAnsi="Arial" w:cs="Arial"/>
          <w:color w:val="7B7B7B" w:themeColor="accent3" w:themeShade="BF"/>
          <w:sz w:val="22"/>
          <w:szCs w:val="22"/>
          <w:lang w:val="en-GB"/>
        </w:rPr>
        <w:t>are in need of</w:t>
      </w:r>
      <w:proofErr w:type="gramEnd"/>
      <w:r w:rsidRPr="008C355B">
        <w:rPr>
          <w:rFonts w:ascii="Arial" w:hAnsi="Arial" w:cs="Arial"/>
          <w:color w:val="7B7B7B" w:themeColor="accent3" w:themeShade="BF"/>
          <w:sz w:val="22"/>
          <w:szCs w:val="22"/>
          <w:lang w:val="en-GB"/>
        </w:rPr>
        <w:t xml:space="preserve"> post-commencement finance.</w:t>
      </w:r>
      <w:r w:rsidR="00230697">
        <w:rPr>
          <w:rFonts w:ascii="Arial" w:hAnsi="Arial" w:cs="Arial"/>
          <w:color w:val="7B7B7B" w:themeColor="accent3" w:themeShade="BF"/>
          <w:sz w:val="22"/>
          <w:szCs w:val="22"/>
          <w:lang w:val="en-GB"/>
        </w:rPr>
        <w:t xml:space="preserve">  </w:t>
      </w:r>
    </w:p>
    <w:p w14:paraId="038A711B" w14:textId="77777777" w:rsidR="00230697" w:rsidRDefault="008A5D7C" w:rsidP="008515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8C355B">
        <w:rPr>
          <w:rFonts w:ascii="Arial" w:hAnsi="Arial" w:cs="Arial"/>
          <w:color w:val="7B7B7B" w:themeColor="accent3" w:themeShade="BF"/>
          <w:sz w:val="22"/>
          <w:szCs w:val="22"/>
          <w:lang w:val="en-GB"/>
        </w:rPr>
        <w:t>ese</w:t>
      </w:r>
      <w:r>
        <w:rPr>
          <w:rFonts w:ascii="Arial" w:hAnsi="Arial" w:cs="Arial"/>
          <w:color w:val="7B7B7B" w:themeColor="accent3" w:themeShade="BF"/>
          <w:sz w:val="22"/>
          <w:szCs w:val="22"/>
          <w:lang w:val="en-GB"/>
        </w:rPr>
        <w:t xml:space="preserve"> fact</w:t>
      </w:r>
      <w:r w:rsidR="008C355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would be attractive to a debtor who </w:t>
      </w:r>
      <w:r w:rsidR="00E232AE">
        <w:rPr>
          <w:rFonts w:ascii="Arial" w:hAnsi="Arial" w:cs="Arial"/>
          <w:color w:val="7B7B7B" w:themeColor="accent3" w:themeShade="BF"/>
          <w:sz w:val="22"/>
          <w:szCs w:val="22"/>
          <w:lang w:val="en-GB"/>
        </w:rPr>
        <w:t>desires to</w:t>
      </w:r>
      <w:r>
        <w:rPr>
          <w:rFonts w:ascii="Arial" w:hAnsi="Arial" w:cs="Arial"/>
          <w:color w:val="7B7B7B" w:themeColor="accent3" w:themeShade="BF"/>
          <w:sz w:val="22"/>
          <w:szCs w:val="22"/>
          <w:lang w:val="en-GB"/>
        </w:rPr>
        <w:t xml:space="preserve"> found jurisdiction </w:t>
      </w:r>
      <w:r w:rsidR="00052F83">
        <w:rPr>
          <w:rFonts w:ascii="Arial" w:hAnsi="Arial" w:cs="Arial"/>
          <w:color w:val="7B7B7B" w:themeColor="accent3" w:themeShade="BF"/>
          <w:sz w:val="22"/>
          <w:szCs w:val="22"/>
          <w:lang w:val="en-GB"/>
        </w:rPr>
        <w:t xml:space="preserve">for the recognition of a </w:t>
      </w:r>
      <w:r w:rsidR="00052F83" w:rsidRPr="008C355B">
        <w:rPr>
          <w:rFonts w:ascii="Arial" w:hAnsi="Arial" w:cs="Arial"/>
          <w:i/>
          <w:iCs/>
          <w:color w:val="7B7B7B" w:themeColor="accent3" w:themeShade="BF"/>
          <w:sz w:val="22"/>
          <w:szCs w:val="22"/>
          <w:lang w:val="en-GB"/>
        </w:rPr>
        <w:t>main</w:t>
      </w:r>
      <w:r w:rsidR="00052F83">
        <w:rPr>
          <w:rFonts w:ascii="Arial" w:hAnsi="Arial" w:cs="Arial"/>
          <w:color w:val="7B7B7B" w:themeColor="accent3" w:themeShade="BF"/>
          <w:sz w:val="22"/>
          <w:szCs w:val="22"/>
          <w:lang w:val="en-GB"/>
        </w:rPr>
        <w:t xml:space="preserve"> proceeding </w:t>
      </w:r>
      <w:r>
        <w:rPr>
          <w:rFonts w:ascii="Arial" w:hAnsi="Arial" w:cs="Arial"/>
          <w:color w:val="7B7B7B" w:themeColor="accent3" w:themeShade="BF"/>
          <w:sz w:val="22"/>
          <w:szCs w:val="22"/>
          <w:lang w:val="en-GB"/>
        </w:rPr>
        <w:t>where the law may be most suited to it</w:t>
      </w:r>
      <w:r w:rsidR="00E232AE">
        <w:rPr>
          <w:rFonts w:ascii="Arial" w:hAnsi="Arial" w:cs="Arial"/>
          <w:color w:val="7B7B7B" w:themeColor="accent3" w:themeShade="BF"/>
          <w:sz w:val="22"/>
          <w:szCs w:val="22"/>
          <w:lang w:val="en-GB"/>
        </w:rPr>
        <w:t xml:space="preserve">.  </w:t>
      </w:r>
    </w:p>
    <w:p w14:paraId="57229BE1" w14:textId="42DC29FD" w:rsidR="008A5D7C" w:rsidRDefault="00230697" w:rsidP="008515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a</w:t>
      </w:r>
      <w:r w:rsidRPr="00230697">
        <w:rPr>
          <w:rFonts w:ascii="Arial" w:hAnsi="Arial" w:cs="Arial"/>
          <w:color w:val="7B7B7B" w:themeColor="accent3" w:themeShade="BF"/>
          <w:sz w:val="22"/>
          <w:szCs w:val="22"/>
          <w:lang w:val="en-GB"/>
        </w:rPr>
        <w:t xml:space="preserve">pplying the </w:t>
      </w:r>
      <w:r w:rsidRPr="00230697">
        <w:rPr>
          <w:rFonts w:ascii="Arial" w:hAnsi="Arial" w:cs="Arial"/>
          <w:i/>
          <w:iCs/>
          <w:color w:val="7B7B7B" w:themeColor="accent3" w:themeShade="BF"/>
          <w:sz w:val="22"/>
          <w:szCs w:val="22"/>
          <w:lang w:val="en-GB"/>
        </w:rPr>
        <w:t>Bear Sterns</w:t>
      </w:r>
      <w:r w:rsidRPr="00230697">
        <w:rPr>
          <w:rFonts w:ascii="Arial" w:hAnsi="Arial" w:cs="Arial"/>
          <w:color w:val="7B7B7B" w:themeColor="accent3" w:themeShade="BF"/>
          <w:sz w:val="22"/>
          <w:szCs w:val="22"/>
          <w:lang w:val="en-GB"/>
        </w:rPr>
        <w:t xml:space="preserve"> decision on th</w:t>
      </w:r>
      <w:r>
        <w:rPr>
          <w:rFonts w:ascii="Arial" w:hAnsi="Arial" w:cs="Arial"/>
          <w:color w:val="7B7B7B" w:themeColor="accent3" w:themeShade="BF"/>
          <w:sz w:val="22"/>
          <w:szCs w:val="22"/>
          <w:lang w:val="en-GB"/>
        </w:rPr>
        <w:t>e</w:t>
      </w:r>
      <w:r w:rsidRPr="00230697">
        <w:rPr>
          <w:rFonts w:ascii="Arial" w:hAnsi="Arial" w:cs="Arial"/>
          <w:color w:val="7B7B7B" w:themeColor="accent3" w:themeShade="BF"/>
          <w:sz w:val="22"/>
          <w:szCs w:val="22"/>
          <w:lang w:val="en-GB"/>
        </w:rPr>
        <w:t xml:space="preserve"> point</w:t>
      </w:r>
      <w:r>
        <w:rPr>
          <w:rFonts w:ascii="Arial" w:hAnsi="Arial" w:cs="Arial"/>
          <w:color w:val="7B7B7B" w:themeColor="accent3" w:themeShade="BF"/>
          <w:sz w:val="22"/>
          <w:szCs w:val="22"/>
          <w:lang w:val="en-GB"/>
        </w:rPr>
        <w:t xml:space="preserve"> of primary assets</w:t>
      </w:r>
      <w:r w:rsidRPr="00230697">
        <w:rPr>
          <w:rFonts w:ascii="Arial" w:hAnsi="Arial" w:cs="Arial"/>
          <w:color w:val="7B7B7B" w:themeColor="accent3" w:themeShade="BF"/>
          <w:sz w:val="22"/>
          <w:szCs w:val="22"/>
          <w:lang w:val="en-GB"/>
        </w:rPr>
        <w:t xml:space="preserve"> alone </w:t>
      </w:r>
      <w:r w:rsidR="00787054">
        <w:rPr>
          <w:rFonts w:ascii="Arial" w:hAnsi="Arial" w:cs="Arial"/>
          <w:color w:val="7B7B7B" w:themeColor="accent3" w:themeShade="BF"/>
          <w:sz w:val="22"/>
          <w:szCs w:val="22"/>
          <w:lang w:val="en-GB"/>
        </w:rPr>
        <w:t>c</w:t>
      </w:r>
      <w:r w:rsidRPr="00230697">
        <w:rPr>
          <w:rFonts w:ascii="Arial" w:hAnsi="Arial" w:cs="Arial"/>
          <w:color w:val="7B7B7B" w:themeColor="accent3" w:themeShade="BF"/>
          <w:sz w:val="22"/>
          <w:szCs w:val="22"/>
          <w:lang w:val="en-GB"/>
        </w:rPr>
        <w:t>ould</w:t>
      </w:r>
      <w:r w:rsidR="00787054">
        <w:rPr>
          <w:rFonts w:ascii="Arial" w:hAnsi="Arial" w:cs="Arial"/>
          <w:color w:val="7B7B7B" w:themeColor="accent3" w:themeShade="BF"/>
          <w:sz w:val="22"/>
          <w:szCs w:val="22"/>
          <w:lang w:val="en-GB"/>
        </w:rPr>
        <w:t xml:space="preserve"> also</w:t>
      </w:r>
      <w:r w:rsidRPr="00230697">
        <w:rPr>
          <w:rFonts w:ascii="Arial" w:hAnsi="Arial" w:cs="Arial"/>
          <w:color w:val="7B7B7B" w:themeColor="accent3" w:themeShade="BF"/>
          <w:sz w:val="22"/>
          <w:szCs w:val="22"/>
          <w:lang w:val="en-GB"/>
        </w:rPr>
        <w:t xml:space="preserve"> mean that </w:t>
      </w:r>
      <w:r>
        <w:rPr>
          <w:rFonts w:ascii="Arial" w:hAnsi="Arial" w:cs="Arial"/>
          <w:color w:val="7B7B7B" w:themeColor="accent3" w:themeShade="BF"/>
          <w:sz w:val="22"/>
          <w:szCs w:val="22"/>
          <w:lang w:val="en-GB"/>
        </w:rPr>
        <w:t xml:space="preserve">the Courts of the US would recognize England as the jurisdiction of the main proceeding. </w:t>
      </w:r>
    </w:p>
    <w:p w14:paraId="1343A18F" w14:textId="77777777" w:rsidR="0023168C" w:rsidRDefault="0023168C" w:rsidP="00851519">
      <w:pPr>
        <w:jc w:val="both"/>
        <w:rPr>
          <w:rFonts w:ascii="Arial" w:hAnsi="Arial" w:cs="Arial"/>
          <w:color w:val="7B7B7B" w:themeColor="accent3" w:themeShade="BF"/>
          <w:sz w:val="22"/>
          <w:szCs w:val="22"/>
          <w:lang w:val="en-GB"/>
        </w:rPr>
      </w:pPr>
    </w:p>
    <w:p w14:paraId="6BC01EF3" w14:textId="77777777" w:rsidR="0031256D" w:rsidRDefault="0023168C" w:rsidP="008515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view of the above, the answer as to whether the US Courts should recognize the English Scheme of Arrangement as a Main proceeding will depend on the law which is most suited to its application.  Practically, the English Scheme of Arrangement may be a convenient </w:t>
      </w:r>
      <w:r w:rsidR="00584F96">
        <w:rPr>
          <w:rFonts w:ascii="Arial" w:hAnsi="Arial" w:cs="Arial"/>
          <w:i/>
          <w:iCs/>
          <w:color w:val="7B7B7B" w:themeColor="accent3" w:themeShade="BF"/>
          <w:sz w:val="22"/>
          <w:szCs w:val="22"/>
          <w:lang w:val="en-GB"/>
        </w:rPr>
        <w:t xml:space="preserve">locus </w:t>
      </w:r>
      <w:r w:rsidR="00584F96">
        <w:rPr>
          <w:rFonts w:ascii="Arial" w:hAnsi="Arial" w:cs="Arial"/>
          <w:color w:val="7B7B7B" w:themeColor="accent3" w:themeShade="BF"/>
          <w:sz w:val="22"/>
          <w:szCs w:val="22"/>
          <w:lang w:val="en-GB"/>
        </w:rPr>
        <w:t>for the disposal</w:t>
      </w:r>
      <w:r>
        <w:rPr>
          <w:rFonts w:ascii="Arial" w:hAnsi="Arial" w:cs="Arial"/>
          <w:color w:val="7B7B7B" w:themeColor="accent3" w:themeShade="BF"/>
          <w:sz w:val="22"/>
          <w:szCs w:val="22"/>
          <w:lang w:val="en-GB"/>
        </w:rPr>
        <w:t xml:space="preserve"> of the bankruptcy </w:t>
      </w:r>
      <w:r w:rsidR="00584F96">
        <w:rPr>
          <w:rFonts w:ascii="Arial" w:hAnsi="Arial" w:cs="Arial"/>
          <w:color w:val="7B7B7B" w:themeColor="accent3" w:themeShade="BF"/>
          <w:sz w:val="22"/>
          <w:szCs w:val="22"/>
          <w:lang w:val="en-GB"/>
        </w:rPr>
        <w:t xml:space="preserve">for all parties concerned.  </w:t>
      </w:r>
    </w:p>
    <w:p w14:paraId="4046BA88" w14:textId="118D1089" w:rsidR="002C4360" w:rsidRDefault="00584F96" w:rsidP="008515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BF2F3FF" w14:textId="728760EA" w:rsidR="002C4360" w:rsidRDefault="002C4360" w:rsidP="00851519">
      <w:pPr>
        <w:jc w:val="both"/>
        <w:rPr>
          <w:rFonts w:ascii="Arial" w:hAnsi="Arial" w:cs="Arial"/>
          <w:color w:val="7B7B7B" w:themeColor="accent3" w:themeShade="BF"/>
          <w:sz w:val="22"/>
          <w:szCs w:val="22"/>
          <w:lang w:val="en-GB"/>
        </w:rPr>
      </w:pPr>
    </w:p>
    <w:p w14:paraId="5D59D195" w14:textId="77777777" w:rsidR="00323167" w:rsidRPr="00323167" w:rsidRDefault="00323167" w:rsidP="00323167">
      <w:pPr>
        <w:pStyle w:val="AODocTxt"/>
        <w:spacing w:before="0" w:line="240" w:lineRule="auto"/>
        <w:rPr>
          <w:rFonts w:ascii="Arial" w:hAnsi="Arial" w:cs="Arial"/>
        </w:rPr>
      </w:pPr>
      <w:r w:rsidRPr="00667496">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lastRenderedPageBreak/>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 xml:space="preserve">a </w:t>
      </w:r>
      <w:r w:rsidRPr="000E0957">
        <w:rPr>
          <w:rFonts w:ascii="Arial" w:hAnsi="Arial" w:cs="Arial"/>
        </w:rPr>
        <w:t>number of</w:t>
      </w:r>
      <w:proofErr w:type="gramEnd"/>
      <w:r w:rsidRPr="000E0957">
        <w:rPr>
          <w:rFonts w:ascii="Arial" w:hAnsi="Arial" w:cs="Arial"/>
        </w:rPr>
        <w:t xml:space="preserve"> challenges to its business. First, </w:t>
      </w:r>
      <w:proofErr w:type="spellStart"/>
      <w:r w:rsidRPr="000E0957">
        <w:rPr>
          <w:rFonts w:ascii="Arial" w:hAnsi="Arial" w:cs="Arial"/>
        </w:rPr>
        <w:t>ShipCo</w:t>
      </w:r>
      <w:proofErr w:type="spellEnd"/>
      <w:r w:rsidRPr="000E0957">
        <w:rPr>
          <w:rFonts w:ascii="Arial" w:hAnsi="Arial" w:cs="Arial"/>
        </w:rPr>
        <w:t xml:space="preserve">, one of its key customers, has filed a breach of contract lawsuit in Texas state court alleging that Oil Corp sold it contaminated oil that caused </w:t>
      </w:r>
      <w:r w:rsidR="00834F92" w:rsidRPr="000E0957">
        <w:rPr>
          <w:rFonts w:ascii="Arial" w:hAnsi="Arial" w:cs="Arial"/>
        </w:rPr>
        <w:t xml:space="preserve">USD </w:t>
      </w:r>
      <w:r w:rsidRPr="000E0957">
        <w:rPr>
          <w:rFonts w:ascii="Arial" w:hAnsi="Arial" w:cs="Arial"/>
        </w:rPr>
        <w:t xml:space="preserve">1 billion in damage to </w:t>
      </w:r>
      <w:proofErr w:type="spellStart"/>
      <w:r w:rsidRPr="000E0957">
        <w:rPr>
          <w:rFonts w:ascii="Arial" w:hAnsi="Arial" w:cs="Arial"/>
        </w:rPr>
        <w:t>ShipCo’s</w:t>
      </w:r>
      <w:proofErr w:type="spellEnd"/>
      <w:r w:rsidRPr="000E0957">
        <w:rPr>
          <w:rFonts w:ascii="Arial" w:hAnsi="Arial" w:cs="Arial"/>
        </w:rPr>
        <w:t xml:space="preserve"> container ships.</w:t>
      </w:r>
      <w:r w:rsidR="00F92140" w:rsidRPr="000E0957">
        <w:rPr>
          <w:rFonts w:ascii="Arial" w:hAnsi="Arial" w:cs="Arial"/>
        </w:rPr>
        <w:t xml:space="preserve"> </w:t>
      </w:r>
      <w:r w:rsidRPr="000E0957">
        <w:rPr>
          <w:rFonts w:ascii="Arial" w:hAnsi="Arial" w:cs="Arial"/>
        </w:rPr>
        <w:t>Second, the US Department of Justice is investigating whether Oil Corp illegally purchased oil from countries subject to US sanctions.</w:t>
      </w:r>
      <w:r w:rsidR="00F92140" w:rsidRPr="000E0957">
        <w:rPr>
          <w:rFonts w:ascii="Arial" w:hAnsi="Arial" w:cs="Arial"/>
        </w:rPr>
        <w:t xml:space="preserve"> </w:t>
      </w:r>
      <w:r w:rsidRPr="000E0957">
        <w:rPr>
          <w:rFonts w:ascii="Arial" w:hAnsi="Arial" w:cs="Arial"/>
        </w:rPr>
        <w:t>Third, Oil Corp. has missed a payment on its secured loan</w:t>
      </w:r>
      <w:r w:rsidRPr="00323167">
        <w:rPr>
          <w:rFonts w:ascii="Arial" w:hAnsi="Arial" w:cs="Arial"/>
        </w:rPr>
        <w:t xml:space="preserve"> from USA Bank, and USA Bank is </w:t>
      </w:r>
      <w:r w:rsidRPr="009E6845">
        <w:rPr>
          <w:rFonts w:ascii="Arial" w:hAnsi="Arial" w:cs="Arial"/>
        </w:rPr>
        <w:t>threatening to foreclose on an Oil Corp refinery located in the Philippines.</w:t>
      </w:r>
      <w:r w:rsidR="00F92140" w:rsidRPr="009E6845">
        <w:rPr>
          <w:rFonts w:ascii="Arial" w:hAnsi="Arial" w:cs="Arial"/>
        </w:rPr>
        <w:t xml:space="preserve"> </w:t>
      </w:r>
      <w:r w:rsidRPr="009E6845">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F01BDE1" w14:textId="77777777" w:rsidR="00953F64" w:rsidRDefault="00953F64" w:rsidP="00323167">
      <w:pPr>
        <w:pStyle w:val="AODocTxt"/>
        <w:spacing w:before="0" w:line="240" w:lineRule="auto"/>
        <w:rPr>
          <w:rFonts w:ascii="Arial" w:hAnsi="Arial" w:cs="Arial"/>
          <w:color w:val="808080" w:themeColor="background1" w:themeShade="80"/>
        </w:rPr>
      </w:pPr>
    </w:p>
    <w:p w14:paraId="5C906270" w14:textId="5FDBFF95" w:rsidR="00953F64" w:rsidRPr="00953F64" w:rsidRDefault="00953F64" w:rsidP="00323167">
      <w:pPr>
        <w:pStyle w:val="AODocTxt"/>
        <w:spacing w:before="0" w:line="240" w:lineRule="auto"/>
        <w:rPr>
          <w:rFonts w:ascii="Arial" w:hAnsi="Arial" w:cs="Arial"/>
          <w:b/>
          <w:bCs/>
          <w:color w:val="808080" w:themeColor="background1" w:themeShade="80"/>
          <w:u w:val="single"/>
        </w:rPr>
      </w:pPr>
      <w:r>
        <w:rPr>
          <w:rFonts w:ascii="Arial" w:hAnsi="Arial" w:cs="Arial"/>
          <w:b/>
          <w:bCs/>
          <w:color w:val="808080" w:themeColor="background1" w:themeShade="80"/>
          <w:u w:val="single"/>
        </w:rPr>
        <w:t>I</w:t>
      </w:r>
      <w:r w:rsidR="00E93F52">
        <w:rPr>
          <w:rFonts w:ascii="Arial" w:hAnsi="Arial" w:cs="Arial"/>
          <w:b/>
          <w:bCs/>
          <w:color w:val="808080" w:themeColor="background1" w:themeShade="80"/>
          <w:u w:val="single"/>
        </w:rPr>
        <w:t>SSUE</w:t>
      </w:r>
    </w:p>
    <w:p w14:paraId="5EC2BA31" w14:textId="77777777" w:rsidR="00E93F52" w:rsidRDefault="00E93F52"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The issue herein involves an analysis of the effect of filing a Chapter 11 petition in the case of (a) a breach of </w:t>
      </w:r>
      <w:proofErr w:type="gramStart"/>
      <w:r>
        <w:rPr>
          <w:rFonts w:ascii="Arial" w:hAnsi="Arial" w:cs="Arial"/>
          <w:color w:val="808080" w:themeColor="background1" w:themeShade="80"/>
        </w:rPr>
        <w:t>contract;</w:t>
      </w:r>
      <w:proofErr w:type="gramEnd"/>
      <w:r>
        <w:rPr>
          <w:rFonts w:ascii="Arial" w:hAnsi="Arial" w:cs="Arial"/>
          <w:color w:val="808080" w:themeColor="background1" w:themeShade="80"/>
        </w:rPr>
        <w:t xml:space="preserve"> </w:t>
      </w:r>
    </w:p>
    <w:p w14:paraId="62758B0C" w14:textId="77777777" w:rsidR="00E93F52" w:rsidRDefault="00E93F52"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(b) an illegal </w:t>
      </w:r>
      <w:proofErr w:type="gramStart"/>
      <w:r>
        <w:rPr>
          <w:rFonts w:ascii="Arial" w:hAnsi="Arial" w:cs="Arial"/>
          <w:color w:val="808080" w:themeColor="background1" w:themeShade="80"/>
        </w:rPr>
        <w:t>transaction;</w:t>
      </w:r>
      <w:proofErr w:type="gramEnd"/>
      <w:r>
        <w:rPr>
          <w:rFonts w:ascii="Arial" w:hAnsi="Arial" w:cs="Arial"/>
          <w:color w:val="808080" w:themeColor="background1" w:themeShade="80"/>
        </w:rPr>
        <w:t xml:space="preserve"> </w:t>
      </w:r>
    </w:p>
    <w:p w14:paraId="6AFEB8A4" w14:textId="77777777" w:rsidR="00E93F52" w:rsidRDefault="00E93F52"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(c) a foreclosure; and </w:t>
      </w:r>
    </w:p>
    <w:p w14:paraId="05A50C32" w14:textId="48FE518E" w:rsidR="00D91C7C" w:rsidRDefault="00E93F52"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(d) an eviction.</w:t>
      </w:r>
    </w:p>
    <w:p w14:paraId="1DCEA42B" w14:textId="5CE5FB72" w:rsidR="00E93F52" w:rsidRDefault="00E93F52" w:rsidP="00323167">
      <w:pPr>
        <w:pStyle w:val="AODocTxt"/>
        <w:spacing w:before="0" w:line="240" w:lineRule="auto"/>
        <w:rPr>
          <w:rFonts w:ascii="Arial" w:hAnsi="Arial" w:cs="Arial"/>
          <w:color w:val="808080" w:themeColor="background1" w:themeShade="80"/>
        </w:rPr>
      </w:pPr>
    </w:p>
    <w:p w14:paraId="1BE119BB" w14:textId="25A4CE56" w:rsidR="00E93F52" w:rsidRDefault="00E93F52" w:rsidP="00323167">
      <w:pPr>
        <w:pStyle w:val="AODocTxt"/>
        <w:spacing w:before="0" w:line="240" w:lineRule="auto"/>
        <w:rPr>
          <w:rFonts w:ascii="Arial" w:hAnsi="Arial" w:cs="Arial"/>
          <w:color w:val="808080" w:themeColor="background1" w:themeShade="80"/>
        </w:rPr>
      </w:pPr>
    </w:p>
    <w:p w14:paraId="2C5A0D5A" w14:textId="4DB3F835" w:rsidR="00CC7A98" w:rsidRPr="00CC7A98" w:rsidRDefault="00E93F52" w:rsidP="00323167">
      <w:pPr>
        <w:pStyle w:val="AODocTxt"/>
        <w:spacing w:before="0" w:line="240" w:lineRule="auto"/>
        <w:rPr>
          <w:rFonts w:ascii="Arial" w:hAnsi="Arial" w:cs="Arial"/>
          <w:b/>
          <w:bCs/>
          <w:color w:val="808080" w:themeColor="background1" w:themeShade="80"/>
          <w:u w:val="single"/>
        </w:rPr>
      </w:pPr>
      <w:r>
        <w:rPr>
          <w:rFonts w:ascii="Arial" w:hAnsi="Arial" w:cs="Arial"/>
          <w:b/>
          <w:bCs/>
          <w:color w:val="808080" w:themeColor="background1" w:themeShade="80"/>
          <w:u w:val="single"/>
        </w:rPr>
        <w:t xml:space="preserve">LAW:  </w:t>
      </w:r>
      <w:r w:rsidR="00CC7A98">
        <w:rPr>
          <w:rFonts w:ascii="Arial" w:hAnsi="Arial" w:cs="Arial"/>
          <w:b/>
          <w:bCs/>
          <w:color w:val="808080" w:themeColor="background1" w:themeShade="80"/>
          <w:u w:val="single"/>
        </w:rPr>
        <w:t xml:space="preserve"> </w:t>
      </w:r>
    </w:p>
    <w:p w14:paraId="79814C0A" w14:textId="77777777" w:rsidR="00E93F52" w:rsidRDefault="00E93F52" w:rsidP="00E93F52">
      <w:pPr>
        <w:pStyle w:val="AODocTxt"/>
        <w:rPr>
          <w:rFonts w:ascii="Arial" w:hAnsi="Arial" w:cs="Arial"/>
          <w:i/>
          <w:iCs/>
          <w:color w:val="808080" w:themeColor="background1" w:themeShade="80"/>
        </w:rPr>
      </w:pPr>
      <w:r>
        <w:rPr>
          <w:rFonts w:ascii="Arial" w:hAnsi="Arial" w:cs="Arial"/>
          <w:i/>
          <w:iCs/>
          <w:color w:val="808080" w:themeColor="background1" w:themeShade="80"/>
        </w:rPr>
        <w:t>Introduction</w:t>
      </w:r>
    </w:p>
    <w:p w14:paraId="38CA6F63" w14:textId="64E1A43A" w:rsidR="00E93F52" w:rsidRPr="00E93F52" w:rsidRDefault="00E93F52" w:rsidP="00E93F52">
      <w:pPr>
        <w:pStyle w:val="AODocTxt"/>
        <w:rPr>
          <w:rFonts w:ascii="Arial" w:hAnsi="Arial" w:cs="Arial"/>
          <w:color w:val="808080" w:themeColor="background1" w:themeShade="80"/>
        </w:rPr>
      </w:pPr>
      <w:r w:rsidRPr="00E93F52">
        <w:rPr>
          <w:rFonts w:ascii="Arial" w:hAnsi="Arial" w:cs="Arial"/>
          <w:color w:val="808080" w:themeColor="background1" w:themeShade="80"/>
        </w:rPr>
        <w:t xml:space="preserve">The filing of a chapter 11 petition by a debtor commences </w:t>
      </w:r>
      <w:r>
        <w:rPr>
          <w:rFonts w:ascii="Arial" w:hAnsi="Arial" w:cs="Arial"/>
          <w:color w:val="808080" w:themeColor="background1" w:themeShade="80"/>
        </w:rPr>
        <w:t>the</w:t>
      </w:r>
      <w:r w:rsidRPr="00E93F52">
        <w:rPr>
          <w:rFonts w:ascii="Arial" w:hAnsi="Arial" w:cs="Arial"/>
          <w:color w:val="808080" w:themeColor="background1" w:themeShade="80"/>
        </w:rPr>
        <w:t xml:space="preserve"> reorganization of </w:t>
      </w:r>
      <w:r>
        <w:rPr>
          <w:rFonts w:ascii="Arial" w:hAnsi="Arial" w:cs="Arial"/>
          <w:color w:val="808080" w:themeColor="background1" w:themeShade="80"/>
        </w:rPr>
        <w:t>a</w:t>
      </w:r>
      <w:r w:rsidRPr="00E93F52">
        <w:rPr>
          <w:rFonts w:ascii="Arial" w:hAnsi="Arial" w:cs="Arial"/>
          <w:color w:val="808080" w:themeColor="background1" w:themeShade="80"/>
        </w:rPr>
        <w:t xml:space="preserve"> company and triggers </w:t>
      </w:r>
      <w:proofErr w:type="gramStart"/>
      <w:r w:rsidRPr="00E93F52">
        <w:rPr>
          <w:rFonts w:ascii="Arial" w:hAnsi="Arial" w:cs="Arial"/>
          <w:color w:val="808080" w:themeColor="background1" w:themeShade="80"/>
        </w:rPr>
        <w:t>a number of</w:t>
      </w:r>
      <w:proofErr w:type="gramEnd"/>
      <w:r w:rsidRPr="00E93F52">
        <w:rPr>
          <w:rFonts w:ascii="Arial" w:hAnsi="Arial" w:cs="Arial"/>
          <w:color w:val="808080" w:themeColor="background1" w:themeShade="80"/>
        </w:rPr>
        <w:t xml:space="preserve"> consequences.  The primary consequence of a chapter 11 proceeding is to </w:t>
      </w:r>
      <w:proofErr w:type="gramStart"/>
      <w:r w:rsidRPr="00E93F52">
        <w:rPr>
          <w:rFonts w:ascii="Arial" w:hAnsi="Arial" w:cs="Arial"/>
          <w:color w:val="808080" w:themeColor="background1" w:themeShade="80"/>
        </w:rPr>
        <w:t>effect</w:t>
      </w:r>
      <w:proofErr w:type="gramEnd"/>
      <w:r w:rsidRPr="00E93F52">
        <w:rPr>
          <w:rFonts w:ascii="Arial" w:hAnsi="Arial" w:cs="Arial"/>
          <w:color w:val="808080" w:themeColor="background1" w:themeShade="80"/>
        </w:rPr>
        <w:t xml:space="preserve"> a worldwide automatic stay or moratorium on creditor action.  </w:t>
      </w:r>
    </w:p>
    <w:p w14:paraId="49200BA5" w14:textId="5C7ECD45" w:rsidR="00E93F52" w:rsidRPr="00E93F52" w:rsidRDefault="00E93F52" w:rsidP="00E93F52">
      <w:pPr>
        <w:pStyle w:val="AODocTxt"/>
        <w:rPr>
          <w:rFonts w:ascii="Arial" w:hAnsi="Arial" w:cs="Arial"/>
          <w:color w:val="808080" w:themeColor="background1" w:themeShade="80"/>
        </w:rPr>
      </w:pPr>
      <w:r w:rsidRPr="00E93F52">
        <w:rPr>
          <w:rFonts w:ascii="Arial" w:hAnsi="Arial" w:cs="Arial"/>
          <w:color w:val="808080" w:themeColor="background1" w:themeShade="80"/>
        </w:rPr>
        <w:t xml:space="preserve">In terms of the stay under the Code, litigation and enforcement are prohibited, as are any attempts to collect on pre-petition claims.  Set-off is prohibited.  Any act to obtain possession or control over property, or the creation, perfection or enforcement of a lien is prohibited. </w:t>
      </w:r>
    </w:p>
    <w:p w14:paraId="542FA5B7" w14:textId="0795C230" w:rsidR="00E93F52" w:rsidRPr="00E93F52" w:rsidRDefault="00E93F52" w:rsidP="00E93F52">
      <w:pPr>
        <w:pStyle w:val="AODocTxt"/>
        <w:rPr>
          <w:rFonts w:ascii="Arial" w:hAnsi="Arial" w:cs="Arial"/>
          <w:color w:val="808080" w:themeColor="background1" w:themeShade="80"/>
        </w:rPr>
      </w:pPr>
      <w:r w:rsidRPr="00E93F52">
        <w:rPr>
          <w:rFonts w:ascii="Arial" w:hAnsi="Arial" w:cs="Arial"/>
          <w:color w:val="808080" w:themeColor="background1" w:themeShade="80"/>
        </w:rPr>
        <w:t xml:space="preserve">Other consequences include the avoidance of preferences or fraudulent transfers and the ability of the debtor to reject burdensome contracts, sell assets free and clear of any lien, and pursue claims for recovery.  Acts taken in violation of the stay amount to contempt of court and are void or voidable.   </w:t>
      </w:r>
    </w:p>
    <w:p w14:paraId="537DA04A" w14:textId="77777777" w:rsidR="00E93F52" w:rsidRPr="00E93F52" w:rsidRDefault="00E93F52" w:rsidP="00E93F52">
      <w:pPr>
        <w:pStyle w:val="AODocTxt"/>
        <w:rPr>
          <w:rFonts w:ascii="Arial" w:hAnsi="Arial" w:cs="Arial"/>
          <w:color w:val="808080" w:themeColor="background1" w:themeShade="80"/>
        </w:rPr>
      </w:pPr>
      <w:r w:rsidRPr="00E93F52">
        <w:rPr>
          <w:rFonts w:ascii="Arial" w:hAnsi="Arial" w:cs="Arial"/>
          <w:color w:val="808080" w:themeColor="background1" w:themeShade="80"/>
        </w:rPr>
        <w:t xml:space="preserve">No trustee is appointed in a chapter 11 proceeding, but a debtor-in-possession exercises these powers.  </w:t>
      </w:r>
    </w:p>
    <w:p w14:paraId="3ADB92E7" w14:textId="77777777" w:rsidR="00CC7A98" w:rsidRDefault="00CC7A98" w:rsidP="00323167">
      <w:pPr>
        <w:pStyle w:val="AODocTxt"/>
        <w:spacing w:before="0" w:line="240" w:lineRule="auto"/>
        <w:rPr>
          <w:rFonts w:ascii="Arial" w:hAnsi="Arial" w:cs="Arial"/>
          <w:color w:val="808080" w:themeColor="background1" w:themeShade="80"/>
        </w:rPr>
      </w:pPr>
    </w:p>
    <w:p w14:paraId="3AA1852E" w14:textId="77777777" w:rsidR="00383363" w:rsidRDefault="000F6267" w:rsidP="00487E3C">
      <w:pPr>
        <w:pStyle w:val="AODocTxt"/>
        <w:rPr>
          <w:rFonts w:ascii="Arial" w:hAnsi="Arial" w:cs="Arial"/>
          <w:i/>
          <w:iCs/>
          <w:color w:val="808080" w:themeColor="background1" w:themeShade="80"/>
        </w:rPr>
      </w:pPr>
      <w:r>
        <w:rPr>
          <w:rFonts w:ascii="Arial" w:hAnsi="Arial" w:cs="Arial"/>
          <w:i/>
          <w:iCs/>
          <w:color w:val="808080" w:themeColor="background1" w:themeShade="80"/>
        </w:rPr>
        <w:t>Executory Contracts</w:t>
      </w:r>
    </w:p>
    <w:p w14:paraId="4BBB218A" w14:textId="617F0429" w:rsidR="00C543D9" w:rsidRDefault="00383363" w:rsidP="00487E3C">
      <w:pPr>
        <w:pStyle w:val="AODocTxt"/>
        <w:rPr>
          <w:rFonts w:ascii="Arial" w:hAnsi="Arial" w:cs="Arial"/>
          <w:color w:val="808080" w:themeColor="background1" w:themeShade="80"/>
        </w:rPr>
      </w:pPr>
      <w:r>
        <w:rPr>
          <w:rFonts w:ascii="Arial" w:hAnsi="Arial" w:cs="Arial"/>
          <w:color w:val="808080" w:themeColor="background1" w:themeShade="80"/>
        </w:rPr>
        <w:t>I</w:t>
      </w:r>
      <w:r w:rsidR="000F6267">
        <w:rPr>
          <w:rFonts w:ascii="Arial" w:hAnsi="Arial" w:cs="Arial"/>
          <w:color w:val="808080" w:themeColor="background1" w:themeShade="80"/>
        </w:rPr>
        <w:t>n addition to the automatic stay, the filing of Chapter 11 proceedings</w:t>
      </w:r>
      <w:r w:rsidR="00C543D9">
        <w:rPr>
          <w:rFonts w:ascii="Arial" w:hAnsi="Arial" w:cs="Arial"/>
          <w:color w:val="808080" w:themeColor="background1" w:themeShade="80"/>
        </w:rPr>
        <w:t xml:space="preserve"> outstanding obligations as between the debtor and counterparty, known as e</w:t>
      </w:r>
      <w:r w:rsidR="00CC7A98" w:rsidRPr="00CC7A98">
        <w:rPr>
          <w:rFonts w:ascii="Arial" w:hAnsi="Arial" w:cs="Arial"/>
          <w:color w:val="808080" w:themeColor="background1" w:themeShade="80"/>
        </w:rPr>
        <w:t xml:space="preserve">xecutory </w:t>
      </w:r>
      <w:proofErr w:type="gramStart"/>
      <w:r w:rsidR="00CC7A98" w:rsidRPr="00CC7A98">
        <w:rPr>
          <w:rFonts w:ascii="Arial" w:hAnsi="Arial" w:cs="Arial"/>
          <w:color w:val="808080" w:themeColor="background1" w:themeShade="80"/>
        </w:rPr>
        <w:t>contracts</w:t>
      </w:r>
      <w:proofErr w:type="gramEnd"/>
      <w:r w:rsidR="00CC7A98" w:rsidRPr="00CC7A98">
        <w:rPr>
          <w:rFonts w:ascii="Arial" w:hAnsi="Arial" w:cs="Arial"/>
          <w:color w:val="808080" w:themeColor="background1" w:themeShade="80"/>
        </w:rPr>
        <w:t xml:space="preserve"> </w:t>
      </w:r>
      <w:r w:rsidR="00C543D9">
        <w:rPr>
          <w:rFonts w:ascii="Arial" w:hAnsi="Arial" w:cs="Arial"/>
          <w:color w:val="808080" w:themeColor="background1" w:themeShade="80"/>
        </w:rPr>
        <w:t xml:space="preserve">must be resolved.  </w:t>
      </w:r>
    </w:p>
    <w:p w14:paraId="45C066F8" w14:textId="4853972D" w:rsidR="00CC7A98" w:rsidRPr="00CC7A98" w:rsidRDefault="00C543D9" w:rsidP="00487E3C">
      <w:pPr>
        <w:pStyle w:val="AODocTxt"/>
        <w:rPr>
          <w:rFonts w:ascii="Arial" w:hAnsi="Arial" w:cs="Arial"/>
          <w:color w:val="808080" w:themeColor="background1" w:themeShade="80"/>
        </w:rPr>
      </w:pPr>
      <w:r>
        <w:rPr>
          <w:rFonts w:ascii="Arial" w:hAnsi="Arial" w:cs="Arial"/>
          <w:color w:val="808080" w:themeColor="background1" w:themeShade="80"/>
        </w:rPr>
        <w:t xml:space="preserve">Executory contracts </w:t>
      </w:r>
      <w:r w:rsidR="00CC7A98" w:rsidRPr="00CC7A98">
        <w:rPr>
          <w:rFonts w:ascii="Arial" w:hAnsi="Arial" w:cs="Arial"/>
          <w:color w:val="808080" w:themeColor="background1" w:themeShade="80"/>
        </w:rPr>
        <w:t>are not defined by statute but have achieved meaning through the caselaw.</w:t>
      </w:r>
    </w:p>
    <w:p w14:paraId="54F0D484" w14:textId="34AC35C7" w:rsidR="0092208D" w:rsidRDefault="0092208D" w:rsidP="00487E3C">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Under the Countryman test,</w:t>
      </w:r>
      <w:r>
        <w:rPr>
          <w:rStyle w:val="FootnoteReference"/>
          <w:rFonts w:ascii="Arial" w:hAnsi="Arial" w:cs="Arial"/>
          <w:color w:val="808080" w:themeColor="background1" w:themeShade="80"/>
        </w:rPr>
        <w:footnoteReference w:id="16"/>
      </w:r>
      <w:r>
        <w:rPr>
          <w:rFonts w:ascii="Arial" w:hAnsi="Arial" w:cs="Arial"/>
          <w:color w:val="808080" w:themeColor="background1" w:themeShade="80"/>
        </w:rPr>
        <w:t xml:space="preserve"> a contract is said to be executory if:  </w:t>
      </w:r>
    </w:p>
    <w:p w14:paraId="7A8E4B7F" w14:textId="77777777" w:rsidR="0092208D" w:rsidRDefault="0092208D" w:rsidP="00487E3C">
      <w:pPr>
        <w:pStyle w:val="AODocTxt"/>
        <w:spacing w:before="0" w:line="240" w:lineRule="auto"/>
        <w:rPr>
          <w:rFonts w:ascii="Arial" w:hAnsi="Arial" w:cs="Arial"/>
          <w:color w:val="808080" w:themeColor="background1" w:themeShade="80"/>
        </w:rPr>
      </w:pPr>
    </w:p>
    <w:p w14:paraId="46DA8A3C" w14:textId="08240B06" w:rsidR="00487E3C" w:rsidRPr="0092208D" w:rsidRDefault="0092208D" w:rsidP="00487E3C">
      <w:pPr>
        <w:pStyle w:val="AODocTxt"/>
        <w:spacing w:before="0" w:line="240" w:lineRule="auto"/>
        <w:rPr>
          <w:rFonts w:ascii="Arial" w:hAnsi="Arial" w:cs="Arial"/>
          <w:i/>
          <w:iCs/>
          <w:color w:val="808080" w:themeColor="background1" w:themeShade="80"/>
        </w:rPr>
      </w:pPr>
      <w:r w:rsidRPr="0092208D">
        <w:rPr>
          <w:rFonts w:ascii="Arial" w:hAnsi="Arial" w:cs="Arial"/>
          <w:i/>
          <w:iCs/>
          <w:color w:val="808080" w:themeColor="background1" w:themeShade="80"/>
        </w:rPr>
        <w:t xml:space="preserve">The obligation of both the bankrupt and the other party to the contract are so far unperformed that the failure of </w:t>
      </w:r>
      <w:proofErr w:type="gramStart"/>
      <w:r w:rsidRPr="0092208D">
        <w:rPr>
          <w:rFonts w:ascii="Arial" w:hAnsi="Arial" w:cs="Arial"/>
          <w:i/>
          <w:iCs/>
          <w:color w:val="808080" w:themeColor="background1" w:themeShade="80"/>
        </w:rPr>
        <w:t>either to</w:t>
      </w:r>
      <w:proofErr w:type="gramEnd"/>
      <w:r w:rsidRPr="0092208D">
        <w:rPr>
          <w:rFonts w:ascii="Arial" w:hAnsi="Arial" w:cs="Arial"/>
          <w:i/>
          <w:iCs/>
          <w:color w:val="808080" w:themeColor="background1" w:themeShade="80"/>
        </w:rPr>
        <w:t xml:space="preserve"> complete performance would constitute a material breach excusing the performance of the other.  </w:t>
      </w:r>
    </w:p>
    <w:p w14:paraId="3120EE60" w14:textId="22F42FF8" w:rsidR="00C543D9" w:rsidRPr="00C543D9" w:rsidRDefault="00C543D9" w:rsidP="00C543D9">
      <w:pPr>
        <w:pStyle w:val="AODocTxt"/>
        <w:rPr>
          <w:rFonts w:ascii="Arial" w:hAnsi="Arial" w:cs="Arial"/>
          <w:color w:val="808080" w:themeColor="background1" w:themeShade="80"/>
        </w:rPr>
      </w:pPr>
      <w:r>
        <w:rPr>
          <w:rFonts w:ascii="Arial" w:hAnsi="Arial" w:cs="Arial"/>
          <w:color w:val="808080" w:themeColor="background1" w:themeShade="80"/>
        </w:rPr>
        <w:lastRenderedPageBreak/>
        <w:t xml:space="preserve">The test has subsequently been refined over the years, </w:t>
      </w:r>
      <w:proofErr w:type="gramStart"/>
      <w:r>
        <w:rPr>
          <w:rFonts w:ascii="Arial" w:hAnsi="Arial" w:cs="Arial"/>
          <w:color w:val="808080" w:themeColor="background1" w:themeShade="80"/>
        </w:rPr>
        <w:t xml:space="preserve">but </w:t>
      </w:r>
      <w:r w:rsidRPr="00C543D9">
        <w:rPr>
          <w:rFonts w:ascii="Arial" w:hAnsi="Arial" w:cs="Arial"/>
          <w:color w:val="808080" w:themeColor="background1" w:themeShade="80"/>
        </w:rPr>
        <w:t xml:space="preserve"> section</w:t>
      </w:r>
      <w:proofErr w:type="gramEnd"/>
      <w:r w:rsidRPr="00C543D9">
        <w:rPr>
          <w:rFonts w:ascii="Arial" w:hAnsi="Arial" w:cs="Arial"/>
          <w:color w:val="808080" w:themeColor="background1" w:themeShade="80"/>
        </w:rPr>
        <w:t xml:space="preserve"> 365 of the Code</w:t>
      </w:r>
      <w:r>
        <w:rPr>
          <w:rFonts w:ascii="Arial" w:hAnsi="Arial" w:cs="Arial"/>
          <w:color w:val="808080" w:themeColor="background1" w:themeShade="80"/>
        </w:rPr>
        <w:t xml:space="preserve"> essentially boils down to the consideration of whether the contract is an unperformed one </w:t>
      </w:r>
      <w:r>
        <w:rPr>
          <w:rFonts w:ascii="Arial" w:hAnsi="Arial" w:cs="Arial"/>
          <w:i/>
          <w:iCs/>
          <w:color w:val="808080" w:themeColor="background1" w:themeShade="80"/>
        </w:rPr>
        <w:t xml:space="preserve">vis-a-vis </w:t>
      </w:r>
      <w:r>
        <w:rPr>
          <w:rFonts w:ascii="Arial" w:hAnsi="Arial" w:cs="Arial"/>
          <w:color w:val="808080" w:themeColor="background1" w:themeShade="80"/>
        </w:rPr>
        <w:t xml:space="preserve">obligations pending by both parties; and if so, whether </w:t>
      </w:r>
      <w:r w:rsidRPr="00C543D9">
        <w:rPr>
          <w:rFonts w:ascii="Arial" w:hAnsi="Arial" w:cs="Arial"/>
          <w:color w:val="808080" w:themeColor="background1" w:themeShade="80"/>
        </w:rPr>
        <w:t>any failure to perform</w:t>
      </w:r>
      <w:r>
        <w:rPr>
          <w:rFonts w:ascii="Arial" w:hAnsi="Arial" w:cs="Arial"/>
          <w:color w:val="808080" w:themeColor="background1" w:themeShade="80"/>
        </w:rPr>
        <w:t xml:space="preserve"> those outstanding obligations</w:t>
      </w:r>
      <w:r w:rsidRPr="00C543D9">
        <w:rPr>
          <w:rFonts w:ascii="Arial" w:hAnsi="Arial" w:cs="Arial"/>
          <w:color w:val="808080" w:themeColor="background1" w:themeShade="80"/>
        </w:rPr>
        <w:t xml:space="preserve"> would result in a breach of contract. </w:t>
      </w:r>
    </w:p>
    <w:p w14:paraId="3224CACA" w14:textId="65AC8060" w:rsidR="009240E2" w:rsidRDefault="00487E3C"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The </w:t>
      </w:r>
      <w:r w:rsidRPr="00487E3C">
        <w:rPr>
          <w:rFonts w:ascii="Arial" w:hAnsi="Arial" w:cs="Arial"/>
          <w:color w:val="808080" w:themeColor="background1" w:themeShade="80"/>
        </w:rPr>
        <w:t xml:space="preserve">contracts </w:t>
      </w:r>
      <w:r w:rsidR="00606D72">
        <w:rPr>
          <w:rFonts w:ascii="Arial" w:hAnsi="Arial" w:cs="Arial"/>
          <w:color w:val="808080" w:themeColor="background1" w:themeShade="80"/>
        </w:rPr>
        <w:t xml:space="preserve">in question </w:t>
      </w:r>
      <w:r w:rsidRPr="00487E3C">
        <w:rPr>
          <w:rFonts w:ascii="Arial" w:hAnsi="Arial" w:cs="Arial"/>
          <w:color w:val="808080" w:themeColor="background1" w:themeShade="80"/>
        </w:rPr>
        <w:t xml:space="preserve">may </w:t>
      </w:r>
      <w:r w:rsidR="00606D72">
        <w:rPr>
          <w:rFonts w:ascii="Arial" w:hAnsi="Arial" w:cs="Arial"/>
          <w:color w:val="808080" w:themeColor="background1" w:themeShade="80"/>
        </w:rPr>
        <w:t xml:space="preserve">thus </w:t>
      </w:r>
      <w:r w:rsidRPr="00487E3C">
        <w:rPr>
          <w:rFonts w:ascii="Arial" w:hAnsi="Arial" w:cs="Arial"/>
          <w:color w:val="808080" w:themeColor="background1" w:themeShade="80"/>
        </w:rPr>
        <w:t xml:space="preserve">be assumed, </w:t>
      </w:r>
      <w:proofErr w:type="gramStart"/>
      <w:r w:rsidRPr="00487E3C">
        <w:rPr>
          <w:rFonts w:ascii="Arial" w:hAnsi="Arial" w:cs="Arial"/>
          <w:color w:val="808080" w:themeColor="background1" w:themeShade="80"/>
        </w:rPr>
        <w:t>rejected</w:t>
      </w:r>
      <w:proofErr w:type="gramEnd"/>
      <w:r w:rsidRPr="00487E3C">
        <w:rPr>
          <w:rFonts w:ascii="Arial" w:hAnsi="Arial" w:cs="Arial"/>
          <w:color w:val="808080" w:themeColor="background1" w:themeShade="80"/>
        </w:rPr>
        <w:t xml:space="preserve"> or assumed and assigned</w:t>
      </w:r>
      <w:r>
        <w:rPr>
          <w:rFonts w:ascii="Arial" w:hAnsi="Arial" w:cs="Arial"/>
          <w:color w:val="808080" w:themeColor="background1" w:themeShade="80"/>
        </w:rPr>
        <w:t xml:space="preserve"> by the trustee or debtor-in-possession.</w:t>
      </w:r>
    </w:p>
    <w:p w14:paraId="396E00C5" w14:textId="77777777" w:rsidR="009240E2" w:rsidRDefault="009240E2" w:rsidP="00323167">
      <w:pPr>
        <w:pStyle w:val="AODocTxt"/>
        <w:spacing w:before="0" w:line="240" w:lineRule="auto"/>
        <w:rPr>
          <w:rFonts w:ascii="Arial" w:hAnsi="Arial" w:cs="Arial"/>
          <w:color w:val="808080" w:themeColor="background1" w:themeShade="80"/>
        </w:rPr>
      </w:pPr>
    </w:p>
    <w:p w14:paraId="29E68B75" w14:textId="4B3338AB" w:rsidR="00335B3D" w:rsidRDefault="00606D72"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It is t</w:t>
      </w:r>
      <w:r w:rsidR="002E60EC">
        <w:rPr>
          <w:rFonts w:ascii="Arial" w:hAnsi="Arial" w:cs="Arial"/>
          <w:color w:val="808080" w:themeColor="background1" w:themeShade="80"/>
        </w:rPr>
        <w:t xml:space="preserve">he debtor </w:t>
      </w:r>
      <w:r>
        <w:rPr>
          <w:rFonts w:ascii="Arial" w:hAnsi="Arial" w:cs="Arial"/>
          <w:color w:val="808080" w:themeColor="background1" w:themeShade="80"/>
        </w:rPr>
        <w:t xml:space="preserve">who </w:t>
      </w:r>
      <w:r w:rsidR="00335B3D" w:rsidRPr="00335B3D">
        <w:rPr>
          <w:rFonts w:ascii="Arial" w:hAnsi="Arial" w:cs="Arial"/>
          <w:color w:val="808080" w:themeColor="background1" w:themeShade="80"/>
        </w:rPr>
        <w:t>has the right to decide whether to agree to perform or refuse to perform the obligations under the executory contract</w:t>
      </w:r>
      <w:r w:rsidR="00335B3D">
        <w:rPr>
          <w:rFonts w:ascii="Arial" w:hAnsi="Arial" w:cs="Arial"/>
          <w:color w:val="808080" w:themeColor="background1" w:themeShade="80"/>
        </w:rPr>
        <w:t xml:space="preserve"> to the exclusion of the counterparty</w:t>
      </w:r>
      <w:r w:rsidR="00924C40">
        <w:rPr>
          <w:rFonts w:ascii="Arial" w:hAnsi="Arial" w:cs="Arial"/>
          <w:color w:val="808080" w:themeColor="background1" w:themeShade="80"/>
        </w:rPr>
        <w:t xml:space="preserve"> </w:t>
      </w:r>
      <w:r w:rsidR="00335B3D">
        <w:rPr>
          <w:rFonts w:ascii="Arial" w:hAnsi="Arial" w:cs="Arial"/>
          <w:color w:val="808080" w:themeColor="background1" w:themeShade="80"/>
        </w:rPr>
        <w:t xml:space="preserve">but </w:t>
      </w:r>
      <w:r w:rsidR="002E60EC">
        <w:rPr>
          <w:rFonts w:ascii="Arial" w:hAnsi="Arial" w:cs="Arial"/>
          <w:color w:val="808080" w:themeColor="background1" w:themeShade="80"/>
        </w:rPr>
        <w:t xml:space="preserve">must make </w:t>
      </w:r>
      <w:r w:rsidR="00335B3D">
        <w:rPr>
          <w:rFonts w:ascii="Arial" w:hAnsi="Arial" w:cs="Arial"/>
          <w:color w:val="808080" w:themeColor="background1" w:themeShade="80"/>
        </w:rPr>
        <w:t xml:space="preserve">such </w:t>
      </w:r>
      <w:r w:rsidR="002E60EC">
        <w:rPr>
          <w:rFonts w:ascii="Arial" w:hAnsi="Arial" w:cs="Arial"/>
          <w:color w:val="808080" w:themeColor="background1" w:themeShade="80"/>
        </w:rPr>
        <w:t xml:space="preserve">a decision by the </w:t>
      </w:r>
      <w:r w:rsidR="00A53127">
        <w:rPr>
          <w:rFonts w:ascii="Arial" w:hAnsi="Arial" w:cs="Arial"/>
          <w:color w:val="808080" w:themeColor="background1" w:themeShade="80"/>
        </w:rPr>
        <w:t xml:space="preserve">date of </w:t>
      </w:r>
      <w:r w:rsidR="002E60EC">
        <w:rPr>
          <w:rFonts w:ascii="Arial" w:hAnsi="Arial" w:cs="Arial"/>
          <w:color w:val="808080" w:themeColor="background1" w:themeShade="80"/>
        </w:rPr>
        <w:t>confirmation of its</w:t>
      </w:r>
      <w:r w:rsidR="00A53127">
        <w:rPr>
          <w:rFonts w:ascii="Arial" w:hAnsi="Arial" w:cs="Arial"/>
          <w:color w:val="808080" w:themeColor="background1" w:themeShade="80"/>
        </w:rPr>
        <w:t xml:space="preserve"> reorganization</w:t>
      </w:r>
      <w:r w:rsidR="002E60EC">
        <w:rPr>
          <w:rFonts w:ascii="Arial" w:hAnsi="Arial" w:cs="Arial"/>
          <w:color w:val="808080" w:themeColor="background1" w:themeShade="80"/>
        </w:rPr>
        <w:t xml:space="preserve"> plan</w:t>
      </w:r>
      <w:r w:rsidR="00335B3D">
        <w:rPr>
          <w:rFonts w:ascii="Arial" w:hAnsi="Arial" w:cs="Arial"/>
          <w:color w:val="808080" w:themeColor="background1" w:themeShade="80"/>
        </w:rPr>
        <w:t xml:space="preserve">.  </w:t>
      </w:r>
    </w:p>
    <w:p w14:paraId="3614E8BD" w14:textId="451E539C" w:rsidR="002E60EC" w:rsidRDefault="00335B3D"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A </w:t>
      </w:r>
      <w:r w:rsidR="002E60EC">
        <w:rPr>
          <w:rFonts w:ascii="Arial" w:hAnsi="Arial" w:cs="Arial"/>
          <w:color w:val="808080" w:themeColor="background1" w:themeShade="80"/>
        </w:rPr>
        <w:t>deadline can be imposed by the bankruptcy court or the counterparty</w:t>
      </w:r>
      <w:r w:rsidR="00A53127">
        <w:rPr>
          <w:rFonts w:ascii="Arial" w:hAnsi="Arial" w:cs="Arial"/>
          <w:color w:val="808080" w:themeColor="background1" w:themeShade="80"/>
        </w:rPr>
        <w:t xml:space="preserve"> who must then show cause</w:t>
      </w:r>
      <w:r w:rsidR="002E60EC">
        <w:rPr>
          <w:rFonts w:ascii="Arial" w:hAnsi="Arial" w:cs="Arial"/>
          <w:color w:val="808080" w:themeColor="background1" w:themeShade="80"/>
        </w:rPr>
        <w:t xml:space="preserve">.  </w:t>
      </w:r>
    </w:p>
    <w:p w14:paraId="42D122A7" w14:textId="5E51CA5B" w:rsidR="002E60EC" w:rsidRDefault="002E60EC"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The only exception here is the decision about unexpired leases of non-residential property which are required to be made within 120 days of the order.  </w:t>
      </w:r>
    </w:p>
    <w:p w14:paraId="02CCF215" w14:textId="0B6FCE1F" w:rsidR="002E60EC" w:rsidRDefault="002E60EC" w:rsidP="00323167">
      <w:pPr>
        <w:pStyle w:val="AODocTxt"/>
        <w:spacing w:before="0" w:line="240" w:lineRule="auto"/>
        <w:rPr>
          <w:rFonts w:ascii="Arial" w:hAnsi="Arial" w:cs="Arial"/>
          <w:color w:val="808080" w:themeColor="background1" w:themeShade="80"/>
        </w:rPr>
      </w:pPr>
    </w:p>
    <w:p w14:paraId="5B434178" w14:textId="2E743CB4" w:rsidR="002E60EC" w:rsidRDefault="00ED5CFD"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In considering whether the debtor rejected or assumed a contract </w:t>
      </w:r>
      <w:proofErr w:type="gramStart"/>
      <w:r>
        <w:rPr>
          <w:rFonts w:ascii="Arial" w:hAnsi="Arial" w:cs="Arial"/>
          <w:color w:val="808080" w:themeColor="background1" w:themeShade="80"/>
        </w:rPr>
        <w:t>fairly so</w:t>
      </w:r>
      <w:proofErr w:type="gramEnd"/>
      <w:r w:rsidR="00606D72">
        <w:rPr>
          <w:rFonts w:ascii="Arial" w:hAnsi="Arial" w:cs="Arial"/>
          <w:color w:val="808080" w:themeColor="background1" w:themeShade="80"/>
        </w:rPr>
        <w:t>, the court will consider</w:t>
      </w:r>
      <w:r>
        <w:rPr>
          <w:rFonts w:ascii="Arial" w:hAnsi="Arial" w:cs="Arial"/>
          <w:color w:val="808080" w:themeColor="background1" w:themeShade="80"/>
        </w:rPr>
        <w:t xml:space="preserve"> </w:t>
      </w:r>
      <w:r w:rsidR="002E60EC">
        <w:rPr>
          <w:rFonts w:ascii="Arial" w:hAnsi="Arial" w:cs="Arial"/>
          <w:color w:val="808080" w:themeColor="background1" w:themeShade="80"/>
        </w:rPr>
        <w:t>whether the decision has been made in good faith o</w:t>
      </w:r>
      <w:r w:rsidR="00AA56EA">
        <w:rPr>
          <w:rFonts w:ascii="Arial" w:hAnsi="Arial" w:cs="Arial"/>
          <w:color w:val="808080" w:themeColor="background1" w:themeShade="80"/>
        </w:rPr>
        <w:t xml:space="preserve">r on the reasonable exercise of business judgment.  </w:t>
      </w:r>
      <w:r>
        <w:rPr>
          <w:rFonts w:ascii="Arial" w:hAnsi="Arial" w:cs="Arial"/>
          <w:color w:val="808080" w:themeColor="background1" w:themeShade="80"/>
        </w:rPr>
        <w:t xml:space="preserve">The court will only deny approval of the election in situations where </w:t>
      </w:r>
      <w:r w:rsidR="002E5D62">
        <w:rPr>
          <w:rFonts w:ascii="Arial" w:hAnsi="Arial" w:cs="Arial"/>
          <w:color w:val="808080" w:themeColor="background1" w:themeShade="80"/>
        </w:rPr>
        <w:t xml:space="preserve">it was not made in good faith or reasonable exercise of judgment. </w:t>
      </w:r>
    </w:p>
    <w:p w14:paraId="5DC78E9F" w14:textId="4BB75A4E" w:rsidR="00AA56EA" w:rsidRDefault="00AA56EA" w:rsidP="00323167">
      <w:pPr>
        <w:pStyle w:val="AODocTxt"/>
        <w:spacing w:before="0" w:line="240" w:lineRule="auto"/>
        <w:rPr>
          <w:rFonts w:ascii="Arial" w:hAnsi="Arial" w:cs="Arial"/>
          <w:color w:val="808080" w:themeColor="background1" w:themeShade="80"/>
        </w:rPr>
      </w:pPr>
    </w:p>
    <w:p w14:paraId="5410356E" w14:textId="104A7C4E" w:rsidR="00AA56EA" w:rsidRPr="00606D72" w:rsidRDefault="00AA56EA"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If the debtor rejects the contract the debtor </w:t>
      </w:r>
      <w:r w:rsidR="00A53127">
        <w:rPr>
          <w:rFonts w:ascii="Arial" w:hAnsi="Arial" w:cs="Arial"/>
          <w:color w:val="808080" w:themeColor="background1" w:themeShade="80"/>
        </w:rPr>
        <w:t>constructively</w:t>
      </w:r>
      <w:r>
        <w:rPr>
          <w:rFonts w:ascii="Arial" w:hAnsi="Arial" w:cs="Arial"/>
          <w:color w:val="808080" w:themeColor="background1" w:themeShade="80"/>
        </w:rPr>
        <w:t xml:space="preserve"> breaches the contract before the petition date.  An unsecured creditor in this instance has a pre-petition claim for damages.</w:t>
      </w:r>
      <w:r w:rsidR="00A53127">
        <w:rPr>
          <w:rFonts w:ascii="Arial" w:hAnsi="Arial" w:cs="Arial"/>
          <w:color w:val="808080" w:themeColor="background1" w:themeShade="80"/>
        </w:rPr>
        <w:t xml:space="preserve">  </w:t>
      </w:r>
    </w:p>
    <w:p w14:paraId="52E30E4B" w14:textId="6BA8407D" w:rsidR="00AA56EA" w:rsidRDefault="00AA56EA" w:rsidP="00323167">
      <w:pPr>
        <w:pStyle w:val="AODocTxt"/>
        <w:spacing w:before="0" w:line="240" w:lineRule="auto"/>
        <w:rPr>
          <w:rFonts w:ascii="Arial" w:hAnsi="Arial" w:cs="Arial"/>
          <w:color w:val="808080" w:themeColor="background1" w:themeShade="80"/>
        </w:rPr>
      </w:pPr>
    </w:p>
    <w:p w14:paraId="30BEF52B" w14:textId="572490C1" w:rsidR="00AA56EA" w:rsidRDefault="00AA56EA"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If the contract is assumed </w:t>
      </w:r>
      <w:r w:rsidR="00335B3D">
        <w:rPr>
          <w:rFonts w:ascii="Arial" w:hAnsi="Arial" w:cs="Arial"/>
          <w:color w:val="808080" w:themeColor="background1" w:themeShade="80"/>
        </w:rPr>
        <w:t xml:space="preserve">by </w:t>
      </w:r>
      <w:r>
        <w:rPr>
          <w:rFonts w:ascii="Arial" w:hAnsi="Arial" w:cs="Arial"/>
          <w:color w:val="808080" w:themeColor="background1" w:themeShade="80"/>
        </w:rPr>
        <w:t xml:space="preserve">the </w:t>
      </w:r>
      <w:proofErr w:type="gramStart"/>
      <w:r>
        <w:rPr>
          <w:rFonts w:ascii="Arial" w:hAnsi="Arial" w:cs="Arial"/>
          <w:color w:val="808080" w:themeColor="background1" w:themeShade="80"/>
        </w:rPr>
        <w:t>debtor</w:t>
      </w:r>
      <w:proofErr w:type="gramEnd"/>
      <w:r>
        <w:rPr>
          <w:rFonts w:ascii="Arial" w:hAnsi="Arial" w:cs="Arial"/>
          <w:color w:val="808080" w:themeColor="background1" w:themeShade="80"/>
        </w:rPr>
        <w:t xml:space="preserve"> </w:t>
      </w:r>
      <w:r w:rsidR="00335B3D">
        <w:rPr>
          <w:rFonts w:ascii="Arial" w:hAnsi="Arial" w:cs="Arial"/>
          <w:color w:val="808080" w:themeColor="background1" w:themeShade="80"/>
        </w:rPr>
        <w:t>it must be assumed in its entirety</w:t>
      </w:r>
      <w:r w:rsidR="00E6136F">
        <w:rPr>
          <w:rFonts w:ascii="Arial" w:hAnsi="Arial" w:cs="Arial"/>
          <w:color w:val="808080" w:themeColor="background1" w:themeShade="80"/>
        </w:rPr>
        <w:t>.  The debtor cannot assume the contract or lease unless t</w:t>
      </w:r>
      <w:r w:rsidR="007738CA">
        <w:rPr>
          <w:rFonts w:ascii="Arial" w:hAnsi="Arial" w:cs="Arial"/>
          <w:color w:val="808080" w:themeColor="background1" w:themeShade="80"/>
        </w:rPr>
        <w:t>he debtor</w:t>
      </w:r>
      <w:r w:rsidR="00E6136F">
        <w:rPr>
          <w:rFonts w:ascii="Arial" w:hAnsi="Arial" w:cs="Arial"/>
          <w:color w:val="808080" w:themeColor="background1" w:themeShade="80"/>
        </w:rPr>
        <w:t xml:space="preserve"> can provide adequate assurances that he will</w:t>
      </w:r>
      <w:r>
        <w:rPr>
          <w:rFonts w:ascii="Arial" w:hAnsi="Arial" w:cs="Arial"/>
          <w:color w:val="808080" w:themeColor="background1" w:themeShade="80"/>
        </w:rPr>
        <w:t xml:space="preserve"> cure the default </w:t>
      </w:r>
      <w:r w:rsidR="00E6136F">
        <w:rPr>
          <w:rFonts w:ascii="Arial" w:hAnsi="Arial" w:cs="Arial"/>
          <w:color w:val="808080" w:themeColor="background1" w:themeShade="80"/>
        </w:rPr>
        <w:t xml:space="preserve">and carry out </w:t>
      </w:r>
      <w:r w:rsidR="00527089">
        <w:rPr>
          <w:rFonts w:ascii="Arial" w:hAnsi="Arial" w:cs="Arial"/>
          <w:color w:val="808080" w:themeColor="background1" w:themeShade="80"/>
        </w:rPr>
        <w:t>future performances</w:t>
      </w:r>
      <w:r>
        <w:rPr>
          <w:rFonts w:ascii="Arial" w:hAnsi="Arial" w:cs="Arial"/>
          <w:color w:val="808080" w:themeColor="background1" w:themeShade="80"/>
        </w:rPr>
        <w:t xml:space="preserve">.  If </w:t>
      </w:r>
      <w:proofErr w:type="gramStart"/>
      <w:r>
        <w:rPr>
          <w:rFonts w:ascii="Arial" w:hAnsi="Arial" w:cs="Arial"/>
          <w:color w:val="808080" w:themeColor="background1" w:themeShade="80"/>
        </w:rPr>
        <w:t>subsequent to</w:t>
      </w:r>
      <w:proofErr w:type="gramEnd"/>
      <w:r>
        <w:rPr>
          <w:rFonts w:ascii="Arial" w:hAnsi="Arial" w:cs="Arial"/>
          <w:color w:val="808080" w:themeColor="background1" w:themeShade="80"/>
        </w:rPr>
        <w:t xml:space="preserve"> this the debtor rejects the contract the creditor has a </w:t>
      </w:r>
      <w:r w:rsidR="00527089">
        <w:rPr>
          <w:rFonts w:ascii="Arial" w:hAnsi="Arial" w:cs="Arial"/>
          <w:color w:val="808080" w:themeColor="background1" w:themeShade="80"/>
        </w:rPr>
        <w:t xml:space="preserve">claim for a </w:t>
      </w:r>
      <w:r>
        <w:rPr>
          <w:rFonts w:ascii="Arial" w:hAnsi="Arial" w:cs="Arial"/>
          <w:color w:val="808080" w:themeColor="background1" w:themeShade="80"/>
        </w:rPr>
        <w:t>post-petition</w:t>
      </w:r>
      <w:r w:rsidR="00527089">
        <w:rPr>
          <w:rFonts w:ascii="Arial" w:hAnsi="Arial" w:cs="Arial"/>
          <w:color w:val="808080" w:themeColor="background1" w:themeShade="80"/>
        </w:rPr>
        <w:t xml:space="preserve"> administrative</w:t>
      </w:r>
      <w:r>
        <w:rPr>
          <w:rFonts w:ascii="Arial" w:hAnsi="Arial" w:cs="Arial"/>
          <w:color w:val="808080" w:themeColor="background1" w:themeShade="80"/>
        </w:rPr>
        <w:t xml:space="preserve"> expense</w:t>
      </w:r>
      <w:r w:rsidR="00527089">
        <w:rPr>
          <w:rFonts w:ascii="Arial" w:hAnsi="Arial" w:cs="Arial"/>
          <w:color w:val="808080" w:themeColor="background1" w:themeShade="80"/>
        </w:rPr>
        <w:t xml:space="preserve"> of the estate.</w:t>
      </w:r>
      <w:r w:rsidR="009767C7">
        <w:rPr>
          <w:rFonts w:ascii="Arial" w:hAnsi="Arial" w:cs="Arial"/>
          <w:color w:val="808080" w:themeColor="background1" w:themeShade="80"/>
        </w:rPr>
        <w:t xml:space="preserve"> </w:t>
      </w:r>
      <w:r>
        <w:rPr>
          <w:rFonts w:ascii="Arial" w:hAnsi="Arial" w:cs="Arial"/>
          <w:color w:val="808080" w:themeColor="background1" w:themeShade="80"/>
        </w:rPr>
        <w:t xml:space="preserve"> </w:t>
      </w:r>
    </w:p>
    <w:p w14:paraId="63C97B5E" w14:textId="438EAF8C" w:rsidR="00AA56EA" w:rsidRDefault="00AA56EA" w:rsidP="00323167">
      <w:pPr>
        <w:pStyle w:val="AODocTxt"/>
        <w:spacing w:before="0" w:line="240" w:lineRule="auto"/>
        <w:rPr>
          <w:rFonts w:ascii="Arial" w:hAnsi="Arial" w:cs="Arial"/>
          <w:color w:val="808080" w:themeColor="background1" w:themeShade="80"/>
        </w:rPr>
      </w:pPr>
    </w:p>
    <w:p w14:paraId="036D4FA5" w14:textId="77777777" w:rsidR="00AA56EA" w:rsidRDefault="00AA56EA"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If the contract is assumed and assigned the debtor’s rights are transferred to a third party who must then give adequate assurances of future performances.  </w:t>
      </w:r>
    </w:p>
    <w:p w14:paraId="5D092385" w14:textId="4C4CC454" w:rsidR="00AA56EA" w:rsidRDefault="0023148E"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The contract may be deemed assumed in certain circumstances such as where the debtor continues to occupy leased property.  </w:t>
      </w:r>
    </w:p>
    <w:p w14:paraId="381496B8" w14:textId="77777777" w:rsidR="0023148E" w:rsidRDefault="0023148E" w:rsidP="00323167">
      <w:pPr>
        <w:pStyle w:val="AODocTxt"/>
        <w:spacing w:before="0" w:line="240" w:lineRule="auto"/>
        <w:rPr>
          <w:rFonts w:ascii="Arial" w:hAnsi="Arial" w:cs="Arial"/>
          <w:color w:val="808080" w:themeColor="background1" w:themeShade="80"/>
        </w:rPr>
      </w:pPr>
    </w:p>
    <w:p w14:paraId="38B701F8" w14:textId="77777777" w:rsidR="00AB7EBF" w:rsidRDefault="00AB7EBF"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The bankruptcy code abrogates contractual restrictions to enable the debtor to achieve a higher value for its assets.  </w:t>
      </w:r>
    </w:p>
    <w:p w14:paraId="738BD79D" w14:textId="3024FBBF" w:rsidR="00AB7EBF" w:rsidRDefault="00AB7EBF"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Counterparty consent is</w:t>
      </w:r>
      <w:r w:rsidR="0023148E">
        <w:rPr>
          <w:rFonts w:ascii="Arial" w:hAnsi="Arial" w:cs="Arial"/>
          <w:color w:val="808080" w:themeColor="background1" w:themeShade="80"/>
        </w:rPr>
        <w:t xml:space="preserve"> only</w:t>
      </w:r>
      <w:r>
        <w:rPr>
          <w:rFonts w:ascii="Arial" w:hAnsi="Arial" w:cs="Arial"/>
          <w:color w:val="808080" w:themeColor="background1" w:themeShade="80"/>
        </w:rPr>
        <w:t xml:space="preserve"> required on a contract </w:t>
      </w:r>
      <w:r w:rsidR="0023148E">
        <w:rPr>
          <w:rFonts w:ascii="Arial" w:hAnsi="Arial" w:cs="Arial"/>
          <w:color w:val="808080" w:themeColor="background1" w:themeShade="80"/>
        </w:rPr>
        <w:t xml:space="preserve">for </w:t>
      </w:r>
      <w:r>
        <w:rPr>
          <w:rFonts w:ascii="Arial" w:hAnsi="Arial" w:cs="Arial"/>
          <w:color w:val="808080" w:themeColor="background1" w:themeShade="80"/>
        </w:rPr>
        <w:t>a loan or accommodation</w:t>
      </w:r>
      <w:r w:rsidR="0023148E">
        <w:rPr>
          <w:rFonts w:ascii="Arial" w:hAnsi="Arial" w:cs="Arial"/>
          <w:color w:val="808080" w:themeColor="background1" w:themeShade="80"/>
        </w:rPr>
        <w:t>, or where s</w:t>
      </w:r>
      <w:r>
        <w:rPr>
          <w:rFonts w:ascii="Arial" w:hAnsi="Arial" w:cs="Arial"/>
          <w:color w:val="808080" w:themeColor="background1" w:themeShade="80"/>
        </w:rPr>
        <w:t xml:space="preserve">ubstantive non-bankruptcy law </w:t>
      </w:r>
      <w:r w:rsidR="0023148E">
        <w:rPr>
          <w:rFonts w:ascii="Arial" w:hAnsi="Arial" w:cs="Arial"/>
          <w:color w:val="808080" w:themeColor="background1" w:themeShade="80"/>
        </w:rPr>
        <w:t xml:space="preserve">(such as intellectual property law) </w:t>
      </w:r>
      <w:r>
        <w:rPr>
          <w:rFonts w:ascii="Arial" w:hAnsi="Arial" w:cs="Arial"/>
          <w:color w:val="808080" w:themeColor="background1" w:themeShade="80"/>
        </w:rPr>
        <w:t xml:space="preserve">provides that a counterparty cannot be compelled to accept performance from a third party.  </w:t>
      </w:r>
    </w:p>
    <w:p w14:paraId="55BE4726" w14:textId="66ED13FF" w:rsidR="00BC3730" w:rsidRDefault="00BC3730"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In some rulings, courts have applied a hypothetical test and held that a debtor cannot assume an executory contract that it would be impermissible to assign.  Other courts have applied an actual test and found that the provisions </w:t>
      </w:r>
      <w:r w:rsidR="00606D72">
        <w:rPr>
          <w:rFonts w:ascii="Arial" w:hAnsi="Arial" w:cs="Arial"/>
          <w:color w:val="808080" w:themeColor="background1" w:themeShade="80"/>
        </w:rPr>
        <w:t>apply only in cases</w:t>
      </w:r>
      <w:r>
        <w:rPr>
          <w:rFonts w:ascii="Arial" w:hAnsi="Arial" w:cs="Arial"/>
          <w:color w:val="808080" w:themeColor="background1" w:themeShade="80"/>
        </w:rPr>
        <w:t xml:space="preserve"> where the debtor intends to assign the contract.  </w:t>
      </w:r>
    </w:p>
    <w:p w14:paraId="7E54C4D3" w14:textId="150FD315" w:rsidR="00BC3730" w:rsidRDefault="00BC3730" w:rsidP="00323167">
      <w:pPr>
        <w:pStyle w:val="AODocTxt"/>
        <w:spacing w:before="0" w:line="240" w:lineRule="auto"/>
        <w:rPr>
          <w:rFonts w:ascii="Arial" w:hAnsi="Arial" w:cs="Arial"/>
          <w:color w:val="808080" w:themeColor="background1" w:themeShade="80"/>
        </w:rPr>
      </w:pPr>
    </w:p>
    <w:p w14:paraId="1B218CFF" w14:textId="58D4C88C" w:rsidR="00BC3730" w:rsidRDefault="002A72BE"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To the debtor’s credit, the opening of Chapter 11 proceedings heightens the ability of the debtor to assign contracts increases by the fact that </w:t>
      </w:r>
      <w:r w:rsidRPr="00CC5189">
        <w:rPr>
          <w:rFonts w:ascii="Arial" w:hAnsi="Arial" w:cs="Arial"/>
          <w:i/>
          <w:iCs/>
          <w:color w:val="808080" w:themeColor="background1" w:themeShade="80"/>
        </w:rPr>
        <w:t>ipso facto</w:t>
      </w:r>
      <w:r>
        <w:rPr>
          <w:rFonts w:ascii="Arial" w:hAnsi="Arial" w:cs="Arial"/>
          <w:color w:val="808080" w:themeColor="background1" w:themeShade="80"/>
        </w:rPr>
        <w:t xml:space="preserve"> clauses which permit termination in the event of an insolvency or bankruptcy proceeding are nullified.  </w:t>
      </w:r>
      <w:r w:rsidR="004E6355">
        <w:rPr>
          <w:rFonts w:ascii="Arial" w:hAnsi="Arial" w:cs="Arial"/>
          <w:color w:val="808080" w:themeColor="background1" w:themeShade="80"/>
        </w:rPr>
        <w:t>But where performance is still lacking post-petition, the counterparty is entitled to terminate the contract after applying for relief from the automatic stay.</w:t>
      </w:r>
    </w:p>
    <w:p w14:paraId="70E39BF1" w14:textId="6AE9CEEF" w:rsidR="0023148E" w:rsidRDefault="0023148E" w:rsidP="00323167">
      <w:pPr>
        <w:pStyle w:val="AODocTxt"/>
        <w:spacing w:before="0" w:line="240" w:lineRule="auto"/>
        <w:rPr>
          <w:rFonts w:ascii="Arial" w:hAnsi="Arial" w:cs="Arial"/>
          <w:color w:val="808080" w:themeColor="background1" w:themeShade="80"/>
        </w:rPr>
      </w:pPr>
    </w:p>
    <w:p w14:paraId="3B872F8C" w14:textId="4C37E274" w:rsidR="000111EB" w:rsidRDefault="000111EB" w:rsidP="00323167">
      <w:pPr>
        <w:pStyle w:val="AODocTxt"/>
        <w:spacing w:before="0" w:line="240" w:lineRule="auto"/>
        <w:rPr>
          <w:rFonts w:ascii="Arial" w:hAnsi="Arial" w:cs="Arial"/>
          <w:color w:val="808080" w:themeColor="background1" w:themeShade="80"/>
        </w:rPr>
      </w:pPr>
    </w:p>
    <w:p w14:paraId="16F758C1" w14:textId="1B31C773" w:rsidR="000111EB" w:rsidRDefault="000111EB" w:rsidP="00323167">
      <w:pPr>
        <w:pStyle w:val="AODocTxt"/>
        <w:spacing w:before="0" w:line="240" w:lineRule="auto"/>
        <w:rPr>
          <w:rFonts w:ascii="Arial" w:hAnsi="Arial" w:cs="Arial"/>
          <w:b/>
          <w:bCs/>
          <w:color w:val="808080" w:themeColor="background1" w:themeShade="80"/>
          <w:u w:val="single"/>
        </w:rPr>
      </w:pPr>
      <w:r>
        <w:rPr>
          <w:rFonts w:ascii="Arial" w:hAnsi="Arial" w:cs="Arial"/>
          <w:b/>
          <w:bCs/>
          <w:color w:val="808080" w:themeColor="background1" w:themeShade="80"/>
          <w:u w:val="single"/>
        </w:rPr>
        <w:t>APPLICATION OF THE FACTS TO THE LAW</w:t>
      </w:r>
    </w:p>
    <w:p w14:paraId="5FBD43EB" w14:textId="7AE37099" w:rsidR="000111EB" w:rsidRDefault="000111EB" w:rsidP="00323167">
      <w:pPr>
        <w:pStyle w:val="AODocTxt"/>
        <w:spacing w:before="0" w:line="240" w:lineRule="auto"/>
        <w:rPr>
          <w:rFonts w:ascii="Arial" w:hAnsi="Arial" w:cs="Arial"/>
          <w:color w:val="808080" w:themeColor="background1" w:themeShade="80"/>
        </w:rPr>
      </w:pPr>
    </w:p>
    <w:p w14:paraId="0263A2CF" w14:textId="563BE9DB" w:rsidR="000111EB" w:rsidRPr="000111EB" w:rsidRDefault="000111EB" w:rsidP="00323167">
      <w:pPr>
        <w:pStyle w:val="AODocTxt"/>
        <w:spacing w:before="0" w:line="240" w:lineRule="auto"/>
        <w:rPr>
          <w:rFonts w:ascii="Arial" w:hAnsi="Arial" w:cs="Arial"/>
          <w:color w:val="808080" w:themeColor="background1" w:themeShade="80"/>
        </w:rPr>
      </w:pPr>
      <w:r w:rsidRPr="000111EB">
        <w:rPr>
          <w:rFonts w:ascii="Arial" w:hAnsi="Arial" w:cs="Arial"/>
          <w:color w:val="808080" w:themeColor="background1" w:themeShade="80"/>
        </w:rPr>
        <w:t>To determine whether the debtor can or should reject or assume a contract depends upon a weighing of the benefits to be gained from the decision to assume or reject and the costs of doing the same</w:t>
      </w:r>
      <w:r>
        <w:rPr>
          <w:rFonts w:ascii="Arial" w:hAnsi="Arial" w:cs="Arial"/>
          <w:color w:val="808080" w:themeColor="background1" w:themeShade="80"/>
        </w:rPr>
        <w:t>.</w:t>
      </w:r>
    </w:p>
    <w:p w14:paraId="17677A61" w14:textId="3B4ADCAA" w:rsidR="0023148E" w:rsidRDefault="0023148E" w:rsidP="00323167">
      <w:pPr>
        <w:pStyle w:val="AODocTxt"/>
        <w:spacing w:before="0" w:line="240" w:lineRule="auto"/>
        <w:rPr>
          <w:rFonts w:ascii="Arial" w:hAnsi="Arial" w:cs="Arial"/>
          <w:color w:val="808080" w:themeColor="background1" w:themeShade="80"/>
        </w:rPr>
      </w:pPr>
    </w:p>
    <w:p w14:paraId="501E2649" w14:textId="39D0A096" w:rsidR="00CF110B" w:rsidRPr="00CF110B" w:rsidRDefault="00161604" w:rsidP="00CF110B">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In as far as the breach of contract </w:t>
      </w:r>
      <w:r w:rsidR="00924C40">
        <w:rPr>
          <w:rFonts w:ascii="Arial" w:hAnsi="Arial" w:cs="Arial"/>
          <w:color w:val="808080" w:themeColor="background1" w:themeShade="80"/>
        </w:rPr>
        <w:t>goes,</w:t>
      </w:r>
      <w:r w:rsidR="00CF110B" w:rsidRPr="00CF110B">
        <w:rPr>
          <w:rFonts w:ascii="Arial" w:hAnsi="Arial" w:cs="Arial"/>
          <w:color w:val="808080" w:themeColor="background1" w:themeShade="80"/>
        </w:rPr>
        <w:t xml:space="preserve"> if a debtor has prepetition contracts, it can reject those contracts, and the non-debtor counterparty will have an unsecured claim for damages, the same as if the debtor had breached the contract before filing for bankruptcy. The contract is not void so the counter party can retain anything received under the contract before the Chapter 11 petition was filed.</w:t>
      </w:r>
      <w:r w:rsidR="00CF110B" w:rsidRPr="00CF110B">
        <w:rPr>
          <w:rFonts w:ascii="Arial" w:hAnsi="Arial" w:cs="Arial"/>
          <w:color w:val="808080" w:themeColor="background1" w:themeShade="80"/>
          <w:vertAlign w:val="superscript"/>
        </w:rPr>
        <w:footnoteReference w:id="17"/>
      </w:r>
      <w:r w:rsidR="00CF110B" w:rsidRPr="00CF110B">
        <w:rPr>
          <w:rFonts w:ascii="Arial" w:hAnsi="Arial" w:cs="Arial"/>
          <w:color w:val="808080" w:themeColor="background1" w:themeShade="80"/>
        </w:rPr>
        <w:t xml:space="preserve">   </w:t>
      </w:r>
    </w:p>
    <w:p w14:paraId="4CDF2B67" w14:textId="77777777" w:rsidR="00BD1EBC" w:rsidRDefault="00CF110B"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Oil Corp’s contract must be determined to be executory before section 365 can take effect.  </w:t>
      </w:r>
      <w:r w:rsidR="00924C40">
        <w:rPr>
          <w:rFonts w:ascii="Arial" w:hAnsi="Arial" w:cs="Arial"/>
          <w:color w:val="808080" w:themeColor="background1" w:themeShade="80"/>
        </w:rPr>
        <w:t xml:space="preserve"> On application of the facts, it </w:t>
      </w:r>
      <w:r>
        <w:rPr>
          <w:rFonts w:ascii="Arial" w:hAnsi="Arial" w:cs="Arial"/>
          <w:color w:val="808080" w:themeColor="background1" w:themeShade="80"/>
        </w:rPr>
        <w:t xml:space="preserve">may be that performance being payment and delivery have been </w:t>
      </w:r>
      <w:proofErr w:type="gramStart"/>
      <w:r>
        <w:rPr>
          <w:rFonts w:ascii="Arial" w:hAnsi="Arial" w:cs="Arial"/>
          <w:color w:val="808080" w:themeColor="background1" w:themeShade="80"/>
        </w:rPr>
        <w:t>effected</w:t>
      </w:r>
      <w:proofErr w:type="gramEnd"/>
      <w:r>
        <w:rPr>
          <w:rFonts w:ascii="Arial" w:hAnsi="Arial" w:cs="Arial"/>
          <w:color w:val="808080" w:themeColor="background1" w:themeShade="80"/>
        </w:rPr>
        <w:t xml:space="preserve">; thus the contract may not be said to be executory.  </w:t>
      </w:r>
    </w:p>
    <w:p w14:paraId="42004C99" w14:textId="2976C7E3" w:rsidR="00161604" w:rsidRDefault="00CF110B"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Alternatively, if it is found that the contract is executory then Oil Corp can use section 365 to reject the contract.  Tactically, this may prove a better option for Oil Corp who will be able to demote </w:t>
      </w:r>
      <w:proofErr w:type="spellStart"/>
      <w:r w:rsidR="005A4749">
        <w:rPr>
          <w:rFonts w:ascii="Arial" w:hAnsi="Arial" w:cs="Arial"/>
          <w:color w:val="808080" w:themeColor="background1" w:themeShade="80"/>
        </w:rPr>
        <w:t>ShipCo’s</w:t>
      </w:r>
      <w:proofErr w:type="spellEnd"/>
      <w:r w:rsidR="005A4749">
        <w:rPr>
          <w:rFonts w:ascii="Arial" w:hAnsi="Arial" w:cs="Arial"/>
          <w:color w:val="808080" w:themeColor="background1" w:themeShade="80"/>
        </w:rPr>
        <w:t xml:space="preserve"> claim to that of an unsecured creditor.  </w:t>
      </w:r>
    </w:p>
    <w:p w14:paraId="71DCFA9D" w14:textId="458759B0" w:rsidR="005A4749" w:rsidRDefault="005A4749" w:rsidP="00323167">
      <w:pPr>
        <w:pStyle w:val="AODocTxt"/>
        <w:spacing w:before="0" w:line="240" w:lineRule="auto"/>
        <w:rPr>
          <w:rFonts w:ascii="Arial" w:hAnsi="Arial" w:cs="Arial"/>
          <w:color w:val="808080" w:themeColor="background1" w:themeShade="80"/>
        </w:rPr>
      </w:pPr>
    </w:p>
    <w:p w14:paraId="74888A21" w14:textId="33AAA362" w:rsidR="005A4749" w:rsidRDefault="005A4749"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The </w:t>
      </w:r>
      <w:r w:rsidR="00F0224D">
        <w:rPr>
          <w:rFonts w:ascii="Arial" w:hAnsi="Arial" w:cs="Arial"/>
          <w:color w:val="808080" w:themeColor="background1" w:themeShade="80"/>
        </w:rPr>
        <w:t xml:space="preserve">investigations surrounding the </w:t>
      </w:r>
      <w:r>
        <w:rPr>
          <w:rFonts w:ascii="Arial" w:hAnsi="Arial" w:cs="Arial"/>
          <w:color w:val="808080" w:themeColor="background1" w:themeShade="80"/>
        </w:rPr>
        <w:t>illegal purchase of oil</w:t>
      </w:r>
      <w:r w:rsidR="00F0224D">
        <w:rPr>
          <w:rFonts w:ascii="Arial" w:hAnsi="Arial" w:cs="Arial"/>
          <w:color w:val="808080" w:themeColor="background1" w:themeShade="80"/>
        </w:rPr>
        <w:t xml:space="preserve"> would have no effect on the opening of Chapter 11 proceedings, as that would be a separate criminal matter.</w:t>
      </w:r>
    </w:p>
    <w:p w14:paraId="2C281C1A" w14:textId="19CAD855" w:rsidR="005A4749" w:rsidRDefault="005A4749" w:rsidP="00323167">
      <w:pPr>
        <w:pStyle w:val="AODocTxt"/>
        <w:spacing w:before="0" w:line="240" w:lineRule="auto"/>
        <w:rPr>
          <w:rFonts w:ascii="Arial" w:hAnsi="Arial" w:cs="Arial"/>
          <w:color w:val="808080" w:themeColor="background1" w:themeShade="80"/>
        </w:rPr>
      </w:pPr>
    </w:p>
    <w:p w14:paraId="15D9E1EA" w14:textId="69C94D15" w:rsidR="005A4749" w:rsidRDefault="005A4749"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The opening of Chapter 11 proceedings brings into effect the worldwide moratorium and automatic stay on creditor action and enforcement, until relief from the stay is sought.   </w:t>
      </w:r>
      <w:proofErr w:type="gramStart"/>
      <w:r>
        <w:rPr>
          <w:rFonts w:ascii="Arial" w:hAnsi="Arial" w:cs="Arial"/>
          <w:color w:val="808080" w:themeColor="background1" w:themeShade="80"/>
        </w:rPr>
        <w:t>Therefore</w:t>
      </w:r>
      <w:proofErr w:type="gramEnd"/>
      <w:r>
        <w:rPr>
          <w:rFonts w:ascii="Arial" w:hAnsi="Arial" w:cs="Arial"/>
          <w:color w:val="808080" w:themeColor="background1" w:themeShade="80"/>
        </w:rPr>
        <w:t xml:space="preserve"> the foreclosure of the loan by the USA bank is stayed and USA Bank cannot execute on it, unless with leave of the court.  </w:t>
      </w:r>
    </w:p>
    <w:p w14:paraId="6A9F1A8F" w14:textId="74CACA6B" w:rsidR="007765BA" w:rsidRDefault="007765BA" w:rsidP="00323167">
      <w:pPr>
        <w:pStyle w:val="AODocTxt"/>
        <w:spacing w:before="0" w:line="240" w:lineRule="auto"/>
        <w:rPr>
          <w:rFonts w:ascii="Arial" w:hAnsi="Arial" w:cs="Arial"/>
          <w:color w:val="808080" w:themeColor="background1" w:themeShade="80"/>
        </w:rPr>
      </w:pPr>
    </w:p>
    <w:p w14:paraId="22C46F59" w14:textId="7200E063" w:rsidR="007765BA" w:rsidRDefault="007765BA"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The eviction is also stayed pending the confirmation of the reorganization plan.  The debtor is deemed to have assumed the contract if no election has been made by that time.  If assumed, the debtor must perform on the outstanding obligation, which is to make payment on the outstanding rental</w:t>
      </w:r>
      <w:r w:rsidR="004E0254">
        <w:rPr>
          <w:rFonts w:ascii="Arial" w:hAnsi="Arial" w:cs="Arial"/>
          <w:color w:val="808080" w:themeColor="background1" w:themeShade="80"/>
        </w:rPr>
        <w:t xml:space="preserve"> or give adequate assurances regarding future payments.  If Oil Corp </w:t>
      </w:r>
      <w:proofErr w:type="gramStart"/>
      <w:r w:rsidR="004E0254">
        <w:rPr>
          <w:rFonts w:ascii="Arial" w:hAnsi="Arial" w:cs="Arial"/>
          <w:color w:val="808080" w:themeColor="background1" w:themeShade="80"/>
        </w:rPr>
        <w:t>subsequent to</w:t>
      </w:r>
      <w:proofErr w:type="gramEnd"/>
      <w:r w:rsidR="004E0254">
        <w:rPr>
          <w:rFonts w:ascii="Arial" w:hAnsi="Arial" w:cs="Arial"/>
          <w:color w:val="808080" w:themeColor="background1" w:themeShade="80"/>
        </w:rPr>
        <w:t xml:space="preserve"> assuming the contract, defaults on those assurances, then the landlord has a claim for post-petition expenses</w:t>
      </w:r>
      <w:r w:rsidR="00F0224D">
        <w:rPr>
          <w:rFonts w:ascii="Arial" w:hAnsi="Arial" w:cs="Arial"/>
          <w:color w:val="808080" w:themeColor="background1" w:themeShade="80"/>
        </w:rPr>
        <w:t xml:space="preserve"> paid out of the administration of the estate.</w:t>
      </w:r>
      <w:r>
        <w:rPr>
          <w:rFonts w:ascii="Arial" w:hAnsi="Arial" w:cs="Arial"/>
          <w:color w:val="808080" w:themeColor="background1" w:themeShade="80"/>
        </w:rPr>
        <w:t xml:space="preserve">  </w:t>
      </w:r>
    </w:p>
    <w:p w14:paraId="26AD3785" w14:textId="77777777" w:rsidR="004C0154" w:rsidRDefault="004C0154" w:rsidP="00323167">
      <w:pPr>
        <w:pStyle w:val="AODocTxt"/>
        <w:spacing w:before="0" w:line="240" w:lineRule="auto"/>
        <w:rPr>
          <w:rFonts w:ascii="Arial" w:hAnsi="Arial" w:cs="Arial"/>
          <w:color w:val="808080" w:themeColor="background1" w:themeShade="80"/>
        </w:rPr>
      </w:pPr>
    </w:p>
    <w:p w14:paraId="2F7AB8C6" w14:textId="4B68D75B" w:rsidR="007765BA" w:rsidRDefault="007765BA" w:rsidP="00323167">
      <w:pPr>
        <w:pStyle w:val="AODocTxt"/>
        <w:spacing w:before="0" w:line="240" w:lineRule="auto"/>
        <w:rPr>
          <w:rFonts w:ascii="Arial" w:hAnsi="Arial" w:cs="Arial"/>
          <w:color w:val="808080" w:themeColor="background1" w:themeShade="80"/>
        </w:rPr>
      </w:pPr>
    </w:p>
    <w:p w14:paraId="37806D48" w14:textId="77777777" w:rsidR="007765BA" w:rsidRDefault="007765BA" w:rsidP="00323167">
      <w:pPr>
        <w:pStyle w:val="AODocTxt"/>
        <w:spacing w:before="0" w:line="240" w:lineRule="auto"/>
        <w:rPr>
          <w:rFonts w:ascii="Arial" w:hAnsi="Arial" w:cs="Arial"/>
          <w:color w:val="808080" w:themeColor="background1" w:themeShade="80"/>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409FC24B"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4BED847F" w14:textId="77777777" w:rsidR="004C0154" w:rsidRDefault="004C0154" w:rsidP="00323167">
      <w:pPr>
        <w:pStyle w:val="AODocTxt"/>
        <w:spacing w:before="0" w:line="240" w:lineRule="auto"/>
        <w:rPr>
          <w:rFonts w:ascii="Arial" w:hAnsi="Arial" w:cs="Arial"/>
        </w:rPr>
      </w:pPr>
    </w:p>
    <w:p w14:paraId="5236B363" w14:textId="178CAE91" w:rsidR="003B7184" w:rsidRDefault="003B7184" w:rsidP="00323167">
      <w:pPr>
        <w:pStyle w:val="AODocTxt"/>
        <w:spacing w:before="0" w:line="240" w:lineRule="auto"/>
        <w:rPr>
          <w:rFonts w:ascii="Arial" w:hAnsi="Arial" w:cs="Arial"/>
        </w:rPr>
      </w:pPr>
    </w:p>
    <w:p w14:paraId="3761D180" w14:textId="2312B7C7" w:rsidR="005F4A00" w:rsidRDefault="005F4A00" w:rsidP="00004CF2">
      <w:pPr>
        <w:jc w:val="both"/>
        <w:rPr>
          <w:rFonts w:ascii="Arial" w:hAnsi="Arial" w:cs="Arial"/>
          <w:b/>
          <w:bCs/>
          <w:color w:val="7B7B7B" w:themeColor="accent3" w:themeShade="BF"/>
          <w:sz w:val="22"/>
          <w:szCs w:val="22"/>
          <w:u w:val="single"/>
          <w:lang w:val="en-ZA"/>
        </w:rPr>
      </w:pPr>
      <w:r>
        <w:rPr>
          <w:rFonts w:ascii="Arial" w:hAnsi="Arial" w:cs="Arial"/>
          <w:b/>
          <w:bCs/>
          <w:color w:val="7B7B7B" w:themeColor="accent3" w:themeShade="BF"/>
          <w:sz w:val="22"/>
          <w:szCs w:val="22"/>
          <w:u w:val="single"/>
          <w:lang w:val="en-ZA"/>
        </w:rPr>
        <w:t>ISSUE</w:t>
      </w:r>
    </w:p>
    <w:p w14:paraId="65C578D7" w14:textId="77777777" w:rsidR="00824638" w:rsidRDefault="005F4A00" w:rsidP="00004CF2">
      <w:p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The issue</w:t>
      </w:r>
      <w:r w:rsidR="00824638">
        <w:rPr>
          <w:rFonts w:ascii="Arial" w:hAnsi="Arial" w:cs="Arial"/>
          <w:color w:val="7B7B7B" w:themeColor="accent3" w:themeShade="BF"/>
          <w:sz w:val="22"/>
          <w:szCs w:val="22"/>
          <w:lang w:val="en-ZA"/>
        </w:rPr>
        <w:t>s are:</w:t>
      </w:r>
    </w:p>
    <w:p w14:paraId="3351A750" w14:textId="3E70BFCD" w:rsidR="005F4A00" w:rsidRPr="00824638" w:rsidRDefault="00824638" w:rsidP="00824638">
      <w:pPr>
        <w:pStyle w:val="ListParagraph"/>
        <w:numPr>
          <w:ilvl w:val="0"/>
          <w:numId w:val="22"/>
        </w:num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W</w:t>
      </w:r>
      <w:r w:rsidR="005F4A00" w:rsidRPr="00824638">
        <w:rPr>
          <w:rFonts w:ascii="Arial" w:hAnsi="Arial" w:cs="Arial"/>
          <w:color w:val="7B7B7B" w:themeColor="accent3" w:themeShade="BF"/>
          <w:sz w:val="22"/>
          <w:szCs w:val="22"/>
          <w:lang w:val="en-ZA"/>
        </w:rPr>
        <w:t>hether Oil Corp requires the consent of Plastic Corp to assume and assign the trademark license “Interconnect”</w:t>
      </w:r>
      <w:r w:rsidR="00BD1EBC">
        <w:rPr>
          <w:rFonts w:ascii="Arial" w:hAnsi="Arial" w:cs="Arial"/>
          <w:color w:val="7B7B7B" w:themeColor="accent3" w:themeShade="BF"/>
          <w:sz w:val="22"/>
          <w:szCs w:val="22"/>
          <w:lang w:val="en-ZA"/>
        </w:rPr>
        <w:t>?</w:t>
      </w:r>
    </w:p>
    <w:p w14:paraId="3FB890E4" w14:textId="42802D13" w:rsidR="005F4A00" w:rsidRPr="00824638" w:rsidRDefault="005F4A00" w:rsidP="00824638">
      <w:pPr>
        <w:pStyle w:val="ListParagraph"/>
        <w:numPr>
          <w:ilvl w:val="0"/>
          <w:numId w:val="22"/>
        </w:numPr>
        <w:jc w:val="both"/>
        <w:rPr>
          <w:rFonts w:ascii="Arial" w:hAnsi="Arial" w:cs="Arial"/>
          <w:color w:val="7B7B7B" w:themeColor="accent3" w:themeShade="BF"/>
          <w:sz w:val="22"/>
          <w:szCs w:val="22"/>
          <w:lang w:val="en-ZA"/>
        </w:rPr>
      </w:pPr>
      <w:r w:rsidRPr="00824638">
        <w:rPr>
          <w:rFonts w:ascii="Arial" w:hAnsi="Arial" w:cs="Arial"/>
          <w:color w:val="7B7B7B" w:themeColor="accent3" w:themeShade="BF"/>
          <w:sz w:val="22"/>
          <w:szCs w:val="22"/>
          <w:lang w:val="en-ZA"/>
        </w:rPr>
        <w:t xml:space="preserve">Whether </w:t>
      </w:r>
      <w:r w:rsidR="00824638" w:rsidRPr="00824638">
        <w:rPr>
          <w:rFonts w:ascii="Arial" w:hAnsi="Arial" w:cs="Arial"/>
          <w:color w:val="7B7B7B" w:themeColor="accent3" w:themeShade="BF"/>
          <w:sz w:val="22"/>
          <w:szCs w:val="22"/>
          <w:lang w:val="en-ZA"/>
        </w:rPr>
        <w:t>it can reject the patent licenses without the consent of Plastic Corp</w:t>
      </w:r>
      <w:r w:rsidR="00BD1EBC">
        <w:rPr>
          <w:rFonts w:ascii="Arial" w:hAnsi="Arial" w:cs="Arial"/>
          <w:color w:val="7B7B7B" w:themeColor="accent3" w:themeShade="BF"/>
          <w:sz w:val="22"/>
          <w:szCs w:val="22"/>
          <w:lang w:val="en-ZA"/>
        </w:rPr>
        <w:t>?</w:t>
      </w:r>
      <w:r w:rsidR="00824638" w:rsidRPr="00824638">
        <w:rPr>
          <w:rFonts w:ascii="Arial" w:hAnsi="Arial" w:cs="Arial"/>
          <w:color w:val="7B7B7B" w:themeColor="accent3" w:themeShade="BF"/>
          <w:sz w:val="22"/>
          <w:szCs w:val="22"/>
          <w:lang w:val="en-ZA"/>
        </w:rPr>
        <w:t xml:space="preserve"> and</w:t>
      </w:r>
      <w:r w:rsidR="00BD1EBC">
        <w:rPr>
          <w:rFonts w:ascii="Arial" w:hAnsi="Arial" w:cs="Arial"/>
          <w:color w:val="7B7B7B" w:themeColor="accent3" w:themeShade="BF"/>
          <w:sz w:val="22"/>
          <w:szCs w:val="22"/>
          <w:lang w:val="en-ZA"/>
        </w:rPr>
        <w:t>,</w:t>
      </w:r>
    </w:p>
    <w:p w14:paraId="3DADA120" w14:textId="3BA8A3A1" w:rsidR="00824638" w:rsidRDefault="00824638" w:rsidP="00824638">
      <w:pPr>
        <w:pStyle w:val="ListParagraph"/>
        <w:numPr>
          <w:ilvl w:val="0"/>
          <w:numId w:val="22"/>
        </w:numPr>
        <w:jc w:val="both"/>
        <w:rPr>
          <w:rFonts w:ascii="Arial" w:hAnsi="Arial" w:cs="Arial"/>
          <w:color w:val="7B7B7B" w:themeColor="accent3" w:themeShade="BF"/>
          <w:sz w:val="22"/>
          <w:szCs w:val="22"/>
          <w:lang w:val="en-ZA"/>
        </w:rPr>
      </w:pPr>
      <w:r w:rsidRPr="00824638">
        <w:rPr>
          <w:rFonts w:ascii="Arial" w:hAnsi="Arial" w:cs="Arial"/>
          <w:color w:val="7B7B7B" w:themeColor="accent3" w:themeShade="BF"/>
          <w:sz w:val="22"/>
          <w:szCs w:val="22"/>
          <w:lang w:val="en-ZA"/>
        </w:rPr>
        <w:t>Whether it can sell the manufacturing facility free of the USA Bank lien?</w:t>
      </w:r>
    </w:p>
    <w:p w14:paraId="4F9A2B68" w14:textId="4F32CD3F" w:rsidR="00155F1C" w:rsidRDefault="00155F1C" w:rsidP="00155F1C">
      <w:pPr>
        <w:jc w:val="both"/>
        <w:rPr>
          <w:rFonts w:ascii="Arial" w:hAnsi="Arial" w:cs="Arial"/>
          <w:color w:val="7B7B7B" w:themeColor="accent3" w:themeShade="BF"/>
          <w:sz w:val="22"/>
          <w:szCs w:val="22"/>
          <w:lang w:val="en-ZA"/>
        </w:rPr>
      </w:pPr>
    </w:p>
    <w:p w14:paraId="4FA30EDD" w14:textId="178E13F1" w:rsidR="00374408" w:rsidRPr="00374408" w:rsidRDefault="00824638" w:rsidP="00004CF2">
      <w:pPr>
        <w:jc w:val="both"/>
        <w:rPr>
          <w:rFonts w:ascii="Arial" w:hAnsi="Arial" w:cs="Arial"/>
          <w:color w:val="7B7B7B" w:themeColor="accent3" w:themeShade="BF"/>
          <w:sz w:val="22"/>
          <w:szCs w:val="22"/>
          <w:lang w:val="en-ZA"/>
        </w:rPr>
      </w:pPr>
      <w:r>
        <w:rPr>
          <w:rFonts w:ascii="Arial" w:hAnsi="Arial" w:cs="Arial"/>
          <w:b/>
          <w:bCs/>
          <w:color w:val="7B7B7B" w:themeColor="accent3" w:themeShade="BF"/>
          <w:sz w:val="22"/>
          <w:szCs w:val="22"/>
          <w:u w:val="single"/>
          <w:lang w:val="en-ZA"/>
        </w:rPr>
        <w:lastRenderedPageBreak/>
        <w:t>LAW</w:t>
      </w:r>
    </w:p>
    <w:p w14:paraId="28C84999" w14:textId="77777777" w:rsidR="00374408" w:rsidRDefault="00374408" w:rsidP="00004CF2">
      <w:pPr>
        <w:jc w:val="both"/>
        <w:rPr>
          <w:rFonts w:ascii="Arial" w:hAnsi="Arial" w:cs="Arial"/>
          <w:color w:val="7B7B7B" w:themeColor="accent3" w:themeShade="BF"/>
          <w:sz w:val="22"/>
          <w:szCs w:val="22"/>
          <w:lang w:val="en-ZA"/>
        </w:rPr>
      </w:pPr>
    </w:p>
    <w:p w14:paraId="12060F47" w14:textId="77777777" w:rsidR="00383363" w:rsidRDefault="00383363" w:rsidP="00155F1C">
      <w:pPr>
        <w:jc w:val="both"/>
        <w:rPr>
          <w:rFonts w:ascii="Arial" w:hAnsi="Arial" w:cs="Arial"/>
          <w:i/>
          <w:iCs/>
          <w:color w:val="7B7B7B" w:themeColor="accent3" w:themeShade="BF"/>
          <w:sz w:val="22"/>
          <w:szCs w:val="22"/>
          <w:lang w:val="en-ZA"/>
        </w:rPr>
      </w:pPr>
      <w:r>
        <w:rPr>
          <w:rFonts w:ascii="Arial" w:hAnsi="Arial" w:cs="Arial"/>
          <w:i/>
          <w:iCs/>
          <w:color w:val="7B7B7B" w:themeColor="accent3" w:themeShade="BF"/>
          <w:sz w:val="22"/>
          <w:szCs w:val="22"/>
          <w:lang w:val="en-ZA"/>
        </w:rPr>
        <w:t>Introduction</w:t>
      </w:r>
    </w:p>
    <w:p w14:paraId="49F23AE9" w14:textId="3D6620D3" w:rsidR="00155F1C" w:rsidRDefault="00004CF2" w:rsidP="00155F1C">
      <w:pPr>
        <w:jc w:val="both"/>
        <w:rPr>
          <w:rFonts w:ascii="Arial" w:hAnsi="Arial" w:cs="Arial"/>
          <w:color w:val="7B7B7B" w:themeColor="accent3" w:themeShade="BF"/>
          <w:sz w:val="22"/>
          <w:szCs w:val="22"/>
          <w:lang w:val="en-GB"/>
        </w:rPr>
      </w:pPr>
      <w:r w:rsidRPr="00004CF2">
        <w:rPr>
          <w:rFonts w:ascii="Arial" w:hAnsi="Arial" w:cs="Arial"/>
          <w:color w:val="7B7B7B" w:themeColor="accent3" w:themeShade="BF"/>
          <w:sz w:val="22"/>
          <w:szCs w:val="22"/>
          <w:lang w:val="en-ZA"/>
        </w:rPr>
        <w:t xml:space="preserve">A 363 </w:t>
      </w:r>
      <w:r w:rsidR="00383363">
        <w:rPr>
          <w:rFonts w:ascii="Arial" w:hAnsi="Arial" w:cs="Arial"/>
          <w:color w:val="7B7B7B" w:themeColor="accent3" w:themeShade="BF"/>
          <w:sz w:val="22"/>
          <w:szCs w:val="22"/>
          <w:lang w:val="en-ZA"/>
        </w:rPr>
        <w:t>s</w:t>
      </w:r>
      <w:r w:rsidRPr="00004CF2">
        <w:rPr>
          <w:rFonts w:ascii="Arial" w:hAnsi="Arial" w:cs="Arial"/>
          <w:color w:val="7B7B7B" w:themeColor="accent3" w:themeShade="BF"/>
          <w:sz w:val="22"/>
          <w:szCs w:val="22"/>
          <w:lang w:val="en-ZA"/>
        </w:rPr>
        <w:t xml:space="preserve">ale refers to the sale of </w:t>
      </w:r>
      <w:r w:rsidR="00824638">
        <w:rPr>
          <w:rFonts w:ascii="Arial" w:hAnsi="Arial" w:cs="Arial"/>
          <w:color w:val="7B7B7B" w:themeColor="accent3" w:themeShade="BF"/>
          <w:sz w:val="22"/>
          <w:szCs w:val="22"/>
          <w:lang w:val="en-ZA"/>
        </w:rPr>
        <w:t xml:space="preserve">a debtor’s assets </w:t>
      </w:r>
      <w:r w:rsidRPr="00004CF2">
        <w:rPr>
          <w:rFonts w:ascii="Arial" w:hAnsi="Arial" w:cs="Arial"/>
          <w:color w:val="7B7B7B" w:themeColor="accent3" w:themeShade="BF"/>
          <w:sz w:val="22"/>
          <w:szCs w:val="22"/>
          <w:lang w:val="en-ZA"/>
        </w:rPr>
        <w:t xml:space="preserve">under </w:t>
      </w:r>
      <w:r w:rsidR="00383363">
        <w:rPr>
          <w:rFonts w:ascii="Arial" w:hAnsi="Arial" w:cs="Arial"/>
          <w:color w:val="7B7B7B" w:themeColor="accent3" w:themeShade="BF"/>
          <w:sz w:val="22"/>
          <w:szCs w:val="22"/>
          <w:lang w:val="en-ZA"/>
        </w:rPr>
        <w:t>s</w:t>
      </w:r>
      <w:r w:rsidRPr="00004CF2">
        <w:rPr>
          <w:rFonts w:ascii="Arial" w:hAnsi="Arial" w:cs="Arial"/>
          <w:color w:val="7B7B7B" w:themeColor="accent3" w:themeShade="BF"/>
          <w:sz w:val="22"/>
          <w:szCs w:val="22"/>
          <w:lang w:val="en-ZA"/>
        </w:rPr>
        <w:t xml:space="preserve">ection 363 of the US Bankruptcy Code. </w:t>
      </w:r>
      <w:r w:rsidR="00824638" w:rsidRPr="00824638">
        <w:rPr>
          <w:rFonts w:ascii="Arial" w:hAnsi="Arial" w:cs="Arial"/>
          <w:color w:val="7B7B7B" w:themeColor="accent3" w:themeShade="BF"/>
          <w:sz w:val="22"/>
          <w:szCs w:val="22"/>
          <w:lang w:val="en-GB"/>
        </w:rPr>
        <w:t>Section 363 of the Code provides for sale of assets outside the ordinary course, free and clear of all liens and other interests</w:t>
      </w:r>
      <w:r w:rsidR="00155F1C">
        <w:rPr>
          <w:rFonts w:ascii="Arial" w:hAnsi="Arial" w:cs="Arial"/>
          <w:color w:val="7B7B7B" w:themeColor="accent3" w:themeShade="BF"/>
          <w:sz w:val="22"/>
          <w:szCs w:val="22"/>
          <w:lang w:val="en-GB"/>
        </w:rPr>
        <w:t xml:space="preserve"> with court approval.</w:t>
      </w:r>
      <w:r w:rsidR="00824638" w:rsidRPr="00824638">
        <w:rPr>
          <w:rFonts w:ascii="Arial" w:hAnsi="Arial" w:cs="Arial"/>
          <w:color w:val="7B7B7B" w:themeColor="accent3" w:themeShade="BF"/>
          <w:sz w:val="22"/>
          <w:szCs w:val="22"/>
          <w:lang w:val="en-GB"/>
        </w:rPr>
        <w:t xml:space="preserve"> </w:t>
      </w:r>
    </w:p>
    <w:p w14:paraId="282234D5" w14:textId="71DE434C" w:rsidR="00004CF2" w:rsidRDefault="00004CF2" w:rsidP="00004CF2">
      <w:pPr>
        <w:jc w:val="both"/>
        <w:rPr>
          <w:rFonts w:ascii="Arial" w:hAnsi="Arial" w:cs="Arial"/>
          <w:color w:val="808080" w:themeColor="background1" w:themeShade="80"/>
          <w:sz w:val="22"/>
          <w:szCs w:val="22"/>
          <w:lang w:val="en-ZA"/>
        </w:rPr>
      </w:pPr>
      <w:r w:rsidRPr="00004CF2">
        <w:rPr>
          <w:rFonts w:ascii="Arial" w:hAnsi="Arial" w:cs="Arial"/>
          <w:color w:val="808080" w:themeColor="background1" w:themeShade="80"/>
          <w:sz w:val="22"/>
          <w:szCs w:val="22"/>
          <w:lang w:val="en-ZA"/>
        </w:rPr>
        <w:t xml:space="preserve">The sale enables debtors to </w:t>
      </w:r>
      <w:r w:rsidR="00155F1C" w:rsidRPr="00004CF2">
        <w:rPr>
          <w:rFonts w:ascii="Arial" w:hAnsi="Arial" w:cs="Arial"/>
          <w:color w:val="808080" w:themeColor="background1" w:themeShade="80"/>
          <w:sz w:val="22"/>
          <w:szCs w:val="22"/>
          <w:lang w:val="en-ZA"/>
        </w:rPr>
        <w:t>fulfil</w:t>
      </w:r>
      <w:r w:rsidRPr="00004CF2">
        <w:rPr>
          <w:rFonts w:ascii="Arial" w:hAnsi="Arial" w:cs="Arial"/>
          <w:color w:val="808080" w:themeColor="background1" w:themeShade="80"/>
          <w:sz w:val="22"/>
          <w:szCs w:val="22"/>
          <w:lang w:val="en-ZA"/>
        </w:rPr>
        <w:t xml:space="preserve"> their obligations to </w:t>
      </w:r>
      <w:hyperlink r:id="rId10" w:history="1">
        <w:r w:rsidRPr="00004CF2">
          <w:rPr>
            <w:rStyle w:val="Hyperlink"/>
            <w:rFonts w:ascii="Arial" w:hAnsi="Arial" w:cs="Arial"/>
            <w:color w:val="808080" w:themeColor="background1" w:themeShade="80"/>
            <w:sz w:val="22"/>
            <w:szCs w:val="22"/>
            <w:u w:val="none"/>
            <w:lang w:val="en-ZA"/>
          </w:rPr>
          <w:t>creditors</w:t>
        </w:r>
      </w:hyperlink>
      <w:r w:rsidRPr="00004CF2">
        <w:rPr>
          <w:rFonts w:ascii="Arial" w:hAnsi="Arial" w:cs="Arial"/>
          <w:color w:val="808080" w:themeColor="background1" w:themeShade="80"/>
          <w:sz w:val="22"/>
          <w:szCs w:val="22"/>
          <w:lang w:val="en-ZA"/>
        </w:rPr>
        <w:t> by selling their assets and using the funds collected to settle their debts.</w:t>
      </w:r>
    </w:p>
    <w:p w14:paraId="0EC4A31A" w14:textId="77777777" w:rsidR="00652227" w:rsidRPr="00652227" w:rsidRDefault="00652227" w:rsidP="00652227">
      <w:pPr>
        <w:jc w:val="both"/>
        <w:rPr>
          <w:rFonts w:ascii="Arial" w:hAnsi="Arial" w:cs="Arial"/>
          <w:color w:val="808080" w:themeColor="background1" w:themeShade="80"/>
          <w:sz w:val="22"/>
          <w:szCs w:val="22"/>
          <w:lang w:val="en-GB"/>
        </w:rPr>
      </w:pPr>
      <w:r w:rsidRPr="00652227">
        <w:rPr>
          <w:rFonts w:ascii="Arial" w:hAnsi="Arial" w:cs="Arial"/>
          <w:color w:val="808080" w:themeColor="background1" w:themeShade="80"/>
          <w:sz w:val="22"/>
          <w:szCs w:val="22"/>
          <w:lang w:val="en-GB"/>
        </w:rPr>
        <w:t xml:space="preserve">A debtor can also transfer its interests in key contracts that are required to operate the business even where they contain contractual restrictions on assignment or purport to terminate upon filing of a bankruptcy.  </w:t>
      </w:r>
    </w:p>
    <w:p w14:paraId="28B1D59E" w14:textId="77777777" w:rsidR="00652227" w:rsidRPr="00652227" w:rsidRDefault="00652227" w:rsidP="00652227">
      <w:pPr>
        <w:jc w:val="both"/>
        <w:rPr>
          <w:rFonts w:ascii="Arial" w:hAnsi="Arial" w:cs="Arial"/>
          <w:color w:val="808080" w:themeColor="background1" w:themeShade="80"/>
          <w:sz w:val="22"/>
          <w:szCs w:val="22"/>
          <w:lang w:val="en-GB"/>
        </w:rPr>
      </w:pPr>
      <w:r w:rsidRPr="00652227">
        <w:rPr>
          <w:rFonts w:ascii="Arial" w:hAnsi="Arial" w:cs="Arial"/>
          <w:color w:val="808080" w:themeColor="background1" w:themeShade="80"/>
          <w:sz w:val="22"/>
          <w:szCs w:val="22"/>
          <w:lang w:val="en-GB"/>
        </w:rPr>
        <w:t>Licensees of patents and copyrights owned by the debtor are protected such that their licences may not be terminated in connection with the sale of the intellectual property without their consent.</w:t>
      </w:r>
    </w:p>
    <w:p w14:paraId="76C8C1ED" w14:textId="77777777" w:rsidR="00652227" w:rsidRDefault="00652227" w:rsidP="00004CF2">
      <w:pPr>
        <w:jc w:val="both"/>
        <w:rPr>
          <w:rFonts w:ascii="Arial" w:hAnsi="Arial" w:cs="Arial"/>
          <w:color w:val="808080" w:themeColor="background1" w:themeShade="80"/>
          <w:sz w:val="22"/>
          <w:szCs w:val="22"/>
          <w:lang w:val="en-ZA"/>
        </w:rPr>
      </w:pPr>
    </w:p>
    <w:p w14:paraId="3A823C84" w14:textId="77777777" w:rsidR="00155F1C" w:rsidRPr="00004CF2" w:rsidRDefault="00155F1C" w:rsidP="00004CF2">
      <w:pPr>
        <w:jc w:val="both"/>
        <w:rPr>
          <w:rFonts w:ascii="Arial" w:hAnsi="Arial" w:cs="Arial"/>
          <w:color w:val="808080" w:themeColor="background1" w:themeShade="80"/>
          <w:sz w:val="22"/>
          <w:szCs w:val="22"/>
          <w:lang w:val="en-ZA"/>
        </w:rPr>
      </w:pPr>
    </w:p>
    <w:p w14:paraId="1ED51539" w14:textId="77777777" w:rsidR="00652227" w:rsidRDefault="00652227" w:rsidP="00004CF2">
      <w:pPr>
        <w:jc w:val="both"/>
        <w:rPr>
          <w:rFonts w:ascii="Arial" w:hAnsi="Arial" w:cs="Arial"/>
          <w:i/>
          <w:iCs/>
          <w:color w:val="7B7B7B" w:themeColor="accent3" w:themeShade="BF"/>
          <w:sz w:val="22"/>
          <w:szCs w:val="22"/>
          <w:lang w:val="en-ZA"/>
        </w:rPr>
      </w:pPr>
      <w:r>
        <w:rPr>
          <w:rFonts w:ascii="Arial" w:hAnsi="Arial" w:cs="Arial"/>
          <w:i/>
          <w:iCs/>
          <w:color w:val="7B7B7B" w:themeColor="accent3" w:themeShade="BF"/>
          <w:sz w:val="22"/>
          <w:szCs w:val="22"/>
          <w:lang w:val="en-ZA"/>
        </w:rPr>
        <w:t>Advantages</w:t>
      </w:r>
    </w:p>
    <w:p w14:paraId="66285BE0" w14:textId="77777777" w:rsidR="00652227" w:rsidRPr="00652227" w:rsidRDefault="00652227" w:rsidP="00652227">
      <w:pPr>
        <w:jc w:val="both"/>
        <w:rPr>
          <w:rFonts w:ascii="Arial" w:hAnsi="Arial" w:cs="Arial"/>
          <w:color w:val="7B7B7B" w:themeColor="accent3" w:themeShade="BF"/>
          <w:sz w:val="22"/>
          <w:szCs w:val="22"/>
          <w:lang w:val="en-GB"/>
        </w:rPr>
      </w:pPr>
      <w:r w:rsidRPr="00652227">
        <w:rPr>
          <w:rFonts w:ascii="Arial" w:hAnsi="Arial" w:cs="Arial"/>
          <w:color w:val="7B7B7B" w:themeColor="accent3" w:themeShade="BF"/>
          <w:sz w:val="22"/>
          <w:szCs w:val="22"/>
        </w:rPr>
        <w:t>The debtor-in-possession controls the disposal of assets under the protection of the bankruptcy court, which grants the debtor the power to control the deal terms offered during a bidding auction.</w:t>
      </w:r>
    </w:p>
    <w:p w14:paraId="4351A3AC" w14:textId="521C32C8" w:rsidR="00004CF2" w:rsidRPr="00004CF2" w:rsidRDefault="00004CF2" w:rsidP="00004CF2">
      <w:pPr>
        <w:jc w:val="both"/>
        <w:rPr>
          <w:rFonts w:ascii="Arial" w:hAnsi="Arial" w:cs="Arial"/>
          <w:color w:val="7B7B7B" w:themeColor="accent3" w:themeShade="BF"/>
          <w:sz w:val="22"/>
          <w:szCs w:val="22"/>
          <w:lang w:val="en-ZA"/>
        </w:rPr>
      </w:pPr>
      <w:r w:rsidRPr="00004CF2">
        <w:rPr>
          <w:rFonts w:ascii="Arial" w:hAnsi="Arial" w:cs="Arial"/>
          <w:color w:val="7B7B7B" w:themeColor="accent3" w:themeShade="BF"/>
          <w:sz w:val="22"/>
          <w:szCs w:val="22"/>
          <w:lang w:val="en-ZA"/>
        </w:rPr>
        <w:t xml:space="preserve">The purchasers of the assets benefit from the opportunity to acquire valuable assets that are free of liens, claims, or other encumbrances – often at discount prices. </w:t>
      </w:r>
    </w:p>
    <w:p w14:paraId="5FD89345" w14:textId="474B5D3A" w:rsidR="009E6845" w:rsidRDefault="009E684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such sale is likely to be higher than would otherwise be received </w:t>
      </w:r>
      <w:proofErr w:type="gramStart"/>
      <w:r>
        <w:rPr>
          <w:rFonts w:ascii="Arial" w:hAnsi="Arial" w:cs="Arial"/>
          <w:color w:val="7B7B7B" w:themeColor="accent3" w:themeShade="BF"/>
          <w:sz w:val="22"/>
          <w:szCs w:val="22"/>
          <w:lang w:val="en-GB"/>
        </w:rPr>
        <w:t>due to the fact that</w:t>
      </w:r>
      <w:proofErr w:type="gramEnd"/>
      <w:r>
        <w:rPr>
          <w:rFonts w:ascii="Arial" w:hAnsi="Arial" w:cs="Arial"/>
          <w:color w:val="7B7B7B" w:themeColor="accent3" w:themeShade="BF"/>
          <w:sz w:val="22"/>
          <w:szCs w:val="22"/>
          <w:lang w:val="en-GB"/>
        </w:rPr>
        <w:t xml:space="preserve"> the business may continue operations whilst under bankruptcy proceedings.</w:t>
      </w:r>
    </w:p>
    <w:p w14:paraId="3144563C" w14:textId="25863245" w:rsidR="003C095D" w:rsidRDefault="003C095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a sale is preferable to an out-of-court sale because the purchaser who purchased the property in good faith may be entitled to retain its possession irrespective of a reversal of the court’s decision on appeal.</w:t>
      </w:r>
      <w:r w:rsidR="00A5141C">
        <w:rPr>
          <w:rFonts w:ascii="Arial" w:hAnsi="Arial" w:cs="Arial"/>
          <w:color w:val="7B7B7B" w:themeColor="accent3" w:themeShade="BF"/>
          <w:sz w:val="22"/>
          <w:szCs w:val="22"/>
          <w:lang w:val="en-GB"/>
        </w:rPr>
        <w:t xml:space="preserve">  </w:t>
      </w:r>
    </w:p>
    <w:p w14:paraId="28433E49" w14:textId="36B9395B" w:rsidR="00A5141C" w:rsidRDefault="00A5141C" w:rsidP="005B2A9B">
      <w:pPr>
        <w:jc w:val="both"/>
        <w:rPr>
          <w:rFonts w:ascii="Arial" w:hAnsi="Arial" w:cs="Arial"/>
          <w:color w:val="7B7B7B" w:themeColor="accent3" w:themeShade="BF"/>
          <w:sz w:val="22"/>
          <w:szCs w:val="22"/>
          <w:lang w:val="en-GB"/>
        </w:rPr>
      </w:pPr>
    </w:p>
    <w:p w14:paraId="4C195FB3" w14:textId="77777777" w:rsidR="009E6845" w:rsidRDefault="009E6845" w:rsidP="005B2A9B">
      <w:pPr>
        <w:jc w:val="both"/>
        <w:rPr>
          <w:rFonts w:ascii="Arial" w:hAnsi="Arial" w:cs="Arial"/>
          <w:color w:val="7B7B7B" w:themeColor="accent3" w:themeShade="BF"/>
          <w:sz w:val="22"/>
          <w:szCs w:val="22"/>
          <w:lang w:val="en-GB"/>
        </w:rPr>
      </w:pPr>
    </w:p>
    <w:p w14:paraId="18F69C3F" w14:textId="7AA9D4D0" w:rsidR="00F9719A" w:rsidRPr="00652227" w:rsidRDefault="00652227" w:rsidP="005B2A9B">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Process</w:t>
      </w:r>
    </w:p>
    <w:p w14:paraId="71A02215" w14:textId="77777777" w:rsidR="00BD6FDC" w:rsidRDefault="00BD6FDC" w:rsidP="00374408">
      <w:pPr>
        <w:autoSpaceDE w:val="0"/>
        <w:autoSpaceDN w:val="0"/>
        <w:adjustRightInd w:val="0"/>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The debtor must establish the proposal of a section 363 sale of its property in its business judgment and it must indicate that such sale is to the benefit of the </w:t>
      </w:r>
      <w:proofErr w:type="gramStart"/>
      <w:r>
        <w:rPr>
          <w:rFonts w:ascii="Arial" w:hAnsi="Arial" w:cs="Arial"/>
          <w:color w:val="808080" w:themeColor="background1" w:themeShade="80"/>
          <w:sz w:val="22"/>
          <w:szCs w:val="22"/>
          <w:lang w:val="en-ZA"/>
        </w:rPr>
        <w:t>estate as a whole</w:t>
      </w:r>
      <w:proofErr w:type="gramEnd"/>
      <w:r>
        <w:rPr>
          <w:rFonts w:ascii="Arial" w:hAnsi="Arial" w:cs="Arial"/>
          <w:color w:val="808080" w:themeColor="background1" w:themeShade="80"/>
          <w:sz w:val="22"/>
          <w:szCs w:val="22"/>
          <w:lang w:val="en-ZA"/>
        </w:rPr>
        <w:t>.  This is done because of the fiduciary duty owed by the debtor to the creditors.</w:t>
      </w:r>
    </w:p>
    <w:p w14:paraId="2B3E32B9" w14:textId="42632C1D" w:rsidR="00BD6FDC" w:rsidRDefault="00BD6FDC" w:rsidP="00374408">
      <w:pPr>
        <w:autoSpaceDE w:val="0"/>
        <w:autoSpaceDN w:val="0"/>
        <w:adjustRightInd w:val="0"/>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 </w:t>
      </w:r>
    </w:p>
    <w:p w14:paraId="1872A651" w14:textId="757F7096" w:rsidR="00374408" w:rsidRPr="00374408" w:rsidRDefault="00383363" w:rsidP="00374408">
      <w:pPr>
        <w:autoSpaceDE w:val="0"/>
        <w:autoSpaceDN w:val="0"/>
        <w:adjustRightInd w:val="0"/>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The debtor-in-possession attracts buyers</w:t>
      </w:r>
      <w:r w:rsidR="00BD6FDC">
        <w:rPr>
          <w:rFonts w:ascii="Arial" w:hAnsi="Arial" w:cs="Arial"/>
          <w:color w:val="808080" w:themeColor="background1" w:themeShade="80"/>
          <w:sz w:val="22"/>
          <w:szCs w:val="22"/>
          <w:lang w:val="en-ZA"/>
        </w:rPr>
        <w:t xml:space="preserve"> for the property</w:t>
      </w:r>
      <w:r>
        <w:rPr>
          <w:rFonts w:ascii="Arial" w:hAnsi="Arial" w:cs="Arial"/>
          <w:color w:val="808080" w:themeColor="background1" w:themeShade="80"/>
          <w:sz w:val="22"/>
          <w:szCs w:val="22"/>
          <w:lang w:val="en-ZA"/>
        </w:rPr>
        <w:t xml:space="preserve"> through marketing.  </w:t>
      </w:r>
      <w:r w:rsidR="00374408" w:rsidRPr="00374408">
        <w:rPr>
          <w:rFonts w:ascii="Arial" w:hAnsi="Arial" w:cs="Arial"/>
          <w:b/>
          <w:bCs/>
          <w:color w:val="808080" w:themeColor="background1" w:themeShade="80"/>
          <w:sz w:val="22"/>
          <w:szCs w:val="22"/>
          <w:lang w:val="en-ZA"/>
        </w:rPr>
        <w:t xml:space="preserve"> </w:t>
      </w:r>
      <w:r w:rsidR="00374408" w:rsidRPr="00374408">
        <w:rPr>
          <w:rFonts w:ascii="Arial" w:hAnsi="Arial" w:cs="Arial"/>
          <w:color w:val="808080" w:themeColor="background1" w:themeShade="80"/>
          <w:sz w:val="22"/>
          <w:szCs w:val="22"/>
          <w:lang w:val="en-ZA"/>
        </w:rPr>
        <w:t>If there are several interested purchasers, the debtor settles on the highest bidder to act as the stalking horse bidder. This bidder’s price works as the base price for the auction bids, and the other bidders will use this bid as a benchmark.</w:t>
      </w:r>
      <w:r>
        <w:rPr>
          <w:rStyle w:val="FootnoteReference"/>
          <w:rFonts w:ascii="Arial" w:hAnsi="Arial" w:cs="Arial"/>
          <w:color w:val="808080" w:themeColor="background1" w:themeShade="80"/>
          <w:sz w:val="22"/>
          <w:szCs w:val="22"/>
          <w:lang w:val="en-ZA"/>
        </w:rPr>
        <w:footnoteReference w:id="18"/>
      </w:r>
    </w:p>
    <w:p w14:paraId="49380A44" w14:textId="77777777" w:rsidR="00383363" w:rsidRPr="00417B9F" w:rsidRDefault="00383363" w:rsidP="00374408">
      <w:pPr>
        <w:autoSpaceDE w:val="0"/>
        <w:autoSpaceDN w:val="0"/>
        <w:adjustRightInd w:val="0"/>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The price offered by the </w:t>
      </w:r>
      <w:r w:rsidR="00374408" w:rsidRPr="00374408">
        <w:rPr>
          <w:rFonts w:ascii="Arial" w:hAnsi="Arial" w:cs="Arial"/>
          <w:color w:val="808080" w:themeColor="background1" w:themeShade="80"/>
          <w:sz w:val="22"/>
          <w:szCs w:val="22"/>
          <w:lang w:val="en-ZA"/>
        </w:rPr>
        <w:t xml:space="preserve">stalking horse bidder </w:t>
      </w:r>
      <w:r>
        <w:rPr>
          <w:rFonts w:ascii="Arial" w:hAnsi="Arial" w:cs="Arial"/>
          <w:color w:val="808080" w:themeColor="background1" w:themeShade="80"/>
          <w:sz w:val="22"/>
          <w:szCs w:val="22"/>
          <w:lang w:val="en-ZA"/>
        </w:rPr>
        <w:t xml:space="preserve">is the reserve price at which the property will be sold for at an auction </w:t>
      </w:r>
      <w:proofErr w:type="gramStart"/>
      <w:r>
        <w:rPr>
          <w:rFonts w:ascii="Arial" w:hAnsi="Arial" w:cs="Arial"/>
          <w:color w:val="808080" w:themeColor="background1" w:themeShade="80"/>
          <w:sz w:val="22"/>
          <w:szCs w:val="22"/>
          <w:lang w:val="en-ZA"/>
        </w:rPr>
        <w:t>i.e.</w:t>
      </w:r>
      <w:proofErr w:type="gramEnd"/>
      <w:r>
        <w:rPr>
          <w:rFonts w:ascii="Arial" w:hAnsi="Arial" w:cs="Arial"/>
          <w:color w:val="808080" w:themeColor="background1" w:themeShade="80"/>
          <w:sz w:val="22"/>
          <w:szCs w:val="22"/>
          <w:lang w:val="en-ZA"/>
        </w:rPr>
        <w:t xml:space="preserve"> the property cannot be sold for less than the stalking horse’s bid.  </w:t>
      </w:r>
      <w:r w:rsidRPr="00417B9F">
        <w:rPr>
          <w:rFonts w:ascii="Arial" w:hAnsi="Arial" w:cs="Arial"/>
          <w:color w:val="808080" w:themeColor="background1" w:themeShade="80"/>
          <w:sz w:val="22"/>
          <w:szCs w:val="22"/>
          <w:lang w:val="en-ZA"/>
        </w:rPr>
        <w:t xml:space="preserve">This mechanism is designed to </w:t>
      </w:r>
      <w:r w:rsidR="00374408" w:rsidRPr="00417B9F">
        <w:rPr>
          <w:rFonts w:ascii="Arial" w:hAnsi="Arial" w:cs="Arial"/>
          <w:color w:val="808080" w:themeColor="background1" w:themeShade="80"/>
          <w:sz w:val="22"/>
          <w:szCs w:val="22"/>
          <w:lang w:val="en-ZA"/>
        </w:rPr>
        <w:t>prote</w:t>
      </w:r>
      <w:r w:rsidRPr="00417B9F">
        <w:rPr>
          <w:rFonts w:ascii="Arial" w:hAnsi="Arial" w:cs="Arial"/>
          <w:color w:val="808080" w:themeColor="background1" w:themeShade="80"/>
          <w:sz w:val="22"/>
          <w:szCs w:val="22"/>
          <w:lang w:val="en-ZA"/>
        </w:rPr>
        <w:t>ct</w:t>
      </w:r>
      <w:r w:rsidR="00374408" w:rsidRPr="00417B9F">
        <w:rPr>
          <w:rFonts w:ascii="Arial" w:hAnsi="Arial" w:cs="Arial"/>
          <w:color w:val="808080" w:themeColor="background1" w:themeShade="80"/>
          <w:sz w:val="22"/>
          <w:szCs w:val="22"/>
          <w:lang w:val="en-ZA"/>
        </w:rPr>
        <w:t xml:space="preserve"> the debtor from</w:t>
      </w:r>
      <w:r w:rsidRPr="00417B9F">
        <w:rPr>
          <w:rFonts w:ascii="Arial" w:hAnsi="Arial" w:cs="Arial"/>
          <w:color w:val="808080" w:themeColor="background1" w:themeShade="80"/>
          <w:sz w:val="22"/>
          <w:szCs w:val="22"/>
          <w:lang w:val="en-ZA"/>
        </w:rPr>
        <w:t xml:space="preserve"> receiving a low return</w:t>
      </w:r>
      <w:r w:rsidR="00374408" w:rsidRPr="00417B9F">
        <w:rPr>
          <w:rFonts w:ascii="Arial" w:hAnsi="Arial" w:cs="Arial"/>
          <w:color w:val="808080" w:themeColor="background1" w:themeShade="80"/>
          <w:sz w:val="22"/>
          <w:szCs w:val="22"/>
          <w:lang w:val="en-ZA"/>
        </w:rPr>
        <w:t xml:space="preserve">. </w:t>
      </w:r>
    </w:p>
    <w:p w14:paraId="016328A7" w14:textId="54B48379" w:rsidR="00374408" w:rsidRDefault="00374408" w:rsidP="00374408">
      <w:pPr>
        <w:autoSpaceDE w:val="0"/>
        <w:autoSpaceDN w:val="0"/>
        <w:adjustRightInd w:val="0"/>
        <w:jc w:val="both"/>
        <w:rPr>
          <w:rFonts w:ascii="Arial" w:hAnsi="Arial" w:cs="Arial"/>
          <w:color w:val="808080" w:themeColor="background1" w:themeShade="80"/>
          <w:sz w:val="22"/>
          <w:szCs w:val="22"/>
          <w:lang w:val="en-ZA"/>
        </w:rPr>
      </w:pPr>
      <w:r w:rsidRPr="00417B9F">
        <w:rPr>
          <w:rFonts w:ascii="Arial" w:hAnsi="Arial" w:cs="Arial"/>
          <w:color w:val="808080" w:themeColor="background1" w:themeShade="80"/>
          <w:sz w:val="22"/>
          <w:szCs w:val="22"/>
          <w:lang w:val="en-ZA"/>
        </w:rPr>
        <w:t>In</w:t>
      </w:r>
      <w:r w:rsidR="00417B9F">
        <w:rPr>
          <w:rFonts w:ascii="Arial" w:hAnsi="Arial" w:cs="Arial"/>
          <w:color w:val="808080" w:themeColor="background1" w:themeShade="80"/>
          <w:sz w:val="22"/>
          <w:szCs w:val="22"/>
          <w:lang w:val="en-ZA"/>
        </w:rPr>
        <w:t xml:space="preserve"> exchange</w:t>
      </w:r>
      <w:r w:rsidR="003A3B85">
        <w:rPr>
          <w:rFonts w:ascii="Arial" w:hAnsi="Arial" w:cs="Arial"/>
          <w:color w:val="808080" w:themeColor="background1" w:themeShade="80"/>
          <w:sz w:val="22"/>
          <w:szCs w:val="22"/>
          <w:lang w:val="en-ZA"/>
        </w:rPr>
        <w:t xml:space="preserve"> for the time and investment outlaid by the stalking horse bidder,</w:t>
      </w:r>
      <w:r w:rsidR="00417B9F">
        <w:rPr>
          <w:rFonts w:ascii="Arial" w:hAnsi="Arial" w:cs="Arial"/>
          <w:color w:val="808080" w:themeColor="background1" w:themeShade="80"/>
          <w:sz w:val="22"/>
          <w:szCs w:val="22"/>
          <w:lang w:val="en-ZA"/>
        </w:rPr>
        <w:t xml:space="preserve"> the stalking bidder is offered certain perks.</w:t>
      </w:r>
      <w:r w:rsidR="00417B9F">
        <w:rPr>
          <w:rStyle w:val="FootnoteReference"/>
          <w:rFonts w:ascii="Arial" w:hAnsi="Arial" w:cs="Arial"/>
          <w:color w:val="808080" w:themeColor="background1" w:themeShade="80"/>
          <w:sz w:val="22"/>
          <w:szCs w:val="22"/>
          <w:lang w:val="en-ZA"/>
        </w:rPr>
        <w:footnoteReference w:id="19"/>
      </w:r>
      <w:r w:rsidR="00417B9F">
        <w:rPr>
          <w:rFonts w:ascii="Arial" w:hAnsi="Arial" w:cs="Arial"/>
          <w:color w:val="808080" w:themeColor="background1" w:themeShade="80"/>
          <w:sz w:val="22"/>
          <w:szCs w:val="22"/>
          <w:lang w:val="en-ZA"/>
        </w:rPr>
        <w:t xml:space="preserve"> </w:t>
      </w:r>
    </w:p>
    <w:p w14:paraId="19441BD5" w14:textId="2C24920C" w:rsidR="00417B9F" w:rsidRDefault="00417B9F" w:rsidP="00374408">
      <w:pPr>
        <w:autoSpaceDE w:val="0"/>
        <w:autoSpaceDN w:val="0"/>
        <w:adjustRightInd w:val="0"/>
        <w:jc w:val="both"/>
        <w:rPr>
          <w:rFonts w:ascii="Arial" w:hAnsi="Arial" w:cs="Arial"/>
          <w:color w:val="808080" w:themeColor="background1" w:themeShade="80"/>
          <w:sz w:val="22"/>
          <w:szCs w:val="22"/>
          <w:lang w:val="en-ZA"/>
        </w:rPr>
      </w:pPr>
    </w:p>
    <w:p w14:paraId="1203AF14" w14:textId="575F04A8" w:rsidR="003A3B85" w:rsidRDefault="003A3B85" w:rsidP="00374408">
      <w:pPr>
        <w:autoSpaceDE w:val="0"/>
        <w:autoSpaceDN w:val="0"/>
        <w:adjustRightInd w:val="0"/>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A creditor holding security in a property may “credit bid” and by use of this method create a market for secured creditors in the estate. </w:t>
      </w:r>
    </w:p>
    <w:p w14:paraId="2E525D92" w14:textId="77777777" w:rsidR="003A3B85" w:rsidRPr="00417B9F" w:rsidRDefault="003A3B85" w:rsidP="00374408">
      <w:pPr>
        <w:autoSpaceDE w:val="0"/>
        <w:autoSpaceDN w:val="0"/>
        <w:adjustRightInd w:val="0"/>
        <w:jc w:val="both"/>
        <w:rPr>
          <w:rFonts w:ascii="Arial" w:hAnsi="Arial" w:cs="Arial"/>
          <w:color w:val="808080" w:themeColor="background1" w:themeShade="80"/>
          <w:sz w:val="22"/>
          <w:szCs w:val="22"/>
          <w:lang w:val="en-ZA"/>
        </w:rPr>
      </w:pPr>
    </w:p>
    <w:p w14:paraId="46BFD6A5" w14:textId="77777777" w:rsidR="003C72F5" w:rsidRDefault="00417B9F" w:rsidP="00374408">
      <w:pPr>
        <w:autoSpaceDE w:val="0"/>
        <w:autoSpaceDN w:val="0"/>
        <w:adjustRightInd w:val="0"/>
        <w:jc w:val="both"/>
        <w:rPr>
          <w:rFonts w:ascii="Arial" w:hAnsi="Arial" w:cs="Arial"/>
          <w:color w:val="808080" w:themeColor="background1" w:themeShade="80"/>
          <w:sz w:val="22"/>
          <w:szCs w:val="22"/>
          <w:lang w:val="en-ZA"/>
        </w:rPr>
      </w:pPr>
      <w:proofErr w:type="gramStart"/>
      <w:r>
        <w:rPr>
          <w:rFonts w:ascii="Arial" w:hAnsi="Arial" w:cs="Arial"/>
          <w:color w:val="808080" w:themeColor="background1" w:themeShade="80"/>
          <w:sz w:val="22"/>
          <w:szCs w:val="22"/>
          <w:lang w:val="en-ZA"/>
        </w:rPr>
        <w:t>Subsequent t</w:t>
      </w:r>
      <w:r w:rsidR="003C72F5">
        <w:rPr>
          <w:rFonts w:ascii="Arial" w:hAnsi="Arial" w:cs="Arial"/>
          <w:color w:val="808080" w:themeColor="background1" w:themeShade="80"/>
          <w:sz w:val="22"/>
          <w:szCs w:val="22"/>
          <w:lang w:val="en-ZA"/>
        </w:rPr>
        <w:t>o</w:t>
      </w:r>
      <w:proofErr w:type="gramEnd"/>
      <w:r w:rsidR="003C72F5">
        <w:rPr>
          <w:rFonts w:ascii="Arial" w:hAnsi="Arial" w:cs="Arial"/>
          <w:color w:val="808080" w:themeColor="background1" w:themeShade="80"/>
          <w:sz w:val="22"/>
          <w:szCs w:val="22"/>
          <w:lang w:val="en-ZA"/>
        </w:rPr>
        <w:t xml:space="preserve"> negotiations, the </w:t>
      </w:r>
      <w:r>
        <w:rPr>
          <w:rFonts w:ascii="Arial" w:hAnsi="Arial" w:cs="Arial"/>
          <w:color w:val="808080" w:themeColor="background1" w:themeShade="80"/>
          <w:sz w:val="22"/>
          <w:szCs w:val="22"/>
          <w:lang w:val="en-ZA"/>
        </w:rPr>
        <w:t>agreement between the debtor-in-possession and the stalking horse bidder</w:t>
      </w:r>
      <w:r w:rsidR="003C72F5">
        <w:rPr>
          <w:rFonts w:ascii="Arial" w:hAnsi="Arial" w:cs="Arial"/>
          <w:color w:val="808080" w:themeColor="background1" w:themeShade="80"/>
          <w:sz w:val="22"/>
          <w:szCs w:val="22"/>
          <w:lang w:val="en-ZA"/>
        </w:rPr>
        <w:t xml:space="preserve"> is reduced to writing and filed at court for the </w:t>
      </w:r>
      <w:r w:rsidR="00374408" w:rsidRPr="00374408">
        <w:rPr>
          <w:rFonts w:ascii="Arial" w:hAnsi="Arial" w:cs="Arial"/>
          <w:color w:val="808080" w:themeColor="background1" w:themeShade="80"/>
          <w:sz w:val="22"/>
          <w:szCs w:val="22"/>
          <w:lang w:val="en-ZA"/>
        </w:rPr>
        <w:t xml:space="preserve">court approval for the sale of assets at an auction commissioned by the court. </w:t>
      </w:r>
    </w:p>
    <w:p w14:paraId="2125FAF8" w14:textId="606B5131" w:rsidR="00374408" w:rsidRPr="00CB43F9" w:rsidRDefault="003A3B85" w:rsidP="00374408">
      <w:pPr>
        <w:autoSpaceDE w:val="0"/>
        <w:autoSpaceDN w:val="0"/>
        <w:adjustRightInd w:val="0"/>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lastRenderedPageBreak/>
        <w:t xml:space="preserve">Once the sale is approved by the court pursuant to the said auction, </w:t>
      </w:r>
      <w:r w:rsidR="00374408" w:rsidRPr="00374408">
        <w:rPr>
          <w:rFonts w:ascii="Arial" w:hAnsi="Arial" w:cs="Arial"/>
          <w:color w:val="808080" w:themeColor="background1" w:themeShade="80"/>
          <w:sz w:val="22"/>
          <w:szCs w:val="22"/>
          <w:lang w:val="en-ZA"/>
        </w:rPr>
        <w:t xml:space="preserve">parties </w:t>
      </w:r>
      <w:r>
        <w:rPr>
          <w:rFonts w:ascii="Arial" w:hAnsi="Arial" w:cs="Arial"/>
          <w:color w:val="808080" w:themeColor="background1" w:themeShade="80"/>
          <w:sz w:val="22"/>
          <w:szCs w:val="22"/>
          <w:lang w:val="en-ZA"/>
        </w:rPr>
        <w:t xml:space="preserve">may still </w:t>
      </w:r>
      <w:r w:rsidR="00374408" w:rsidRPr="00374408">
        <w:rPr>
          <w:rFonts w:ascii="Arial" w:hAnsi="Arial" w:cs="Arial"/>
          <w:color w:val="808080" w:themeColor="background1" w:themeShade="80"/>
          <w:sz w:val="22"/>
          <w:szCs w:val="22"/>
          <w:lang w:val="en-ZA"/>
        </w:rPr>
        <w:t>object to the sale</w:t>
      </w:r>
      <w:r>
        <w:rPr>
          <w:rFonts w:ascii="Arial" w:hAnsi="Arial" w:cs="Arial"/>
          <w:color w:val="808080" w:themeColor="background1" w:themeShade="80"/>
          <w:sz w:val="22"/>
          <w:szCs w:val="22"/>
          <w:lang w:val="en-ZA"/>
        </w:rPr>
        <w:t xml:space="preserve"> </w:t>
      </w:r>
      <w:r w:rsidR="00374408" w:rsidRPr="00374408">
        <w:rPr>
          <w:rFonts w:ascii="Arial" w:hAnsi="Arial" w:cs="Arial"/>
          <w:color w:val="808080" w:themeColor="background1" w:themeShade="80"/>
          <w:sz w:val="22"/>
          <w:szCs w:val="22"/>
          <w:lang w:val="en-ZA"/>
        </w:rPr>
        <w:t>stat</w:t>
      </w:r>
      <w:r>
        <w:rPr>
          <w:rFonts w:ascii="Arial" w:hAnsi="Arial" w:cs="Arial"/>
          <w:color w:val="808080" w:themeColor="background1" w:themeShade="80"/>
          <w:sz w:val="22"/>
          <w:szCs w:val="22"/>
          <w:lang w:val="en-ZA"/>
        </w:rPr>
        <w:t>ing</w:t>
      </w:r>
      <w:r w:rsidR="00374408" w:rsidRPr="00374408">
        <w:rPr>
          <w:rFonts w:ascii="Arial" w:hAnsi="Arial" w:cs="Arial"/>
          <w:color w:val="808080" w:themeColor="background1" w:themeShade="80"/>
          <w:sz w:val="22"/>
          <w:szCs w:val="22"/>
          <w:lang w:val="en-ZA"/>
        </w:rPr>
        <w:t xml:space="preserve"> the</w:t>
      </w:r>
      <w:r>
        <w:rPr>
          <w:rFonts w:ascii="Arial" w:hAnsi="Arial" w:cs="Arial"/>
          <w:color w:val="808080" w:themeColor="background1" w:themeShade="80"/>
          <w:sz w:val="22"/>
          <w:szCs w:val="22"/>
          <w:lang w:val="en-ZA"/>
        </w:rPr>
        <w:t>ir</w:t>
      </w:r>
      <w:r w:rsidR="00374408" w:rsidRPr="00374408">
        <w:rPr>
          <w:rFonts w:ascii="Arial" w:hAnsi="Arial" w:cs="Arial"/>
          <w:color w:val="808080" w:themeColor="background1" w:themeShade="80"/>
          <w:sz w:val="22"/>
          <w:szCs w:val="22"/>
          <w:lang w:val="en-ZA"/>
        </w:rPr>
        <w:t xml:space="preserve"> reasons for their objections</w:t>
      </w:r>
      <w:r>
        <w:rPr>
          <w:rFonts w:ascii="Arial" w:hAnsi="Arial" w:cs="Arial"/>
          <w:color w:val="808080" w:themeColor="background1" w:themeShade="80"/>
          <w:sz w:val="22"/>
          <w:szCs w:val="22"/>
          <w:lang w:val="en-ZA"/>
        </w:rPr>
        <w:t>.  Some reasons could include that the marketing process was not a robust one, or that the purchaser is an insider</w:t>
      </w:r>
      <w:r w:rsidR="00CB43F9">
        <w:rPr>
          <w:rFonts w:ascii="Arial" w:hAnsi="Arial" w:cs="Arial"/>
          <w:color w:val="808080" w:themeColor="background1" w:themeShade="80"/>
          <w:sz w:val="22"/>
          <w:szCs w:val="22"/>
          <w:lang w:val="en-ZA"/>
        </w:rPr>
        <w:t xml:space="preserve">.  If substantially all the debtor’s assets were sold, known as a </w:t>
      </w:r>
      <w:r w:rsidR="00CB43F9">
        <w:rPr>
          <w:rFonts w:ascii="Arial" w:hAnsi="Arial" w:cs="Arial"/>
          <w:i/>
          <w:iCs/>
          <w:color w:val="808080" w:themeColor="background1" w:themeShade="80"/>
          <w:sz w:val="22"/>
          <w:szCs w:val="22"/>
          <w:lang w:val="en-ZA"/>
        </w:rPr>
        <w:t xml:space="preserve">sub rosa </w:t>
      </w:r>
      <w:r w:rsidR="00CB43F9">
        <w:rPr>
          <w:rFonts w:ascii="Arial" w:hAnsi="Arial" w:cs="Arial"/>
          <w:color w:val="808080" w:themeColor="background1" w:themeShade="80"/>
          <w:sz w:val="22"/>
          <w:szCs w:val="22"/>
          <w:lang w:val="en-ZA"/>
        </w:rPr>
        <w:t>plan, this may also form a basis of an objection.</w:t>
      </w:r>
    </w:p>
    <w:p w14:paraId="4919C047" w14:textId="391C4241" w:rsidR="00374408" w:rsidRDefault="00374408" w:rsidP="00374408">
      <w:pPr>
        <w:autoSpaceDE w:val="0"/>
        <w:autoSpaceDN w:val="0"/>
        <w:adjustRightInd w:val="0"/>
        <w:jc w:val="both"/>
        <w:rPr>
          <w:rFonts w:ascii="Arial" w:hAnsi="Arial" w:cs="Arial"/>
          <w:color w:val="808080" w:themeColor="background1" w:themeShade="80"/>
          <w:sz w:val="22"/>
          <w:szCs w:val="22"/>
          <w:lang w:val="en-ZA"/>
        </w:rPr>
      </w:pPr>
      <w:r w:rsidRPr="00374408">
        <w:rPr>
          <w:rFonts w:ascii="Arial" w:hAnsi="Arial" w:cs="Arial"/>
          <w:color w:val="808080" w:themeColor="background1" w:themeShade="80"/>
          <w:sz w:val="22"/>
          <w:szCs w:val="22"/>
          <w:lang w:val="en-ZA"/>
        </w:rPr>
        <w:t>The bankruptcy court reserves the right to approve or reject the sale of assets</w:t>
      </w:r>
      <w:r w:rsidR="00CB43F9">
        <w:rPr>
          <w:rFonts w:ascii="Arial" w:hAnsi="Arial" w:cs="Arial"/>
          <w:color w:val="808080" w:themeColor="background1" w:themeShade="80"/>
          <w:sz w:val="22"/>
          <w:szCs w:val="22"/>
          <w:lang w:val="en-ZA"/>
        </w:rPr>
        <w:t xml:space="preserve">.  </w:t>
      </w:r>
      <w:r w:rsidRPr="00374408">
        <w:rPr>
          <w:rFonts w:ascii="Arial" w:hAnsi="Arial" w:cs="Arial"/>
          <w:color w:val="808080" w:themeColor="background1" w:themeShade="80"/>
          <w:sz w:val="22"/>
          <w:szCs w:val="22"/>
          <w:lang w:val="en-ZA"/>
        </w:rPr>
        <w:t>One of the reasons for seeking court approval of the sale is for the court to rule that the sale of assets was for “fair consideration”, and thus reduce the risk of a fraudulent conveyance challenge. If the court rules that the asset sale was made in “good faith”, that ruling offers the asset sale protection from a possible reversal on appeal.</w:t>
      </w:r>
      <w:r w:rsidR="00CB43F9">
        <w:rPr>
          <w:rStyle w:val="FootnoteReference"/>
          <w:rFonts w:ascii="Arial" w:hAnsi="Arial" w:cs="Arial"/>
          <w:color w:val="808080" w:themeColor="background1" w:themeShade="80"/>
          <w:sz w:val="22"/>
          <w:szCs w:val="22"/>
          <w:lang w:val="en-ZA"/>
        </w:rPr>
        <w:footnoteReference w:id="20"/>
      </w:r>
      <w:r w:rsidR="008906F2">
        <w:rPr>
          <w:rFonts w:ascii="Arial" w:hAnsi="Arial" w:cs="Arial"/>
          <w:color w:val="808080" w:themeColor="background1" w:themeShade="80"/>
          <w:sz w:val="22"/>
          <w:szCs w:val="22"/>
          <w:lang w:val="en-ZA"/>
        </w:rPr>
        <w:t xml:space="preserve">  </w:t>
      </w:r>
    </w:p>
    <w:p w14:paraId="0C2699B3" w14:textId="00351B54" w:rsidR="008906F2" w:rsidRDefault="008906F2" w:rsidP="00374408">
      <w:pPr>
        <w:autoSpaceDE w:val="0"/>
        <w:autoSpaceDN w:val="0"/>
        <w:adjustRightInd w:val="0"/>
        <w:jc w:val="both"/>
        <w:rPr>
          <w:rFonts w:ascii="Arial" w:hAnsi="Arial" w:cs="Arial"/>
          <w:color w:val="808080" w:themeColor="background1" w:themeShade="80"/>
          <w:sz w:val="22"/>
          <w:szCs w:val="22"/>
          <w:lang w:val="en-ZA"/>
        </w:rPr>
      </w:pPr>
    </w:p>
    <w:p w14:paraId="10660D88" w14:textId="3273D338" w:rsidR="003F46D4" w:rsidRDefault="003F46D4" w:rsidP="00374408">
      <w:pPr>
        <w:autoSpaceDE w:val="0"/>
        <w:autoSpaceDN w:val="0"/>
        <w:adjustRightInd w:val="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w:t>
      </w:r>
      <w:proofErr w:type="spellStart"/>
      <w:r w:rsidR="00A7030D" w:rsidRPr="00A7030D">
        <w:rPr>
          <w:rFonts w:ascii="Arial" w:hAnsi="Arial" w:cs="Arial"/>
          <w:i/>
          <w:iCs/>
          <w:color w:val="808080" w:themeColor="background1" w:themeShade="80"/>
          <w:sz w:val="22"/>
          <w:szCs w:val="22"/>
        </w:rPr>
        <w:t>Krys</w:t>
      </w:r>
      <w:proofErr w:type="spellEnd"/>
      <w:r w:rsidR="00A7030D" w:rsidRPr="00A7030D">
        <w:rPr>
          <w:rFonts w:ascii="Arial" w:hAnsi="Arial" w:cs="Arial"/>
          <w:i/>
          <w:iCs/>
          <w:color w:val="808080" w:themeColor="background1" w:themeShade="80"/>
          <w:sz w:val="22"/>
          <w:szCs w:val="22"/>
        </w:rPr>
        <w:t xml:space="preserve"> v. Farnum Place, LLC</w:t>
      </w:r>
      <w:r w:rsidR="00A7030D" w:rsidRPr="00A7030D">
        <w:rPr>
          <w:rFonts w:ascii="Arial" w:hAnsi="Arial" w:cs="Arial"/>
          <w:color w:val="808080" w:themeColor="background1" w:themeShade="80"/>
          <w:sz w:val="22"/>
          <w:szCs w:val="22"/>
        </w:rPr>
        <w:t> (</w:t>
      </w:r>
      <w:r w:rsidRPr="003F46D4">
        <w:rPr>
          <w:rFonts w:ascii="Arial" w:hAnsi="Arial" w:cs="Arial"/>
          <w:i/>
          <w:iCs/>
          <w:color w:val="808080" w:themeColor="background1" w:themeShade="80"/>
          <w:sz w:val="22"/>
          <w:szCs w:val="22"/>
        </w:rPr>
        <w:t>In re Fairfield Sentry Ltd</w:t>
      </w:r>
      <w:r w:rsidR="00A7030D">
        <w:rPr>
          <w:rFonts w:ascii="Arial" w:hAnsi="Arial" w:cs="Arial"/>
          <w:i/>
          <w:iCs/>
          <w:color w:val="808080" w:themeColor="background1" w:themeShade="80"/>
          <w:sz w:val="22"/>
          <w:szCs w:val="22"/>
        </w:rPr>
        <w:t>)</w:t>
      </w:r>
      <w:r>
        <w:rPr>
          <w:rFonts w:ascii="Arial" w:hAnsi="Arial" w:cs="Arial"/>
          <w:i/>
          <w:iCs/>
          <w:color w:val="808080" w:themeColor="background1" w:themeShade="80"/>
          <w:sz w:val="22"/>
          <w:szCs w:val="22"/>
        </w:rPr>
        <w:t xml:space="preserve"> </w:t>
      </w:r>
      <w:r w:rsidR="00445BE7">
        <w:rPr>
          <w:rFonts w:ascii="Arial" w:hAnsi="Arial" w:cs="Arial"/>
          <w:i/>
          <w:iCs/>
          <w:color w:val="808080" w:themeColor="background1" w:themeShade="80"/>
          <w:sz w:val="22"/>
          <w:szCs w:val="22"/>
        </w:rPr>
        <w:t xml:space="preserve">539 BR 658 </w:t>
      </w:r>
      <w:r>
        <w:rPr>
          <w:rFonts w:ascii="Arial" w:hAnsi="Arial" w:cs="Arial"/>
          <w:color w:val="808080" w:themeColor="background1" w:themeShade="80"/>
          <w:sz w:val="22"/>
          <w:szCs w:val="22"/>
        </w:rPr>
        <w:t xml:space="preserve">the court held that a </w:t>
      </w:r>
      <w:r w:rsidR="00A7030D">
        <w:rPr>
          <w:rFonts w:ascii="Arial" w:hAnsi="Arial" w:cs="Arial"/>
          <w:color w:val="808080" w:themeColor="background1" w:themeShade="80"/>
          <w:sz w:val="22"/>
          <w:szCs w:val="22"/>
        </w:rPr>
        <w:t xml:space="preserve">bankruptcy </w:t>
      </w:r>
      <w:r>
        <w:rPr>
          <w:rFonts w:ascii="Arial" w:hAnsi="Arial" w:cs="Arial"/>
          <w:color w:val="808080" w:themeColor="background1" w:themeShade="80"/>
          <w:sz w:val="22"/>
          <w:szCs w:val="22"/>
        </w:rPr>
        <w:t>court must independently analyze a proposed sale under section 363</w:t>
      </w:r>
      <w:r w:rsidR="00A7030D">
        <w:rPr>
          <w:rFonts w:ascii="Arial" w:hAnsi="Arial" w:cs="Arial"/>
          <w:color w:val="808080" w:themeColor="background1" w:themeShade="80"/>
          <w:sz w:val="22"/>
          <w:szCs w:val="22"/>
        </w:rPr>
        <w:t xml:space="preserve"> and must expressly find a good business reason to approve such sale.  The court must</w:t>
      </w:r>
      <w:r>
        <w:rPr>
          <w:rFonts w:ascii="Arial" w:hAnsi="Arial" w:cs="Arial"/>
          <w:color w:val="808080" w:themeColor="background1" w:themeShade="80"/>
          <w:sz w:val="22"/>
          <w:szCs w:val="22"/>
        </w:rPr>
        <w:t xml:space="preserve"> not defer to approval of sale in foreign proceeding.  </w:t>
      </w:r>
    </w:p>
    <w:p w14:paraId="258FA57D" w14:textId="77777777" w:rsidR="00596429" w:rsidRPr="003F46D4" w:rsidRDefault="00596429" w:rsidP="00374408">
      <w:pPr>
        <w:autoSpaceDE w:val="0"/>
        <w:autoSpaceDN w:val="0"/>
        <w:adjustRightInd w:val="0"/>
        <w:jc w:val="both"/>
        <w:rPr>
          <w:rFonts w:ascii="Arial" w:hAnsi="Arial" w:cs="Arial"/>
          <w:color w:val="808080" w:themeColor="background1" w:themeShade="80"/>
          <w:sz w:val="22"/>
          <w:szCs w:val="22"/>
          <w:lang w:val="en-ZA"/>
        </w:rPr>
      </w:pPr>
    </w:p>
    <w:p w14:paraId="70196222" w14:textId="18D69928" w:rsidR="008906F2" w:rsidRDefault="008906F2" w:rsidP="00374408">
      <w:pPr>
        <w:autoSpaceDE w:val="0"/>
        <w:autoSpaceDN w:val="0"/>
        <w:adjustRightInd w:val="0"/>
        <w:jc w:val="both"/>
        <w:rPr>
          <w:rFonts w:ascii="Arial" w:hAnsi="Arial" w:cs="Arial"/>
          <w:color w:val="808080" w:themeColor="background1" w:themeShade="80"/>
          <w:sz w:val="22"/>
          <w:szCs w:val="22"/>
          <w:lang w:val="en-ZA"/>
        </w:rPr>
      </w:pPr>
    </w:p>
    <w:p w14:paraId="7BBE4F19" w14:textId="49ED8BE2" w:rsidR="008906F2" w:rsidRPr="008906F2" w:rsidRDefault="008906F2" w:rsidP="00374408">
      <w:pPr>
        <w:autoSpaceDE w:val="0"/>
        <w:autoSpaceDN w:val="0"/>
        <w:adjustRightInd w:val="0"/>
        <w:jc w:val="both"/>
        <w:rPr>
          <w:rFonts w:ascii="Arial" w:hAnsi="Arial" w:cs="Arial"/>
          <w:b/>
          <w:bCs/>
          <w:color w:val="808080" w:themeColor="background1" w:themeShade="80"/>
          <w:sz w:val="22"/>
          <w:szCs w:val="22"/>
          <w:u w:val="single"/>
          <w:lang w:val="en-ZA"/>
        </w:rPr>
      </w:pPr>
      <w:r>
        <w:rPr>
          <w:rFonts w:ascii="Arial" w:hAnsi="Arial" w:cs="Arial"/>
          <w:b/>
          <w:bCs/>
          <w:color w:val="808080" w:themeColor="background1" w:themeShade="80"/>
          <w:sz w:val="22"/>
          <w:szCs w:val="22"/>
          <w:u w:val="single"/>
          <w:lang w:val="en-ZA"/>
        </w:rPr>
        <w:t>APPLICATION OF THE LAW TO THE FACTS</w:t>
      </w:r>
    </w:p>
    <w:p w14:paraId="741B8C02" w14:textId="77777777" w:rsidR="00374408" w:rsidRDefault="00374408" w:rsidP="00323167">
      <w:pPr>
        <w:autoSpaceDE w:val="0"/>
        <w:autoSpaceDN w:val="0"/>
        <w:adjustRightInd w:val="0"/>
        <w:jc w:val="both"/>
        <w:rPr>
          <w:rFonts w:ascii="Arial" w:hAnsi="Arial" w:cs="Arial"/>
          <w:color w:val="808080" w:themeColor="background1" w:themeShade="80"/>
          <w:sz w:val="22"/>
          <w:szCs w:val="22"/>
          <w:lang w:val="en-GB"/>
        </w:rPr>
      </w:pPr>
    </w:p>
    <w:p w14:paraId="0B4C8718" w14:textId="1EC1AE5A" w:rsidR="005B2A9B" w:rsidRDefault="008906F2" w:rsidP="00323167">
      <w:pPr>
        <w:autoSpaceDE w:val="0"/>
        <w:autoSpaceDN w:val="0"/>
        <w:adjustRightInd w:val="0"/>
        <w:jc w:val="both"/>
        <w:rPr>
          <w:rFonts w:ascii="Arial" w:hAnsi="Arial" w:cs="Arial"/>
          <w:color w:val="808080" w:themeColor="background1" w:themeShade="80"/>
          <w:sz w:val="22"/>
          <w:szCs w:val="22"/>
        </w:rPr>
      </w:pPr>
      <w:r w:rsidRPr="008906F2">
        <w:rPr>
          <w:rFonts w:ascii="Arial" w:hAnsi="Arial" w:cs="Arial"/>
          <w:color w:val="808080" w:themeColor="background1" w:themeShade="80"/>
          <w:sz w:val="22"/>
          <w:szCs w:val="22"/>
        </w:rPr>
        <w:t>Oil Corp has invented several patented processes for plastic manufacturing, which it licenses to Plastic Corp.</w:t>
      </w:r>
      <w:r>
        <w:rPr>
          <w:rFonts w:ascii="Arial" w:hAnsi="Arial" w:cs="Arial"/>
          <w:color w:val="808080" w:themeColor="background1" w:themeShade="80"/>
          <w:sz w:val="22"/>
          <w:szCs w:val="22"/>
        </w:rPr>
        <w:t xml:space="preserve">  It does not need the consent of Plastic Corp to assume and assign the trademark license as Oil Corp is the licensor.  </w:t>
      </w:r>
    </w:p>
    <w:p w14:paraId="074A6547" w14:textId="4C1BF935" w:rsidR="008906F2" w:rsidRDefault="008906F2" w:rsidP="00323167">
      <w:pPr>
        <w:autoSpaceDE w:val="0"/>
        <w:autoSpaceDN w:val="0"/>
        <w:adjustRightInd w:val="0"/>
        <w:jc w:val="both"/>
        <w:rPr>
          <w:rFonts w:ascii="Arial" w:hAnsi="Arial" w:cs="Arial"/>
          <w:color w:val="808080" w:themeColor="background1" w:themeShade="80"/>
          <w:sz w:val="22"/>
          <w:szCs w:val="22"/>
        </w:rPr>
      </w:pPr>
    </w:p>
    <w:p w14:paraId="35506CF2" w14:textId="1459D14D" w:rsidR="00657722" w:rsidRPr="00657722" w:rsidRDefault="00657722" w:rsidP="00657722">
      <w:pPr>
        <w:autoSpaceDE w:val="0"/>
        <w:autoSpaceDN w:val="0"/>
        <w:adjustRightInd w:val="0"/>
        <w:jc w:val="both"/>
        <w:rPr>
          <w:rFonts w:ascii="Arial" w:hAnsi="Arial" w:cs="Arial"/>
          <w:color w:val="808080" w:themeColor="background1" w:themeShade="80"/>
          <w:sz w:val="22"/>
          <w:szCs w:val="22"/>
          <w:lang w:val="en-ZA"/>
        </w:rPr>
      </w:pPr>
      <w:r w:rsidRPr="00657722">
        <w:rPr>
          <w:rFonts w:ascii="Arial" w:hAnsi="Arial" w:cs="Arial"/>
          <w:color w:val="808080" w:themeColor="background1" w:themeShade="80"/>
          <w:sz w:val="22"/>
          <w:szCs w:val="22"/>
          <w:lang w:val="en-ZA"/>
        </w:rPr>
        <w:t xml:space="preserve">Under section 363 (f) of the Code, </w:t>
      </w:r>
      <w:r>
        <w:rPr>
          <w:rFonts w:ascii="Arial" w:hAnsi="Arial" w:cs="Arial"/>
          <w:color w:val="808080" w:themeColor="background1" w:themeShade="80"/>
          <w:sz w:val="22"/>
          <w:szCs w:val="22"/>
          <w:lang w:val="en-ZA"/>
        </w:rPr>
        <w:t>“</w:t>
      </w:r>
      <w:r w:rsidRPr="00657722">
        <w:rPr>
          <w:rFonts w:ascii="Arial" w:hAnsi="Arial" w:cs="Arial"/>
          <w:color w:val="808080" w:themeColor="background1" w:themeShade="80"/>
          <w:sz w:val="22"/>
          <w:szCs w:val="22"/>
          <w:lang w:val="en-ZA"/>
        </w:rPr>
        <w:t xml:space="preserve">the trustee may sell property </w:t>
      </w:r>
      <w:proofErr w:type="gramStart"/>
      <w:r>
        <w:rPr>
          <w:rFonts w:ascii="Arial" w:hAnsi="Arial" w:cs="Arial"/>
          <w:color w:val="808080" w:themeColor="background1" w:themeShade="80"/>
          <w:sz w:val="22"/>
          <w:szCs w:val="22"/>
          <w:lang w:val="en-ZA"/>
        </w:rPr>
        <w:t>….</w:t>
      </w:r>
      <w:r w:rsidRPr="00657722">
        <w:rPr>
          <w:rFonts w:ascii="Arial" w:hAnsi="Arial" w:cs="Arial"/>
          <w:color w:val="808080" w:themeColor="background1" w:themeShade="80"/>
          <w:sz w:val="22"/>
          <w:szCs w:val="22"/>
          <w:lang w:val="en-ZA"/>
        </w:rPr>
        <w:t>free</w:t>
      </w:r>
      <w:proofErr w:type="gramEnd"/>
      <w:r w:rsidRPr="00657722">
        <w:rPr>
          <w:rFonts w:ascii="Arial" w:hAnsi="Arial" w:cs="Arial"/>
          <w:color w:val="808080" w:themeColor="background1" w:themeShade="80"/>
          <w:sz w:val="22"/>
          <w:szCs w:val="22"/>
          <w:lang w:val="en-ZA"/>
        </w:rPr>
        <w:t xml:space="preserve"> and clear of any interest in such property of an entity other than the estate, only if—</w:t>
      </w:r>
    </w:p>
    <w:p w14:paraId="69705DB9" w14:textId="12CC75D8" w:rsidR="00657722" w:rsidRPr="00657722" w:rsidRDefault="00657722" w:rsidP="00657722">
      <w:pPr>
        <w:autoSpaceDE w:val="0"/>
        <w:autoSpaceDN w:val="0"/>
        <w:adjustRightInd w:val="0"/>
        <w:jc w:val="both"/>
        <w:rPr>
          <w:rFonts w:ascii="Arial" w:hAnsi="Arial" w:cs="Arial"/>
          <w:color w:val="808080" w:themeColor="background1" w:themeShade="80"/>
          <w:sz w:val="22"/>
          <w:szCs w:val="22"/>
          <w:lang w:val="en-ZA"/>
        </w:rPr>
      </w:pPr>
      <w:r w:rsidRPr="00657722">
        <w:rPr>
          <w:rFonts w:ascii="Arial" w:hAnsi="Arial" w:cs="Arial"/>
          <w:color w:val="808080" w:themeColor="background1" w:themeShade="80"/>
          <w:sz w:val="22"/>
          <w:szCs w:val="22"/>
          <w:lang w:val="en-ZA"/>
        </w:rPr>
        <w:t>(1) applicable non</w:t>
      </w:r>
      <w:r w:rsidR="00596429">
        <w:rPr>
          <w:rFonts w:ascii="Arial" w:hAnsi="Arial" w:cs="Arial"/>
          <w:color w:val="808080" w:themeColor="background1" w:themeShade="80"/>
          <w:sz w:val="22"/>
          <w:szCs w:val="22"/>
          <w:lang w:val="en-ZA"/>
        </w:rPr>
        <w:t>-</w:t>
      </w:r>
      <w:r w:rsidRPr="00657722">
        <w:rPr>
          <w:rFonts w:ascii="Arial" w:hAnsi="Arial" w:cs="Arial"/>
          <w:color w:val="808080" w:themeColor="background1" w:themeShade="80"/>
          <w:sz w:val="22"/>
          <w:szCs w:val="22"/>
          <w:lang w:val="en-ZA"/>
        </w:rPr>
        <w:t xml:space="preserve">bankruptcy law permits sale of such property free and clear of such </w:t>
      </w:r>
      <w:proofErr w:type="gramStart"/>
      <w:r w:rsidRPr="00657722">
        <w:rPr>
          <w:rFonts w:ascii="Arial" w:hAnsi="Arial" w:cs="Arial"/>
          <w:color w:val="808080" w:themeColor="background1" w:themeShade="80"/>
          <w:sz w:val="22"/>
          <w:szCs w:val="22"/>
          <w:lang w:val="en-ZA"/>
        </w:rPr>
        <w:t>interest;</w:t>
      </w:r>
      <w:proofErr w:type="gramEnd"/>
    </w:p>
    <w:p w14:paraId="16C86BEF" w14:textId="556520B7" w:rsidR="00657722" w:rsidRDefault="00657722" w:rsidP="00657722">
      <w:pPr>
        <w:autoSpaceDE w:val="0"/>
        <w:autoSpaceDN w:val="0"/>
        <w:adjustRightInd w:val="0"/>
        <w:jc w:val="both"/>
        <w:rPr>
          <w:rFonts w:ascii="Arial" w:hAnsi="Arial" w:cs="Arial"/>
          <w:color w:val="808080" w:themeColor="background1" w:themeShade="80"/>
          <w:sz w:val="22"/>
          <w:szCs w:val="22"/>
          <w:lang w:val="en-ZA"/>
        </w:rPr>
      </w:pPr>
      <w:r w:rsidRPr="00657722">
        <w:rPr>
          <w:rFonts w:ascii="Arial" w:hAnsi="Arial" w:cs="Arial"/>
          <w:color w:val="808080" w:themeColor="background1" w:themeShade="80"/>
          <w:sz w:val="22"/>
          <w:szCs w:val="22"/>
          <w:lang w:val="en-ZA"/>
        </w:rPr>
        <w:t xml:space="preserve">(2) such entity </w:t>
      </w:r>
      <w:proofErr w:type="gramStart"/>
      <w:r w:rsidRPr="00657722">
        <w:rPr>
          <w:rFonts w:ascii="Arial" w:hAnsi="Arial" w:cs="Arial"/>
          <w:color w:val="808080" w:themeColor="background1" w:themeShade="80"/>
          <w:sz w:val="22"/>
          <w:szCs w:val="22"/>
          <w:lang w:val="en-ZA"/>
        </w:rPr>
        <w:t>consents</w:t>
      </w:r>
      <w:r>
        <w:rPr>
          <w:rFonts w:ascii="Arial" w:hAnsi="Arial" w:cs="Arial"/>
          <w:color w:val="808080" w:themeColor="background1" w:themeShade="80"/>
          <w:sz w:val="22"/>
          <w:szCs w:val="22"/>
          <w:lang w:val="en-ZA"/>
        </w:rPr>
        <w:t>..</w:t>
      </w:r>
      <w:proofErr w:type="gramEnd"/>
      <w:r>
        <w:rPr>
          <w:rFonts w:ascii="Arial" w:hAnsi="Arial" w:cs="Arial"/>
          <w:color w:val="808080" w:themeColor="background1" w:themeShade="80"/>
          <w:sz w:val="22"/>
          <w:szCs w:val="22"/>
          <w:lang w:val="en-ZA"/>
        </w:rPr>
        <w:t>”</w:t>
      </w:r>
    </w:p>
    <w:p w14:paraId="3923D807" w14:textId="17A7DD26" w:rsidR="008906F2" w:rsidRDefault="00657722" w:rsidP="008906F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ZA"/>
        </w:rPr>
        <w:t>Therefore, applying the above, l</w:t>
      </w:r>
      <w:r w:rsidR="008906F2" w:rsidRPr="008906F2">
        <w:rPr>
          <w:rFonts w:ascii="Arial" w:hAnsi="Arial" w:cs="Arial"/>
          <w:color w:val="808080" w:themeColor="background1" w:themeShade="80"/>
          <w:sz w:val="22"/>
          <w:szCs w:val="22"/>
          <w:lang w:val="en-GB"/>
        </w:rPr>
        <w:t>icensees of patents and copyrights owned by the debtor are protected such that their licences may not be terminated in connection with the sale of the intellectual property without their consent.</w:t>
      </w:r>
      <w:r w:rsidR="008906F2">
        <w:rPr>
          <w:rFonts w:ascii="Arial" w:hAnsi="Arial" w:cs="Arial"/>
          <w:color w:val="808080" w:themeColor="background1" w:themeShade="80"/>
          <w:sz w:val="22"/>
          <w:szCs w:val="22"/>
          <w:lang w:val="en-GB"/>
        </w:rPr>
        <w:t xml:space="preserve">  Consequently, Oil Corp may not reject the patent licences without the consent of Plastic Corp.  </w:t>
      </w:r>
    </w:p>
    <w:p w14:paraId="22CCE632" w14:textId="29A7C03E" w:rsidR="008906F2" w:rsidRDefault="008906F2" w:rsidP="008906F2">
      <w:pPr>
        <w:autoSpaceDE w:val="0"/>
        <w:autoSpaceDN w:val="0"/>
        <w:adjustRightInd w:val="0"/>
        <w:jc w:val="both"/>
        <w:rPr>
          <w:rFonts w:ascii="Arial" w:hAnsi="Arial" w:cs="Arial"/>
          <w:color w:val="808080" w:themeColor="background1" w:themeShade="80"/>
          <w:sz w:val="22"/>
          <w:szCs w:val="22"/>
          <w:lang w:val="en-GB"/>
        </w:rPr>
      </w:pPr>
    </w:p>
    <w:p w14:paraId="70A84E75" w14:textId="6976C3AD" w:rsidR="00C6659C" w:rsidRDefault="00C6659C" w:rsidP="008906F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Oil Corp is entitled under section 363 to sell assets free and clear of </w:t>
      </w:r>
      <w:proofErr w:type="gramStart"/>
      <w:r>
        <w:rPr>
          <w:rFonts w:ascii="Arial" w:hAnsi="Arial" w:cs="Arial"/>
          <w:color w:val="808080" w:themeColor="background1" w:themeShade="80"/>
          <w:sz w:val="22"/>
          <w:szCs w:val="22"/>
          <w:lang w:val="en-GB"/>
        </w:rPr>
        <w:t>liens</w:t>
      </w:r>
      <w:proofErr w:type="gramEnd"/>
      <w:r>
        <w:rPr>
          <w:rFonts w:ascii="Arial" w:hAnsi="Arial" w:cs="Arial"/>
          <w:color w:val="808080" w:themeColor="background1" w:themeShade="80"/>
          <w:sz w:val="22"/>
          <w:szCs w:val="22"/>
          <w:lang w:val="en-GB"/>
        </w:rPr>
        <w:t xml:space="preserve"> so Oil Corp is at liberty to pursue a section 363 sale herein</w:t>
      </w:r>
      <w:r w:rsidR="00596429">
        <w:rPr>
          <w:rFonts w:ascii="Arial" w:hAnsi="Arial" w:cs="Arial"/>
          <w:color w:val="808080" w:themeColor="background1" w:themeShade="80"/>
          <w:sz w:val="22"/>
          <w:szCs w:val="22"/>
          <w:lang w:val="en-GB"/>
        </w:rPr>
        <w:t xml:space="preserve"> without the consent of either the USA Bank or Plastic Corp.</w:t>
      </w:r>
    </w:p>
    <w:p w14:paraId="07F576C8" w14:textId="77777777" w:rsidR="00445BE7" w:rsidRDefault="00C6659C" w:rsidP="008906F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Oil Corp </w:t>
      </w:r>
      <w:r w:rsidR="00596429">
        <w:rPr>
          <w:rFonts w:ascii="Arial" w:hAnsi="Arial" w:cs="Arial"/>
          <w:color w:val="808080" w:themeColor="background1" w:themeShade="80"/>
          <w:sz w:val="22"/>
          <w:szCs w:val="22"/>
          <w:lang w:val="en-GB"/>
        </w:rPr>
        <w:t xml:space="preserve">however should take care to </w:t>
      </w:r>
      <w:r>
        <w:rPr>
          <w:rFonts w:ascii="Arial" w:hAnsi="Arial" w:cs="Arial"/>
          <w:color w:val="808080" w:themeColor="background1" w:themeShade="80"/>
          <w:sz w:val="22"/>
          <w:szCs w:val="22"/>
          <w:lang w:val="en-GB"/>
        </w:rPr>
        <w:t xml:space="preserve">ensure that it complies with due process and conducts the negotiations leading up to the auction in good faith to ensure that no objections raised lead to a reversal of the sale. </w:t>
      </w:r>
    </w:p>
    <w:p w14:paraId="636D0B78" w14:textId="23CAB56D" w:rsidR="00C6659C" w:rsidRDefault="00445BE7" w:rsidP="008906F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is because despite any approvals of any sales, the court is enjoined to independently </w:t>
      </w:r>
      <w:proofErr w:type="spellStart"/>
      <w:r>
        <w:rPr>
          <w:rFonts w:ascii="Arial" w:hAnsi="Arial" w:cs="Arial"/>
          <w:color w:val="808080" w:themeColor="background1" w:themeShade="80"/>
          <w:sz w:val="22"/>
          <w:szCs w:val="22"/>
          <w:lang w:val="en-GB"/>
        </w:rPr>
        <w:t>analyze</w:t>
      </w:r>
      <w:proofErr w:type="spellEnd"/>
      <w:r>
        <w:rPr>
          <w:rFonts w:ascii="Arial" w:hAnsi="Arial" w:cs="Arial"/>
          <w:color w:val="808080" w:themeColor="background1" w:themeShade="80"/>
          <w:sz w:val="22"/>
          <w:szCs w:val="22"/>
          <w:lang w:val="en-GB"/>
        </w:rPr>
        <w:t xml:space="preserve"> the agreement.</w:t>
      </w:r>
      <w:r w:rsidR="00C6659C">
        <w:rPr>
          <w:rFonts w:ascii="Arial" w:hAnsi="Arial" w:cs="Arial"/>
          <w:color w:val="808080" w:themeColor="background1" w:themeShade="80"/>
          <w:sz w:val="22"/>
          <w:szCs w:val="22"/>
          <w:lang w:val="en-GB"/>
        </w:rPr>
        <w:t xml:space="preserve"> </w:t>
      </w:r>
    </w:p>
    <w:p w14:paraId="7FB96B22" w14:textId="075001BF" w:rsidR="00596429" w:rsidRDefault="00596429" w:rsidP="008906F2">
      <w:pPr>
        <w:autoSpaceDE w:val="0"/>
        <w:autoSpaceDN w:val="0"/>
        <w:adjustRightInd w:val="0"/>
        <w:jc w:val="both"/>
        <w:rPr>
          <w:rFonts w:ascii="Arial" w:hAnsi="Arial" w:cs="Arial"/>
          <w:color w:val="808080" w:themeColor="background1" w:themeShade="80"/>
          <w:sz w:val="22"/>
          <w:szCs w:val="22"/>
          <w:lang w:val="en-GB"/>
        </w:rPr>
      </w:pPr>
    </w:p>
    <w:p w14:paraId="235FC2BF" w14:textId="77777777" w:rsidR="00596429" w:rsidRPr="008906F2" w:rsidRDefault="00596429" w:rsidP="008906F2">
      <w:pPr>
        <w:autoSpaceDE w:val="0"/>
        <w:autoSpaceDN w:val="0"/>
        <w:adjustRightInd w:val="0"/>
        <w:jc w:val="both"/>
        <w:rPr>
          <w:rFonts w:ascii="Arial" w:hAnsi="Arial" w:cs="Arial"/>
          <w:color w:val="808080" w:themeColor="background1" w:themeShade="80"/>
          <w:sz w:val="22"/>
          <w:szCs w:val="22"/>
          <w:lang w:val="en-GB"/>
        </w:rPr>
      </w:pPr>
    </w:p>
    <w:p w14:paraId="68344ABB" w14:textId="77777777" w:rsidR="008906F2" w:rsidRDefault="008906F2" w:rsidP="00323167">
      <w:pPr>
        <w:autoSpaceDE w:val="0"/>
        <w:autoSpaceDN w:val="0"/>
        <w:adjustRightInd w:val="0"/>
        <w:jc w:val="both"/>
        <w:rPr>
          <w:rFonts w:ascii="Arial" w:hAnsi="Arial" w:cs="Arial"/>
          <w:color w:val="808080" w:themeColor="background1" w:themeShade="80"/>
          <w:sz w:val="22"/>
          <w:szCs w:val="22"/>
        </w:rPr>
      </w:pPr>
    </w:p>
    <w:p w14:paraId="4D98E63E" w14:textId="77777777" w:rsidR="008906F2" w:rsidRPr="00323167" w:rsidRDefault="008906F2"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D2E8" w14:textId="77777777" w:rsidR="00AB51F6" w:rsidRDefault="00AB51F6" w:rsidP="00241B44">
      <w:r>
        <w:separator/>
      </w:r>
    </w:p>
  </w:endnote>
  <w:endnote w:type="continuationSeparator" w:id="0">
    <w:p w14:paraId="2D64203F" w14:textId="77777777" w:rsidR="00AB51F6" w:rsidRDefault="00AB51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2BB033A" w:rsidR="00241FA3" w:rsidRPr="009B4976" w:rsidRDefault="00DE0602" w:rsidP="009B4976">
    <w:pPr>
      <w:pStyle w:val="Footer"/>
      <w:ind w:right="360"/>
      <w:rPr>
        <w:rFonts w:ascii="Arial" w:hAnsi="Arial" w:cs="Arial"/>
        <w:sz w:val="18"/>
        <w:szCs w:val="18"/>
        <w:lang w:val="en-GB"/>
      </w:rPr>
    </w:pPr>
    <w:r>
      <w:rPr>
        <w:rFonts w:ascii="Arial" w:hAnsi="Arial" w:cs="Arial"/>
        <w:sz w:val="18"/>
        <w:szCs w:val="18"/>
        <w:lang w:val="en-GB"/>
      </w:rPr>
      <w:t>202122-372</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0067" w14:textId="77777777" w:rsidR="00AB51F6" w:rsidRDefault="00AB51F6" w:rsidP="00241B44">
      <w:r>
        <w:separator/>
      </w:r>
    </w:p>
  </w:footnote>
  <w:footnote w:type="continuationSeparator" w:id="0">
    <w:p w14:paraId="32901221" w14:textId="77777777" w:rsidR="00AB51F6" w:rsidRDefault="00AB51F6" w:rsidP="00241B44">
      <w:r>
        <w:continuationSeparator/>
      </w:r>
    </w:p>
  </w:footnote>
  <w:footnote w:id="1">
    <w:p w14:paraId="68A7E629" w14:textId="3686FDB0" w:rsidR="00AA407C" w:rsidRPr="00AA407C" w:rsidRDefault="00AA407C">
      <w:pPr>
        <w:pStyle w:val="FootnoteText"/>
        <w:rPr>
          <w:lang w:val="en-ZA"/>
        </w:rPr>
      </w:pPr>
      <w:r>
        <w:rPr>
          <w:rStyle w:val="FootnoteReference"/>
        </w:rPr>
        <w:footnoteRef/>
      </w:r>
      <w:r>
        <w:t xml:space="preserve"> </w:t>
      </w:r>
      <w:r w:rsidRPr="00AA407C">
        <w:t xml:space="preserve">However, the 5th Circuit U.S. Court of Appeals in </w:t>
      </w:r>
      <w:r w:rsidRPr="00AA407C">
        <w:rPr>
          <w:i/>
          <w:iCs/>
        </w:rPr>
        <w:t>In re Condor Ins. Ltd., 601 F.3d 319 (5th Cir. 2010)</w:t>
      </w:r>
      <w:r>
        <w:t xml:space="preserve"> </w:t>
      </w:r>
      <w:r w:rsidRPr="00AA407C">
        <w:t>held that a foreign representative could pursue “avoidance” remedies using the avoidance laws of the foreign jurisdiction (in Condor , the laws of Nevis)</w:t>
      </w:r>
      <w:r>
        <w:t xml:space="preserve"> – see “Chapter 15 and cross-border insolvency” available online at </w:t>
      </w:r>
      <w:hyperlink r:id="rId1" w:history="1">
        <w:r w:rsidRPr="00FE6A88">
          <w:rPr>
            <w:rStyle w:val="Hyperlink"/>
          </w:rPr>
          <w:t>https://www.shumaker.com/Templates/media/files/pdf/news/publications/7newsletter-chapter-15-and-cross-border-insolvency_x.pdf</w:t>
        </w:r>
      </w:hyperlink>
      <w:r>
        <w:t>. Accessed 4</w:t>
      </w:r>
      <w:r w:rsidRPr="00AA407C">
        <w:rPr>
          <w:vertAlign w:val="superscript"/>
        </w:rPr>
        <w:t>th</w:t>
      </w:r>
      <w:r>
        <w:t xml:space="preserve"> July 2022.</w:t>
      </w:r>
    </w:p>
  </w:footnote>
  <w:footnote w:id="2">
    <w:p w14:paraId="7B668F67" w14:textId="013962C0" w:rsidR="0039148A" w:rsidRPr="0039148A" w:rsidRDefault="0039148A">
      <w:pPr>
        <w:pStyle w:val="FootnoteText"/>
        <w:rPr>
          <w:lang w:val="en-ZA"/>
        </w:rPr>
      </w:pPr>
      <w:r>
        <w:rPr>
          <w:rStyle w:val="FootnoteReference"/>
        </w:rPr>
        <w:footnoteRef/>
      </w:r>
      <w:r>
        <w:t xml:space="preserve"> </w:t>
      </w:r>
      <w:r>
        <w:rPr>
          <w:lang w:val="en-ZA"/>
        </w:rPr>
        <w:t xml:space="preserve">B E Scheler </w:t>
      </w:r>
      <w:r>
        <w:rPr>
          <w:i/>
          <w:iCs/>
          <w:lang w:val="en-ZA"/>
        </w:rPr>
        <w:t xml:space="preserve">et al.  </w:t>
      </w:r>
      <w:r>
        <w:rPr>
          <w:lang w:val="en-ZA"/>
        </w:rPr>
        <w:t xml:space="preserve">“Director Fiduciary Duty in Insolvency.”  Available online at </w:t>
      </w:r>
      <w:hyperlink r:id="rId2" w:history="1">
        <w:r w:rsidRPr="00E378F3">
          <w:rPr>
            <w:rStyle w:val="Hyperlink"/>
            <w:lang w:val="en-ZA"/>
          </w:rPr>
          <w:t>https://corpgov.law.harvard.edu/2020/04/15/director-fiduciary-duty-in-insolvency/</w:t>
        </w:r>
      </w:hyperlink>
      <w:r>
        <w:rPr>
          <w:lang w:val="en-ZA"/>
        </w:rPr>
        <w:t>.  Accessed:  4</w:t>
      </w:r>
      <w:r w:rsidRPr="0039148A">
        <w:rPr>
          <w:vertAlign w:val="superscript"/>
          <w:lang w:val="en-ZA"/>
        </w:rPr>
        <w:t>th</w:t>
      </w:r>
      <w:r>
        <w:rPr>
          <w:lang w:val="en-ZA"/>
        </w:rPr>
        <w:t xml:space="preserve"> July 2022.</w:t>
      </w:r>
    </w:p>
  </w:footnote>
  <w:footnote w:id="3">
    <w:p w14:paraId="107C2128" w14:textId="6F968E2A" w:rsidR="0039148A" w:rsidRPr="0039148A" w:rsidRDefault="0039148A">
      <w:pPr>
        <w:pStyle w:val="FootnoteText"/>
        <w:rPr>
          <w:lang w:val="en-ZA"/>
        </w:rPr>
      </w:pPr>
      <w:r>
        <w:rPr>
          <w:rStyle w:val="FootnoteReference"/>
        </w:rPr>
        <w:footnoteRef/>
      </w:r>
      <w:r>
        <w:t xml:space="preserve"> </w:t>
      </w:r>
      <w:r>
        <w:rPr>
          <w:i/>
          <w:iCs/>
          <w:lang w:val="en-ZA"/>
        </w:rPr>
        <w:t>Ibid</w:t>
      </w:r>
      <w:r>
        <w:rPr>
          <w:lang w:val="en-ZA"/>
        </w:rPr>
        <w:t xml:space="preserve">.  </w:t>
      </w:r>
    </w:p>
  </w:footnote>
  <w:footnote w:id="4">
    <w:p w14:paraId="1C25E771" w14:textId="77777777" w:rsidR="00184A87" w:rsidRPr="003F222D" w:rsidRDefault="00184A87" w:rsidP="00184A87">
      <w:pPr>
        <w:pStyle w:val="FootnoteText"/>
        <w:rPr>
          <w:lang w:val="en-ZA"/>
        </w:rPr>
      </w:pPr>
      <w:r>
        <w:rPr>
          <w:rStyle w:val="FootnoteReference"/>
        </w:rPr>
        <w:footnoteRef/>
      </w:r>
      <w:r>
        <w:t xml:space="preserve"> </w:t>
      </w:r>
      <w:r w:rsidRPr="003F222D">
        <w:t xml:space="preserve">I </w:t>
      </w:r>
      <w:proofErr w:type="spellStart"/>
      <w:r w:rsidRPr="003F222D">
        <w:t>Mevorach</w:t>
      </w:r>
      <w:proofErr w:type="spellEnd"/>
      <w:r w:rsidRPr="003F222D">
        <w:t xml:space="preserve">, “The 'Home Country' of a Multinational Enterprise Group Facing Insolvency” in </w:t>
      </w:r>
      <w:r w:rsidRPr="003F222D">
        <w:rPr>
          <w:i/>
          <w:iCs/>
        </w:rPr>
        <w:t>The International and Comparative Law Quarterly</w:t>
      </w:r>
      <w:r w:rsidRPr="003F222D">
        <w:t xml:space="preserve"> Apr. 2008, Vol. 57, No. 2 pp. 427-448 available online at </w:t>
      </w:r>
      <w:hyperlink r:id="rId3" w:history="1">
        <w:r w:rsidRPr="003F222D">
          <w:rPr>
            <w:rStyle w:val="Hyperlink"/>
          </w:rPr>
          <w:t>https://www.jstor.org/stable/2048821</w:t>
        </w:r>
      </w:hyperlink>
      <w:r w:rsidRPr="003F222D">
        <w:t>. Accessed 14</w:t>
      </w:r>
      <w:r w:rsidRPr="003F222D">
        <w:rPr>
          <w:vertAlign w:val="superscript"/>
        </w:rPr>
        <w:t>th</w:t>
      </w:r>
      <w:r w:rsidRPr="003F222D">
        <w:t xml:space="preserve"> October 2021.</w:t>
      </w:r>
    </w:p>
  </w:footnote>
  <w:footnote w:id="5">
    <w:p w14:paraId="035E40CA" w14:textId="77777777" w:rsidR="00184A87" w:rsidRPr="00007F3B" w:rsidRDefault="00184A87" w:rsidP="00184A87">
      <w:pPr>
        <w:pStyle w:val="FootnoteText"/>
        <w:rPr>
          <w:lang w:val="en-ZA"/>
        </w:rPr>
      </w:pPr>
      <w:r>
        <w:rPr>
          <w:rStyle w:val="FootnoteReference"/>
        </w:rPr>
        <w:footnoteRef/>
      </w:r>
      <w:r>
        <w:t xml:space="preserve"> </w:t>
      </w:r>
      <w:r w:rsidRPr="00007F3B">
        <w:t xml:space="preserve">UNCITRAL Model Law on Cross-Border Insolvency with Guide to Enactment and Interpretation.  </w:t>
      </w:r>
    </w:p>
  </w:footnote>
  <w:footnote w:id="6">
    <w:p w14:paraId="16E0D416" w14:textId="4348517B" w:rsidR="00D67091" w:rsidRPr="00D67091" w:rsidRDefault="00D67091">
      <w:pPr>
        <w:pStyle w:val="FootnoteText"/>
        <w:rPr>
          <w:lang w:val="en-ZA"/>
        </w:rPr>
      </w:pPr>
      <w:r>
        <w:rPr>
          <w:rStyle w:val="FootnoteReference"/>
        </w:rPr>
        <w:footnoteRef/>
      </w:r>
      <w:r>
        <w:t xml:space="preserve"> </w:t>
      </w:r>
      <w:r>
        <w:rPr>
          <w:lang w:val="en-ZA"/>
        </w:rPr>
        <w:t>Section 1516(c) of the Code.</w:t>
      </w:r>
    </w:p>
  </w:footnote>
  <w:footnote w:id="7">
    <w:p w14:paraId="11A343F3" w14:textId="67FF3B21" w:rsidR="00F64E1A" w:rsidRPr="00C86667" w:rsidRDefault="00F64E1A" w:rsidP="00F64E1A">
      <w:pPr>
        <w:pStyle w:val="FootnoteText"/>
        <w:rPr>
          <w:lang w:val="en-ZA"/>
        </w:rPr>
      </w:pPr>
      <w:r>
        <w:rPr>
          <w:rStyle w:val="FootnoteReference"/>
        </w:rPr>
        <w:footnoteRef/>
      </w:r>
      <w:r>
        <w:t xml:space="preserve"> </w:t>
      </w:r>
      <w:r w:rsidR="00276204" w:rsidRPr="00276204">
        <w:t xml:space="preserve">O </w:t>
      </w:r>
      <w:proofErr w:type="spellStart"/>
      <w:r w:rsidR="00276204" w:rsidRPr="00276204">
        <w:t>Couwenberg</w:t>
      </w:r>
      <w:proofErr w:type="spellEnd"/>
      <w:r w:rsidR="00276204" w:rsidRPr="00276204">
        <w:t xml:space="preserve"> and S</w:t>
      </w:r>
      <w:r w:rsidR="00276204">
        <w:t>J</w:t>
      </w:r>
      <w:r w:rsidR="00276204" w:rsidRPr="00276204">
        <w:t xml:space="preserve"> </w:t>
      </w:r>
      <w:proofErr w:type="spellStart"/>
      <w:r w:rsidR="00276204" w:rsidRPr="00276204">
        <w:t>Lubben</w:t>
      </w:r>
      <w:proofErr w:type="spellEnd"/>
      <w:r w:rsidR="00276204">
        <w:t>, “</w:t>
      </w:r>
      <w:r>
        <w:rPr>
          <w:lang w:val="en-ZA"/>
        </w:rPr>
        <w:t>Corporate bankruptcy tourists</w:t>
      </w:r>
      <w:r w:rsidR="00276204">
        <w:rPr>
          <w:lang w:val="en-ZA"/>
        </w:rPr>
        <w:t xml:space="preserve">” </w:t>
      </w:r>
      <w:r w:rsidR="00276204" w:rsidRPr="00276204">
        <w:rPr>
          <w:i/>
          <w:iCs/>
          <w:lang w:val="en-ZA"/>
        </w:rPr>
        <w:t>T</w:t>
      </w:r>
      <w:r w:rsidR="00276204" w:rsidRPr="00276204">
        <w:rPr>
          <w:i/>
          <w:iCs/>
        </w:rPr>
        <w:t>he Business Lawyer</w:t>
      </w:r>
      <w:r w:rsidR="00276204">
        <w:t xml:space="preserve"> (2015</w:t>
      </w:r>
      <w:proofErr w:type="gramStart"/>
      <w:r w:rsidR="00276204">
        <w:t xml:space="preserve">) </w:t>
      </w:r>
      <w:r w:rsidR="00276204" w:rsidRPr="00276204">
        <w:t xml:space="preserve"> Vol.</w:t>
      </w:r>
      <w:proofErr w:type="gramEnd"/>
      <w:r w:rsidR="00276204" w:rsidRPr="00276204">
        <w:t xml:space="preserve"> 70, No. 3 pp. 719-75</w:t>
      </w:r>
      <w:r w:rsidR="00276204">
        <w:t>.  A</w:t>
      </w:r>
      <w:r w:rsidR="00276204" w:rsidRPr="00276204">
        <w:t xml:space="preserve">vailable online at </w:t>
      </w:r>
      <w:hyperlink r:id="rId4" w:history="1">
        <w:r w:rsidR="00276204" w:rsidRPr="00276204">
          <w:rPr>
            <w:rStyle w:val="Hyperlink"/>
          </w:rPr>
          <w:t>https://www.jstor.org/stable/10.2307/26417514</w:t>
        </w:r>
      </w:hyperlink>
      <w:r w:rsidR="00276204" w:rsidRPr="00276204">
        <w:t>.  Accessed 11</w:t>
      </w:r>
      <w:r w:rsidR="00276204" w:rsidRPr="00276204">
        <w:rPr>
          <w:vertAlign w:val="superscript"/>
        </w:rPr>
        <w:t>th</w:t>
      </w:r>
      <w:r w:rsidR="00276204" w:rsidRPr="00276204">
        <w:t xml:space="preserve"> November 2021</w:t>
      </w:r>
      <w:r w:rsidR="00276204">
        <w:t>.</w:t>
      </w:r>
      <w:r w:rsidR="00346B86">
        <w:t xml:space="preserve"> (“</w:t>
      </w:r>
      <w:proofErr w:type="spellStart"/>
      <w:r w:rsidR="00346B86">
        <w:t>Couwenburg</w:t>
      </w:r>
      <w:proofErr w:type="spellEnd"/>
      <w:r w:rsidR="00346B86">
        <w:t>”).</w:t>
      </w:r>
    </w:p>
  </w:footnote>
  <w:footnote w:id="8">
    <w:p w14:paraId="3F7277AD" w14:textId="63F33471" w:rsidR="00F64E1A" w:rsidRPr="00346B86" w:rsidRDefault="00F64E1A" w:rsidP="00F64E1A">
      <w:pPr>
        <w:pStyle w:val="FootnoteText"/>
        <w:rPr>
          <w:i/>
          <w:iCs/>
          <w:lang w:val="en-ZA"/>
        </w:rPr>
      </w:pPr>
      <w:r>
        <w:rPr>
          <w:rStyle w:val="FootnoteReference"/>
        </w:rPr>
        <w:footnoteRef/>
      </w:r>
      <w:r>
        <w:t xml:space="preserve"> </w:t>
      </w:r>
      <w:r w:rsidR="00346B86">
        <w:rPr>
          <w:i/>
          <w:iCs/>
        </w:rPr>
        <w:t xml:space="preserve">Ibid.  </w:t>
      </w:r>
      <w:r w:rsidR="00346B86">
        <w:t>The</w:t>
      </w:r>
      <w:r>
        <w:rPr>
          <w:lang w:val="en-ZA"/>
        </w:rPr>
        <w:t xml:space="preserve"> 2014 bankruptcy filing of a Company in Chile, which used its 7 bank accounts it had in the New York to successfully open a bankruptcy proceeding in the US</w:t>
      </w:r>
      <w:r w:rsidR="00346B86">
        <w:rPr>
          <w:lang w:val="en-ZA"/>
        </w:rPr>
        <w:t xml:space="preserve"> is a case in point.</w:t>
      </w:r>
    </w:p>
  </w:footnote>
  <w:footnote w:id="9">
    <w:p w14:paraId="31806E1E" w14:textId="7D9C5AA8" w:rsidR="00E30E77" w:rsidRPr="00BD33CD" w:rsidRDefault="00E30E77" w:rsidP="00E30E77">
      <w:pPr>
        <w:pStyle w:val="FootnoteText"/>
        <w:rPr>
          <w:lang w:val="en-ZA"/>
        </w:rPr>
      </w:pPr>
      <w:r>
        <w:rPr>
          <w:rStyle w:val="FootnoteReference"/>
        </w:rPr>
        <w:footnoteRef/>
      </w:r>
      <w:r>
        <w:t xml:space="preserve"> </w:t>
      </w:r>
      <w:r>
        <w:rPr>
          <w:lang w:val="en-ZA"/>
        </w:rPr>
        <w:t xml:space="preserve">Morning Mist Holdings Ltd v </w:t>
      </w:r>
      <w:proofErr w:type="spellStart"/>
      <w:r>
        <w:rPr>
          <w:lang w:val="en-ZA"/>
        </w:rPr>
        <w:t>Krys</w:t>
      </w:r>
      <w:proofErr w:type="spellEnd"/>
      <w:r>
        <w:rPr>
          <w:lang w:val="en-ZA"/>
        </w:rPr>
        <w:t xml:space="preserve"> (In re:  Fairfield Sentry Ltd).</w:t>
      </w:r>
      <w:r w:rsidR="00346B86">
        <w:rPr>
          <w:lang w:val="en-ZA"/>
        </w:rPr>
        <w:t xml:space="preserve"> (“Morning Mist”).</w:t>
      </w:r>
    </w:p>
  </w:footnote>
  <w:footnote w:id="10">
    <w:p w14:paraId="6B8B64F6" w14:textId="5B658335" w:rsidR="00B17E88" w:rsidRPr="00B17E88" w:rsidRDefault="00B17E88">
      <w:pPr>
        <w:pStyle w:val="FootnoteText"/>
        <w:rPr>
          <w:lang w:val="en-ZA"/>
        </w:rPr>
      </w:pPr>
      <w:r>
        <w:rPr>
          <w:rStyle w:val="FootnoteReference"/>
        </w:rPr>
        <w:footnoteRef/>
      </w:r>
      <w:r>
        <w:t xml:space="preserve"> </w:t>
      </w:r>
      <w:r>
        <w:rPr>
          <w:lang w:val="en-ZA"/>
        </w:rPr>
        <w:t>B Rochelle, “</w:t>
      </w:r>
      <w:r w:rsidRPr="00B17E88">
        <w:t>Cross-Border Insolvency in the U.S. and U.K.</w:t>
      </w:r>
      <w:r>
        <w:t xml:space="preserve">” (2017) </w:t>
      </w:r>
      <w:r w:rsidR="006C0799" w:rsidRPr="006C0799">
        <w:rPr>
          <w:i/>
          <w:iCs/>
        </w:rPr>
        <w:t>The International Lawyer</w:t>
      </w:r>
      <w:r w:rsidR="006C0799" w:rsidRPr="006C0799">
        <w:t xml:space="preserve"> Vol. 50, No. 2 pp. 391-400</w:t>
      </w:r>
      <w:r w:rsidR="006C0799">
        <w:t xml:space="preserve"> at 395.</w:t>
      </w:r>
    </w:p>
  </w:footnote>
  <w:footnote w:id="11">
    <w:p w14:paraId="6A959166" w14:textId="4BC570A0" w:rsidR="00B17E88" w:rsidRPr="00B17E88" w:rsidRDefault="00B17E88">
      <w:pPr>
        <w:pStyle w:val="FootnoteText"/>
        <w:rPr>
          <w:lang w:val="en-ZA"/>
        </w:rPr>
      </w:pPr>
      <w:r>
        <w:rPr>
          <w:rStyle w:val="FootnoteReference"/>
        </w:rPr>
        <w:footnoteRef/>
      </w:r>
      <w:r>
        <w:t xml:space="preserve"> </w:t>
      </w:r>
      <w:r w:rsidRPr="00B17E88">
        <w:t>In re Tri-Continental Exchange Ltd., 349 B.R. 627, 635 (</w:t>
      </w:r>
      <w:proofErr w:type="spellStart"/>
      <w:r w:rsidRPr="00B17E88">
        <w:t>Bankr</w:t>
      </w:r>
      <w:proofErr w:type="spellEnd"/>
      <w:r w:rsidRPr="00B17E88">
        <w:t>. E.D. Cal. 2006).</w:t>
      </w:r>
    </w:p>
  </w:footnote>
  <w:footnote w:id="12">
    <w:p w14:paraId="3D287D6B" w14:textId="77777777" w:rsidR="00B75B0A" w:rsidRPr="00AE3FA7" w:rsidRDefault="00B75B0A" w:rsidP="00B75B0A">
      <w:pPr>
        <w:pStyle w:val="FootnoteText"/>
        <w:rPr>
          <w:lang w:val="en-ZA"/>
        </w:rPr>
      </w:pPr>
      <w:r>
        <w:rPr>
          <w:rStyle w:val="FootnoteReference"/>
        </w:rPr>
        <w:footnoteRef/>
      </w:r>
      <w:r>
        <w:t xml:space="preserve"> </w:t>
      </w:r>
      <w:r w:rsidRPr="00AE3FA7">
        <w:t xml:space="preserve">In re </w:t>
      </w:r>
      <w:proofErr w:type="spellStart"/>
      <w:r w:rsidRPr="00AE3FA7">
        <w:t>SPhinx</w:t>
      </w:r>
      <w:proofErr w:type="spellEnd"/>
      <w:r w:rsidRPr="00AE3FA7">
        <w:t>, Ltd., 351 B.R. 103, 117-18, 351 B.R. 103, 56 (S.D.N.Y. 2006)</w:t>
      </w:r>
      <w:r>
        <w:t>.</w:t>
      </w:r>
    </w:p>
  </w:footnote>
  <w:footnote w:id="13">
    <w:p w14:paraId="2AD5C27D" w14:textId="77777777" w:rsidR="006C0799" w:rsidRPr="00B60F92" w:rsidRDefault="006C0799" w:rsidP="006C0799">
      <w:pPr>
        <w:pStyle w:val="FootnoteText"/>
        <w:rPr>
          <w:lang w:val="en-ZA"/>
        </w:rPr>
      </w:pPr>
      <w:r>
        <w:rPr>
          <w:rStyle w:val="FootnoteReference"/>
        </w:rPr>
        <w:footnoteRef/>
      </w:r>
      <w:r>
        <w:t xml:space="preserve"> </w:t>
      </w:r>
      <w:r w:rsidRPr="00B60F92">
        <w:t xml:space="preserve">In re British American Insurance Co. Ltd., 425 B.R. 884, 909, 52 </w:t>
      </w:r>
      <w:proofErr w:type="spellStart"/>
      <w:r w:rsidRPr="00B60F92">
        <w:t>Bankr</w:t>
      </w:r>
      <w:proofErr w:type="spellEnd"/>
      <w:r w:rsidRPr="00B60F92">
        <w:t>. Ct. Dec. 286 (S.D. Fla. 2010).</w:t>
      </w:r>
      <w:r>
        <w:t xml:space="preserve">  </w:t>
      </w:r>
    </w:p>
  </w:footnote>
  <w:footnote w:id="14">
    <w:p w14:paraId="0AE3BF90" w14:textId="77777777" w:rsidR="008311E7" w:rsidRPr="0019217F" w:rsidRDefault="008311E7" w:rsidP="008311E7">
      <w:pPr>
        <w:pStyle w:val="FootnoteText"/>
        <w:rPr>
          <w:lang w:val="en-ZA"/>
        </w:rPr>
      </w:pPr>
      <w:r>
        <w:rPr>
          <w:rStyle w:val="FootnoteReference"/>
        </w:rPr>
        <w:footnoteRef/>
      </w:r>
      <w:r>
        <w:t xml:space="preserve"> </w:t>
      </w:r>
      <w:r w:rsidRPr="0019217F">
        <w:t>In re Millennium Global Emerging Credit Master Fund Limited, 458 B.R. 63, 77 (S.D.N.Y. 2011).</w:t>
      </w:r>
    </w:p>
  </w:footnote>
  <w:footnote w:id="15">
    <w:p w14:paraId="49FED5A0" w14:textId="2C69C68B" w:rsidR="006C0799" w:rsidRPr="006C0799" w:rsidRDefault="006C0799" w:rsidP="006C0799">
      <w:pPr>
        <w:pStyle w:val="FootnoteText"/>
        <w:rPr>
          <w:b/>
          <w:bCs/>
          <w:lang w:val="en-ZA"/>
        </w:rPr>
      </w:pPr>
      <w:r>
        <w:rPr>
          <w:rStyle w:val="FootnoteReference"/>
        </w:rPr>
        <w:footnoteRef/>
      </w:r>
      <w:r>
        <w:t xml:space="preserve"> </w:t>
      </w:r>
      <w:r w:rsidRPr="006C0799">
        <w:rPr>
          <w:lang w:val="en-ZA"/>
        </w:rPr>
        <w:t xml:space="preserve">Morning Mist </w:t>
      </w:r>
      <w:r w:rsidR="00346B86">
        <w:rPr>
          <w:lang w:val="en-ZA"/>
        </w:rPr>
        <w:t>note 9 above.</w:t>
      </w:r>
    </w:p>
    <w:p w14:paraId="0B35B9E4" w14:textId="50563DA8" w:rsidR="006C0799" w:rsidRPr="006C0799" w:rsidRDefault="006C0799">
      <w:pPr>
        <w:pStyle w:val="FootnoteText"/>
        <w:rPr>
          <w:lang w:val="en-ZA"/>
        </w:rPr>
      </w:pPr>
    </w:p>
  </w:footnote>
  <w:footnote w:id="16">
    <w:p w14:paraId="4D97D947" w14:textId="23E3210D" w:rsidR="0092208D" w:rsidRPr="0092208D" w:rsidRDefault="0092208D">
      <w:pPr>
        <w:pStyle w:val="FootnoteText"/>
        <w:rPr>
          <w:lang w:val="en-ZA"/>
        </w:rPr>
      </w:pPr>
      <w:r>
        <w:rPr>
          <w:rStyle w:val="FootnoteReference"/>
        </w:rPr>
        <w:footnoteRef/>
      </w:r>
      <w:r>
        <w:t xml:space="preserve"> </w:t>
      </w:r>
      <w:r w:rsidRPr="0092208D">
        <w:t xml:space="preserve">CN. </w:t>
      </w:r>
      <w:proofErr w:type="spellStart"/>
      <w:r w:rsidRPr="0092208D">
        <w:t>Pickerill</w:t>
      </w:r>
      <w:proofErr w:type="spellEnd"/>
      <w:r w:rsidRPr="0092208D">
        <w:t xml:space="preserve">, 'Executory Contracts Re-Revisited' (2009) 83(1) </w:t>
      </w:r>
      <w:r w:rsidRPr="00AA4143">
        <w:rPr>
          <w:i/>
          <w:iCs/>
        </w:rPr>
        <w:t>American Bankruptcy Law Journal</w:t>
      </w:r>
      <w:r w:rsidRPr="0092208D">
        <w:t xml:space="preserve"> 63</w:t>
      </w:r>
      <w:r w:rsidR="00AA4143">
        <w:t>.</w:t>
      </w:r>
    </w:p>
  </w:footnote>
  <w:footnote w:id="17">
    <w:p w14:paraId="7D77DE79" w14:textId="77777777" w:rsidR="00CF110B" w:rsidRPr="00606D72" w:rsidRDefault="00CF110B" w:rsidP="00CF110B">
      <w:pPr>
        <w:pStyle w:val="FootnoteText"/>
        <w:rPr>
          <w:lang w:val="en-ZA"/>
        </w:rPr>
      </w:pPr>
      <w:r>
        <w:rPr>
          <w:rStyle w:val="FootnoteReference"/>
        </w:rPr>
        <w:footnoteRef/>
      </w:r>
      <w:r>
        <w:t xml:space="preserve"> </w:t>
      </w:r>
      <w:r>
        <w:rPr>
          <w:i/>
          <w:iCs/>
        </w:rPr>
        <w:t>Ibid.</w:t>
      </w:r>
      <w:r>
        <w:rPr>
          <w:lang w:val="en-ZA"/>
        </w:rPr>
        <w:t xml:space="preserve"> </w:t>
      </w:r>
    </w:p>
  </w:footnote>
  <w:footnote w:id="18">
    <w:p w14:paraId="5A95B936" w14:textId="1C2E00A6" w:rsidR="00383363" w:rsidRPr="004C0154" w:rsidRDefault="00383363">
      <w:pPr>
        <w:pStyle w:val="FootnoteText"/>
        <w:rPr>
          <w:lang w:val="en-ZA"/>
        </w:rPr>
      </w:pPr>
      <w:r>
        <w:rPr>
          <w:rStyle w:val="FootnoteReference"/>
        </w:rPr>
        <w:footnoteRef/>
      </w:r>
      <w:r w:rsidR="00596429">
        <w:t xml:space="preserve">  “363 Sale,” available online at </w:t>
      </w:r>
      <w:hyperlink r:id="rId5" w:history="1">
        <w:r w:rsidR="004C0154" w:rsidRPr="004C0154">
          <w:rPr>
            <w:rStyle w:val="Hyperlink"/>
          </w:rPr>
          <w:t>https://corporatefinanceinstitute.com/resources/knowledge/deals/363-sale/</w:t>
        </w:r>
      </w:hyperlink>
      <w:r w:rsidR="004C0154" w:rsidRPr="004C0154">
        <w:t>.  Accessed 8</w:t>
      </w:r>
      <w:r w:rsidR="004C0154" w:rsidRPr="004C0154">
        <w:rPr>
          <w:vertAlign w:val="superscript"/>
        </w:rPr>
        <w:t>th</w:t>
      </w:r>
      <w:r w:rsidR="004C0154" w:rsidRPr="004C0154">
        <w:t xml:space="preserve"> July 2022. “Corporate Finance.” </w:t>
      </w:r>
    </w:p>
  </w:footnote>
  <w:footnote w:id="19">
    <w:p w14:paraId="5A953474" w14:textId="085572FA" w:rsidR="00417B9F" w:rsidRPr="00417B9F" w:rsidRDefault="00417B9F">
      <w:pPr>
        <w:pStyle w:val="FootnoteText"/>
        <w:rPr>
          <w:lang w:val="en-ZA"/>
        </w:rPr>
      </w:pPr>
      <w:r>
        <w:rPr>
          <w:rStyle w:val="FootnoteReference"/>
        </w:rPr>
        <w:footnoteRef/>
      </w:r>
      <w:r>
        <w:t xml:space="preserve"> For example the stalking horse bidder may be offered </w:t>
      </w:r>
      <w:hyperlink r:id="rId6" w:history="1">
        <w:r w:rsidRPr="00417B9F">
          <w:rPr>
            <w:rStyle w:val="Hyperlink"/>
            <w:color w:val="auto"/>
            <w:u w:val="none"/>
            <w:lang w:val="en-ZA"/>
          </w:rPr>
          <w:t>breakup fees</w:t>
        </w:r>
      </w:hyperlink>
      <w:r w:rsidRPr="00417B9F">
        <w:rPr>
          <w:lang w:val="en-ZA"/>
        </w:rPr>
        <w:t xml:space="preserve">, reimbursement of certain expenses, or </w:t>
      </w:r>
      <w:r>
        <w:rPr>
          <w:lang w:val="en-ZA"/>
        </w:rPr>
        <w:t xml:space="preserve">favourable </w:t>
      </w:r>
      <w:r w:rsidRPr="00417B9F">
        <w:rPr>
          <w:lang w:val="en-ZA"/>
        </w:rPr>
        <w:t>bidding terms.</w:t>
      </w:r>
    </w:p>
  </w:footnote>
  <w:footnote w:id="20">
    <w:p w14:paraId="372217F6" w14:textId="182E8976" w:rsidR="00CB43F9" w:rsidRPr="00CB43F9" w:rsidRDefault="00CB43F9">
      <w:pPr>
        <w:pStyle w:val="FootnoteText"/>
        <w:rPr>
          <w:lang w:val="en-ZA"/>
        </w:rPr>
      </w:pPr>
      <w:r>
        <w:rPr>
          <w:rStyle w:val="FootnoteReference"/>
        </w:rPr>
        <w:footnoteRef/>
      </w:r>
      <w:r>
        <w:t xml:space="preserve"> </w:t>
      </w:r>
      <w:r>
        <w:rPr>
          <w:lang w:val="en-ZA"/>
        </w:rPr>
        <w:t>Corporate Finance note 18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34F88"/>
    <w:multiLevelType w:val="hybridMultilevel"/>
    <w:tmpl w:val="9D208030"/>
    <w:lvl w:ilvl="0" w:tplc="9B1C04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03100"/>
    <w:multiLevelType w:val="hybridMultilevel"/>
    <w:tmpl w:val="4F168E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82A50"/>
    <w:multiLevelType w:val="hybridMultilevel"/>
    <w:tmpl w:val="4F168E28"/>
    <w:lvl w:ilvl="0" w:tplc="EE68C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D42D0A"/>
    <w:multiLevelType w:val="hybridMultilevel"/>
    <w:tmpl w:val="D9E00BCC"/>
    <w:lvl w:ilvl="0" w:tplc="2A30E6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A272811"/>
    <w:multiLevelType w:val="hybridMultilevel"/>
    <w:tmpl w:val="4904AB74"/>
    <w:lvl w:ilvl="0" w:tplc="715426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9346FC"/>
    <w:multiLevelType w:val="hybridMultilevel"/>
    <w:tmpl w:val="B0566C02"/>
    <w:lvl w:ilvl="0" w:tplc="462A1E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0530D3"/>
    <w:multiLevelType w:val="hybridMultilevel"/>
    <w:tmpl w:val="C98E01BC"/>
    <w:lvl w:ilvl="0" w:tplc="F31045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A87456"/>
    <w:multiLevelType w:val="hybridMultilevel"/>
    <w:tmpl w:val="7FD0DE1C"/>
    <w:lvl w:ilvl="0" w:tplc="54CA45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A13597"/>
    <w:multiLevelType w:val="hybridMultilevel"/>
    <w:tmpl w:val="5BB6D830"/>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F46BE"/>
    <w:multiLevelType w:val="hybridMultilevel"/>
    <w:tmpl w:val="4F168E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0750727">
    <w:abstractNumId w:val="14"/>
  </w:num>
  <w:num w:numId="2" w16cid:durableId="2120565740">
    <w:abstractNumId w:val="16"/>
  </w:num>
  <w:num w:numId="3" w16cid:durableId="466700867">
    <w:abstractNumId w:val="2"/>
  </w:num>
  <w:num w:numId="4" w16cid:durableId="1078290038">
    <w:abstractNumId w:val="4"/>
  </w:num>
  <w:num w:numId="5" w16cid:durableId="1480415306">
    <w:abstractNumId w:val="6"/>
  </w:num>
  <w:num w:numId="6" w16cid:durableId="751270396">
    <w:abstractNumId w:val="18"/>
  </w:num>
  <w:num w:numId="7" w16cid:durableId="529150198">
    <w:abstractNumId w:val="3"/>
  </w:num>
  <w:num w:numId="8" w16cid:durableId="1139804581">
    <w:abstractNumId w:val="20"/>
  </w:num>
  <w:num w:numId="9" w16cid:durableId="309553015">
    <w:abstractNumId w:val="7"/>
  </w:num>
  <w:num w:numId="10" w16cid:durableId="155610375">
    <w:abstractNumId w:val="15"/>
  </w:num>
  <w:num w:numId="11" w16cid:durableId="2089303375">
    <w:abstractNumId w:val="8"/>
  </w:num>
  <w:num w:numId="12" w16cid:durableId="1079524493">
    <w:abstractNumId w:val="13"/>
  </w:num>
  <w:num w:numId="13" w16cid:durableId="79259643">
    <w:abstractNumId w:val="0"/>
  </w:num>
  <w:num w:numId="14" w16cid:durableId="1609462321">
    <w:abstractNumId w:val="12"/>
  </w:num>
  <w:num w:numId="15" w16cid:durableId="852576499">
    <w:abstractNumId w:val="1"/>
  </w:num>
  <w:num w:numId="16" w16cid:durableId="412581877">
    <w:abstractNumId w:val="11"/>
  </w:num>
  <w:num w:numId="17" w16cid:durableId="1747917344">
    <w:abstractNumId w:val="9"/>
  </w:num>
  <w:num w:numId="18" w16cid:durableId="1116372040">
    <w:abstractNumId w:val="19"/>
  </w:num>
  <w:num w:numId="19" w16cid:durableId="472597989">
    <w:abstractNumId w:val="10"/>
  </w:num>
  <w:num w:numId="20" w16cid:durableId="184758717">
    <w:abstractNumId w:val="5"/>
  </w:num>
  <w:num w:numId="21" w16cid:durableId="807355519">
    <w:abstractNumId w:val="21"/>
  </w:num>
  <w:num w:numId="22" w16cid:durableId="196923615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CF2"/>
    <w:rsid w:val="00007F3B"/>
    <w:rsid w:val="00010BA0"/>
    <w:rsid w:val="000111EB"/>
    <w:rsid w:val="0001655B"/>
    <w:rsid w:val="00020557"/>
    <w:rsid w:val="00021FC2"/>
    <w:rsid w:val="00022E00"/>
    <w:rsid w:val="000250C7"/>
    <w:rsid w:val="00026F16"/>
    <w:rsid w:val="00037621"/>
    <w:rsid w:val="00037671"/>
    <w:rsid w:val="0004283A"/>
    <w:rsid w:val="00044D46"/>
    <w:rsid w:val="00045088"/>
    <w:rsid w:val="00045904"/>
    <w:rsid w:val="00046A1C"/>
    <w:rsid w:val="00046FCD"/>
    <w:rsid w:val="000502FD"/>
    <w:rsid w:val="00052F83"/>
    <w:rsid w:val="0006272B"/>
    <w:rsid w:val="00065166"/>
    <w:rsid w:val="00066729"/>
    <w:rsid w:val="000672F6"/>
    <w:rsid w:val="000809B9"/>
    <w:rsid w:val="00082609"/>
    <w:rsid w:val="000843B8"/>
    <w:rsid w:val="000851CC"/>
    <w:rsid w:val="00093BE8"/>
    <w:rsid w:val="00097B45"/>
    <w:rsid w:val="000A407B"/>
    <w:rsid w:val="000A636A"/>
    <w:rsid w:val="000A68ED"/>
    <w:rsid w:val="000B2138"/>
    <w:rsid w:val="000B5FF1"/>
    <w:rsid w:val="000B609F"/>
    <w:rsid w:val="000C4C5B"/>
    <w:rsid w:val="000C5646"/>
    <w:rsid w:val="000C5913"/>
    <w:rsid w:val="000D55A8"/>
    <w:rsid w:val="000E0957"/>
    <w:rsid w:val="000E454E"/>
    <w:rsid w:val="000E4841"/>
    <w:rsid w:val="000F1677"/>
    <w:rsid w:val="000F3D6C"/>
    <w:rsid w:val="000F6267"/>
    <w:rsid w:val="000F7FC2"/>
    <w:rsid w:val="00101707"/>
    <w:rsid w:val="00102CC9"/>
    <w:rsid w:val="00105798"/>
    <w:rsid w:val="00110DAE"/>
    <w:rsid w:val="0011473D"/>
    <w:rsid w:val="00115C85"/>
    <w:rsid w:val="0012224B"/>
    <w:rsid w:val="00122467"/>
    <w:rsid w:val="00123855"/>
    <w:rsid w:val="00126A4D"/>
    <w:rsid w:val="00135660"/>
    <w:rsid w:val="0014171F"/>
    <w:rsid w:val="0014622C"/>
    <w:rsid w:val="00152348"/>
    <w:rsid w:val="0015456D"/>
    <w:rsid w:val="00155F1C"/>
    <w:rsid w:val="00155FA2"/>
    <w:rsid w:val="00160679"/>
    <w:rsid w:val="00161604"/>
    <w:rsid w:val="00161F1B"/>
    <w:rsid w:val="00162829"/>
    <w:rsid w:val="001704DE"/>
    <w:rsid w:val="001759D0"/>
    <w:rsid w:val="00180548"/>
    <w:rsid w:val="00180AC4"/>
    <w:rsid w:val="00180CCE"/>
    <w:rsid w:val="0018195D"/>
    <w:rsid w:val="0018267A"/>
    <w:rsid w:val="00182779"/>
    <w:rsid w:val="001830DF"/>
    <w:rsid w:val="00184A87"/>
    <w:rsid w:val="0019217F"/>
    <w:rsid w:val="001955E2"/>
    <w:rsid w:val="001966D9"/>
    <w:rsid w:val="001A1403"/>
    <w:rsid w:val="001A4F7A"/>
    <w:rsid w:val="001A7E9A"/>
    <w:rsid w:val="001B0F70"/>
    <w:rsid w:val="001B5016"/>
    <w:rsid w:val="001C45FC"/>
    <w:rsid w:val="001C5996"/>
    <w:rsid w:val="001D0469"/>
    <w:rsid w:val="001D4862"/>
    <w:rsid w:val="001E25B9"/>
    <w:rsid w:val="001E49E0"/>
    <w:rsid w:val="001E793D"/>
    <w:rsid w:val="001E7B5A"/>
    <w:rsid w:val="001F7412"/>
    <w:rsid w:val="00202DFE"/>
    <w:rsid w:val="0020725B"/>
    <w:rsid w:val="002110F1"/>
    <w:rsid w:val="00223917"/>
    <w:rsid w:val="00223AF5"/>
    <w:rsid w:val="00230697"/>
    <w:rsid w:val="0023148E"/>
    <w:rsid w:val="0023168C"/>
    <w:rsid w:val="00235538"/>
    <w:rsid w:val="0024116D"/>
    <w:rsid w:val="00241B44"/>
    <w:rsid w:val="00241FA3"/>
    <w:rsid w:val="00245EFB"/>
    <w:rsid w:val="00251C56"/>
    <w:rsid w:val="0025386E"/>
    <w:rsid w:val="00256B74"/>
    <w:rsid w:val="002613DB"/>
    <w:rsid w:val="002638B0"/>
    <w:rsid w:val="0026647A"/>
    <w:rsid w:val="002668D3"/>
    <w:rsid w:val="0027299F"/>
    <w:rsid w:val="00276204"/>
    <w:rsid w:val="00277636"/>
    <w:rsid w:val="00284EBE"/>
    <w:rsid w:val="002903A7"/>
    <w:rsid w:val="0029433F"/>
    <w:rsid w:val="00294829"/>
    <w:rsid w:val="0029690F"/>
    <w:rsid w:val="00297C8A"/>
    <w:rsid w:val="002A2A60"/>
    <w:rsid w:val="002A37BB"/>
    <w:rsid w:val="002A5280"/>
    <w:rsid w:val="002A72BE"/>
    <w:rsid w:val="002B1C45"/>
    <w:rsid w:val="002B1E7E"/>
    <w:rsid w:val="002B6088"/>
    <w:rsid w:val="002C0121"/>
    <w:rsid w:val="002C13C8"/>
    <w:rsid w:val="002C1DBA"/>
    <w:rsid w:val="002C3547"/>
    <w:rsid w:val="002C4360"/>
    <w:rsid w:val="002D0021"/>
    <w:rsid w:val="002D299D"/>
    <w:rsid w:val="002D3473"/>
    <w:rsid w:val="002D6789"/>
    <w:rsid w:val="002D778F"/>
    <w:rsid w:val="002D78C5"/>
    <w:rsid w:val="002E1D3F"/>
    <w:rsid w:val="002E5D62"/>
    <w:rsid w:val="002E60EC"/>
    <w:rsid w:val="002F1956"/>
    <w:rsid w:val="002F3440"/>
    <w:rsid w:val="002F75A3"/>
    <w:rsid w:val="00301D2B"/>
    <w:rsid w:val="00303C2F"/>
    <w:rsid w:val="00305272"/>
    <w:rsid w:val="00305A8F"/>
    <w:rsid w:val="0031178F"/>
    <w:rsid w:val="0031256D"/>
    <w:rsid w:val="003144EF"/>
    <w:rsid w:val="00323167"/>
    <w:rsid w:val="00326292"/>
    <w:rsid w:val="00326415"/>
    <w:rsid w:val="00330937"/>
    <w:rsid w:val="00330F31"/>
    <w:rsid w:val="00334648"/>
    <w:rsid w:val="00334B26"/>
    <w:rsid w:val="00335B3D"/>
    <w:rsid w:val="0033768C"/>
    <w:rsid w:val="00337938"/>
    <w:rsid w:val="00340769"/>
    <w:rsid w:val="00341AA6"/>
    <w:rsid w:val="00346B86"/>
    <w:rsid w:val="003502EB"/>
    <w:rsid w:val="00361A0A"/>
    <w:rsid w:val="00364836"/>
    <w:rsid w:val="0036565C"/>
    <w:rsid w:val="00365F7A"/>
    <w:rsid w:val="0036625E"/>
    <w:rsid w:val="00374408"/>
    <w:rsid w:val="0037465A"/>
    <w:rsid w:val="00382C98"/>
    <w:rsid w:val="00383363"/>
    <w:rsid w:val="0038533C"/>
    <w:rsid w:val="00386568"/>
    <w:rsid w:val="00390B57"/>
    <w:rsid w:val="0039148A"/>
    <w:rsid w:val="003948D5"/>
    <w:rsid w:val="00396821"/>
    <w:rsid w:val="00397D3A"/>
    <w:rsid w:val="003A051E"/>
    <w:rsid w:val="003A3B85"/>
    <w:rsid w:val="003A75F4"/>
    <w:rsid w:val="003B170F"/>
    <w:rsid w:val="003B3C5F"/>
    <w:rsid w:val="003B7184"/>
    <w:rsid w:val="003C095D"/>
    <w:rsid w:val="003C4471"/>
    <w:rsid w:val="003C53FE"/>
    <w:rsid w:val="003C72F5"/>
    <w:rsid w:val="003D0A6D"/>
    <w:rsid w:val="003E0B16"/>
    <w:rsid w:val="003E67D1"/>
    <w:rsid w:val="003F222D"/>
    <w:rsid w:val="003F46D4"/>
    <w:rsid w:val="004032A3"/>
    <w:rsid w:val="00404329"/>
    <w:rsid w:val="00405DC1"/>
    <w:rsid w:val="00415F1F"/>
    <w:rsid w:val="00417B9F"/>
    <w:rsid w:val="0042108F"/>
    <w:rsid w:val="004248F6"/>
    <w:rsid w:val="00424E70"/>
    <w:rsid w:val="004273B0"/>
    <w:rsid w:val="00430FED"/>
    <w:rsid w:val="00434A8C"/>
    <w:rsid w:val="00437297"/>
    <w:rsid w:val="00444284"/>
    <w:rsid w:val="00445BE7"/>
    <w:rsid w:val="00445CE6"/>
    <w:rsid w:val="004534C2"/>
    <w:rsid w:val="0045446F"/>
    <w:rsid w:val="00455018"/>
    <w:rsid w:val="0045683E"/>
    <w:rsid w:val="004671C1"/>
    <w:rsid w:val="00476ED5"/>
    <w:rsid w:val="00477C72"/>
    <w:rsid w:val="00487E3C"/>
    <w:rsid w:val="00491675"/>
    <w:rsid w:val="004916EB"/>
    <w:rsid w:val="00493855"/>
    <w:rsid w:val="00495E79"/>
    <w:rsid w:val="004A57DD"/>
    <w:rsid w:val="004A73A7"/>
    <w:rsid w:val="004A7B51"/>
    <w:rsid w:val="004A7D71"/>
    <w:rsid w:val="004A7EF3"/>
    <w:rsid w:val="004B11FD"/>
    <w:rsid w:val="004B23A2"/>
    <w:rsid w:val="004B55F3"/>
    <w:rsid w:val="004C0154"/>
    <w:rsid w:val="004C7397"/>
    <w:rsid w:val="004D1A5A"/>
    <w:rsid w:val="004D2FFF"/>
    <w:rsid w:val="004D3721"/>
    <w:rsid w:val="004D64F9"/>
    <w:rsid w:val="004E0254"/>
    <w:rsid w:val="004E3A6B"/>
    <w:rsid w:val="004E5AF5"/>
    <w:rsid w:val="004E622C"/>
    <w:rsid w:val="004E6355"/>
    <w:rsid w:val="004F49B5"/>
    <w:rsid w:val="004F5FDF"/>
    <w:rsid w:val="004F7B99"/>
    <w:rsid w:val="00515810"/>
    <w:rsid w:val="005177FE"/>
    <w:rsid w:val="0052263B"/>
    <w:rsid w:val="005232FE"/>
    <w:rsid w:val="00524728"/>
    <w:rsid w:val="00527089"/>
    <w:rsid w:val="00530992"/>
    <w:rsid w:val="005331CA"/>
    <w:rsid w:val="00533DBD"/>
    <w:rsid w:val="00534DA2"/>
    <w:rsid w:val="0053766F"/>
    <w:rsid w:val="00537970"/>
    <w:rsid w:val="00540E3A"/>
    <w:rsid w:val="0054274D"/>
    <w:rsid w:val="00544127"/>
    <w:rsid w:val="005463A9"/>
    <w:rsid w:val="00553EB2"/>
    <w:rsid w:val="00560534"/>
    <w:rsid w:val="0056391B"/>
    <w:rsid w:val="005650E2"/>
    <w:rsid w:val="00567AD7"/>
    <w:rsid w:val="005728E5"/>
    <w:rsid w:val="00575B2D"/>
    <w:rsid w:val="005833D0"/>
    <w:rsid w:val="00583D8E"/>
    <w:rsid w:val="005846F3"/>
    <w:rsid w:val="00584F96"/>
    <w:rsid w:val="0058622F"/>
    <w:rsid w:val="00587019"/>
    <w:rsid w:val="00592F82"/>
    <w:rsid w:val="0059489E"/>
    <w:rsid w:val="00596429"/>
    <w:rsid w:val="005A01D2"/>
    <w:rsid w:val="005A0CCA"/>
    <w:rsid w:val="005A4749"/>
    <w:rsid w:val="005A6FF2"/>
    <w:rsid w:val="005A726D"/>
    <w:rsid w:val="005B2A9B"/>
    <w:rsid w:val="005B3612"/>
    <w:rsid w:val="005B67AC"/>
    <w:rsid w:val="005B79F4"/>
    <w:rsid w:val="005C3A3F"/>
    <w:rsid w:val="005D1293"/>
    <w:rsid w:val="005D317F"/>
    <w:rsid w:val="005D43E0"/>
    <w:rsid w:val="005D58A3"/>
    <w:rsid w:val="005D6642"/>
    <w:rsid w:val="005E111B"/>
    <w:rsid w:val="005E1B79"/>
    <w:rsid w:val="005E6076"/>
    <w:rsid w:val="005E7008"/>
    <w:rsid w:val="005F026D"/>
    <w:rsid w:val="005F2AEA"/>
    <w:rsid w:val="005F2D0B"/>
    <w:rsid w:val="005F4A00"/>
    <w:rsid w:val="005F4B31"/>
    <w:rsid w:val="00603316"/>
    <w:rsid w:val="00606D72"/>
    <w:rsid w:val="00610388"/>
    <w:rsid w:val="00610AC7"/>
    <w:rsid w:val="00612CA5"/>
    <w:rsid w:val="006153EC"/>
    <w:rsid w:val="00621A17"/>
    <w:rsid w:val="006245E3"/>
    <w:rsid w:val="00624F7F"/>
    <w:rsid w:val="00627CC9"/>
    <w:rsid w:val="00627E7B"/>
    <w:rsid w:val="00630542"/>
    <w:rsid w:val="00632E44"/>
    <w:rsid w:val="00634622"/>
    <w:rsid w:val="00635ACC"/>
    <w:rsid w:val="00636808"/>
    <w:rsid w:val="00641515"/>
    <w:rsid w:val="006456DC"/>
    <w:rsid w:val="00652227"/>
    <w:rsid w:val="00654481"/>
    <w:rsid w:val="00654C2F"/>
    <w:rsid w:val="00657087"/>
    <w:rsid w:val="00657722"/>
    <w:rsid w:val="006639DB"/>
    <w:rsid w:val="006661EF"/>
    <w:rsid w:val="00667496"/>
    <w:rsid w:val="0067423F"/>
    <w:rsid w:val="00677AEB"/>
    <w:rsid w:val="00680EF2"/>
    <w:rsid w:val="00686E51"/>
    <w:rsid w:val="00687A1D"/>
    <w:rsid w:val="00697EA1"/>
    <w:rsid w:val="006A2646"/>
    <w:rsid w:val="006A6530"/>
    <w:rsid w:val="006B2554"/>
    <w:rsid w:val="006B3571"/>
    <w:rsid w:val="006B435A"/>
    <w:rsid w:val="006B48E3"/>
    <w:rsid w:val="006B4C64"/>
    <w:rsid w:val="006C0799"/>
    <w:rsid w:val="006C3F9F"/>
    <w:rsid w:val="006D6BD5"/>
    <w:rsid w:val="006E481A"/>
    <w:rsid w:val="006E4E8C"/>
    <w:rsid w:val="006E5298"/>
    <w:rsid w:val="006F4A78"/>
    <w:rsid w:val="006F734A"/>
    <w:rsid w:val="00700D83"/>
    <w:rsid w:val="00704852"/>
    <w:rsid w:val="007074E9"/>
    <w:rsid w:val="00713DA4"/>
    <w:rsid w:val="00714BF1"/>
    <w:rsid w:val="00717C2C"/>
    <w:rsid w:val="00721383"/>
    <w:rsid w:val="00721555"/>
    <w:rsid w:val="00724A94"/>
    <w:rsid w:val="0073158B"/>
    <w:rsid w:val="007333CC"/>
    <w:rsid w:val="0073399A"/>
    <w:rsid w:val="007603F5"/>
    <w:rsid w:val="00764DB0"/>
    <w:rsid w:val="0076764D"/>
    <w:rsid w:val="007738CA"/>
    <w:rsid w:val="0077498C"/>
    <w:rsid w:val="007765BA"/>
    <w:rsid w:val="00776E26"/>
    <w:rsid w:val="00777C53"/>
    <w:rsid w:val="007809BC"/>
    <w:rsid w:val="00784128"/>
    <w:rsid w:val="00785E22"/>
    <w:rsid w:val="00787054"/>
    <w:rsid w:val="00787BCC"/>
    <w:rsid w:val="00793173"/>
    <w:rsid w:val="00795DED"/>
    <w:rsid w:val="007A2A33"/>
    <w:rsid w:val="007A6871"/>
    <w:rsid w:val="007B0809"/>
    <w:rsid w:val="007B0D18"/>
    <w:rsid w:val="007B5145"/>
    <w:rsid w:val="007B5C89"/>
    <w:rsid w:val="007B5D20"/>
    <w:rsid w:val="007C1FCC"/>
    <w:rsid w:val="007C6201"/>
    <w:rsid w:val="007D0192"/>
    <w:rsid w:val="007D28E5"/>
    <w:rsid w:val="007D332D"/>
    <w:rsid w:val="007D7C92"/>
    <w:rsid w:val="007E0A41"/>
    <w:rsid w:val="007E1154"/>
    <w:rsid w:val="007E486E"/>
    <w:rsid w:val="007E6BA4"/>
    <w:rsid w:val="007F12AB"/>
    <w:rsid w:val="007F41F8"/>
    <w:rsid w:val="007F659B"/>
    <w:rsid w:val="00802141"/>
    <w:rsid w:val="0080454E"/>
    <w:rsid w:val="00804C32"/>
    <w:rsid w:val="00805305"/>
    <w:rsid w:val="00806302"/>
    <w:rsid w:val="00807119"/>
    <w:rsid w:val="00824638"/>
    <w:rsid w:val="0082483F"/>
    <w:rsid w:val="008279C0"/>
    <w:rsid w:val="008311E7"/>
    <w:rsid w:val="00834F92"/>
    <w:rsid w:val="00851519"/>
    <w:rsid w:val="00870FF5"/>
    <w:rsid w:val="008723F3"/>
    <w:rsid w:val="00881DE6"/>
    <w:rsid w:val="008837A6"/>
    <w:rsid w:val="008906F2"/>
    <w:rsid w:val="0089145D"/>
    <w:rsid w:val="00895EF1"/>
    <w:rsid w:val="008A4DF2"/>
    <w:rsid w:val="008A5D7C"/>
    <w:rsid w:val="008A6CFE"/>
    <w:rsid w:val="008A771D"/>
    <w:rsid w:val="008B5333"/>
    <w:rsid w:val="008B6223"/>
    <w:rsid w:val="008C355B"/>
    <w:rsid w:val="008C66E0"/>
    <w:rsid w:val="008E3339"/>
    <w:rsid w:val="008F20FC"/>
    <w:rsid w:val="008F5FFE"/>
    <w:rsid w:val="00902FA7"/>
    <w:rsid w:val="00905A43"/>
    <w:rsid w:val="00906DEB"/>
    <w:rsid w:val="00912C79"/>
    <w:rsid w:val="00921B8C"/>
    <w:rsid w:val="0092208D"/>
    <w:rsid w:val="009240E2"/>
    <w:rsid w:val="00924C40"/>
    <w:rsid w:val="00924C49"/>
    <w:rsid w:val="0092565E"/>
    <w:rsid w:val="0093467C"/>
    <w:rsid w:val="009409D8"/>
    <w:rsid w:val="00942123"/>
    <w:rsid w:val="009421B3"/>
    <w:rsid w:val="00950CDC"/>
    <w:rsid w:val="00951B1E"/>
    <w:rsid w:val="0095207B"/>
    <w:rsid w:val="00953F64"/>
    <w:rsid w:val="00962045"/>
    <w:rsid w:val="009767C7"/>
    <w:rsid w:val="00976B1B"/>
    <w:rsid w:val="00980E61"/>
    <w:rsid w:val="00991428"/>
    <w:rsid w:val="00991543"/>
    <w:rsid w:val="00992676"/>
    <w:rsid w:val="009954B2"/>
    <w:rsid w:val="00996691"/>
    <w:rsid w:val="009A2BCC"/>
    <w:rsid w:val="009A63F6"/>
    <w:rsid w:val="009B0723"/>
    <w:rsid w:val="009B07AD"/>
    <w:rsid w:val="009B0883"/>
    <w:rsid w:val="009B15E2"/>
    <w:rsid w:val="009B4976"/>
    <w:rsid w:val="009C0B8E"/>
    <w:rsid w:val="009C1B60"/>
    <w:rsid w:val="009C1BC8"/>
    <w:rsid w:val="009C2442"/>
    <w:rsid w:val="009C78FB"/>
    <w:rsid w:val="009D0811"/>
    <w:rsid w:val="009D0EE1"/>
    <w:rsid w:val="009D5233"/>
    <w:rsid w:val="009D7E9B"/>
    <w:rsid w:val="009E1BEF"/>
    <w:rsid w:val="009E2AEB"/>
    <w:rsid w:val="009E2E27"/>
    <w:rsid w:val="009E45DF"/>
    <w:rsid w:val="009E4DE3"/>
    <w:rsid w:val="009E6845"/>
    <w:rsid w:val="009E7DB0"/>
    <w:rsid w:val="009F275E"/>
    <w:rsid w:val="00A024E7"/>
    <w:rsid w:val="00A047EE"/>
    <w:rsid w:val="00A21B46"/>
    <w:rsid w:val="00A2274A"/>
    <w:rsid w:val="00A235B7"/>
    <w:rsid w:val="00A247E8"/>
    <w:rsid w:val="00A27A7A"/>
    <w:rsid w:val="00A3165E"/>
    <w:rsid w:val="00A34ABE"/>
    <w:rsid w:val="00A407EF"/>
    <w:rsid w:val="00A46B4C"/>
    <w:rsid w:val="00A5117B"/>
    <w:rsid w:val="00A5141C"/>
    <w:rsid w:val="00A51E70"/>
    <w:rsid w:val="00A53127"/>
    <w:rsid w:val="00A56D34"/>
    <w:rsid w:val="00A60074"/>
    <w:rsid w:val="00A62B6E"/>
    <w:rsid w:val="00A6627C"/>
    <w:rsid w:val="00A7030D"/>
    <w:rsid w:val="00A71019"/>
    <w:rsid w:val="00A77D79"/>
    <w:rsid w:val="00A81029"/>
    <w:rsid w:val="00A85005"/>
    <w:rsid w:val="00A94F58"/>
    <w:rsid w:val="00A95463"/>
    <w:rsid w:val="00A96489"/>
    <w:rsid w:val="00AA0C3B"/>
    <w:rsid w:val="00AA407C"/>
    <w:rsid w:val="00AA4143"/>
    <w:rsid w:val="00AA56EA"/>
    <w:rsid w:val="00AA7BE3"/>
    <w:rsid w:val="00AB1B65"/>
    <w:rsid w:val="00AB2425"/>
    <w:rsid w:val="00AB51F6"/>
    <w:rsid w:val="00AB685C"/>
    <w:rsid w:val="00AB6C2D"/>
    <w:rsid w:val="00AB6E57"/>
    <w:rsid w:val="00AB7EBF"/>
    <w:rsid w:val="00AC08F7"/>
    <w:rsid w:val="00AC3839"/>
    <w:rsid w:val="00AC7082"/>
    <w:rsid w:val="00AD34C9"/>
    <w:rsid w:val="00AD4BE8"/>
    <w:rsid w:val="00AE3FA7"/>
    <w:rsid w:val="00AE4E3D"/>
    <w:rsid w:val="00AE5AC5"/>
    <w:rsid w:val="00AF228E"/>
    <w:rsid w:val="00B016A8"/>
    <w:rsid w:val="00B02CFF"/>
    <w:rsid w:val="00B102C7"/>
    <w:rsid w:val="00B10961"/>
    <w:rsid w:val="00B14819"/>
    <w:rsid w:val="00B15E2F"/>
    <w:rsid w:val="00B1641F"/>
    <w:rsid w:val="00B17AA9"/>
    <w:rsid w:val="00B17E88"/>
    <w:rsid w:val="00B27E6E"/>
    <w:rsid w:val="00B44713"/>
    <w:rsid w:val="00B473F3"/>
    <w:rsid w:val="00B56103"/>
    <w:rsid w:val="00B60F92"/>
    <w:rsid w:val="00B64929"/>
    <w:rsid w:val="00B736DF"/>
    <w:rsid w:val="00B743D6"/>
    <w:rsid w:val="00B74FBD"/>
    <w:rsid w:val="00B75B0A"/>
    <w:rsid w:val="00B77F46"/>
    <w:rsid w:val="00B82586"/>
    <w:rsid w:val="00B829A3"/>
    <w:rsid w:val="00B86DB1"/>
    <w:rsid w:val="00B87869"/>
    <w:rsid w:val="00B87CE2"/>
    <w:rsid w:val="00B9639B"/>
    <w:rsid w:val="00BB0F2B"/>
    <w:rsid w:val="00BC0D17"/>
    <w:rsid w:val="00BC3730"/>
    <w:rsid w:val="00BD1EBC"/>
    <w:rsid w:val="00BD33CD"/>
    <w:rsid w:val="00BD351F"/>
    <w:rsid w:val="00BD4A58"/>
    <w:rsid w:val="00BD6FDC"/>
    <w:rsid w:val="00BD7337"/>
    <w:rsid w:val="00BE4FF3"/>
    <w:rsid w:val="00BF50F7"/>
    <w:rsid w:val="00BF6C74"/>
    <w:rsid w:val="00C02F29"/>
    <w:rsid w:val="00C0704D"/>
    <w:rsid w:val="00C0748F"/>
    <w:rsid w:val="00C20AFE"/>
    <w:rsid w:val="00C22A25"/>
    <w:rsid w:val="00C26A8C"/>
    <w:rsid w:val="00C35671"/>
    <w:rsid w:val="00C35B77"/>
    <w:rsid w:val="00C362AA"/>
    <w:rsid w:val="00C376EB"/>
    <w:rsid w:val="00C44CE0"/>
    <w:rsid w:val="00C46A92"/>
    <w:rsid w:val="00C46EC1"/>
    <w:rsid w:val="00C52796"/>
    <w:rsid w:val="00C52B1D"/>
    <w:rsid w:val="00C53E2C"/>
    <w:rsid w:val="00C543D9"/>
    <w:rsid w:val="00C550C8"/>
    <w:rsid w:val="00C56B61"/>
    <w:rsid w:val="00C606C3"/>
    <w:rsid w:val="00C620F4"/>
    <w:rsid w:val="00C651D6"/>
    <w:rsid w:val="00C6659C"/>
    <w:rsid w:val="00C72848"/>
    <w:rsid w:val="00C7408D"/>
    <w:rsid w:val="00C7736C"/>
    <w:rsid w:val="00C82D87"/>
    <w:rsid w:val="00C83CAB"/>
    <w:rsid w:val="00C86667"/>
    <w:rsid w:val="00C86BE4"/>
    <w:rsid w:val="00C8712A"/>
    <w:rsid w:val="00C87E0A"/>
    <w:rsid w:val="00C902C8"/>
    <w:rsid w:val="00C919D1"/>
    <w:rsid w:val="00C963D3"/>
    <w:rsid w:val="00C9764B"/>
    <w:rsid w:val="00CA164B"/>
    <w:rsid w:val="00CB1983"/>
    <w:rsid w:val="00CB210E"/>
    <w:rsid w:val="00CB2CBB"/>
    <w:rsid w:val="00CB3C46"/>
    <w:rsid w:val="00CB43F9"/>
    <w:rsid w:val="00CB6578"/>
    <w:rsid w:val="00CB7CAC"/>
    <w:rsid w:val="00CC175B"/>
    <w:rsid w:val="00CC4818"/>
    <w:rsid w:val="00CC5189"/>
    <w:rsid w:val="00CC5335"/>
    <w:rsid w:val="00CC5BA4"/>
    <w:rsid w:val="00CC7A98"/>
    <w:rsid w:val="00CD0391"/>
    <w:rsid w:val="00CD2912"/>
    <w:rsid w:val="00CD4998"/>
    <w:rsid w:val="00CE1035"/>
    <w:rsid w:val="00CE6E50"/>
    <w:rsid w:val="00CF110B"/>
    <w:rsid w:val="00CF2819"/>
    <w:rsid w:val="00CF4F9D"/>
    <w:rsid w:val="00CF70DC"/>
    <w:rsid w:val="00CF77D8"/>
    <w:rsid w:val="00D009A7"/>
    <w:rsid w:val="00D041E0"/>
    <w:rsid w:val="00D14336"/>
    <w:rsid w:val="00D148DC"/>
    <w:rsid w:val="00D17FDC"/>
    <w:rsid w:val="00D21021"/>
    <w:rsid w:val="00D21D8C"/>
    <w:rsid w:val="00D316F2"/>
    <w:rsid w:val="00D410E7"/>
    <w:rsid w:val="00D50572"/>
    <w:rsid w:val="00D53719"/>
    <w:rsid w:val="00D6264B"/>
    <w:rsid w:val="00D63EFD"/>
    <w:rsid w:val="00D67091"/>
    <w:rsid w:val="00D708E1"/>
    <w:rsid w:val="00D73FB6"/>
    <w:rsid w:val="00D84752"/>
    <w:rsid w:val="00D86B3B"/>
    <w:rsid w:val="00D8748A"/>
    <w:rsid w:val="00D87F4D"/>
    <w:rsid w:val="00D91C7C"/>
    <w:rsid w:val="00D93196"/>
    <w:rsid w:val="00D960DE"/>
    <w:rsid w:val="00D9761E"/>
    <w:rsid w:val="00DA0DC0"/>
    <w:rsid w:val="00DA1D45"/>
    <w:rsid w:val="00DA296F"/>
    <w:rsid w:val="00DB01F3"/>
    <w:rsid w:val="00DB243C"/>
    <w:rsid w:val="00DB482A"/>
    <w:rsid w:val="00DB50FB"/>
    <w:rsid w:val="00DB56F2"/>
    <w:rsid w:val="00DB6501"/>
    <w:rsid w:val="00DB6EF5"/>
    <w:rsid w:val="00DC3089"/>
    <w:rsid w:val="00DC359F"/>
    <w:rsid w:val="00DC4420"/>
    <w:rsid w:val="00DD0802"/>
    <w:rsid w:val="00DD2E11"/>
    <w:rsid w:val="00DE03AF"/>
    <w:rsid w:val="00DE0602"/>
    <w:rsid w:val="00DE0C77"/>
    <w:rsid w:val="00DE121C"/>
    <w:rsid w:val="00DE5357"/>
    <w:rsid w:val="00DE6633"/>
    <w:rsid w:val="00DF158F"/>
    <w:rsid w:val="00DF6811"/>
    <w:rsid w:val="00DF75F8"/>
    <w:rsid w:val="00DF7A3A"/>
    <w:rsid w:val="00E00C00"/>
    <w:rsid w:val="00E014E2"/>
    <w:rsid w:val="00E02353"/>
    <w:rsid w:val="00E07C5A"/>
    <w:rsid w:val="00E12EC4"/>
    <w:rsid w:val="00E14B59"/>
    <w:rsid w:val="00E15BA9"/>
    <w:rsid w:val="00E232AE"/>
    <w:rsid w:val="00E24F0A"/>
    <w:rsid w:val="00E26065"/>
    <w:rsid w:val="00E26E10"/>
    <w:rsid w:val="00E26E19"/>
    <w:rsid w:val="00E30E60"/>
    <w:rsid w:val="00E30E77"/>
    <w:rsid w:val="00E31DF3"/>
    <w:rsid w:val="00E450A4"/>
    <w:rsid w:val="00E506BE"/>
    <w:rsid w:val="00E55547"/>
    <w:rsid w:val="00E60511"/>
    <w:rsid w:val="00E6136F"/>
    <w:rsid w:val="00E6302B"/>
    <w:rsid w:val="00E6452F"/>
    <w:rsid w:val="00E64F45"/>
    <w:rsid w:val="00E6742D"/>
    <w:rsid w:val="00E712B4"/>
    <w:rsid w:val="00E71CB0"/>
    <w:rsid w:val="00E71E1E"/>
    <w:rsid w:val="00E77C3D"/>
    <w:rsid w:val="00E86E64"/>
    <w:rsid w:val="00E90991"/>
    <w:rsid w:val="00E909F0"/>
    <w:rsid w:val="00E90D47"/>
    <w:rsid w:val="00E93993"/>
    <w:rsid w:val="00E93F52"/>
    <w:rsid w:val="00E9597C"/>
    <w:rsid w:val="00EA0913"/>
    <w:rsid w:val="00EA5B00"/>
    <w:rsid w:val="00EB146B"/>
    <w:rsid w:val="00EB45AC"/>
    <w:rsid w:val="00EB4AB9"/>
    <w:rsid w:val="00EB5768"/>
    <w:rsid w:val="00EC441F"/>
    <w:rsid w:val="00EC4755"/>
    <w:rsid w:val="00ED0BC4"/>
    <w:rsid w:val="00ED447D"/>
    <w:rsid w:val="00ED5CFD"/>
    <w:rsid w:val="00ED738F"/>
    <w:rsid w:val="00ED7429"/>
    <w:rsid w:val="00ED74BC"/>
    <w:rsid w:val="00EE4971"/>
    <w:rsid w:val="00EF090E"/>
    <w:rsid w:val="00EF5572"/>
    <w:rsid w:val="00EF6135"/>
    <w:rsid w:val="00F016D2"/>
    <w:rsid w:val="00F0224D"/>
    <w:rsid w:val="00F033DA"/>
    <w:rsid w:val="00F03B3F"/>
    <w:rsid w:val="00F0634B"/>
    <w:rsid w:val="00F13691"/>
    <w:rsid w:val="00F13EE9"/>
    <w:rsid w:val="00F13FB1"/>
    <w:rsid w:val="00F175E4"/>
    <w:rsid w:val="00F27CD8"/>
    <w:rsid w:val="00F30351"/>
    <w:rsid w:val="00F307FE"/>
    <w:rsid w:val="00F3230E"/>
    <w:rsid w:val="00F3323E"/>
    <w:rsid w:val="00F341F4"/>
    <w:rsid w:val="00F34F9D"/>
    <w:rsid w:val="00F35436"/>
    <w:rsid w:val="00F35CCE"/>
    <w:rsid w:val="00F5524B"/>
    <w:rsid w:val="00F60538"/>
    <w:rsid w:val="00F61DD2"/>
    <w:rsid w:val="00F64E1A"/>
    <w:rsid w:val="00F66AFF"/>
    <w:rsid w:val="00F66BFA"/>
    <w:rsid w:val="00F71433"/>
    <w:rsid w:val="00F92140"/>
    <w:rsid w:val="00F9719A"/>
    <w:rsid w:val="00F97C5B"/>
    <w:rsid w:val="00FA3D50"/>
    <w:rsid w:val="00FB7FBD"/>
    <w:rsid w:val="00FC0B87"/>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3C6C"/>
    <w:rsid w:val="00FE45A4"/>
    <w:rsid w:val="00FE5DB8"/>
    <w:rsid w:val="00FF1D0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F175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74408"/>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3744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CB3C46"/>
    <w:rPr>
      <w:color w:val="605E5C"/>
      <w:shd w:val="clear" w:color="auto" w:fill="E1DFDD"/>
    </w:rPr>
  </w:style>
  <w:style w:type="character" w:customStyle="1" w:styleId="Heading1Char">
    <w:name w:val="Heading 1 Char"/>
    <w:basedOn w:val="DefaultParagraphFont"/>
    <w:link w:val="Heading1"/>
    <w:uiPriority w:val="9"/>
    <w:rsid w:val="00F175E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7440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74408"/>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01977262">
      <w:bodyDiv w:val="1"/>
      <w:marLeft w:val="0"/>
      <w:marRight w:val="0"/>
      <w:marTop w:val="0"/>
      <w:marBottom w:val="0"/>
      <w:divBdr>
        <w:top w:val="none" w:sz="0" w:space="0" w:color="auto"/>
        <w:left w:val="none" w:sz="0" w:space="0" w:color="auto"/>
        <w:bottom w:val="none" w:sz="0" w:space="0" w:color="auto"/>
        <w:right w:val="none" w:sz="0" w:space="0" w:color="auto"/>
      </w:divBdr>
    </w:div>
    <w:div w:id="1702171290">
      <w:bodyDiv w:val="1"/>
      <w:marLeft w:val="0"/>
      <w:marRight w:val="0"/>
      <w:marTop w:val="0"/>
      <w:marBottom w:val="0"/>
      <w:divBdr>
        <w:top w:val="none" w:sz="0" w:space="0" w:color="auto"/>
        <w:left w:val="none" w:sz="0" w:space="0" w:color="auto"/>
        <w:bottom w:val="none" w:sz="0" w:space="0" w:color="auto"/>
        <w:right w:val="none" w:sz="0" w:space="0" w:color="auto"/>
      </w:divBdr>
    </w:div>
    <w:div w:id="1814443468">
      <w:bodyDiv w:val="1"/>
      <w:marLeft w:val="0"/>
      <w:marRight w:val="0"/>
      <w:marTop w:val="0"/>
      <w:marBottom w:val="0"/>
      <w:divBdr>
        <w:top w:val="none" w:sz="0" w:space="0" w:color="auto"/>
        <w:left w:val="none" w:sz="0" w:space="0" w:color="auto"/>
        <w:bottom w:val="none" w:sz="0" w:space="0" w:color="auto"/>
        <w:right w:val="none" w:sz="0" w:space="0" w:color="auto"/>
      </w:divBdr>
    </w:div>
    <w:div w:id="190166690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rporatefinanceinstitute.com/resources/careers/companies/top-banks-in-the-usa/" TargetMode="External"/><Relationship Id="rId4" Type="http://schemas.openxmlformats.org/officeDocument/2006/relationships/settings" Target="settings.xml"/><Relationship Id="rId9" Type="http://schemas.openxmlformats.org/officeDocument/2006/relationships/hyperlink" Target="https://www.law.cornell.edu/uscode/text/28/15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stor.org/stable/2048821" TargetMode="External"/><Relationship Id="rId2" Type="http://schemas.openxmlformats.org/officeDocument/2006/relationships/hyperlink" Target="https://corpgov.law.harvard.edu/2020/04/15/director-fiduciary-duty-in-insolvency/" TargetMode="External"/><Relationship Id="rId1" Type="http://schemas.openxmlformats.org/officeDocument/2006/relationships/hyperlink" Target="https://www.shumaker.com/Templates/media/files/pdf/news/publications/7newsletter-chapter-15-and-cross-border-insolvency_x.pdf" TargetMode="External"/><Relationship Id="rId6" Type="http://schemas.openxmlformats.org/officeDocument/2006/relationships/hyperlink" Target="https://corporatefinanceinstitute.com/resources/knowledge/deals/breakup-fee/" TargetMode="External"/><Relationship Id="rId5" Type="http://schemas.openxmlformats.org/officeDocument/2006/relationships/hyperlink" Target="https://corporatefinanceinstitute.com/resources/knowledge/deals/363-sale/" TargetMode="External"/><Relationship Id="rId4" Type="http://schemas.openxmlformats.org/officeDocument/2006/relationships/hyperlink" Target="https://www.jstor.org/stable/10.2307/26417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3525</TotalTime>
  <Pages>18</Pages>
  <Words>6709</Words>
  <Characters>38247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Chetna Singh</cp:lastModifiedBy>
  <cp:revision>65</cp:revision>
  <cp:lastPrinted>2019-08-27T05:42:00Z</cp:lastPrinted>
  <dcterms:created xsi:type="dcterms:W3CDTF">2022-06-21T14:21:00Z</dcterms:created>
  <dcterms:modified xsi:type="dcterms:W3CDTF">2022-07-17T17:36:00Z</dcterms:modified>
</cp:coreProperties>
</file>