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AB825" w14:textId="6740AF1C" w:rsidR="004B23A2" w:rsidRDefault="0073607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190C97D" wp14:editId="5A8EC256">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F0E7F3C" w14:textId="348B53C6" w:rsidR="0011473D" w:rsidRDefault="00C56B61"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13BC1813" w14:textId="608D750E" w:rsidR="002638B0" w:rsidRPr="006B503E" w:rsidRDefault="009164DD"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73607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6C4472A5" w14:textId="77777777" w:rsidR="00736077" w:rsidRPr="00592F82" w:rsidRDefault="00736077" w:rsidP="00736077">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18EF1709" w14:textId="77777777" w:rsidR="00736077" w:rsidRPr="00592F82" w:rsidRDefault="00736077" w:rsidP="00736077">
      <w:pPr>
        <w:jc w:val="both"/>
        <w:rPr>
          <w:rFonts w:ascii="Arial" w:hAnsi="Arial" w:cs="Arial"/>
          <w:sz w:val="22"/>
          <w:szCs w:val="22"/>
          <w:lang w:val="en-GB"/>
        </w:rPr>
      </w:pPr>
    </w:p>
    <w:p w14:paraId="275367BF" w14:textId="77777777" w:rsidR="00736077" w:rsidRDefault="00736077" w:rsidP="00736077">
      <w:pPr>
        <w:jc w:val="both"/>
        <w:rPr>
          <w:rFonts w:ascii="Arial" w:hAnsi="Arial" w:cs="Arial"/>
          <w:b/>
          <w:sz w:val="22"/>
          <w:szCs w:val="22"/>
          <w:lang w:val="en-GB"/>
        </w:rPr>
      </w:pPr>
    </w:p>
    <w:p w14:paraId="45BFDC0F" w14:textId="77777777" w:rsidR="00736077" w:rsidRPr="001E23FD" w:rsidRDefault="00736077" w:rsidP="007360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C6A04D6" w14:textId="77777777" w:rsidR="00736077" w:rsidRPr="001E23FD" w:rsidRDefault="00736077" w:rsidP="00736077">
      <w:pPr>
        <w:jc w:val="both"/>
        <w:rPr>
          <w:rFonts w:ascii="Arial" w:hAnsi="Arial" w:cs="Arial"/>
          <w:b/>
          <w:sz w:val="22"/>
          <w:szCs w:val="22"/>
          <w:lang w:val="en-GB"/>
        </w:rPr>
      </w:pPr>
    </w:p>
    <w:p w14:paraId="3A487A55" w14:textId="77777777" w:rsidR="00736077" w:rsidRPr="001E23FD" w:rsidRDefault="00736077" w:rsidP="00736077">
      <w:pPr>
        <w:jc w:val="both"/>
        <w:rPr>
          <w:rFonts w:ascii="Arial" w:hAnsi="Arial" w:cs="Arial"/>
          <w:sz w:val="22"/>
          <w:szCs w:val="22"/>
          <w:lang w:val="en-GB"/>
        </w:rPr>
      </w:pPr>
    </w:p>
    <w:p w14:paraId="0989DAA3"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9544D5" w14:textId="77777777" w:rsidR="00736077" w:rsidRPr="001E23FD" w:rsidRDefault="00736077" w:rsidP="00736077">
      <w:pPr>
        <w:ind w:left="720" w:hanging="720"/>
        <w:jc w:val="both"/>
        <w:rPr>
          <w:rFonts w:ascii="Arial" w:hAnsi="Arial" w:cs="Arial"/>
          <w:sz w:val="22"/>
          <w:szCs w:val="22"/>
          <w:lang w:val="en-GB"/>
        </w:rPr>
      </w:pPr>
    </w:p>
    <w:p w14:paraId="617E59E5"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w:t>
      </w:r>
      <w:proofErr w:type="gramStart"/>
      <w:r w:rsidRPr="001E23FD">
        <w:rPr>
          <w:rFonts w:ascii="Arial" w:hAnsi="Arial" w:cs="Arial"/>
          <w:sz w:val="22"/>
          <w:szCs w:val="22"/>
          <w:lang w:val="en-GB"/>
        </w:rPr>
        <w:t>submit</w:t>
      </w:r>
      <w:proofErr w:type="gramEnd"/>
      <w:r w:rsidRPr="001E23FD">
        <w:rPr>
          <w:rFonts w:ascii="Arial" w:hAnsi="Arial" w:cs="Arial"/>
          <w:sz w:val="22"/>
          <w:szCs w:val="22"/>
          <w:lang w:val="en-GB"/>
        </w:rPr>
        <w:t xml:space="preserve"> your assessment in PDF format as it will be returned to you unmarked.</w:t>
      </w:r>
    </w:p>
    <w:p w14:paraId="474BA113" w14:textId="77777777" w:rsidR="00736077" w:rsidRPr="001E23FD" w:rsidRDefault="00736077" w:rsidP="00736077">
      <w:pPr>
        <w:ind w:left="720" w:hanging="720"/>
        <w:jc w:val="both"/>
        <w:rPr>
          <w:rFonts w:ascii="Arial" w:hAnsi="Arial" w:cs="Arial"/>
          <w:sz w:val="22"/>
          <w:szCs w:val="22"/>
          <w:lang w:val="en-GB"/>
        </w:rPr>
      </w:pPr>
    </w:p>
    <w:p w14:paraId="3B6F2B8C"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2E664F0" w14:textId="77777777" w:rsidR="00736077" w:rsidRPr="001E23FD" w:rsidRDefault="00736077" w:rsidP="00736077">
      <w:pPr>
        <w:ind w:left="720" w:hanging="720"/>
        <w:jc w:val="both"/>
        <w:rPr>
          <w:rFonts w:ascii="Arial" w:hAnsi="Arial" w:cs="Arial"/>
          <w:sz w:val="22"/>
          <w:szCs w:val="22"/>
          <w:lang w:val="en-GB"/>
        </w:rPr>
      </w:pPr>
    </w:p>
    <w:p w14:paraId="4BBB252D" w14:textId="2C606F4D"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7E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122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7E</w:t>
      </w:r>
      <w:r w:rsidRPr="001E23FD">
        <w:rPr>
          <w:rFonts w:ascii="Arial" w:hAnsi="Arial" w:cs="Arial"/>
          <w:sz w:val="22"/>
          <w:szCs w:val="22"/>
          <w:lang w:val="en-GB"/>
        </w:rPr>
        <w:t xml:space="preserve">. </w:t>
      </w:r>
      <w:r w:rsidRPr="001E23FD">
        <w:rPr>
          <w:rFonts w:ascii="Arial" w:hAnsi="Arial" w:cs="Arial"/>
          <w:b/>
          <w:sz w:val="22"/>
          <w:szCs w:val="22"/>
          <w:lang w:val="en-GB"/>
        </w:rPr>
        <w:t xml:space="preserve">Please also include the filename as </w:t>
      </w:r>
      <w:proofErr w:type="gramStart"/>
      <w:r w:rsidRPr="001E23FD">
        <w:rPr>
          <w:rFonts w:ascii="Arial" w:hAnsi="Arial" w:cs="Arial"/>
          <w:b/>
          <w:sz w:val="22"/>
          <w:szCs w:val="22"/>
          <w:lang w:val="en-GB"/>
        </w:rPr>
        <w:t>a footer</w:t>
      </w:r>
      <w:proofErr w:type="gramEnd"/>
      <w:r w:rsidRPr="001E23FD">
        <w:rPr>
          <w:rFonts w:ascii="Arial" w:hAnsi="Arial" w:cs="Arial"/>
          <w:b/>
          <w:sz w:val="22"/>
          <w:szCs w:val="22"/>
          <w:lang w:val="en-GB"/>
        </w:rPr>
        <w:t xml:space="preserve">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58E0EF4" w14:textId="77777777" w:rsidR="00736077" w:rsidRPr="001E23FD" w:rsidRDefault="00736077" w:rsidP="00736077">
      <w:pPr>
        <w:ind w:left="720" w:hanging="720"/>
        <w:jc w:val="both"/>
        <w:rPr>
          <w:rFonts w:ascii="Arial" w:hAnsi="Arial" w:cs="Arial"/>
          <w:sz w:val="22"/>
          <w:szCs w:val="22"/>
          <w:lang w:val="en-GB"/>
        </w:rPr>
      </w:pPr>
    </w:p>
    <w:p w14:paraId="15E09E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5200D24" w14:textId="77777777" w:rsidR="00736077" w:rsidRPr="001E23FD" w:rsidRDefault="00736077" w:rsidP="00736077">
      <w:pPr>
        <w:ind w:left="720" w:hanging="720"/>
        <w:jc w:val="both"/>
        <w:rPr>
          <w:rFonts w:ascii="Arial" w:hAnsi="Arial" w:cs="Arial"/>
          <w:sz w:val="22"/>
          <w:szCs w:val="22"/>
          <w:lang w:val="en-GB"/>
        </w:rPr>
      </w:pPr>
    </w:p>
    <w:p w14:paraId="19A50927" w14:textId="77777777" w:rsidR="00736077" w:rsidRPr="001E23FD" w:rsidRDefault="00736077" w:rsidP="00736077">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6B5CE64C" w14:textId="77777777" w:rsidR="00736077" w:rsidRPr="001E23FD" w:rsidRDefault="00736077" w:rsidP="00736077">
      <w:pPr>
        <w:ind w:left="720" w:hanging="720"/>
        <w:jc w:val="both"/>
        <w:rPr>
          <w:rFonts w:ascii="Arial" w:hAnsi="Arial" w:cs="Arial"/>
          <w:sz w:val="22"/>
          <w:szCs w:val="22"/>
          <w:lang w:val="en-GB"/>
        </w:rPr>
      </w:pPr>
    </w:p>
    <w:p w14:paraId="65FBD63C" w14:textId="77777777" w:rsidR="00736077" w:rsidRPr="00592F82" w:rsidRDefault="00736077" w:rsidP="00736077">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956B9E8" w14:textId="77777777" w:rsidR="00736077" w:rsidRPr="00592F82" w:rsidRDefault="00736077" w:rsidP="00736077">
      <w:pPr>
        <w:ind w:left="720" w:hanging="720"/>
        <w:jc w:val="both"/>
        <w:rPr>
          <w:rFonts w:ascii="Arial" w:hAnsi="Arial" w:cs="Arial"/>
          <w:sz w:val="22"/>
          <w:szCs w:val="22"/>
          <w:lang w:val="en-GB"/>
        </w:rPr>
      </w:pPr>
    </w:p>
    <w:p w14:paraId="5F26A14B" w14:textId="77777777" w:rsidR="00736077" w:rsidRPr="00592F82" w:rsidRDefault="00736077" w:rsidP="00736077">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C76745">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C76745">
      <w:pPr>
        <w:ind w:left="720" w:hanging="720"/>
        <w:jc w:val="both"/>
        <w:rPr>
          <w:rFonts w:ascii="Arial" w:hAnsi="Arial" w:cs="Arial"/>
          <w:sz w:val="22"/>
          <w:szCs w:val="22"/>
          <w:lang w:val="en-GB"/>
        </w:rPr>
      </w:pPr>
    </w:p>
    <w:p w14:paraId="27A9F337" w14:textId="77777777" w:rsidR="005D43E0" w:rsidRPr="00CA448F" w:rsidRDefault="0029433F" w:rsidP="00C76745">
      <w:pPr>
        <w:jc w:val="both"/>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C76745">
      <w:pPr>
        <w:ind w:left="720" w:hanging="720"/>
        <w:jc w:val="both"/>
        <w:rPr>
          <w:rFonts w:ascii="Arial" w:hAnsi="Arial" w:cs="Arial"/>
          <w:sz w:val="22"/>
          <w:szCs w:val="22"/>
          <w:lang w:val="en-GB"/>
        </w:rPr>
      </w:pPr>
    </w:p>
    <w:p w14:paraId="7CA37521" w14:textId="77777777" w:rsidR="005D43E0" w:rsidRPr="00CA448F" w:rsidRDefault="005D43E0" w:rsidP="00C76745">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w:t>
      </w:r>
      <w:proofErr w:type="gramStart"/>
      <w:r w:rsidRPr="00CA448F">
        <w:rPr>
          <w:rFonts w:ascii="Arial" w:hAnsi="Arial" w:cs="Arial"/>
          <w:sz w:val="22"/>
          <w:szCs w:val="22"/>
          <w:lang w:val="en-GB"/>
        </w:rPr>
        <w:t>are</w:t>
      </w:r>
      <w:proofErr w:type="gramEnd"/>
      <w:r w:rsidRPr="00CA448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C76745">
      <w:pPr>
        <w:autoSpaceDE w:val="0"/>
        <w:autoSpaceDN w:val="0"/>
        <w:adjustRightInd w:val="0"/>
        <w:jc w:val="both"/>
        <w:rPr>
          <w:rFonts w:ascii="Arial" w:hAnsi="Arial" w:cs="Arial"/>
          <w:sz w:val="22"/>
          <w:szCs w:val="22"/>
        </w:rPr>
      </w:pPr>
    </w:p>
    <w:p w14:paraId="2FE48410" w14:textId="41135781" w:rsidR="002073B6"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C76745">
      <w:pPr>
        <w:ind w:left="1440" w:hanging="1440"/>
        <w:jc w:val="both"/>
        <w:rPr>
          <w:rFonts w:ascii="Arial" w:hAnsi="Arial" w:cs="Arial"/>
          <w:sz w:val="22"/>
          <w:szCs w:val="22"/>
          <w:lang w:val="en-GB"/>
        </w:rPr>
      </w:pPr>
    </w:p>
    <w:p w14:paraId="6B27461F" w14:textId="6C4DFD1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The </w:t>
      </w:r>
      <w:r w:rsidRPr="00C76745">
        <w:rPr>
          <w:rFonts w:ascii="Arial" w:hAnsi="Arial" w:cs="Arial"/>
          <w:b/>
          <w:bCs/>
          <w:sz w:val="22"/>
          <w:szCs w:val="22"/>
          <w:u w:val="single"/>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C76745">
      <w:pPr>
        <w:ind w:left="720" w:hanging="720"/>
        <w:jc w:val="both"/>
        <w:rPr>
          <w:rFonts w:ascii="Arial" w:hAnsi="Arial" w:cs="Arial"/>
          <w:sz w:val="22"/>
          <w:szCs w:val="22"/>
          <w:lang w:val="en-GB"/>
        </w:rPr>
      </w:pPr>
    </w:p>
    <w:p w14:paraId="695E6FD7" w14:textId="59CD2F03"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w:t>
      </w:r>
      <w:proofErr w:type="gramStart"/>
      <w:r w:rsidRPr="00CA448F">
        <w:rPr>
          <w:rFonts w:ascii="Arial" w:hAnsi="Arial" w:cs="Arial"/>
          <w:sz w:val="22"/>
          <w:szCs w:val="22"/>
          <w:lang w:val="en-GB"/>
        </w:rPr>
        <w:t>laws which would encourage a business</w:t>
      </w:r>
      <w:proofErr w:type="gramEnd"/>
      <w:r w:rsidRPr="00CA448F">
        <w:rPr>
          <w:rFonts w:ascii="Arial" w:hAnsi="Arial" w:cs="Arial"/>
          <w:sz w:val="22"/>
          <w:szCs w:val="22"/>
          <w:lang w:val="en-GB"/>
        </w:rPr>
        <w:t xml:space="preserve"> rescue culture. </w:t>
      </w:r>
    </w:p>
    <w:p w14:paraId="2F91622E" w14:textId="77777777" w:rsidR="007B4F09" w:rsidRPr="007B4F09" w:rsidRDefault="007B4F09" w:rsidP="00C76745">
      <w:pPr>
        <w:jc w:val="both"/>
        <w:rPr>
          <w:rFonts w:ascii="Arial" w:hAnsi="Arial" w:cs="Arial"/>
          <w:sz w:val="22"/>
          <w:szCs w:val="22"/>
          <w:lang w:val="en-GB"/>
        </w:rPr>
      </w:pPr>
    </w:p>
    <w:p w14:paraId="72A0E1E1" w14:textId="77703B40" w:rsidR="002073B6" w:rsidRPr="00EF2373" w:rsidRDefault="002073B6" w:rsidP="00C76745">
      <w:pPr>
        <w:pStyle w:val="ListParagraph"/>
        <w:numPr>
          <w:ilvl w:val="0"/>
          <w:numId w:val="9"/>
        </w:numPr>
        <w:ind w:left="426" w:hanging="426"/>
        <w:jc w:val="both"/>
        <w:rPr>
          <w:rFonts w:ascii="Arial" w:hAnsi="Arial" w:cs="Arial"/>
          <w:sz w:val="22"/>
          <w:szCs w:val="22"/>
          <w:highlight w:val="yellow"/>
          <w:lang w:val="en-GB"/>
        </w:rPr>
      </w:pPr>
      <w:r w:rsidRPr="00EF2373">
        <w:rPr>
          <w:rFonts w:ascii="Arial" w:hAnsi="Arial" w:cs="Arial"/>
          <w:sz w:val="22"/>
          <w:szCs w:val="22"/>
          <w:highlight w:val="yellow"/>
          <w:lang w:val="en-GB"/>
        </w:rPr>
        <w:t xml:space="preserve">The low rate of business failure in the UAE. </w:t>
      </w:r>
    </w:p>
    <w:p w14:paraId="279DFD76" w14:textId="77777777" w:rsidR="007B4F09" w:rsidRPr="007B4F09" w:rsidRDefault="007B4F09" w:rsidP="00C76745">
      <w:pPr>
        <w:jc w:val="both"/>
        <w:rPr>
          <w:rFonts w:ascii="Arial" w:hAnsi="Arial" w:cs="Arial"/>
          <w:sz w:val="22"/>
          <w:szCs w:val="22"/>
          <w:lang w:val="en-GB"/>
        </w:rPr>
      </w:pPr>
    </w:p>
    <w:p w14:paraId="0FCF7294" w14:textId="73117167" w:rsidR="002073B6" w:rsidRDefault="002073B6" w:rsidP="00C76745">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C76745">
      <w:pPr>
        <w:jc w:val="both"/>
        <w:rPr>
          <w:rFonts w:ascii="Arial" w:hAnsi="Arial" w:cs="Arial"/>
          <w:sz w:val="22"/>
          <w:szCs w:val="22"/>
          <w:lang w:val="en-GB"/>
        </w:rPr>
      </w:pPr>
    </w:p>
    <w:p w14:paraId="45CA5D52" w14:textId="3AA7D3A8" w:rsidR="002073B6" w:rsidRPr="007B4F09" w:rsidRDefault="002073B6" w:rsidP="00C76745">
      <w:pPr>
        <w:pStyle w:val="ListParagraph"/>
        <w:numPr>
          <w:ilvl w:val="0"/>
          <w:numId w:val="9"/>
        </w:numPr>
        <w:ind w:left="426" w:hanging="426"/>
        <w:jc w:val="both"/>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w:t>
      </w:r>
      <w:proofErr w:type="gramStart"/>
      <w:r w:rsidRPr="007B4F09">
        <w:rPr>
          <w:rFonts w:ascii="Arial" w:hAnsi="Arial" w:cs="Arial"/>
          <w:bCs/>
          <w:sz w:val="22"/>
          <w:szCs w:val="22"/>
          <w:lang w:val="en-GB"/>
        </w:rPr>
        <w:t>agreements which</w:t>
      </w:r>
      <w:proofErr w:type="gramEnd"/>
      <w:r w:rsidRPr="007B4F09">
        <w:rPr>
          <w:rFonts w:ascii="Arial" w:hAnsi="Arial" w:cs="Arial"/>
          <w:bCs/>
          <w:sz w:val="22"/>
          <w:szCs w:val="22"/>
          <w:lang w:val="en-GB"/>
        </w:rPr>
        <w:t xml:space="preserve"> a business might have with its creditors. </w:t>
      </w:r>
    </w:p>
    <w:p w14:paraId="7F6AF34B" w14:textId="77777777" w:rsidR="002073B6" w:rsidRPr="00CA448F" w:rsidRDefault="002073B6" w:rsidP="00C76745">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C76745">
      <w:pPr>
        <w:ind w:left="1440" w:hanging="1440"/>
        <w:jc w:val="both"/>
        <w:rPr>
          <w:rFonts w:ascii="Arial" w:hAnsi="Arial" w:cs="Arial"/>
          <w:sz w:val="22"/>
          <w:szCs w:val="22"/>
          <w:lang w:val="en-GB"/>
        </w:rPr>
      </w:pPr>
    </w:p>
    <w:p w14:paraId="450482A6" w14:textId="4D6758B5"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What </w:t>
      </w:r>
      <w:proofErr w:type="gramStart"/>
      <w:r w:rsidRPr="00CA448F">
        <w:rPr>
          <w:rFonts w:ascii="Arial" w:hAnsi="Arial" w:cs="Arial"/>
          <w:sz w:val="22"/>
          <w:szCs w:val="22"/>
          <w:lang w:val="en-GB"/>
        </w:rPr>
        <w:t>is</w:t>
      </w:r>
      <w:proofErr w:type="gramEnd"/>
      <w:r w:rsidRPr="00CA448F">
        <w:rPr>
          <w:rFonts w:ascii="Arial" w:hAnsi="Arial" w:cs="Arial"/>
          <w:sz w:val="22"/>
          <w:szCs w:val="22"/>
          <w:lang w:val="en-GB"/>
        </w:rPr>
        <w:t xml:space="preserve"> the </w:t>
      </w:r>
      <w:r w:rsidRPr="00C76745">
        <w:rPr>
          <w:rFonts w:ascii="Arial" w:hAnsi="Arial" w:cs="Arial"/>
          <w:b/>
          <w:bCs/>
          <w:sz w:val="22"/>
          <w:szCs w:val="22"/>
          <w:u w:val="single"/>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C76745">
      <w:pPr>
        <w:ind w:left="1440" w:hanging="1440"/>
        <w:jc w:val="both"/>
        <w:rPr>
          <w:rFonts w:ascii="Arial" w:hAnsi="Arial" w:cs="Arial"/>
          <w:sz w:val="22"/>
          <w:szCs w:val="22"/>
          <w:lang w:val="en-GB"/>
        </w:rPr>
      </w:pPr>
    </w:p>
    <w:p w14:paraId="165F64AA" w14:textId="3D9335EE"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C76745">
      <w:pPr>
        <w:jc w:val="both"/>
        <w:rPr>
          <w:rFonts w:ascii="Arial" w:hAnsi="Arial" w:cs="Arial"/>
          <w:sz w:val="22"/>
          <w:szCs w:val="22"/>
          <w:lang w:val="en-GB"/>
        </w:rPr>
      </w:pPr>
    </w:p>
    <w:p w14:paraId="3E66D4EF" w14:textId="42507DC6" w:rsidR="002073B6" w:rsidRDefault="002073B6" w:rsidP="00C76745">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C76745">
      <w:pPr>
        <w:jc w:val="both"/>
        <w:rPr>
          <w:rFonts w:ascii="Arial" w:hAnsi="Arial" w:cs="Arial"/>
          <w:sz w:val="22"/>
          <w:szCs w:val="22"/>
          <w:lang w:val="en-GB"/>
        </w:rPr>
      </w:pPr>
    </w:p>
    <w:p w14:paraId="4714A6AD" w14:textId="07BC456D" w:rsidR="002073B6" w:rsidRPr="00EF2373" w:rsidRDefault="002073B6" w:rsidP="00C76745">
      <w:pPr>
        <w:pStyle w:val="ListParagraph"/>
        <w:numPr>
          <w:ilvl w:val="0"/>
          <w:numId w:val="11"/>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C76745">
      <w:pPr>
        <w:jc w:val="both"/>
        <w:rPr>
          <w:rFonts w:ascii="Arial" w:hAnsi="Arial" w:cs="Arial"/>
          <w:bCs/>
          <w:sz w:val="22"/>
          <w:szCs w:val="22"/>
          <w:lang w:val="en-GB"/>
        </w:rPr>
      </w:pPr>
    </w:p>
    <w:p w14:paraId="20F83A87" w14:textId="660EAF8A" w:rsidR="002073B6" w:rsidRPr="00EF2373" w:rsidRDefault="002073B6" w:rsidP="00C76745">
      <w:pPr>
        <w:pStyle w:val="ListParagraph"/>
        <w:numPr>
          <w:ilvl w:val="0"/>
          <w:numId w:val="11"/>
        </w:numPr>
        <w:ind w:left="426" w:hanging="426"/>
        <w:jc w:val="both"/>
        <w:rPr>
          <w:rFonts w:ascii="Arial" w:hAnsi="Arial" w:cs="Arial"/>
          <w:sz w:val="22"/>
          <w:szCs w:val="22"/>
          <w:lang w:val="en-GB"/>
        </w:rPr>
      </w:pPr>
      <w:r w:rsidRPr="00EF2373">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C76745">
      <w:pPr>
        <w:ind w:left="720" w:hanging="720"/>
        <w:jc w:val="both"/>
        <w:rPr>
          <w:rFonts w:ascii="Arial" w:hAnsi="Arial" w:cs="Arial"/>
          <w:sz w:val="22"/>
          <w:szCs w:val="22"/>
          <w:lang w:val="en-GB"/>
        </w:rPr>
      </w:pPr>
    </w:p>
    <w:p w14:paraId="2C35569C"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C76745">
      <w:pPr>
        <w:ind w:left="1440" w:hanging="1440"/>
        <w:jc w:val="both"/>
        <w:rPr>
          <w:rFonts w:ascii="Arial" w:hAnsi="Arial" w:cs="Arial"/>
          <w:sz w:val="22"/>
          <w:szCs w:val="22"/>
          <w:lang w:val="en-GB"/>
        </w:rPr>
      </w:pPr>
    </w:p>
    <w:p w14:paraId="458A3B55" w14:textId="1021EF4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C76745">
      <w:pPr>
        <w:ind w:left="720" w:hanging="720"/>
        <w:jc w:val="both"/>
        <w:rPr>
          <w:rFonts w:ascii="Arial" w:hAnsi="Arial" w:cs="Arial"/>
          <w:sz w:val="22"/>
          <w:szCs w:val="22"/>
          <w:lang w:val="en-GB"/>
        </w:rPr>
      </w:pPr>
    </w:p>
    <w:p w14:paraId="6C872D3D" w14:textId="11D5460F"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EF2373" w:rsidRDefault="002073B6" w:rsidP="00C76745">
      <w:pPr>
        <w:pStyle w:val="ListParagraph"/>
        <w:numPr>
          <w:ilvl w:val="0"/>
          <w:numId w:val="13"/>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C76745">
      <w:pPr>
        <w:jc w:val="both"/>
        <w:rPr>
          <w:rFonts w:ascii="Arial" w:hAnsi="Arial" w:cs="Arial"/>
          <w:bCs/>
          <w:sz w:val="22"/>
          <w:szCs w:val="22"/>
          <w:lang w:val="en-GB"/>
        </w:rPr>
      </w:pPr>
    </w:p>
    <w:p w14:paraId="31128441" w14:textId="375C39FE" w:rsidR="002073B6"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C76745">
      <w:pPr>
        <w:jc w:val="both"/>
        <w:rPr>
          <w:rFonts w:ascii="Arial" w:hAnsi="Arial" w:cs="Arial"/>
          <w:sz w:val="22"/>
          <w:szCs w:val="22"/>
          <w:lang w:val="en-GB"/>
        </w:rPr>
      </w:pPr>
    </w:p>
    <w:p w14:paraId="77CF7FF2" w14:textId="60BE4D00" w:rsidR="002073B6" w:rsidRPr="00CA448F" w:rsidRDefault="002073B6" w:rsidP="00C76745">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C76745">
      <w:pPr>
        <w:ind w:left="1440" w:hanging="1440"/>
        <w:jc w:val="both"/>
        <w:rPr>
          <w:rFonts w:ascii="Arial" w:hAnsi="Arial" w:cs="Arial"/>
          <w:sz w:val="22"/>
          <w:szCs w:val="22"/>
          <w:lang w:val="en-GB"/>
        </w:rPr>
      </w:pPr>
    </w:p>
    <w:p w14:paraId="0E070D66"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C76745">
      <w:pPr>
        <w:ind w:left="1440" w:hanging="1440"/>
        <w:jc w:val="both"/>
        <w:rPr>
          <w:rFonts w:ascii="Arial" w:hAnsi="Arial" w:cs="Arial"/>
          <w:sz w:val="22"/>
          <w:szCs w:val="22"/>
          <w:lang w:val="en-GB"/>
        </w:rPr>
      </w:pPr>
    </w:p>
    <w:p w14:paraId="4CBD3E1A" w14:textId="0B85C495" w:rsidR="002073B6" w:rsidRPr="00CA448F" w:rsidRDefault="005906C2" w:rsidP="00C76745">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w:t>
      </w:r>
      <w:proofErr w:type="gramStart"/>
      <w:r w:rsidR="00274BC3">
        <w:rPr>
          <w:rFonts w:ascii="Arial" w:hAnsi="Arial" w:cs="Arial"/>
          <w:sz w:val="22"/>
          <w:szCs w:val="22"/>
          <w:lang w:val="en-GB"/>
        </w:rPr>
        <w:t xml:space="preserve">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proofErr w:type="gramEnd"/>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C76745">
        <w:rPr>
          <w:rFonts w:ascii="Arial" w:hAnsi="Arial" w:cs="Arial"/>
          <w:b/>
          <w:bCs/>
          <w:sz w:val="22"/>
          <w:szCs w:val="22"/>
          <w:u w:val="single"/>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C76745">
      <w:pPr>
        <w:ind w:left="720" w:hanging="720"/>
        <w:jc w:val="both"/>
        <w:rPr>
          <w:rFonts w:ascii="Arial" w:hAnsi="Arial" w:cs="Arial"/>
          <w:sz w:val="22"/>
          <w:szCs w:val="22"/>
          <w:lang w:val="en-GB"/>
        </w:rPr>
      </w:pPr>
    </w:p>
    <w:p w14:paraId="23FFE8EC" w14:textId="3CE92B6D" w:rsidR="002073B6" w:rsidRPr="00EF2373" w:rsidRDefault="008D1432" w:rsidP="00C76745">
      <w:pPr>
        <w:pStyle w:val="ListParagraph"/>
        <w:numPr>
          <w:ilvl w:val="0"/>
          <w:numId w:val="15"/>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True</w:t>
      </w:r>
      <w:r w:rsidR="002073B6" w:rsidRPr="00EF2373">
        <w:rPr>
          <w:rFonts w:ascii="Arial" w:hAnsi="Arial" w:cs="Arial"/>
          <w:bCs/>
          <w:sz w:val="22"/>
          <w:szCs w:val="22"/>
          <w:highlight w:val="yellow"/>
          <w:lang w:val="en-GB"/>
        </w:rPr>
        <w:t>.</w:t>
      </w:r>
    </w:p>
    <w:p w14:paraId="5833C54B" w14:textId="77777777" w:rsidR="006F58B3" w:rsidRPr="006F58B3" w:rsidRDefault="006F58B3" w:rsidP="00C76745">
      <w:pPr>
        <w:jc w:val="both"/>
        <w:rPr>
          <w:rFonts w:ascii="Arial" w:hAnsi="Arial" w:cs="Arial"/>
          <w:bCs/>
          <w:sz w:val="22"/>
          <w:szCs w:val="22"/>
          <w:lang w:val="en-GB"/>
        </w:rPr>
      </w:pPr>
    </w:p>
    <w:p w14:paraId="6879FBF6" w14:textId="2A318881" w:rsidR="002073B6" w:rsidRPr="00CA448F" w:rsidRDefault="008D1432" w:rsidP="00C76745">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C76745">
      <w:pPr>
        <w:ind w:left="1440" w:hanging="1440"/>
        <w:jc w:val="both"/>
        <w:rPr>
          <w:rFonts w:ascii="Arial" w:hAnsi="Arial" w:cs="Arial"/>
          <w:sz w:val="22"/>
          <w:szCs w:val="22"/>
          <w:lang w:val="en-GB"/>
        </w:rPr>
      </w:pPr>
    </w:p>
    <w:p w14:paraId="4EE1F5A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C76745">
      <w:pPr>
        <w:ind w:left="1440" w:hanging="1440"/>
        <w:jc w:val="both"/>
        <w:rPr>
          <w:rFonts w:ascii="Arial" w:hAnsi="Arial" w:cs="Arial"/>
          <w:sz w:val="22"/>
          <w:szCs w:val="22"/>
          <w:lang w:val="en-GB"/>
        </w:rPr>
      </w:pPr>
    </w:p>
    <w:p w14:paraId="29FC5174" w14:textId="173B0563"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statement </w:t>
      </w:r>
      <w:r w:rsidRPr="00C76745">
        <w:rPr>
          <w:rFonts w:ascii="Arial" w:hAnsi="Arial" w:cs="Arial"/>
          <w:b/>
          <w:bCs/>
          <w:sz w:val="22"/>
          <w:szCs w:val="22"/>
          <w:u w:val="single"/>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C76745">
      <w:pPr>
        <w:ind w:left="720" w:hanging="720"/>
        <w:jc w:val="both"/>
        <w:rPr>
          <w:rFonts w:ascii="Arial" w:hAnsi="Arial" w:cs="Arial"/>
          <w:sz w:val="22"/>
          <w:szCs w:val="22"/>
          <w:lang w:val="en-GB"/>
        </w:rPr>
      </w:pPr>
    </w:p>
    <w:p w14:paraId="1D491458" w14:textId="15767220"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C76745">
      <w:pPr>
        <w:jc w:val="both"/>
        <w:rPr>
          <w:rFonts w:ascii="Arial" w:hAnsi="Arial" w:cs="Arial"/>
          <w:sz w:val="22"/>
          <w:szCs w:val="22"/>
          <w:lang w:val="en-GB"/>
        </w:rPr>
      </w:pPr>
    </w:p>
    <w:p w14:paraId="2C1F3246" w14:textId="62BA4443"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C76745">
      <w:pPr>
        <w:jc w:val="both"/>
        <w:rPr>
          <w:rFonts w:ascii="Arial" w:hAnsi="Arial" w:cs="Arial"/>
          <w:sz w:val="22"/>
          <w:szCs w:val="22"/>
          <w:lang w:val="en-GB"/>
        </w:rPr>
      </w:pPr>
    </w:p>
    <w:p w14:paraId="616022B5" w14:textId="210B3C35" w:rsidR="002073B6" w:rsidRDefault="002073B6" w:rsidP="00C76745">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C76745">
      <w:pPr>
        <w:jc w:val="both"/>
        <w:rPr>
          <w:rFonts w:ascii="Arial" w:hAnsi="Arial" w:cs="Arial"/>
          <w:sz w:val="22"/>
          <w:szCs w:val="22"/>
          <w:lang w:val="en-GB"/>
        </w:rPr>
      </w:pPr>
    </w:p>
    <w:p w14:paraId="337E7C87" w14:textId="32E4E24A" w:rsidR="002073B6" w:rsidRPr="00EF2373" w:rsidRDefault="002073B6" w:rsidP="00C76745">
      <w:pPr>
        <w:pStyle w:val="ListParagraph"/>
        <w:numPr>
          <w:ilvl w:val="0"/>
          <w:numId w:val="17"/>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C76745">
      <w:pPr>
        <w:ind w:left="720" w:hanging="720"/>
        <w:jc w:val="both"/>
        <w:rPr>
          <w:rFonts w:ascii="Arial" w:hAnsi="Arial" w:cs="Arial"/>
          <w:b/>
          <w:sz w:val="22"/>
          <w:szCs w:val="22"/>
          <w:lang w:val="en-GB"/>
        </w:rPr>
      </w:pPr>
    </w:p>
    <w:p w14:paraId="59AB1BE2"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C76745">
      <w:pPr>
        <w:ind w:left="1440" w:hanging="1440"/>
        <w:jc w:val="both"/>
        <w:rPr>
          <w:rFonts w:ascii="Arial" w:hAnsi="Arial" w:cs="Arial"/>
          <w:sz w:val="22"/>
          <w:szCs w:val="22"/>
          <w:lang w:val="en-GB"/>
        </w:rPr>
      </w:pPr>
    </w:p>
    <w:p w14:paraId="3425C2D8" w14:textId="17457E2A"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76745">
        <w:rPr>
          <w:rFonts w:ascii="Arial" w:hAnsi="Arial" w:cs="Arial"/>
          <w:b/>
          <w:bCs/>
          <w:sz w:val="22"/>
          <w:szCs w:val="22"/>
          <w:u w:val="single"/>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C76745">
      <w:pPr>
        <w:jc w:val="both"/>
        <w:rPr>
          <w:rFonts w:ascii="Arial" w:hAnsi="Arial" w:cs="Arial"/>
          <w:sz w:val="22"/>
          <w:szCs w:val="22"/>
          <w:lang w:val="en-GB"/>
        </w:rPr>
      </w:pPr>
    </w:p>
    <w:p w14:paraId="3C5FC44B" w14:textId="71B58E6B"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C76745">
      <w:pPr>
        <w:jc w:val="both"/>
        <w:rPr>
          <w:rFonts w:ascii="Arial" w:hAnsi="Arial" w:cs="Arial"/>
          <w:sz w:val="22"/>
          <w:szCs w:val="22"/>
          <w:lang w:val="en-GB"/>
        </w:rPr>
      </w:pPr>
    </w:p>
    <w:p w14:paraId="59FA80E0" w14:textId="03D675CC" w:rsidR="002073B6"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C76745">
      <w:pPr>
        <w:jc w:val="both"/>
        <w:rPr>
          <w:rFonts w:ascii="Arial" w:hAnsi="Arial" w:cs="Arial"/>
          <w:sz w:val="22"/>
          <w:szCs w:val="22"/>
          <w:lang w:val="en-GB"/>
        </w:rPr>
      </w:pPr>
    </w:p>
    <w:p w14:paraId="75642A41" w14:textId="0B23BFEA" w:rsidR="002073B6" w:rsidRPr="00EF2373" w:rsidRDefault="002073B6" w:rsidP="00C76745">
      <w:pPr>
        <w:pStyle w:val="ListParagraph"/>
        <w:numPr>
          <w:ilvl w:val="0"/>
          <w:numId w:val="18"/>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C76745">
      <w:pPr>
        <w:jc w:val="both"/>
        <w:rPr>
          <w:rFonts w:ascii="Arial" w:hAnsi="Arial" w:cs="Arial"/>
          <w:bCs/>
          <w:sz w:val="22"/>
          <w:szCs w:val="22"/>
          <w:lang w:val="en-GB"/>
        </w:rPr>
      </w:pPr>
    </w:p>
    <w:p w14:paraId="435272A5" w14:textId="72E6EDEC" w:rsidR="002073B6" w:rsidRPr="00CA448F" w:rsidRDefault="002073B6" w:rsidP="00C76745">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C76745">
      <w:pPr>
        <w:ind w:left="1440" w:hanging="1440"/>
        <w:jc w:val="both"/>
        <w:rPr>
          <w:rFonts w:ascii="Arial" w:hAnsi="Arial" w:cs="Arial"/>
          <w:sz w:val="22"/>
          <w:szCs w:val="22"/>
          <w:lang w:val="en-GB"/>
        </w:rPr>
      </w:pPr>
    </w:p>
    <w:p w14:paraId="51C567A2" w14:textId="74C77019"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C76745">
      <w:pPr>
        <w:ind w:left="720" w:hanging="720"/>
        <w:jc w:val="both"/>
        <w:rPr>
          <w:rFonts w:ascii="Arial" w:hAnsi="Arial" w:cs="Arial"/>
          <w:sz w:val="22"/>
          <w:szCs w:val="22"/>
          <w:lang w:val="en-GB"/>
        </w:rPr>
      </w:pPr>
    </w:p>
    <w:p w14:paraId="439540AC" w14:textId="6B954BA9" w:rsidR="002073B6" w:rsidRPr="00EF2373" w:rsidRDefault="002073B6" w:rsidP="00C76745">
      <w:pPr>
        <w:pStyle w:val="ListParagraph"/>
        <w:numPr>
          <w:ilvl w:val="0"/>
          <w:numId w:val="20"/>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 xml:space="preserve">Interest on debts owed by the debtor stops accruing on the date of commencement of Preventive Composition. </w:t>
      </w:r>
      <w:r w:rsidRPr="00EF2373">
        <w:rPr>
          <w:rFonts w:ascii="Arial" w:hAnsi="Arial" w:cs="Arial"/>
          <w:bCs/>
          <w:sz w:val="22"/>
          <w:szCs w:val="22"/>
          <w:highlight w:val="yellow"/>
          <w:lang w:val="en-GB"/>
        </w:rPr>
        <w:tab/>
      </w:r>
    </w:p>
    <w:p w14:paraId="59848C9A" w14:textId="77777777" w:rsidR="006F58B3" w:rsidRPr="006F58B3" w:rsidRDefault="006F58B3" w:rsidP="00C76745">
      <w:pPr>
        <w:jc w:val="both"/>
        <w:rPr>
          <w:rFonts w:ascii="Arial" w:hAnsi="Arial" w:cs="Arial"/>
          <w:bCs/>
          <w:sz w:val="22"/>
          <w:szCs w:val="22"/>
          <w:lang w:val="en-GB"/>
        </w:rPr>
      </w:pPr>
    </w:p>
    <w:p w14:paraId="3492BEDA" w14:textId="4D12D3AD"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C76745">
      <w:pPr>
        <w:jc w:val="both"/>
        <w:rPr>
          <w:rFonts w:ascii="Arial" w:hAnsi="Arial" w:cs="Arial"/>
          <w:sz w:val="22"/>
          <w:szCs w:val="22"/>
          <w:lang w:val="en-GB"/>
        </w:rPr>
      </w:pPr>
    </w:p>
    <w:p w14:paraId="190CA9E3" w14:textId="0ED3FA43" w:rsidR="002073B6"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C76745">
      <w:pPr>
        <w:jc w:val="both"/>
        <w:rPr>
          <w:rFonts w:ascii="Arial" w:hAnsi="Arial" w:cs="Arial"/>
          <w:sz w:val="22"/>
          <w:szCs w:val="22"/>
          <w:lang w:val="en-GB"/>
        </w:rPr>
      </w:pPr>
    </w:p>
    <w:p w14:paraId="080B7891" w14:textId="0BA9415C" w:rsidR="002073B6" w:rsidRPr="00CA448F" w:rsidRDefault="002073B6" w:rsidP="00C76745">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C76745">
      <w:pPr>
        <w:ind w:left="720" w:hanging="720"/>
        <w:jc w:val="both"/>
        <w:rPr>
          <w:rFonts w:ascii="Arial" w:hAnsi="Arial" w:cs="Arial"/>
          <w:sz w:val="22"/>
          <w:szCs w:val="22"/>
          <w:lang w:val="en-GB"/>
        </w:rPr>
      </w:pPr>
    </w:p>
    <w:p w14:paraId="41023C9E"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C76745">
      <w:pPr>
        <w:ind w:left="1440" w:hanging="1440"/>
        <w:jc w:val="both"/>
        <w:rPr>
          <w:rFonts w:ascii="Arial" w:hAnsi="Arial" w:cs="Arial"/>
          <w:sz w:val="22"/>
          <w:szCs w:val="22"/>
          <w:lang w:val="en-GB"/>
        </w:rPr>
      </w:pPr>
    </w:p>
    <w:p w14:paraId="64A70AA6" w14:textId="0DDC4647" w:rsidR="002073B6" w:rsidRPr="00CA448F" w:rsidRDefault="002073B6" w:rsidP="00C76745">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C76745">
      <w:pPr>
        <w:ind w:left="720" w:hanging="720"/>
        <w:jc w:val="both"/>
        <w:rPr>
          <w:rFonts w:ascii="Arial" w:hAnsi="Arial" w:cs="Arial"/>
          <w:sz w:val="22"/>
          <w:szCs w:val="22"/>
          <w:lang w:val="en-GB"/>
        </w:rPr>
      </w:pPr>
    </w:p>
    <w:p w14:paraId="6119C70B" w14:textId="7AEBD449" w:rsidR="002073B6" w:rsidRPr="00EF2373" w:rsidRDefault="002073B6" w:rsidP="00C76745">
      <w:pPr>
        <w:pStyle w:val="ListParagraph"/>
        <w:numPr>
          <w:ilvl w:val="0"/>
          <w:numId w:val="22"/>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C76745">
      <w:pPr>
        <w:jc w:val="both"/>
        <w:rPr>
          <w:rFonts w:ascii="Arial" w:hAnsi="Arial" w:cs="Arial"/>
          <w:bCs/>
          <w:sz w:val="22"/>
          <w:szCs w:val="22"/>
          <w:lang w:val="en-GB"/>
        </w:rPr>
      </w:pPr>
    </w:p>
    <w:p w14:paraId="5605B34F" w14:textId="495F2371"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C76745">
      <w:pPr>
        <w:jc w:val="both"/>
        <w:rPr>
          <w:rFonts w:ascii="Arial" w:hAnsi="Arial" w:cs="Arial"/>
          <w:sz w:val="22"/>
          <w:szCs w:val="22"/>
          <w:lang w:val="en-GB"/>
        </w:rPr>
      </w:pPr>
    </w:p>
    <w:p w14:paraId="698F3E2A" w14:textId="569EBAF9" w:rsidR="002073B6"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C76745">
      <w:pPr>
        <w:jc w:val="both"/>
        <w:rPr>
          <w:rFonts w:ascii="Arial" w:hAnsi="Arial" w:cs="Arial"/>
          <w:sz w:val="22"/>
          <w:szCs w:val="22"/>
          <w:lang w:val="en-GB"/>
        </w:rPr>
      </w:pPr>
    </w:p>
    <w:p w14:paraId="313E7C06" w14:textId="503D75DC" w:rsidR="002073B6" w:rsidRPr="00CA448F" w:rsidRDefault="002073B6" w:rsidP="00C76745">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C76745">
      <w:pPr>
        <w:ind w:left="1440" w:hanging="1440"/>
        <w:jc w:val="both"/>
        <w:rPr>
          <w:rFonts w:ascii="Arial" w:hAnsi="Arial" w:cs="Arial"/>
          <w:sz w:val="22"/>
          <w:szCs w:val="22"/>
          <w:lang w:val="en-GB"/>
        </w:rPr>
      </w:pPr>
    </w:p>
    <w:p w14:paraId="5A2043A9" w14:textId="77777777" w:rsidR="00DE3A7C" w:rsidRPr="00CA448F" w:rsidRDefault="002073B6" w:rsidP="00C76745">
      <w:pPr>
        <w:ind w:left="1440" w:hanging="1440"/>
        <w:jc w:val="both"/>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C76745">
      <w:pPr>
        <w:ind w:left="1440" w:hanging="1440"/>
        <w:jc w:val="both"/>
        <w:rPr>
          <w:rFonts w:ascii="Arial" w:hAnsi="Arial" w:cs="Arial"/>
          <w:sz w:val="22"/>
          <w:szCs w:val="22"/>
          <w:lang w:val="en-GB"/>
        </w:rPr>
      </w:pPr>
    </w:p>
    <w:p w14:paraId="49446C32" w14:textId="0AD6970B" w:rsidR="002073B6" w:rsidRPr="00922A3A" w:rsidRDefault="001A1E2D" w:rsidP="00C76745">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C76745">
        <w:rPr>
          <w:rFonts w:ascii="Arial" w:hAnsi="Arial" w:cs="Arial"/>
          <w:b/>
          <w:bCs/>
          <w:sz w:val="22"/>
          <w:szCs w:val="22"/>
          <w:u w:val="single"/>
        </w:rPr>
        <w:t>incorrect</w:t>
      </w:r>
      <w:r w:rsidR="00BF7738">
        <w:rPr>
          <w:rFonts w:ascii="Arial" w:hAnsi="Arial" w:cs="Arial"/>
          <w:sz w:val="22"/>
          <w:szCs w:val="22"/>
        </w:rPr>
        <w:t>?</w:t>
      </w:r>
    </w:p>
    <w:p w14:paraId="60F790B4" w14:textId="77777777" w:rsidR="002073B6" w:rsidRPr="00922A3A" w:rsidRDefault="002073B6" w:rsidP="00C76745">
      <w:pPr>
        <w:ind w:left="720" w:hanging="720"/>
        <w:jc w:val="both"/>
        <w:rPr>
          <w:rFonts w:ascii="Arial" w:hAnsi="Arial" w:cs="Arial"/>
          <w:sz w:val="22"/>
          <w:szCs w:val="22"/>
          <w:lang w:val="en-GB"/>
        </w:rPr>
      </w:pPr>
    </w:p>
    <w:p w14:paraId="147741BA" w14:textId="5D1C18E7" w:rsidR="002073B6" w:rsidRPr="006F58B3" w:rsidRDefault="00B22E51" w:rsidP="00C76745">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C76745">
      <w:pPr>
        <w:jc w:val="both"/>
        <w:rPr>
          <w:rFonts w:ascii="Arial" w:hAnsi="Arial" w:cs="Arial"/>
          <w:sz w:val="22"/>
          <w:szCs w:val="22"/>
          <w:lang w:val="en-GB"/>
        </w:rPr>
      </w:pPr>
    </w:p>
    <w:p w14:paraId="1E591EB3" w14:textId="48A50DF7" w:rsidR="002073B6" w:rsidRPr="00EF2373" w:rsidRDefault="00BA06CC" w:rsidP="00C76745">
      <w:pPr>
        <w:pStyle w:val="ListParagraph"/>
        <w:numPr>
          <w:ilvl w:val="0"/>
          <w:numId w:val="24"/>
        </w:numPr>
        <w:ind w:left="426" w:hanging="426"/>
        <w:jc w:val="both"/>
        <w:rPr>
          <w:rFonts w:ascii="Arial" w:hAnsi="Arial" w:cs="Arial"/>
          <w:bCs/>
          <w:sz w:val="22"/>
          <w:szCs w:val="22"/>
          <w:highlight w:val="yellow"/>
          <w:lang w:val="en-GB"/>
        </w:rPr>
      </w:pPr>
      <w:r w:rsidRPr="00EF2373">
        <w:rPr>
          <w:rFonts w:ascii="Arial" w:hAnsi="Arial" w:cs="Arial"/>
          <w:sz w:val="22"/>
          <w:szCs w:val="22"/>
          <w:highlight w:val="yellow"/>
        </w:rPr>
        <w:t>A</w:t>
      </w:r>
      <w:r w:rsidR="00F80E9B" w:rsidRPr="00EF2373">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EF2373">
        <w:rPr>
          <w:rFonts w:ascii="Arial" w:hAnsi="Arial" w:cs="Arial"/>
          <w:bCs/>
          <w:sz w:val="22"/>
          <w:szCs w:val="22"/>
          <w:highlight w:val="yellow"/>
          <w:lang w:val="en-GB"/>
        </w:rPr>
        <w:t xml:space="preserve">. </w:t>
      </w:r>
    </w:p>
    <w:p w14:paraId="7F15A46D" w14:textId="77777777" w:rsidR="006F58B3" w:rsidRPr="006F58B3" w:rsidRDefault="006F58B3" w:rsidP="00C76745">
      <w:pPr>
        <w:jc w:val="both"/>
        <w:rPr>
          <w:rFonts w:ascii="Arial" w:hAnsi="Arial" w:cs="Arial"/>
          <w:bCs/>
          <w:sz w:val="22"/>
          <w:szCs w:val="22"/>
          <w:lang w:val="en-GB"/>
        </w:rPr>
      </w:pPr>
    </w:p>
    <w:p w14:paraId="5B5B360C" w14:textId="7C51F8C8" w:rsidR="002073B6" w:rsidRDefault="00821EDC" w:rsidP="00C76745">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C76745">
      <w:pPr>
        <w:jc w:val="both"/>
        <w:rPr>
          <w:rFonts w:ascii="Arial" w:hAnsi="Arial" w:cs="Arial"/>
          <w:sz w:val="22"/>
          <w:szCs w:val="22"/>
          <w:lang w:val="en-GB"/>
        </w:rPr>
      </w:pPr>
    </w:p>
    <w:p w14:paraId="77B9E7DE" w14:textId="7DC1C200" w:rsidR="002073B6" w:rsidRPr="00FF7906" w:rsidRDefault="00FF7906" w:rsidP="00C76745">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C76745">
      <w:pPr>
        <w:ind w:left="720" w:hanging="720"/>
        <w:jc w:val="both"/>
        <w:rPr>
          <w:rFonts w:ascii="Arial" w:hAnsi="Arial" w:cs="Arial"/>
          <w:sz w:val="22"/>
          <w:szCs w:val="22"/>
          <w:lang w:val="en-GB"/>
        </w:rPr>
      </w:pPr>
    </w:p>
    <w:p w14:paraId="636417FD" w14:textId="11F93528" w:rsidR="006F58B3" w:rsidRDefault="006F58B3" w:rsidP="00C76745">
      <w:pPr>
        <w:ind w:left="720" w:hanging="720"/>
        <w:jc w:val="both"/>
        <w:rPr>
          <w:rFonts w:ascii="Arial" w:hAnsi="Arial" w:cs="Arial"/>
          <w:sz w:val="22"/>
          <w:szCs w:val="22"/>
          <w:lang w:val="en-GB"/>
        </w:rPr>
      </w:pPr>
    </w:p>
    <w:p w14:paraId="2078F6C1" w14:textId="5B9F1EEE" w:rsidR="006F58B3" w:rsidRDefault="006F58B3" w:rsidP="00C76745">
      <w:pPr>
        <w:ind w:left="720" w:hanging="720"/>
        <w:jc w:val="both"/>
        <w:rPr>
          <w:rFonts w:ascii="Arial" w:hAnsi="Arial" w:cs="Arial"/>
          <w:sz w:val="22"/>
          <w:szCs w:val="22"/>
          <w:lang w:val="en-GB"/>
        </w:rPr>
      </w:pPr>
    </w:p>
    <w:p w14:paraId="027281FB" w14:textId="77777777" w:rsidR="006F58B3" w:rsidRPr="00CA448F" w:rsidRDefault="006F58B3" w:rsidP="00C76745">
      <w:pPr>
        <w:ind w:left="720" w:hanging="720"/>
        <w:jc w:val="both"/>
        <w:rPr>
          <w:rFonts w:ascii="Arial" w:hAnsi="Arial" w:cs="Arial"/>
          <w:sz w:val="22"/>
          <w:szCs w:val="22"/>
          <w:lang w:val="en-GB"/>
        </w:rPr>
      </w:pPr>
    </w:p>
    <w:p w14:paraId="2C36B1F5" w14:textId="77777777" w:rsidR="00DE3A7C" w:rsidRPr="00CA448F" w:rsidRDefault="002073B6"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C76745">
      <w:pPr>
        <w:ind w:left="720" w:hanging="720"/>
        <w:jc w:val="both"/>
        <w:rPr>
          <w:rFonts w:ascii="Arial" w:hAnsi="Arial" w:cs="Arial"/>
          <w:sz w:val="22"/>
          <w:szCs w:val="22"/>
          <w:lang w:val="en-GB"/>
        </w:rPr>
      </w:pPr>
    </w:p>
    <w:p w14:paraId="72E60C51" w14:textId="0DD27995" w:rsidR="002073B6" w:rsidRPr="00CA448F" w:rsidRDefault="002073B6" w:rsidP="00C76745">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76745">
        <w:rPr>
          <w:rFonts w:ascii="Arial" w:hAnsi="Arial" w:cs="Arial"/>
          <w:b/>
          <w:bCs/>
          <w:sz w:val="22"/>
          <w:szCs w:val="22"/>
          <w:u w:val="single"/>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C76745">
      <w:pPr>
        <w:ind w:left="720" w:hanging="720"/>
        <w:jc w:val="both"/>
        <w:rPr>
          <w:rFonts w:ascii="Arial" w:hAnsi="Arial" w:cs="Arial"/>
          <w:sz w:val="22"/>
          <w:szCs w:val="22"/>
          <w:lang w:val="en-GB"/>
        </w:rPr>
      </w:pPr>
    </w:p>
    <w:p w14:paraId="30E2AA94" w14:textId="7DF134C6"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C76745">
      <w:pPr>
        <w:jc w:val="both"/>
        <w:rPr>
          <w:rFonts w:ascii="Arial" w:hAnsi="Arial" w:cs="Arial"/>
          <w:sz w:val="22"/>
          <w:szCs w:val="22"/>
          <w:lang w:val="en-GB"/>
        </w:rPr>
      </w:pPr>
    </w:p>
    <w:p w14:paraId="3625363A" w14:textId="111F8E2F" w:rsidR="002073B6" w:rsidRPr="00EF2373" w:rsidRDefault="002073B6" w:rsidP="00C76745">
      <w:pPr>
        <w:pStyle w:val="ListParagraph"/>
        <w:numPr>
          <w:ilvl w:val="0"/>
          <w:numId w:val="25"/>
        </w:numPr>
        <w:ind w:left="426" w:hanging="426"/>
        <w:jc w:val="both"/>
        <w:rPr>
          <w:rFonts w:ascii="Arial" w:hAnsi="Arial" w:cs="Arial"/>
          <w:bCs/>
          <w:sz w:val="22"/>
          <w:szCs w:val="22"/>
          <w:highlight w:val="yellow"/>
          <w:lang w:val="en-GB"/>
        </w:rPr>
      </w:pPr>
      <w:r w:rsidRPr="00EF2373">
        <w:rPr>
          <w:rFonts w:ascii="Arial" w:hAnsi="Arial" w:cs="Arial"/>
          <w:bCs/>
          <w:sz w:val="22"/>
          <w:szCs w:val="22"/>
          <w:highlight w:val="yellow"/>
          <w:lang w:val="en-GB"/>
        </w:rPr>
        <w:t xml:space="preserve">The DIFC Courts will enforce judgments and awards from other countries if there is a memorandum of understanding with the Courts of that </w:t>
      </w:r>
      <w:proofErr w:type="gramStart"/>
      <w:r w:rsidRPr="00EF2373">
        <w:rPr>
          <w:rFonts w:ascii="Arial" w:hAnsi="Arial" w:cs="Arial"/>
          <w:bCs/>
          <w:sz w:val="22"/>
          <w:szCs w:val="22"/>
          <w:highlight w:val="yellow"/>
          <w:lang w:val="en-GB"/>
        </w:rPr>
        <w:t>country which</w:t>
      </w:r>
      <w:proofErr w:type="gramEnd"/>
      <w:r w:rsidRPr="00EF2373">
        <w:rPr>
          <w:rFonts w:ascii="Arial" w:hAnsi="Arial" w:cs="Arial"/>
          <w:bCs/>
          <w:sz w:val="22"/>
          <w:szCs w:val="22"/>
          <w:highlight w:val="yellow"/>
          <w:lang w:val="en-GB"/>
        </w:rPr>
        <w:t xml:space="preserve"> enable the DIFC Courts to do so. </w:t>
      </w:r>
    </w:p>
    <w:p w14:paraId="029E6377" w14:textId="77777777" w:rsidR="006F58B3" w:rsidRPr="006F58B3" w:rsidRDefault="006F58B3" w:rsidP="00C76745">
      <w:pPr>
        <w:jc w:val="both"/>
        <w:rPr>
          <w:rFonts w:ascii="Arial" w:hAnsi="Arial" w:cs="Arial"/>
          <w:bCs/>
          <w:sz w:val="22"/>
          <w:szCs w:val="22"/>
          <w:lang w:val="en-GB"/>
        </w:rPr>
      </w:pPr>
    </w:p>
    <w:p w14:paraId="6A27203B" w14:textId="115A7D29" w:rsidR="002073B6"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C76745">
      <w:pPr>
        <w:jc w:val="both"/>
        <w:rPr>
          <w:rFonts w:ascii="Arial" w:hAnsi="Arial" w:cs="Arial"/>
          <w:sz w:val="22"/>
          <w:szCs w:val="22"/>
          <w:lang w:val="en-GB"/>
        </w:rPr>
      </w:pPr>
    </w:p>
    <w:p w14:paraId="02C87DC8" w14:textId="459201FC" w:rsidR="003C6597" w:rsidRPr="00CA448F" w:rsidRDefault="002073B6" w:rsidP="00C76745">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C76745">
      <w:pPr>
        <w:jc w:val="both"/>
        <w:rPr>
          <w:rFonts w:ascii="Arial" w:hAnsi="Arial" w:cs="Arial"/>
          <w:bCs/>
          <w:sz w:val="22"/>
          <w:szCs w:val="22"/>
          <w:lang w:val="en-GB"/>
        </w:rPr>
      </w:pPr>
    </w:p>
    <w:p w14:paraId="2310A624" w14:textId="50C26E6C" w:rsidR="002C1EC5" w:rsidRPr="00CA448F" w:rsidRDefault="002C1EC5" w:rsidP="00C76745">
      <w:pPr>
        <w:jc w:val="both"/>
        <w:rPr>
          <w:rFonts w:ascii="Arial" w:hAnsi="Arial" w:cs="Arial"/>
          <w:bCs/>
          <w:sz w:val="22"/>
          <w:szCs w:val="22"/>
          <w:lang w:val="en-GB"/>
        </w:rPr>
      </w:pPr>
    </w:p>
    <w:p w14:paraId="458E4DDF"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C76745">
      <w:pPr>
        <w:ind w:left="720" w:hanging="720"/>
        <w:jc w:val="both"/>
        <w:rPr>
          <w:rFonts w:ascii="Arial" w:hAnsi="Arial" w:cs="Arial"/>
          <w:sz w:val="22"/>
          <w:szCs w:val="22"/>
          <w:lang w:val="en-GB"/>
        </w:rPr>
      </w:pPr>
    </w:p>
    <w:p w14:paraId="71F98141" w14:textId="77777777" w:rsidR="002C13C8" w:rsidRPr="00CA448F" w:rsidRDefault="002C13C8" w:rsidP="00C76745">
      <w:pPr>
        <w:ind w:left="720" w:hanging="720"/>
        <w:jc w:val="both"/>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C76745">
      <w:pPr>
        <w:ind w:left="720" w:hanging="720"/>
        <w:jc w:val="both"/>
        <w:rPr>
          <w:rFonts w:ascii="Arial" w:hAnsi="Arial" w:cs="Arial"/>
          <w:sz w:val="22"/>
          <w:szCs w:val="22"/>
          <w:lang w:val="en-GB"/>
        </w:rPr>
      </w:pPr>
    </w:p>
    <w:p w14:paraId="39EB7667" w14:textId="344E90CE" w:rsidR="00007BF3" w:rsidRPr="00CA448F" w:rsidRDefault="006645D6" w:rsidP="00C76745">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C76745">
      <w:pPr>
        <w:ind w:left="720" w:hanging="720"/>
        <w:jc w:val="both"/>
        <w:rPr>
          <w:rFonts w:ascii="Arial" w:hAnsi="Arial" w:cs="Arial"/>
          <w:sz w:val="22"/>
          <w:szCs w:val="22"/>
          <w:lang w:val="en-GB"/>
        </w:rPr>
      </w:pPr>
    </w:p>
    <w:p w14:paraId="0A17D9AF" w14:textId="17B83652" w:rsidR="00A334F9" w:rsidRDefault="006F58B3" w:rsidP="00C76745">
      <w:pPr>
        <w:ind w:left="720"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A334F9"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50E2CDF2" w14:textId="77777777" w:rsidR="00BF06FA" w:rsidRPr="00CA448F" w:rsidRDefault="00BF06FA" w:rsidP="00C76745">
      <w:pPr>
        <w:ind w:left="720" w:hanging="720"/>
        <w:jc w:val="both"/>
        <w:rPr>
          <w:rFonts w:ascii="Arial" w:hAnsi="Arial" w:cs="Arial"/>
          <w:color w:val="808080" w:themeColor="background1" w:themeShade="80"/>
          <w:sz w:val="22"/>
          <w:szCs w:val="22"/>
          <w:lang w:val="en-GB"/>
        </w:rPr>
      </w:pPr>
    </w:p>
    <w:p w14:paraId="43BB66E0" w14:textId="206B41EA" w:rsidR="00A334F9" w:rsidRDefault="00BF06FA" w:rsidP="00E84A57">
      <w:pPr>
        <w:ind w:left="720"/>
        <w:jc w:val="both"/>
        <w:rPr>
          <w:rFonts w:ascii="Arial" w:hAnsi="Arial" w:cs="Arial"/>
          <w:sz w:val="22"/>
          <w:szCs w:val="22"/>
          <w:lang w:val="en-GB"/>
        </w:rPr>
      </w:pPr>
      <w:r w:rsidRPr="00BF06FA">
        <w:rPr>
          <w:rFonts w:ascii="Arial" w:hAnsi="Arial" w:cs="Arial"/>
          <w:sz w:val="22"/>
          <w:szCs w:val="22"/>
          <w:lang w:val="en-GB"/>
        </w:rPr>
        <w:t>Registration of real property interests including mortgages in mainland UAE requires the security holder to exercise the right to sell the mortgaged property through the courts in the case of mortgaged immovable property, and Federal Law No 4 of 2020 regarding mortgaging of movable property, grants the right of creditors to enforce their security without court orders in some cases</w:t>
      </w:r>
      <w:r>
        <w:rPr>
          <w:rFonts w:ascii="Arial" w:hAnsi="Arial" w:cs="Arial"/>
          <w:sz w:val="22"/>
          <w:szCs w:val="22"/>
          <w:lang w:val="en-GB"/>
        </w:rPr>
        <w:t>.</w:t>
      </w:r>
      <w:r>
        <w:rPr>
          <w:rStyle w:val="FootnoteReference"/>
          <w:rFonts w:ascii="Arial" w:hAnsi="Arial" w:cs="Arial"/>
          <w:sz w:val="22"/>
          <w:szCs w:val="22"/>
          <w:lang w:val="en-GB"/>
        </w:rPr>
        <w:footnoteReference w:id="1"/>
      </w:r>
    </w:p>
    <w:p w14:paraId="6AB03B9F" w14:textId="77777777" w:rsidR="00BF06FA" w:rsidRDefault="00BF06FA" w:rsidP="00E84A57">
      <w:pPr>
        <w:ind w:left="720"/>
        <w:jc w:val="both"/>
        <w:rPr>
          <w:rFonts w:ascii="Arial" w:hAnsi="Arial" w:cs="Arial"/>
          <w:sz w:val="22"/>
          <w:szCs w:val="22"/>
          <w:lang w:val="en-GB"/>
        </w:rPr>
      </w:pPr>
    </w:p>
    <w:p w14:paraId="05EC2E10" w14:textId="6647A1E3" w:rsidR="00BF06FA" w:rsidRPr="00BF06FA" w:rsidRDefault="00BF06FA" w:rsidP="00E84A57">
      <w:pPr>
        <w:ind w:left="720"/>
        <w:jc w:val="both"/>
        <w:rPr>
          <w:rFonts w:ascii="Arial" w:hAnsi="Arial" w:cs="Arial"/>
          <w:sz w:val="22"/>
          <w:szCs w:val="22"/>
          <w:lang w:val="en-GB"/>
        </w:rPr>
      </w:pPr>
      <w:r>
        <w:rPr>
          <w:rFonts w:ascii="Arial" w:hAnsi="Arial" w:cs="Arial"/>
          <w:sz w:val="22"/>
          <w:szCs w:val="22"/>
          <w:lang w:val="en-GB"/>
        </w:rPr>
        <w:t xml:space="preserve">In </w:t>
      </w:r>
      <w:r w:rsidR="00513584">
        <w:rPr>
          <w:rFonts w:ascii="Arial" w:hAnsi="Arial" w:cs="Arial"/>
          <w:sz w:val="22"/>
          <w:szCs w:val="22"/>
          <w:lang w:val="en-GB"/>
        </w:rPr>
        <w:t xml:space="preserve">a financial free zone, </w:t>
      </w:r>
      <w:proofErr w:type="gramStart"/>
      <w:r w:rsidR="00513584">
        <w:rPr>
          <w:rFonts w:ascii="Arial" w:hAnsi="Arial" w:cs="Arial"/>
          <w:sz w:val="22"/>
          <w:szCs w:val="22"/>
          <w:lang w:val="en-GB"/>
        </w:rPr>
        <w:t>DIFC,</w:t>
      </w:r>
      <w:proofErr w:type="gramEnd"/>
      <w:r w:rsidR="00513584">
        <w:rPr>
          <w:rFonts w:ascii="Arial" w:hAnsi="Arial" w:cs="Arial"/>
          <w:sz w:val="22"/>
          <w:szCs w:val="22"/>
          <w:lang w:val="en-GB"/>
        </w:rPr>
        <w:t xml:space="preserve"> has a separate register of ownership and other interests in land and other charges. In the event of non-payment or default by a debtor, a creditor holding the mortgage over the debtor’s land can enter into possession of the land by providing 60 days’ notice to certain relevant parties and without the need for a court order.</w:t>
      </w:r>
      <w:r w:rsidR="00513584">
        <w:rPr>
          <w:rStyle w:val="FootnoteReference"/>
          <w:rFonts w:ascii="Arial" w:hAnsi="Arial" w:cs="Arial"/>
          <w:sz w:val="22"/>
          <w:szCs w:val="22"/>
          <w:lang w:val="en-GB"/>
        </w:rPr>
        <w:footnoteReference w:id="2"/>
      </w:r>
    </w:p>
    <w:p w14:paraId="6C01B871" w14:textId="77777777" w:rsidR="006F58B3" w:rsidRPr="00CA448F" w:rsidRDefault="006F58B3" w:rsidP="00C76745">
      <w:pPr>
        <w:ind w:left="720" w:hanging="720"/>
        <w:jc w:val="both"/>
        <w:rPr>
          <w:rFonts w:ascii="Arial" w:hAnsi="Arial" w:cs="Arial"/>
          <w:color w:val="808080" w:themeColor="background1" w:themeShade="80"/>
          <w:sz w:val="22"/>
          <w:szCs w:val="22"/>
          <w:lang w:val="en-GB"/>
        </w:rPr>
      </w:pPr>
    </w:p>
    <w:p w14:paraId="3CAA304C" w14:textId="6EA3C023" w:rsidR="00C72848" w:rsidRPr="00CA448F" w:rsidRDefault="002C13C8" w:rsidP="00C76745">
      <w:pPr>
        <w:ind w:left="720" w:hanging="720"/>
        <w:jc w:val="both"/>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C76745">
      <w:pPr>
        <w:ind w:left="720" w:hanging="720"/>
        <w:jc w:val="both"/>
        <w:rPr>
          <w:rFonts w:ascii="Arial" w:hAnsi="Arial" w:cs="Arial"/>
          <w:sz w:val="22"/>
          <w:szCs w:val="22"/>
        </w:rPr>
      </w:pPr>
    </w:p>
    <w:p w14:paraId="589D300E" w14:textId="55A1E88D" w:rsidR="006511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w:t>
      </w:r>
      <w:proofErr w:type="gramStart"/>
      <w:r w:rsidRPr="00CA448F">
        <w:rPr>
          <w:rFonts w:ascii="Arial" w:hAnsi="Arial" w:cs="Arial"/>
          <w:sz w:val="22"/>
          <w:szCs w:val="22"/>
          <w:lang w:val="en-GB"/>
        </w:rPr>
        <w:t>following:</w:t>
      </w:r>
      <w:proofErr w:type="gramEnd"/>
    </w:p>
    <w:p w14:paraId="214980C0" w14:textId="77777777" w:rsidR="00651151" w:rsidRPr="00CA448F" w:rsidRDefault="00651151" w:rsidP="00C76745">
      <w:pPr>
        <w:jc w:val="both"/>
        <w:rPr>
          <w:rFonts w:ascii="Arial" w:hAnsi="Arial" w:cs="Arial"/>
          <w:sz w:val="22"/>
          <w:szCs w:val="22"/>
          <w:lang w:val="en-GB"/>
        </w:rPr>
      </w:pPr>
    </w:p>
    <w:p w14:paraId="1BDCFC4D" w14:textId="3EA23161"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lastRenderedPageBreak/>
        <w:t>A decision on any application to commence an insolvency process;</w:t>
      </w:r>
    </w:p>
    <w:p w14:paraId="6F4D3B3D" w14:textId="77777777" w:rsidR="006F58B3" w:rsidRPr="006F58B3" w:rsidRDefault="006F58B3" w:rsidP="00C76745">
      <w:pPr>
        <w:jc w:val="both"/>
        <w:rPr>
          <w:rFonts w:ascii="Arial" w:hAnsi="Arial" w:cs="Arial"/>
          <w:sz w:val="22"/>
          <w:szCs w:val="22"/>
          <w:lang w:val="en-GB"/>
        </w:rPr>
      </w:pPr>
    </w:p>
    <w:p w14:paraId="07C7D272" w14:textId="00E68DAC" w:rsidR="00651151" w:rsidRDefault="00651151" w:rsidP="00C76745">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C76745">
      <w:pPr>
        <w:jc w:val="both"/>
        <w:rPr>
          <w:rFonts w:ascii="Arial" w:hAnsi="Arial" w:cs="Arial"/>
          <w:sz w:val="22"/>
          <w:szCs w:val="22"/>
          <w:lang w:val="en-GB"/>
        </w:rPr>
      </w:pPr>
    </w:p>
    <w:p w14:paraId="0F7C4547" w14:textId="4C285A13" w:rsidR="00651151" w:rsidRPr="006F58B3"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C76745">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C76745">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C76745">
      <w:pPr>
        <w:ind w:left="720" w:hanging="720"/>
        <w:jc w:val="both"/>
        <w:rPr>
          <w:rFonts w:ascii="Arial" w:hAnsi="Arial" w:cs="Arial"/>
          <w:sz w:val="22"/>
          <w:szCs w:val="22"/>
        </w:rPr>
      </w:pPr>
    </w:p>
    <w:p w14:paraId="63350B14" w14:textId="324A8A3D" w:rsidR="00651151" w:rsidRPr="00CA448F" w:rsidRDefault="006F58B3" w:rsidP="00C76745">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115D0320" w14:textId="0B45D446" w:rsidR="00651151" w:rsidRDefault="00651151" w:rsidP="00C76745">
      <w:pPr>
        <w:ind w:left="720" w:hanging="720"/>
        <w:jc w:val="both"/>
        <w:rPr>
          <w:rFonts w:ascii="Arial" w:hAnsi="Arial" w:cs="Arial"/>
          <w:color w:val="808080" w:themeColor="background1" w:themeShade="80"/>
          <w:sz w:val="22"/>
          <w:szCs w:val="22"/>
        </w:rPr>
      </w:pPr>
    </w:p>
    <w:p w14:paraId="10ED3CB3" w14:textId="58909A10" w:rsidR="006F58B3" w:rsidRPr="00F6209B" w:rsidRDefault="00F6209B" w:rsidP="00F6209B">
      <w:pPr>
        <w:pStyle w:val="ListParagraph"/>
        <w:numPr>
          <w:ilvl w:val="0"/>
          <w:numId w:val="37"/>
        </w:numPr>
        <w:jc w:val="both"/>
        <w:rPr>
          <w:rFonts w:ascii="Arial" w:hAnsi="Arial" w:cs="Arial"/>
          <w:sz w:val="22"/>
          <w:szCs w:val="22"/>
        </w:rPr>
      </w:pPr>
      <w:r w:rsidRPr="00F6209B">
        <w:rPr>
          <w:rFonts w:ascii="Arial" w:hAnsi="Arial" w:cs="Arial"/>
          <w:sz w:val="22"/>
          <w:szCs w:val="22"/>
        </w:rPr>
        <w:t xml:space="preserve">The Debtor in the case of </w:t>
      </w:r>
      <w:r w:rsidR="00FD6E7D">
        <w:rPr>
          <w:rFonts w:ascii="Arial" w:hAnsi="Arial" w:cs="Arial"/>
          <w:sz w:val="22"/>
          <w:szCs w:val="22"/>
        </w:rPr>
        <w:t>Preventive</w:t>
      </w:r>
      <w:r w:rsidRPr="00F6209B">
        <w:rPr>
          <w:rFonts w:ascii="Arial" w:hAnsi="Arial" w:cs="Arial"/>
          <w:sz w:val="22"/>
          <w:szCs w:val="22"/>
        </w:rPr>
        <w:t xml:space="preserve"> Composition; the Debtor Company in the case of a Rehabilitation</w:t>
      </w:r>
      <w:r w:rsidR="007C47BF">
        <w:rPr>
          <w:rStyle w:val="FootnoteReference"/>
          <w:rFonts w:ascii="Arial" w:hAnsi="Arial" w:cs="Arial"/>
          <w:sz w:val="22"/>
          <w:szCs w:val="22"/>
        </w:rPr>
        <w:footnoteReference w:id="3"/>
      </w:r>
    </w:p>
    <w:p w14:paraId="68530C01" w14:textId="6CD0672E" w:rsidR="00F6209B" w:rsidRPr="00F6209B" w:rsidRDefault="00F6209B" w:rsidP="00F6209B">
      <w:pPr>
        <w:pStyle w:val="ListParagraph"/>
        <w:numPr>
          <w:ilvl w:val="0"/>
          <w:numId w:val="37"/>
        </w:numPr>
        <w:jc w:val="both"/>
        <w:rPr>
          <w:rFonts w:ascii="Arial" w:hAnsi="Arial" w:cs="Arial"/>
          <w:sz w:val="22"/>
          <w:szCs w:val="22"/>
        </w:rPr>
      </w:pPr>
      <w:r w:rsidRPr="00F6209B">
        <w:rPr>
          <w:rFonts w:ascii="Arial" w:hAnsi="Arial" w:cs="Arial"/>
          <w:sz w:val="22"/>
          <w:szCs w:val="22"/>
        </w:rPr>
        <w:t>The Creditors</w:t>
      </w:r>
      <w:r w:rsidR="007C47BF">
        <w:rPr>
          <w:rStyle w:val="FootnoteReference"/>
          <w:rFonts w:ascii="Arial" w:hAnsi="Arial" w:cs="Arial"/>
          <w:sz w:val="22"/>
          <w:szCs w:val="22"/>
        </w:rPr>
        <w:footnoteReference w:id="4"/>
      </w:r>
    </w:p>
    <w:p w14:paraId="7F61FB62" w14:textId="3A4C311F" w:rsidR="00F6209B" w:rsidRPr="00F6209B" w:rsidRDefault="00F6209B" w:rsidP="00F6209B">
      <w:pPr>
        <w:pStyle w:val="ListParagraph"/>
        <w:numPr>
          <w:ilvl w:val="0"/>
          <w:numId w:val="37"/>
        </w:numPr>
        <w:jc w:val="both"/>
        <w:rPr>
          <w:rFonts w:ascii="Arial" w:hAnsi="Arial" w:cs="Arial"/>
          <w:sz w:val="22"/>
          <w:szCs w:val="22"/>
        </w:rPr>
      </w:pPr>
      <w:r w:rsidRPr="00F6209B">
        <w:rPr>
          <w:rFonts w:ascii="Arial" w:hAnsi="Arial" w:cs="Arial"/>
          <w:sz w:val="22"/>
          <w:szCs w:val="22"/>
        </w:rPr>
        <w:t>The Court</w:t>
      </w:r>
      <w:r w:rsidR="007C47BF">
        <w:rPr>
          <w:rStyle w:val="FootnoteReference"/>
          <w:rFonts w:ascii="Arial" w:hAnsi="Arial" w:cs="Arial"/>
          <w:sz w:val="22"/>
          <w:szCs w:val="22"/>
        </w:rPr>
        <w:footnoteReference w:id="5"/>
      </w:r>
    </w:p>
    <w:p w14:paraId="2E51E384" w14:textId="68C83159" w:rsidR="00F6209B" w:rsidRPr="00F6209B" w:rsidRDefault="00F6209B" w:rsidP="00F6209B">
      <w:pPr>
        <w:pStyle w:val="ListParagraph"/>
        <w:numPr>
          <w:ilvl w:val="0"/>
          <w:numId w:val="37"/>
        </w:numPr>
        <w:jc w:val="both"/>
        <w:rPr>
          <w:rFonts w:ascii="Arial" w:hAnsi="Arial" w:cs="Arial"/>
          <w:sz w:val="22"/>
          <w:szCs w:val="22"/>
        </w:rPr>
      </w:pPr>
      <w:r w:rsidRPr="00F6209B">
        <w:rPr>
          <w:rFonts w:ascii="Arial" w:hAnsi="Arial" w:cs="Arial"/>
          <w:sz w:val="22"/>
          <w:szCs w:val="22"/>
        </w:rPr>
        <w:t xml:space="preserve">The Trustee in the case of </w:t>
      </w:r>
      <w:r w:rsidR="00FD6E7D">
        <w:rPr>
          <w:rFonts w:ascii="Arial" w:hAnsi="Arial" w:cs="Arial"/>
          <w:sz w:val="22"/>
          <w:szCs w:val="22"/>
        </w:rPr>
        <w:t>Preventive</w:t>
      </w:r>
      <w:r w:rsidRPr="00F6209B">
        <w:rPr>
          <w:rFonts w:ascii="Arial" w:hAnsi="Arial" w:cs="Arial"/>
          <w:sz w:val="22"/>
          <w:szCs w:val="22"/>
        </w:rPr>
        <w:t xml:space="preserve"> Composition; the Rehabilitation Nominee (an Insolvency Practitioner) in the case of </w:t>
      </w:r>
      <w:proofErr w:type="gramStart"/>
      <w:r w:rsidRPr="00F6209B">
        <w:rPr>
          <w:rFonts w:ascii="Arial" w:hAnsi="Arial" w:cs="Arial"/>
          <w:sz w:val="22"/>
          <w:szCs w:val="22"/>
        </w:rPr>
        <w:t>a Rehabilitation</w:t>
      </w:r>
      <w:proofErr w:type="gramEnd"/>
      <w:r w:rsidR="007C47BF">
        <w:rPr>
          <w:rStyle w:val="FootnoteReference"/>
          <w:rFonts w:ascii="Arial" w:hAnsi="Arial" w:cs="Arial"/>
          <w:sz w:val="22"/>
          <w:szCs w:val="22"/>
        </w:rPr>
        <w:footnoteReference w:id="6"/>
      </w:r>
      <w:r w:rsidRPr="00F6209B">
        <w:rPr>
          <w:rFonts w:ascii="Arial" w:hAnsi="Arial" w:cs="Arial"/>
          <w:sz w:val="22"/>
          <w:szCs w:val="22"/>
        </w:rPr>
        <w:t>.</w:t>
      </w:r>
    </w:p>
    <w:p w14:paraId="0DD563AA" w14:textId="4E5D194B" w:rsidR="006F58B3" w:rsidRDefault="006F58B3" w:rsidP="00C76745">
      <w:pPr>
        <w:ind w:left="720" w:hanging="720"/>
        <w:jc w:val="both"/>
        <w:rPr>
          <w:rFonts w:ascii="Arial" w:hAnsi="Arial" w:cs="Arial"/>
          <w:color w:val="808080" w:themeColor="background1" w:themeShade="80"/>
          <w:sz w:val="22"/>
          <w:szCs w:val="22"/>
        </w:rPr>
      </w:pPr>
    </w:p>
    <w:p w14:paraId="64A03659" w14:textId="7151E7F2" w:rsidR="006F58B3" w:rsidRDefault="006F58B3" w:rsidP="00C76745">
      <w:pPr>
        <w:ind w:left="720" w:hanging="720"/>
        <w:jc w:val="both"/>
        <w:rPr>
          <w:rFonts w:ascii="Arial" w:hAnsi="Arial" w:cs="Arial"/>
          <w:color w:val="808080" w:themeColor="background1" w:themeShade="80"/>
          <w:sz w:val="22"/>
          <w:szCs w:val="22"/>
        </w:rPr>
      </w:pPr>
    </w:p>
    <w:p w14:paraId="6E3C132A" w14:textId="77777777" w:rsidR="006F58B3" w:rsidRPr="00CA448F" w:rsidRDefault="006F58B3" w:rsidP="00E84A57">
      <w:pPr>
        <w:jc w:val="both"/>
        <w:rPr>
          <w:rFonts w:ascii="Arial" w:hAnsi="Arial" w:cs="Arial"/>
          <w:color w:val="808080" w:themeColor="background1" w:themeShade="80"/>
          <w:sz w:val="22"/>
          <w:szCs w:val="22"/>
        </w:rPr>
      </w:pPr>
    </w:p>
    <w:p w14:paraId="0BC1902C" w14:textId="28450EB5" w:rsidR="00C72848" w:rsidRPr="00CA448F" w:rsidRDefault="00C72848" w:rsidP="00C76745">
      <w:pPr>
        <w:ind w:left="720" w:hanging="720"/>
        <w:jc w:val="both"/>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C76745">
      <w:pPr>
        <w:ind w:left="720" w:hanging="720"/>
        <w:jc w:val="both"/>
        <w:rPr>
          <w:rFonts w:ascii="Arial" w:hAnsi="Arial" w:cs="Arial"/>
          <w:b/>
          <w:bCs/>
          <w:sz w:val="22"/>
          <w:szCs w:val="22"/>
          <w:lang w:val="en-GB"/>
        </w:rPr>
      </w:pPr>
    </w:p>
    <w:p w14:paraId="480A5E93" w14:textId="2142AA9C" w:rsidR="00822751" w:rsidRPr="00CA448F" w:rsidRDefault="00651151" w:rsidP="00C76745">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C76745">
      <w:pPr>
        <w:jc w:val="both"/>
        <w:rPr>
          <w:rFonts w:ascii="Arial" w:hAnsi="Arial" w:cs="Arial"/>
          <w:color w:val="808080" w:themeColor="background1" w:themeShade="80"/>
          <w:sz w:val="22"/>
          <w:szCs w:val="22"/>
          <w:lang w:val="en-GB"/>
        </w:rPr>
      </w:pPr>
    </w:p>
    <w:p w14:paraId="50DAF75B" w14:textId="6EEDAF0B" w:rsidR="00C72848" w:rsidRPr="00CA448F" w:rsidRDefault="006F58B3"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00D8F8B8" w14:textId="573F9A16" w:rsidR="00651151" w:rsidRDefault="00651151" w:rsidP="00C76745">
      <w:pPr>
        <w:jc w:val="both"/>
        <w:rPr>
          <w:rFonts w:ascii="Arial" w:hAnsi="Arial" w:cs="Arial"/>
          <w:color w:val="808080" w:themeColor="background1" w:themeShade="80"/>
          <w:sz w:val="22"/>
          <w:szCs w:val="22"/>
          <w:lang w:val="en-GB"/>
        </w:rPr>
      </w:pPr>
    </w:p>
    <w:p w14:paraId="3E072ACA" w14:textId="6519BE15" w:rsidR="00E968BE" w:rsidRDefault="00C71356" w:rsidP="00C71356">
      <w:pPr>
        <w:ind w:left="720"/>
        <w:jc w:val="both"/>
        <w:rPr>
          <w:rFonts w:ascii="Arial" w:hAnsi="Arial" w:cs="Arial"/>
          <w:sz w:val="22"/>
          <w:szCs w:val="22"/>
          <w:lang w:val="en-GB"/>
        </w:rPr>
      </w:pPr>
      <w:r>
        <w:rPr>
          <w:rFonts w:ascii="Arial" w:hAnsi="Arial" w:cs="Arial"/>
          <w:sz w:val="22"/>
          <w:szCs w:val="22"/>
          <w:lang w:val="en-GB"/>
        </w:rPr>
        <w:t xml:space="preserve">There is only one mechanism available for entering </w:t>
      </w:r>
      <w:r w:rsidR="00FD6E7D">
        <w:rPr>
          <w:rFonts w:ascii="Arial" w:hAnsi="Arial" w:cs="Arial"/>
          <w:sz w:val="22"/>
          <w:szCs w:val="22"/>
          <w:lang w:val="en-GB"/>
        </w:rPr>
        <w:t>Preventive</w:t>
      </w:r>
      <w:r w:rsidR="007C7344">
        <w:rPr>
          <w:rFonts w:ascii="Arial" w:hAnsi="Arial" w:cs="Arial"/>
          <w:sz w:val="22"/>
          <w:szCs w:val="22"/>
          <w:lang w:val="en-GB"/>
        </w:rPr>
        <w:t xml:space="preserve"> Composition, </w:t>
      </w:r>
      <w:r>
        <w:rPr>
          <w:rFonts w:ascii="Arial" w:hAnsi="Arial" w:cs="Arial"/>
          <w:sz w:val="22"/>
          <w:szCs w:val="22"/>
          <w:lang w:val="en-GB"/>
        </w:rPr>
        <w:t>which is under article 6 of the Bankruptcy Law, which is a court-supervised mechanism prescribed and only the debtor can apply to the court for the appointment of a composition trustee by the court.</w:t>
      </w:r>
      <w:r w:rsidR="002034D3">
        <w:rPr>
          <w:rFonts w:ascii="Arial" w:hAnsi="Arial" w:cs="Arial"/>
          <w:sz w:val="22"/>
          <w:szCs w:val="22"/>
          <w:lang w:val="en-GB"/>
        </w:rPr>
        <w:t xml:space="preserve"> A </w:t>
      </w:r>
      <w:r w:rsidR="00FD6E7D">
        <w:rPr>
          <w:rFonts w:ascii="Arial" w:hAnsi="Arial" w:cs="Arial"/>
          <w:sz w:val="22"/>
          <w:szCs w:val="22"/>
          <w:lang w:val="en-GB"/>
        </w:rPr>
        <w:t>Preventive</w:t>
      </w:r>
      <w:r w:rsidR="002034D3">
        <w:rPr>
          <w:rFonts w:ascii="Arial" w:hAnsi="Arial" w:cs="Arial"/>
          <w:sz w:val="22"/>
          <w:szCs w:val="22"/>
          <w:lang w:val="en-GB"/>
        </w:rPr>
        <w:t xml:space="preserve"> Composition terminates the debtor’s obligation to initiate bankruptcy proceedings.</w:t>
      </w:r>
      <w:r w:rsidR="007C7344">
        <w:rPr>
          <w:rFonts w:ascii="Arial" w:hAnsi="Arial" w:cs="Arial"/>
          <w:sz w:val="22"/>
          <w:szCs w:val="22"/>
          <w:lang w:val="en-GB"/>
        </w:rPr>
        <w:t xml:space="preserve"> A </w:t>
      </w:r>
      <w:r w:rsidR="00FD6E7D">
        <w:rPr>
          <w:rFonts w:ascii="Arial" w:hAnsi="Arial" w:cs="Arial"/>
          <w:sz w:val="22"/>
          <w:szCs w:val="22"/>
          <w:lang w:val="en-GB"/>
        </w:rPr>
        <w:t>Preventive</w:t>
      </w:r>
      <w:r w:rsidR="007C7344">
        <w:rPr>
          <w:rFonts w:ascii="Arial" w:hAnsi="Arial" w:cs="Arial"/>
          <w:sz w:val="22"/>
          <w:szCs w:val="22"/>
          <w:lang w:val="en-GB"/>
        </w:rPr>
        <w:t xml:space="preserve"> Composition </w:t>
      </w:r>
      <w:r w:rsidR="001640CD">
        <w:rPr>
          <w:rFonts w:ascii="Arial" w:hAnsi="Arial" w:cs="Arial"/>
          <w:sz w:val="22"/>
          <w:szCs w:val="22"/>
          <w:lang w:val="en-GB"/>
        </w:rPr>
        <w:t>will be rejected by a court</w:t>
      </w:r>
      <w:r w:rsidR="007C7344">
        <w:rPr>
          <w:rFonts w:ascii="Arial" w:hAnsi="Arial" w:cs="Arial"/>
          <w:sz w:val="22"/>
          <w:szCs w:val="22"/>
          <w:lang w:val="en-GB"/>
        </w:rPr>
        <w:t xml:space="preserve"> </w:t>
      </w:r>
      <w:r w:rsidR="001640CD">
        <w:rPr>
          <w:rFonts w:ascii="Arial" w:hAnsi="Arial" w:cs="Arial"/>
          <w:sz w:val="22"/>
          <w:szCs w:val="22"/>
          <w:lang w:val="en-GB"/>
        </w:rPr>
        <w:t>if the debtor is subject to liquidation proceedings; the debtor does nit provide information or funding required; the debtor acts in bad faith or is abusing court procedures by making an application; there had been a final judgement in relation to the dishonesty against the debtor; the procedure is evidently inappropriate for the debtor; or if the court decides to initiate the bankruptcy procedure under Bankruptcy Law.</w:t>
      </w:r>
      <w:r w:rsidR="001640CD">
        <w:rPr>
          <w:rStyle w:val="FootnoteReference"/>
          <w:rFonts w:ascii="Arial" w:hAnsi="Arial" w:cs="Arial"/>
          <w:sz w:val="22"/>
          <w:szCs w:val="22"/>
          <w:lang w:val="en-GB"/>
        </w:rPr>
        <w:footnoteReference w:id="7"/>
      </w:r>
    </w:p>
    <w:p w14:paraId="7E3C617C" w14:textId="77777777" w:rsidR="00C71356" w:rsidRDefault="00C71356" w:rsidP="00C71356">
      <w:pPr>
        <w:ind w:left="720"/>
        <w:jc w:val="both"/>
        <w:rPr>
          <w:rFonts w:ascii="Arial" w:hAnsi="Arial" w:cs="Arial"/>
          <w:sz w:val="22"/>
          <w:szCs w:val="22"/>
          <w:lang w:val="en-GB"/>
        </w:rPr>
      </w:pPr>
    </w:p>
    <w:p w14:paraId="6D74DB2A" w14:textId="6C42CD66" w:rsidR="00C71356" w:rsidRPr="00C71356" w:rsidRDefault="007F6EED" w:rsidP="00C71356">
      <w:pPr>
        <w:ind w:left="720"/>
        <w:jc w:val="both"/>
        <w:rPr>
          <w:rFonts w:ascii="Arial" w:hAnsi="Arial" w:cs="Arial"/>
          <w:sz w:val="22"/>
          <w:szCs w:val="22"/>
          <w:lang w:val="en-GB"/>
        </w:rPr>
      </w:pPr>
      <w:r>
        <w:rPr>
          <w:rFonts w:ascii="Arial" w:hAnsi="Arial" w:cs="Arial"/>
          <w:sz w:val="22"/>
          <w:szCs w:val="22"/>
          <w:lang w:val="en-GB"/>
        </w:rPr>
        <w:t xml:space="preserve">Bankruptcy is preceded by an application to the court, by either a debtor or a creditor to </w:t>
      </w:r>
      <w:r w:rsidR="00645288">
        <w:rPr>
          <w:rFonts w:ascii="Arial" w:hAnsi="Arial" w:cs="Arial"/>
          <w:sz w:val="22"/>
          <w:szCs w:val="22"/>
          <w:lang w:val="en-GB"/>
        </w:rPr>
        <w:t>initiate bankruptcy proceedings. Bankruptcy proceedings are triggered by either the debtor being in default of its payment obligations for 30 consecutive business days; a creditor or a group of creditors collectively owed more than AED 100,000 may apply to court to initiate bankruptcy procedures if it has given notice requiring the debtor to settle the debt and the debtor failed to do so within 30 business days of such notification.</w:t>
      </w:r>
      <w:r w:rsidR="00645288">
        <w:rPr>
          <w:rStyle w:val="FootnoteReference"/>
          <w:rFonts w:ascii="Arial" w:hAnsi="Arial" w:cs="Arial"/>
          <w:sz w:val="22"/>
          <w:szCs w:val="22"/>
          <w:lang w:val="en-GB"/>
        </w:rPr>
        <w:footnoteReference w:id="8"/>
      </w:r>
    </w:p>
    <w:p w14:paraId="6D582E1B" w14:textId="77777777" w:rsidR="00C71356" w:rsidRPr="00CA448F" w:rsidRDefault="00C71356" w:rsidP="00C76745">
      <w:pPr>
        <w:jc w:val="both"/>
        <w:rPr>
          <w:rFonts w:ascii="Arial" w:hAnsi="Arial" w:cs="Arial"/>
          <w:color w:val="808080" w:themeColor="background1" w:themeShade="80"/>
          <w:sz w:val="22"/>
          <w:szCs w:val="22"/>
          <w:lang w:val="en-GB"/>
        </w:rPr>
      </w:pPr>
    </w:p>
    <w:p w14:paraId="25D57778" w14:textId="28C0BBC8" w:rsidR="00B52047" w:rsidRPr="00CA448F" w:rsidRDefault="00B52047" w:rsidP="00C76745">
      <w:pPr>
        <w:jc w:val="both"/>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C76745">
      <w:pPr>
        <w:jc w:val="both"/>
        <w:rPr>
          <w:rFonts w:ascii="Arial" w:hAnsi="Arial" w:cs="Arial"/>
          <w:bCs/>
          <w:color w:val="808080" w:themeColor="background1" w:themeShade="80"/>
          <w:sz w:val="22"/>
          <w:szCs w:val="22"/>
          <w:lang w:val="en-GB"/>
        </w:rPr>
      </w:pPr>
    </w:p>
    <w:p w14:paraId="212B0E9B" w14:textId="482EDEBA" w:rsidR="00B52047" w:rsidRPr="00CA448F" w:rsidRDefault="00B52047" w:rsidP="00C76745">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C76745">
      <w:pPr>
        <w:jc w:val="both"/>
        <w:rPr>
          <w:rFonts w:ascii="Arial" w:hAnsi="Arial" w:cs="Arial"/>
          <w:sz w:val="22"/>
          <w:szCs w:val="22"/>
          <w:lang w:val="en-GB"/>
        </w:rPr>
      </w:pPr>
    </w:p>
    <w:p w14:paraId="63A31AA1" w14:textId="2FF264A4" w:rsidR="00B52047" w:rsidRPr="00CA448F"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D0F34CC" w14:textId="4B697F61" w:rsidR="00B52047" w:rsidRDefault="00B52047" w:rsidP="00C76745">
      <w:pPr>
        <w:jc w:val="both"/>
        <w:rPr>
          <w:rFonts w:ascii="Arial" w:hAnsi="Arial" w:cs="Arial"/>
          <w:color w:val="808080" w:themeColor="background1" w:themeShade="80"/>
          <w:sz w:val="22"/>
          <w:szCs w:val="22"/>
          <w:lang w:val="en-GB"/>
        </w:rPr>
      </w:pPr>
    </w:p>
    <w:p w14:paraId="09B4F180" w14:textId="3ED6E72F" w:rsidR="001640CD" w:rsidRDefault="001640CD" w:rsidP="001640CD">
      <w:pPr>
        <w:ind w:left="720"/>
        <w:jc w:val="both"/>
        <w:rPr>
          <w:rFonts w:ascii="Arial" w:hAnsi="Arial" w:cs="Arial"/>
          <w:sz w:val="22"/>
          <w:szCs w:val="22"/>
          <w:lang w:val="en-GB"/>
        </w:rPr>
      </w:pPr>
      <w:r w:rsidRPr="001640CD">
        <w:rPr>
          <w:rFonts w:ascii="Arial" w:hAnsi="Arial" w:cs="Arial"/>
          <w:sz w:val="22"/>
          <w:szCs w:val="22"/>
          <w:lang w:val="en-GB"/>
        </w:rPr>
        <w:t xml:space="preserve">A creditor cannot initiate a </w:t>
      </w:r>
      <w:r w:rsidR="00FD6E7D">
        <w:rPr>
          <w:rFonts w:ascii="Arial" w:hAnsi="Arial" w:cs="Arial"/>
          <w:sz w:val="22"/>
          <w:szCs w:val="22"/>
          <w:lang w:val="en-GB"/>
        </w:rPr>
        <w:t>Preventive</w:t>
      </w:r>
      <w:r w:rsidRPr="001640CD">
        <w:rPr>
          <w:rFonts w:ascii="Arial" w:hAnsi="Arial" w:cs="Arial"/>
          <w:sz w:val="22"/>
          <w:szCs w:val="22"/>
          <w:lang w:val="en-GB"/>
        </w:rPr>
        <w:t xml:space="preserve"> Composition, only a debtor can do so, however a creditor can initiate a Bankruptcy procedure.</w:t>
      </w:r>
      <w:r w:rsidR="006465EC">
        <w:rPr>
          <w:rFonts w:ascii="Arial" w:hAnsi="Arial" w:cs="Arial"/>
          <w:sz w:val="22"/>
          <w:szCs w:val="22"/>
          <w:lang w:val="en-GB"/>
        </w:rPr>
        <w:t xml:space="preserve"> Upon approval o</w:t>
      </w:r>
      <w:r w:rsidR="005813E3">
        <w:rPr>
          <w:rFonts w:ascii="Arial" w:hAnsi="Arial" w:cs="Arial"/>
          <w:sz w:val="22"/>
          <w:szCs w:val="22"/>
          <w:lang w:val="en-GB"/>
        </w:rPr>
        <w:t xml:space="preserve">f a </w:t>
      </w:r>
      <w:r w:rsidR="00FD6E7D">
        <w:rPr>
          <w:rFonts w:ascii="Arial" w:hAnsi="Arial" w:cs="Arial"/>
          <w:sz w:val="22"/>
          <w:szCs w:val="22"/>
          <w:lang w:val="en-GB"/>
        </w:rPr>
        <w:t>Preventive</w:t>
      </w:r>
      <w:r w:rsidR="005813E3">
        <w:rPr>
          <w:rFonts w:ascii="Arial" w:hAnsi="Arial" w:cs="Arial"/>
          <w:sz w:val="22"/>
          <w:szCs w:val="22"/>
          <w:lang w:val="en-GB"/>
        </w:rPr>
        <w:t xml:space="preserve"> composition, all legal proceedings against the debtor is suspended for 10 months and all criminal proceedings against a debtor in relation to a dishonoured cheque are suspended.</w:t>
      </w:r>
      <w:r w:rsidR="005813E3">
        <w:rPr>
          <w:rStyle w:val="FootnoteReference"/>
          <w:rFonts w:ascii="Arial" w:hAnsi="Arial" w:cs="Arial"/>
          <w:sz w:val="22"/>
          <w:szCs w:val="22"/>
          <w:lang w:val="en-GB"/>
        </w:rPr>
        <w:footnoteReference w:id="9"/>
      </w:r>
      <w:r w:rsidR="005813E3">
        <w:rPr>
          <w:rFonts w:ascii="Arial" w:hAnsi="Arial" w:cs="Arial"/>
          <w:sz w:val="22"/>
          <w:szCs w:val="22"/>
          <w:lang w:val="en-GB"/>
        </w:rPr>
        <w:t xml:space="preserve"> Accordingly the creditor’s legal proceedings against the debtor are suspended.</w:t>
      </w:r>
    </w:p>
    <w:p w14:paraId="70F518A5" w14:textId="77777777" w:rsidR="005813E3" w:rsidRDefault="005813E3" w:rsidP="001640CD">
      <w:pPr>
        <w:ind w:left="720"/>
        <w:jc w:val="both"/>
        <w:rPr>
          <w:rFonts w:ascii="Arial" w:hAnsi="Arial" w:cs="Arial"/>
          <w:sz w:val="22"/>
          <w:szCs w:val="22"/>
          <w:lang w:val="en-GB"/>
        </w:rPr>
      </w:pPr>
    </w:p>
    <w:p w14:paraId="3E8035B3" w14:textId="3DBEB339" w:rsidR="005813E3" w:rsidRDefault="007D3660" w:rsidP="001640CD">
      <w:pPr>
        <w:ind w:left="720"/>
        <w:jc w:val="both"/>
        <w:rPr>
          <w:rFonts w:ascii="Arial" w:hAnsi="Arial" w:cs="Arial"/>
          <w:sz w:val="22"/>
          <w:szCs w:val="22"/>
          <w:lang w:val="en-GB"/>
        </w:rPr>
      </w:pPr>
      <w:r>
        <w:rPr>
          <w:rFonts w:ascii="Arial" w:hAnsi="Arial" w:cs="Arial"/>
          <w:sz w:val="22"/>
          <w:szCs w:val="22"/>
          <w:lang w:val="en-GB"/>
        </w:rPr>
        <w:t xml:space="preserve">In Bankruptcy proceedings, either the debtor or the creditor can initiate it; this leads to either restructure or liquidation. Restructure largely follows the effects of a </w:t>
      </w:r>
      <w:r w:rsidR="00FD6E7D">
        <w:rPr>
          <w:rFonts w:ascii="Arial" w:hAnsi="Arial" w:cs="Arial"/>
          <w:sz w:val="22"/>
          <w:szCs w:val="22"/>
          <w:lang w:val="en-GB"/>
        </w:rPr>
        <w:t>Preventive</w:t>
      </w:r>
      <w:r>
        <w:rPr>
          <w:rFonts w:ascii="Arial" w:hAnsi="Arial" w:cs="Arial"/>
          <w:sz w:val="22"/>
          <w:szCs w:val="22"/>
          <w:lang w:val="en-GB"/>
        </w:rPr>
        <w:t xml:space="preserve"> Composition including the process and time frames provided, though this is proposed by a trustee and ordered by a court after a review of the debtor’s position</w:t>
      </w:r>
      <w:r>
        <w:rPr>
          <w:rStyle w:val="FootnoteReference"/>
          <w:rFonts w:ascii="Arial" w:hAnsi="Arial" w:cs="Arial"/>
          <w:sz w:val="22"/>
          <w:szCs w:val="22"/>
          <w:lang w:val="en-GB"/>
        </w:rPr>
        <w:footnoteReference w:id="10"/>
      </w:r>
      <w:r>
        <w:rPr>
          <w:rFonts w:ascii="Arial" w:hAnsi="Arial" w:cs="Arial"/>
          <w:sz w:val="22"/>
          <w:szCs w:val="22"/>
          <w:lang w:val="en-GB"/>
        </w:rPr>
        <w:t>; liquidation however requires creditors to lodge their claims in a shorter period (10 days as opposed to 20 days) from the date of the judgment with interest and penalties possibly suspended by the court.</w:t>
      </w:r>
      <w:r>
        <w:rPr>
          <w:rStyle w:val="FootnoteReference"/>
          <w:rFonts w:ascii="Arial" w:hAnsi="Arial" w:cs="Arial"/>
          <w:sz w:val="22"/>
          <w:szCs w:val="22"/>
          <w:lang w:val="en-GB"/>
        </w:rPr>
        <w:footnoteReference w:id="11"/>
      </w:r>
    </w:p>
    <w:p w14:paraId="200FB927" w14:textId="77777777" w:rsidR="005813E3" w:rsidRPr="001640CD" w:rsidRDefault="005813E3" w:rsidP="001640CD">
      <w:pPr>
        <w:ind w:left="720"/>
        <w:jc w:val="both"/>
        <w:rPr>
          <w:rFonts w:ascii="Arial" w:hAnsi="Arial" w:cs="Arial"/>
          <w:sz w:val="22"/>
          <w:szCs w:val="22"/>
          <w:lang w:val="en-GB"/>
        </w:rPr>
      </w:pPr>
    </w:p>
    <w:p w14:paraId="6F5579D9" w14:textId="77777777" w:rsidR="009D3340" w:rsidRPr="00CA448F" w:rsidRDefault="009D3340" w:rsidP="00C76745">
      <w:pPr>
        <w:jc w:val="both"/>
        <w:rPr>
          <w:rFonts w:ascii="Arial" w:hAnsi="Arial" w:cs="Arial"/>
          <w:bCs/>
          <w:color w:val="808080" w:themeColor="background1" w:themeShade="80"/>
          <w:sz w:val="22"/>
          <w:szCs w:val="22"/>
          <w:lang w:val="en-GB"/>
        </w:rPr>
      </w:pPr>
    </w:p>
    <w:p w14:paraId="2D0464E7" w14:textId="77777777" w:rsidR="00962045"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C76745">
      <w:pPr>
        <w:jc w:val="both"/>
        <w:rPr>
          <w:rFonts w:ascii="Arial" w:hAnsi="Arial" w:cs="Arial"/>
          <w:b/>
          <w:sz w:val="22"/>
          <w:szCs w:val="22"/>
          <w:lang w:val="en-GB"/>
        </w:rPr>
      </w:pPr>
    </w:p>
    <w:p w14:paraId="0AFD4235" w14:textId="3AC6596D" w:rsidR="0077431E" w:rsidRPr="00CA448F" w:rsidRDefault="0077431E" w:rsidP="00C76745">
      <w:pPr>
        <w:jc w:val="both"/>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C76745">
      <w:pPr>
        <w:jc w:val="both"/>
        <w:rPr>
          <w:rFonts w:ascii="Arial" w:hAnsi="Arial" w:cs="Arial"/>
          <w:sz w:val="22"/>
          <w:szCs w:val="22"/>
          <w:lang w:val="en-GB"/>
        </w:rPr>
      </w:pPr>
    </w:p>
    <w:p w14:paraId="7DC98B29" w14:textId="2CF6A959" w:rsidR="00C550C8" w:rsidRPr="00CA448F" w:rsidRDefault="0077431E" w:rsidP="00C76745">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C76745">
      <w:pPr>
        <w:jc w:val="both"/>
        <w:rPr>
          <w:rFonts w:ascii="Arial" w:hAnsi="Arial" w:cs="Arial"/>
          <w:sz w:val="22"/>
          <w:szCs w:val="22"/>
        </w:rPr>
      </w:pPr>
    </w:p>
    <w:p w14:paraId="0CA09841" w14:textId="07750787" w:rsidR="001A45DB" w:rsidRPr="00CA448F" w:rsidRDefault="00E968BE" w:rsidP="00C76745">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[Type your answer here]</w:t>
      </w:r>
    </w:p>
    <w:p w14:paraId="28BFBABC" w14:textId="5491F6FF" w:rsidR="001A45DB" w:rsidRDefault="004979B6" w:rsidP="004979B6">
      <w:pPr>
        <w:ind w:left="720"/>
        <w:jc w:val="both"/>
        <w:rPr>
          <w:rFonts w:ascii="Arial" w:hAnsi="Arial" w:cs="Arial"/>
          <w:sz w:val="22"/>
          <w:szCs w:val="22"/>
        </w:rPr>
      </w:pPr>
      <w:r>
        <w:rPr>
          <w:rFonts w:ascii="Arial" w:hAnsi="Arial" w:cs="Arial"/>
          <w:sz w:val="22"/>
          <w:szCs w:val="22"/>
        </w:rPr>
        <w:t>The UAE can be divided into two types</w:t>
      </w:r>
      <w:r w:rsidR="001706A5" w:rsidRPr="001706A5">
        <w:rPr>
          <w:rFonts w:ascii="Arial" w:hAnsi="Arial" w:cs="Arial"/>
          <w:sz w:val="22"/>
          <w:szCs w:val="22"/>
        </w:rPr>
        <w:t xml:space="preserve"> </w:t>
      </w:r>
      <w:r w:rsidR="001706A5">
        <w:rPr>
          <w:rFonts w:ascii="Arial" w:hAnsi="Arial" w:cs="Arial"/>
          <w:sz w:val="22"/>
          <w:szCs w:val="22"/>
        </w:rPr>
        <w:t>of zones</w:t>
      </w:r>
      <w:r>
        <w:rPr>
          <w:rFonts w:ascii="Arial" w:hAnsi="Arial" w:cs="Arial"/>
          <w:sz w:val="22"/>
          <w:szCs w:val="22"/>
        </w:rPr>
        <w:t xml:space="preserve">, </w:t>
      </w:r>
      <w:r w:rsidR="001706A5">
        <w:rPr>
          <w:rFonts w:ascii="Arial" w:hAnsi="Arial" w:cs="Arial"/>
          <w:sz w:val="22"/>
          <w:szCs w:val="22"/>
        </w:rPr>
        <w:t xml:space="preserve">the </w:t>
      </w:r>
      <w:r>
        <w:rPr>
          <w:rFonts w:ascii="Arial" w:hAnsi="Arial" w:cs="Arial"/>
          <w:sz w:val="22"/>
          <w:szCs w:val="22"/>
        </w:rPr>
        <w:t>financial free zones such as DIFC and ADGM, and the remainder of the UAE (or “</w:t>
      </w:r>
      <w:r w:rsidR="001846DE">
        <w:rPr>
          <w:rFonts w:ascii="Arial" w:hAnsi="Arial" w:cs="Arial"/>
          <w:sz w:val="22"/>
          <w:szCs w:val="22"/>
        </w:rPr>
        <w:t>m</w:t>
      </w:r>
      <w:r>
        <w:rPr>
          <w:rFonts w:ascii="Arial" w:hAnsi="Arial" w:cs="Arial"/>
          <w:sz w:val="22"/>
          <w:szCs w:val="22"/>
        </w:rPr>
        <w:t xml:space="preserve">ainland UAE”). </w:t>
      </w:r>
      <w:r w:rsidR="001706A5">
        <w:rPr>
          <w:rFonts w:ascii="Arial" w:hAnsi="Arial" w:cs="Arial"/>
          <w:sz w:val="22"/>
          <w:szCs w:val="22"/>
        </w:rPr>
        <w:t>Separate laws to mainland UAE govern the financial free zones as far as it relates to insolvency</w:t>
      </w:r>
      <w:r>
        <w:rPr>
          <w:rFonts w:ascii="Arial" w:hAnsi="Arial" w:cs="Arial"/>
          <w:sz w:val="22"/>
          <w:szCs w:val="22"/>
        </w:rPr>
        <w:t>.</w:t>
      </w:r>
      <w:r>
        <w:rPr>
          <w:rStyle w:val="FootnoteReference"/>
          <w:rFonts w:ascii="Arial" w:hAnsi="Arial" w:cs="Arial"/>
          <w:sz w:val="22"/>
          <w:szCs w:val="22"/>
        </w:rPr>
        <w:footnoteReference w:id="12"/>
      </w:r>
      <w:r>
        <w:rPr>
          <w:rFonts w:ascii="Arial" w:hAnsi="Arial" w:cs="Arial"/>
          <w:sz w:val="22"/>
          <w:szCs w:val="22"/>
        </w:rPr>
        <w:t xml:space="preserve"> </w:t>
      </w:r>
    </w:p>
    <w:p w14:paraId="1FF4015C" w14:textId="77777777" w:rsidR="004979B6" w:rsidRDefault="004979B6" w:rsidP="004979B6">
      <w:pPr>
        <w:ind w:left="720"/>
        <w:jc w:val="both"/>
        <w:rPr>
          <w:rFonts w:ascii="Arial" w:hAnsi="Arial" w:cs="Arial"/>
          <w:sz w:val="22"/>
          <w:szCs w:val="22"/>
        </w:rPr>
      </w:pPr>
    </w:p>
    <w:p w14:paraId="60EEEB87" w14:textId="22B67CC5" w:rsidR="004979B6" w:rsidRDefault="004979B6" w:rsidP="004979B6">
      <w:pPr>
        <w:ind w:left="720"/>
        <w:jc w:val="both"/>
        <w:rPr>
          <w:rFonts w:ascii="Arial" w:hAnsi="Arial" w:cs="Arial"/>
          <w:sz w:val="22"/>
          <w:szCs w:val="22"/>
        </w:rPr>
      </w:pPr>
      <w:r>
        <w:rPr>
          <w:rFonts w:ascii="Arial" w:hAnsi="Arial" w:cs="Arial"/>
          <w:sz w:val="22"/>
          <w:szCs w:val="22"/>
        </w:rPr>
        <w:t>The evolution of Bankruptcy Law in the Mainland UAE draws on elements of Islamic law (principally for personal bankruptcies) and civil law, predominantly from France via Egypt (in respect of commercial matters).</w:t>
      </w:r>
      <w:r>
        <w:rPr>
          <w:rStyle w:val="FootnoteReference"/>
          <w:rFonts w:ascii="Arial" w:hAnsi="Arial" w:cs="Arial"/>
          <w:sz w:val="22"/>
          <w:szCs w:val="22"/>
        </w:rPr>
        <w:footnoteReference w:id="13"/>
      </w:r>
      <w:r>
        <w:rPr>
          <w:rFonts w:ascii="Arial" w:hAnsi="Arial" w:cs="Arial"/>
          <w:sz w:val="22"/>
          <w:szCs w:val="22"/>
        </w:rPr>
        <w:t xml:space="preserve"> </w:t>
      </w:r>
      <w:r w:rsidR="001846DE">
        <w:rPr>
          <w:rFonts w:ascii="Arial" w:hAnsi="Arial" w:cs="Arial"/>
          <w:sz w:val="22"/>
          <w:szCs w:val="22"/>
        </w:rPr>
        <w:t>Until 2016, mainland UAE insolvency law was undeveloped predominantly relied on a basic mechanism for insolvency provided for in Law No 18 of 1993 for commercial transactions</w:t>
      </w:r>
      <w:r w:rsidR="001706A5">
        <w:rPr>
          <w:rFonts w:ascii="Arial" w:hAnsi="Arial" w:cs="Arial"/>
          <w:sz w:val="22"/>
          <w:szCs w:val="22"/>
        </w:rPr>
        <w:t xml:space="preserve"> (Commercial Transactions Law)</w:t>
      </w:r>
      <w:r w:rsidR="00832444">
        <w:rPr>
          <w:rFonts w:ascii="Arial" w:hAnsi="Arial" w:cs="Arial"/>
          <w:sz w:val="22"/>
          <w:szCs w:val="22"/>
        </w:rPr>
        <w:t>,</w:t>
      </w:r>
      <w:r w:rsidR="001706A5">
        <w:rPr>
          <w:rFonts w:ascii="Arial" w:hAnsi="Arial" w:cs="Arial"/>
          <w:sz w:val="22"/>
          <w:szCs w:val="22"/>
        </w:rPr>
        <w:t xml:space="preserve"> which were rarely </w:t>
      </w:r>
      <w:r w:rsidR="00832444">
        <w:rPr>
          <w:rFonts w:ascii="Arial" w:hAnsi="Arial" w:cs="Arial"/>
          <w:sz w:val="22"/>
          <w:szCs w:val="22"/>
        </w:rPr>
        <w:t>utilized</w:t>
      </w:r>
      <w:r w:rsidR="001846DE">
        <w:rPr>
          <w:rFonts w:ascii="Arial" w:hAnsi="Arial" w:cs="Arial"/>
          <w:sz w:val="22"/>
          <w:szCs w:val="22"/>
        </w:rPr>
        <w:t>.</w:t>
      </w:r>
      <w:r w:rsidR="001846DE">
        <w:rPr>
          <w:rStyle w:val="FootnoteReference"/>
          <w:rFonts w:ascii="Arial" w:hAnsi="Arial" w:cs="Arial"/>
          <w:sz w:val="22"/>
          <w:szCs w:val="22"/>
        </w:rPr>
        <w:footnoteReference w:id="14"/>
      </w:r>
    </w:p>
    <w:p w14:paraId="4DDD626A" w14:textId="77777777" w:rsidR="00832444" w:rsidRDefault="00832444" w:rsidP="004979B6">
      <w:pPr>
        <w:ind w:left="720"/>
        <w:jc w:val="both"/>
        <w:rPr>
          <w:rFonts w:ascii="Arial" w:hAnsi="Arial" w:cs="Arial"/>
          <w:sz w:val="22"/>
          <w:szCs w:val="22"/>
        </w:rPr>
      </w:pPr>
    </w:p>
    <w:p w14:paraId="411555F9" w14:textId="3E4158E4" w:rsidR="00832444" w:rsidRDefault="00832444" w:rsidP="004979B6">
      <w:pPr>
        <w:ind w:left="720"/>
        <w:jc w:val="both"/>
        <w:rPr>
          <w:rFonts w:ascii="Arial" w:hAnsi="Arial" w:cs="Arial"/>
          <w:sz w:val="22"/>
          <w:szCs w:val="22"/>
        </w:rPr>
      </w:pPr>
      <w:r>
        <w:rPr>
          <w:rFonts w:ascii="Arial" w:hAnsi="Arial" w:cs="Arial"/>
          <w:sz w:val="22"/>
          <w:szCs w:val="22"/>
        </w:rPr>
        <w:t xml:space="preserve">In 2009, the risk of default by Dubai World, an investment company owned by the Dubai Government, highlighted the shortcomings in the UAE insolvency regime. This caused a change to the position in 2016 by the adoption of the Federal Decree Law (No 9) of 2016 relating to bankruptcy, which has since been amended in 2019 and </w:t>
      </w:r>
      <w:r>
        <w:rPr>
          <w:rFonts w:ascii="Arial" w:hAnsi="Arial" w:cs="Arial"/>
          <w:sz w:val="22"/>
          <w:szCs w:val="22"/>
        </w:rPr>
        <w:lastRenderedPageBreak/>
        <w:t>2020 (the “Bankruptcy Law”). The Bankruptcy Law repealed the provision of the Commercial Transactions Law and put in place a consolidated insolvency regime for commercial insolvencies in the UAE drawing on experiences from a number of other jurisdictions.</w:t>
      </w:r>
      <w:r w:rsidRPr="00832444">
        <w:rPr>
          <w:rStyle w:val="FootnoteReference"/>
          <w:rFonts w:ascii="Arial" w:hAnsi="Arial" w:cs="Arial"/>
          <w:sz w:val="22"/>
          <w:szCs w:val="22"/>
        </w:rPr>
        <w:t xml:space="preserve"> </w:t>
      </w:r>
      <w:r>
        <w:rPr>
          <w:rStyle w:val="FootnoteReference"/>
          <w:rFonts w:ascii="Arial" w:hAnsi="Arial" w:cs="Arial"/>
          <w:sz w:val="22"/>
          <w:szCs w:val="22"/>
        </w:rPr>
        <w:footnoteReference w:id="15"/>
      </w:r>
      <w:r w:rsidR="00802A58">
        <w:rPr>
          <w:rFonts w:ascii="Arial" w:hAnsi="Arial" w:cs="Arial"/>
          <w:sz w:val="22"/>
          <w:szCs w:val="22"/>
        </w:rPr>
        <w:t xml:space="preserve"> Bankruptcy Law applies to</w:t>
      </w:r>
      <w:r w:rsidR="00F078C2">
        <w:rPr>
          <w:rFonts w:ascii="Arial" w:hAnsi="Arial" w:cs="Arial"/>
          <w:sz w:val="22"/>
          <w:szCs w:val="22"/>
        </w:rPr>
        <w:t xml:space="preserve"> all companies governed by the Commercial Companies Law, state owned companies established by federal or local government which have chosen to submit to the Bankruptcy Law, free zone companies</w:t>
      </w:r>
      <w:r w:rsidR="00DE6A6B">
        <w:rPr>
          <w:rFonts w:ascii="Arial" w:hAnsi="Arial" w:cs="Arial"/>
          <w:sz w:val="22"/>
          <w:szCs w:val="22"/>
        </w:rPr>
        <w:t xml:space="preserve"> except those incorporated in DIFC or ADGM, persons who engage “in trade” and professional firms.</w:t>
      </w:r>
      <w:r w:rsidR="00802A58">
        <w:rPr>
          <w:rStyle w:val="FootnoteReference"/>
          <w:rFonts w:ascii="Arial" w:hAnsi="Arial" w:cs="Arial"/>
          <w:sz w:val="22"/>
          <w:szCs w:val="22"/>
        </w:rPr>
        <w:footnoteReference w:id="16"/>
      </w:r>
    </w:p>
    <w:p w14:paraId="02861540" w14:textId="77777777" w:rsidR="00802A58" w:rsidRDefault="00802A58" w:rsidP="004979B6">
      <w:pPr>
        <w:ind w:left="720"/>
        <w:jc w:val="both"/>
        <w:rPr>
          <w:rFonts w:ascii="Arial" w:hAnsi="Arial" w:cs="Arial"/>
          <w:sz w:val="22"/>
          <w:szCs w:val="22"/>
        </w:rPr>
      </w:pPr>
    </w:p>
    <w:p w14:paraId="268EA610" w14:textId="1010BD75" w:rsidR="00802A58" w:rsidRDefault="00802A58" w:rsidP="004979B6">
      <w:pPr>
        <w:ind w:left="720"/>
        <w:jc w:val="both"/>
        <w:rPr>
          <w:rFonts w:ascii="Arial" w:hAnsi="Arial" w:cs="Arial"/>
          <w:sz w:val="22"/>
          <w:szCs w:val="22"/>
        </w:rPr>
      </w:pPr>
      <w:r>
        <w:rPr>
          <w:rFonts w:ascii="Arial" w:hAnsi="Arial" w:cs="Arial"/>
          <w:sz w:val="22"/>
          <w:szCs w:val="22"/>
        </w:rPr>
        <w:t>Federal Decree Law (No 19) of 2019 (“Personal Bankruptcy Law”) was adopted in 2019 to put in place a consolidated insolvency regime for debtors who did not fall within the ambit of the Bankruptcy Law</w:t>
      </w:r>
      <w:r w:rsidR="00F078C2">
        <w:rPr>
          <w:rFonts w:ascii="Arial" w:hAnsi="Arial" w:cs="Arial"/>
          <w:sz w:val="22"/>
          <w:szCs w:val="22"/>
        </w:rPr>
        <w:t>.</w:t>
      </w:r>
      <w:r w:rsidR="00F078C2">
        <w:rPr>
          <w:rStyle w:val="FootnoteReference"/>
          <w:rFonts w:ascii="Arial" w:hAnsi="Arial" w:cs="Arial"/>
          <w:sz w:val="22"/>
          <w:szCs w:val="22"/>
        </w:rPr>
        <w:footnoteReference w:id="17"/>
      </w:r>
    </w:p>
    <w:p w14:paraId="49856976" w14:textId="77777777" w:rsidR="00802A58" w:rsidRPr="000471B0" w:rsidRDefault="00802A58" w:rsidP="004979B6">
      <w:pPr>
        <w:ind w:left="720"/>
        <w:jc w:val="both"/>
        <w:rPr>
          <w:rFonts w:ascii="Arial" w:hAnsi="Arial" w:cs="Arial"/>
          <w:sz w:val="22"/>
          <w:szCs w:val="22"/>
        </w:rPr>
      </w:pPr>
    </w:p>
    <w:p w14:paraId="0A971952" w14:textId="159C1DB2" w:rsidR="00DF75F8" w:rsidRPr="00CA448F" w:rsidRDefault="00DF75F8" w:rsidP="00C76745">
      <w:pPr>
        <w:jc w:val="both"/>
        <w:rPr>
          <w:rFonts w:ascii="Arial" w:hAnsi="Arial" w:cs="Arial"/>
          <w:sz w:val="22"/>
          <w:szCs w:val="22"/>
          <w:lang w:val="en-GB"/>
        </w:rPr>
      </w:pPr>
    </w:p>
    <w:p w14:paraId="2E3527DA" w14:textId="61B44B04" w:rsidR="00D17FDC" w:rsidRPr="00CA448F" w:rsidRDefault="00F76A65"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C76745">
      <w:pPr>
        <w:jc w:val="both"/>
        <w:rPr>
          <w:rFonts w:ascii="Arial" w:hAnsi="Arial" w:cs="Arial"/>
          <w:sz w:val="22"/>
          <w:szCs w:val="22"/>
          <w:shd w:val="clear" w:color="auto" w:fill="FFFFFF"/>
        </w:rPr>
      </w:pPr>
    </w:p>
    <w:p w14:paraId="0164DF66" w14:textId="24F2BAA8" w:rsidR="00F76A65" w:rsidRPr="00CA448F" w:rsidRDefault="00F76A65" w:rsidP="00C76745">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C76745">
      <w:pPr>
        <w:jc w:val="both"/>
        <w:rPr>
          <w:rFonts w:ascii="Arial" w:hAnsi="Arial" w:cs="Arial"/>
          <w:sz w:val="22"/>
          <w:szCs w:val="22"/>
          <w:lang w:val="en-GB"/>
        </w:rPr>
      </w:pPr>
    </w:p>
    <w:p w14:paraId="2DD624B3" w14:textId="5B46938C" w:rsidR="001A45DB" w:rsidRPr="00CA448F" w:rsidRDefault="00E968BE"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7FF1F163" w14:textId="1328A915" w:rsidR="001A45DB" w:rsidRDefault="00CB22FA" w:rsidP="00CB22FA">
      <w:pPr>
        <w:ind w:left="720"/>
        <w:jc w:val="both"/>
        <w:rPr>
          <w:rFonts w:ascii="Arial" w:hAnsi="Arial" w:cs="Arial"/>
          <w:sz w:val="22"/>
          <w:szCs w:val="22"/>
          <w:lang w:val="en-GB"/>
        </w:rPr>
      </w:pPr>
      <w:r w:rsidRPr="00CB22FA">
        <w:rPr>
          <w:rFonts w:ascii="Arial" w:hAnsi="Arial" w:cs="Arial"/>
          <w:sz w:val="22"/>
          <w:szCs w:val="22"/>
          <w:lang w:val="en-GB"/>
        </w:rPr>
        <w:t>A debtor (or a creditor) can apply to court for an order initiating bankruptcy proceedings.</w:t>
      </w:r>
      <w:r w:rsidR="00050EC4">
        <w:rPr>
          <w:rFonts w:ascii="Arial" w:hAnsi="Arial" w:cs="Arial"/>
          <w:sz w:val="22"/>
          <w:szCs w:val="22"/>
          <w:lang w:val="en-GB"/>
        </w:rPr>
        <w:t xml:space="preserve"> </w:t>
      </w:r>
      <w:r>
        <w:rPr>
          <w:rFonts w:ascii="Arial" w:hAnsi="Arial" w:cs="Arial"/>
          <w:sz w:val="22"/>
          <w:szCs w:val="22"/>
          <w:lang w:val="en-GB"/>
        </w:rPr>
        <w:t>Federal Decree Law (No 9) of 2016 as amended</w:t>
      </w:r>
      <w:r w:rsidR="00050EC4">
        <w:rPr>
          <w:rFonts w:ascii="Arial" w:hAnsi="Arial" w:cs="Arial"/>
          <w:sz w:val="22"/>
          <w:szCs w:val="22"/>
          <w:lang w:val="en-GB"/>
        </w:rPr>
        <w:t xml:space="preserve"> in 2019 and 2020 (“</w:t>
      </w:r>
      <w:r w:rsidR="00050EC4" w:rsidRPr="00050EC4">
        <w:rPr>
          <w:rFonts w:ascii="Arial" w:hAnsi="Arial" w:cs="Arial"/>
          <w:b/>
          <w:sz w:val="22"/>
          <w:szCs w:val="22"/>
          <w:lang w:val="en-GB"/>
        </w:rPr>
        <w:t>Bankruptcy Law</w:t>
      </w:r>
      <w:r w:rsidR="00050EC4">
        <w:rPr>
          <w:rFonts w:ascii="Arial" w:hAnsi="Arial" w:cs="Arial"/>
          <w:sz w:val="22"/>
          <w:szCs w:val="22"/>
          <w:lang w:val="en-GB"/>
        </w:rPr>
        <w:t xml:space="preserve">”) </w:t>
      </w:r>
      <w:r>
        <w:rPr>
          <w:rFonts w:ascii="Arial" w:hAnsi="Arial" w:cs="Arial"/>
          <w:sz w:val="22"/>
          <w:szCs w:val="22"/>
          <w:lang w:val="en-GB"/>
        </w:rPr>
        <w:t>provides for two possible outcomes from initiation of proceedings, either restructuring or liquidation of the debtor’s assets. In the case of a corporate bankruptcy, following a judgment for bankruptcy, no other insolvency or liquidation steps may be taken against the debtor company except as provided for in Bankruptcy Law.</w:t>
      </w:r>
      <w:r>
        <w:rPr>
          <w:rStyle w:val="FootnoteReference"/>
          <w:rFonts w:ascii="Arial" w:hAnsi="Arial" w:cs="Arial"/>
          <w:sz w:val="22"/>
          <w:szCs w:val="22"/>
          <w:lang w:val="en-GB"/>
        </w:rPr>
        <w:footnoteReference w:id="18"/>
      </w:r>
    </w:p>
    <w:p w14:paraId="19EB564F" w14:textId="77777777" w:rsidR="00050EC4" w:rsidRDefault="00050EC4" w:rsidP="00CB22FA">
      <w:pPr>
        <w:ind w:left="720"/>
        <w:jc w:val="both"/>
        <w:rPr>
          <w:rFonts w:ascii="Arial" w:hAnsi="Arial" w:cs="Arial"/>
          <w:sz w:val="22"/>
          <w:szCs w:val="22"/>
          <w:lang w:val="en-GB"/>
        </w:rPr>
      </w:pPr>
    </w:p>
    <w:p w14:paraId="745AD9B5" w14:textId="2B995327" w:rsidR="00050EC4" w:rsidRDefault="00050EC4" w:rsidP="00CB22FA">
      <w:pPr>
        <w:ind w:left="720"/>
        <w:jc w:val="both"/>
        <w:rPr>
          <w:rFonts w:ascii="Arial" w:hAnsi="Arial" w:cs="Arial"/>
          <w:sz w:val="22"/>
          <w:szCs w:val="22"/>
          <w:lang w:val="en-GB"/>
        </w:rPr>
      </w:pPr>
      <w:r>
        <w:rPr>
          <w:rFonts w:ascii="Arial" w:hAnsi="Arial" w:cs="Arial"/>
          <w:sz w:val="22"/>
          <w:szCs w:val="22"/>
          <w:lang w:val="en-GB"/>
        </w:rPr>
        <w:t>As in this scenario restructuring is possible, the court is involved as follows: First, the court is approached by either the debtor or a creditor for an order initiating bankruptcy proceedings</w:t>
      </w:r>
      <w:r w:rsidR="00207CC7">
        <w:rPr>
          <w:rFonts w:ascii="Arial" w:hAnsi="Arial" w:cs="Arial"/>
          <w:sz w:val="22"/>
          <w:szCs w:val="22"/>
          <w:lang w:val="en-GB"/>
        </w:rPr>
        <w:t xml:space="preserve"> </w:t>
      </w:r>
      <w:r>
        <w:rPr>
          <w:rStyle w:val="FootnoteReference"/>
          <w:rFonts w:ascii="Arial" w:hAnsi="Arial" w:cs="Arial"/>
          <w:sz w:val="22"/>
          <w:szCs w:val="22"/>
          <w:lang w:val="en-GB"/>
        </w:rPr>
        <w:footnoteReference w:id="19"/>
      </w:r>
      <w:r>
        <w:rPr>
          <w:rFonts w:ascii="Arial" w:hAnsi="Arial" w:cs="Arial"/>
          <w:sz w:val="22"/>
          <w:szCs w:val="22"/>
          <w:lang w:val="en-GB"/>
        </w:rPr>
        <w:t>;</w:t>
      </w:r>
      <w:r w:rsidR="001504DA">
        <w:rPr>
          <w:rFonts w:ascii="Arial" w:hAnsi="Arial" w:cs="Arial"/>
          <w:sz w:val="22"/>
          <w:szCs w:val="22"/>
          <w:lang w:val="en-GB"/>
        </w:rPr>
        <w:t xml:space="preserve"> then</w:t>
      </w:r>
      <w:r>
        <w:rPr>
          <w:rFonts w:ascii="Arial" w:hAnsi="Arial" w:cs="Arial"/>
          <w:sz w:val="22"/>
          <w:szCs w:val="22"/>
          <w:lang w:val="en-GB"/>
        </w:rPr>
        <w:t xml:space="preserve"> the court is required to appoint an expert from the panel of experts </w:t>
      </w:r>
      <w:r w:rsidR="00207CC7">
        <w:rPr>
          <w:rFonts w:ascii="Arial" w:hAnsi="Arial" w:cs="Arial"/>
          <w:sz w:val="22"/>
          <w:szCs w:val="22"/>
          <w:lang w:val="en-GB"/>
        </w:rPr>
        <w:t>(</w:t>
      </w:r>
      <w:r w:rsidR="0096548A">
        <w:rPr>
          <w:rFonts w:ascii="Arial" w:hAnsi="Arial" w:cs="Arial"/>
          <w:sz w:val="22"/>
          <w:szCs w:val="22"/>
          <w:lang w:val="en-GB"/>
        </w:rPr>
        <w:t>a</w:t>
      </w:r>
      <w:r w:rsidR="00207CC7">
        <w:rPr>
          <w:rFonts w:ascii="Arial" w:hAnsi="Arial" w:cs="Arial"/>
          <w:sz w:val="22"/>
          <w:szCs w:val="22"/>
          <w:lang w:val="en-GB"/>
        </w:rPr>
        <w:t>rt</w:t>
      </w:r>
      <w:r w:rsidR="0090333C">
        <w:rPr>
          <w:rFonts w:ascii="Arial" w:hAnsi="Arial" w:cs="Arial"/>
          <w:sz w:val="22"/>
          <w:szCs w:val="22"/>
          <w:lang w:val="en-GB"/>
        </w:rPr>
        <w:t>icle</w:t>
      </w:r>
      <w:r w:rsidR="00207CC7">
        <w:rPr>
          <w:rFonts w:ascii="Arial" w:hAnsi="Arial" w:cs="Arial"/>
          <w:sz w:val="22"/>
          <w:szCs w:val="22"/>
          <w:lang w:val="en-GB"/>
        </w:rPr>
        <w:t xml:space="preserve"> 77 of the Bankruptcy Law) </w:t>
      </w:r>
      <w:r>
        <w:rPr>
          <w:rFonts w:ascii="Arial" w:hAnsi="Arial" w:cs="Arial"/>
          <w:sz w:val="22"/>
          <w:szCs w:val="22"/>
          <w:lang w:val="en-GB"/>
        </w:rPr>
        <w:t>to assess the financial condition of the debtor who is required to report on the debtor’s financial condition and give an opinion on the debtor successfully restructuring</w:t>
      </w:r>
      <w:r w:rsidR="00207CC7">
        <w:rPr>
          <w:rFonts w:ascii="Arial" w:hAnsi="Arial" w:cs="Arial"/>
          <w:sz w:val="22"/>
          <w:szCs w:val="22"/>
          <w:lang w:val="en-GB"/>
        </w:rPr>
        <w:t xml:space="preserve"> (art</w:t>
      </w:r>
      <w:r w:rsidR="0090333C">
        <w:rPr>
          <w:rFonts w:ascii="Arial" w:hAnsi="Arial" w:cs="Arial"/>
          <w:sz w:val="22"/>
          <w:szCs w:val="22"/>
          <w:lang w:val="en-GB"/>
        </w:rPr>
        <w:t>icle</w:t>
      </w:r>
      <w:r w:rsidR="00207CC7">
        <w:rPr>
          <w:rFonts w:ascii="Arial" w:hAnsi="Arial" w:cs="Arial"/>
          <w:sz w:val="22"/>
          <w:szCs w:val="22"/>
          <w:lang w:val="en-GB"/>
        </w:rPr>
        <w:t xml:space="preserve"> 78 of the Bankruptcy Law)</w:t>
      </w:r>
      <w:r>
        <w:rPr>
          <w:rStyle w:val="FootnoteReference"/>
          <w:rFonts w:ascii="Arial" w:hAnsi="Arial" w:cs="Arial"/>
          <w:sz w:val="22"/>
          <w:szCs w:val="22"/>
          <w:lang w:val="en-GB"/>
        </w:rPr>
        <w:footnoteReference w:id="20"/>
      </w:r>
      <w:r w:rsidR="0090333C">
        <w:rPr>
          <w:rFonts w:ascii="Arial" w:hAnsi="Arial" w:cs="Arial"/>
          <w:sz w:val="22"/>
          <w:szCs w:val="22"/>
          <w:lang w:val="en-GB"/>
        </w:rPr>
        <w:t>. T</w:t>
      </w:r>
      <w:r>
        <w:rPr>
          <w:rFonts w:ascii="Arial" w:hAnsi="Arial" w:cs="Arial"/>
          <w:sz w:val="22"/>
          <w:szCs w:val="22"/>
          <w:lang w:val="en-GB"/>
        </w:rPr>
        <w:t>he court then orders for the commencement of bankruptcy proceedings and appoints a trustee</w:t>
      </w:r>
      <w:r w:rsidR="0096548A">
        <w:rPr>
          <w:rFonts w:ascii="Arial" w:hAnsi="Arial" w:cs="Arial"/>
          <w:sz w:val="22"/>
          <w:szCs w:val="22"/>
          <w:lang w:val="en-GB"/>
        </w:rPr>
        <w:t xml:space="preserve"> and provides the trustee with any information it holds on the debtor (art</w:t>
      </w:r>
      <w:r w:rsidR="0090333C">
        <w:rPr>
          <w:rFonts w:ascii="Arial" w:hAnsi="Arial" w:cs="Arial"/>
          <w:sz w:val="22"/>
          <w:szCs w:val="22"/>
          <w:lang w:val="en-GB"/>
        </w:rPr>
        <w:t>icle</w:t>
      </w:r>
      <w:r w:rsidR="0096548A">
        <w:rPr>
          <w:rFonts w:ascii="Arial" w:hAnsi="Arial" w:cs="Arial"/>
          <w:sz w:val="22"/>
          <w:szCs w:val="22"/>
          <w:lang w:val="en-GB"/>
        </w:rPr>
        <w:t xml:space="preserve"> 88 of the Bankruptcy Law)</w:t>
      </w:r>
      <w:r w:rsidR="0096548A">
        <w:rPr>
          <w:rStyle w:val="FootnoteReference"/>
          <w:rFonts w:ascii="Arial" w:hAnsi="Arial" w:cs="Arial"/>
          <w:sz w:val="22"/>
          <w:szCs w:val="22"/>
          <w:lang w:val="en-GB"/>
        </w:rPr>
        <w:footnoteReference w:id="21"/>
      </w:r>
      <w:r w:rsidR="0096548A">
        <w:rPr>
          <w:rFonts w:ascii="Arial" w:hAnsi="Arial" w:cs="Arial"/>
          <w:sz w:val="22"/>
          <w:szCs w:val="22"/>
          <w:lang w:val="en-GB"/>
        </w:rPr>
        <w:t>;</w:t>
      </w:r>
      <w:r w:rsidR="004937F7">
        <w:rPr>
          <w:rFonts w:ascii="Arial" w:hAnsi="Arial" w:cs="Arial"/>
          <w:sz w:val="22"/>
          <w:szCs w:val="22"/>
          <w:lang w:val="en-GB"/>
        </w:rPr>
        <w:t xml:space="preserve"> the trustee is to provide the court with a list of creditors </w:t>
      </w:r>
      <w:r w:rsidR="0090333C">
        <w:rPr>
          <w:rFonts w:ascii="Arial" w:hAnsi="Arial" w:cs="Arial"/>
          <w:sz w:val="22"/>
          <w:szCs w:val="22"/>
          <w:lang w:val="en-GB"/>
        </w:rPr>
        <w:t xml:space="preserve">(after the published the calls for and received the proof of debts). Any creditor whose debt was not accepted may object to the list by application to court </w:t>
      </w:r>
      <w:r w:rsidR="001504DA">
        <w:rPr>
          <w:rFonts w:ascii="Arial" w:hAnsi="Arial" w:cs="Arial"/>
          <w:sz w:val="22"/>
          <w:szCs w:val="22"/>
          <w:lang w:val="en-GB"/>
        </w:rPr>
        <w:t>that</w:t>
      </w:r>
      <w:r w:rsidR="0090333C">
        <w:rPr>
          <w:rFonts w:ascii="Arial" w:hAnsi="Arial" w:cs="Arial"/>
          <w:sz w:val="22"/>
          <w:szCs w:val="22"/>
          <w:lang w:val="en-GB"/>
        </w:rPr>
        <w:t xml:space="preserve"> must determine the application in 10 business days which may then be appealed with the debts admitted on an interim basis. The court must finally determine the list of creditors (article 94 of the Bankruptcy Law</w:t>
      </w:r>
      <w:r w:rsidR="00EC652A">
        <w:rPr>
          <w:rFonts w:ascii="Arial" w:hAnsi="Arial" w:cs="Arial"/>
          <w:sz w:val="22"/>
          <w:szCs w:val="22"/>
          <w:lang w:val="en-GB"/>
        </w:rPr>
        <w:t>)</w:t>
      </w:r>
      <w:r w:rsidR="00EC652A">
        <w:rPr>
          <w:rStyle w:val="FootnoteReference"/>
          <w:rFonts w:ascii="Arial" w:hAnsi="Arial" w:cs="Arial"/>
          <w:sz w:val="22"/>
          <w:szCs w:val="22"/>
          <w:lang w:val="en-GB"/>
        </w:rPr>
        <w:footnoteReference w:id="22"/>
      </w:r>
      <w:r w:rsidR="00EC652A">
        <w:rPr>
          <w:rFonts w:ascii="Arial" w:hAnsi="Arial" w:cs="Arial"/>
          <w:sz w:val="22"/>
          <w:szCs w:val="22"/>
          <w:lang w:val="en-GB"/>
        </w:rPr>
        <w:t>.</w:t>
      </w:r>
      <w:r w:rsidR="0090333C">
        <w:rPr>
          <w:rFonts w:ascii="Arial" w:hAnsi="Arial" w:cs="Arial"/>
          <w:sz w:val="22"/>
          <w:szCs w:val="22"/>
          <w:lang w:val="en-GB"/>
        </w:rPr>
        <w:t xml:space="preserve"> </w:t>
      </w:r>
      <w:r w:rsidR="0087277E">
        <w:rPr>
          <w:rFonts w:ascii="Arial" w:hAnsi="Arial" w:cs="Arial"/>
          <w:sz w:val="22"/>
          <w:szCs w:val="22"/>
          <w:lang w:val="en-GB"/>
        </w:rPr>
        <w:t>The trustee produces a report on the debtor’s business to court following its appointment, the court then reviews th</w:t>
      </w:r>
      <w:r w:rsidR="00973328">
        <w:rPr>
          <w:rFonts w:ascii="Arial" w:hAnsi="Arial" w:cs="Arial"/>
          <w:sz w:val="22"/>
          <w:szCs w:val="22"/>
          <w:lang w:val="en-GB"/>
        </w:rPr>
        <w:t>e</w:t>
      </w:r>
      <w:r w:rsidR="0087277E">
        <w:rPr>
          <w:rFonts w:ascii="Arial" w:hAnsi="Arial" w:cs="Arial"/>
          <w:sz w:val="22"/>
          <w:szCs w:val="22"/>
          <w:lang w:val="en-GB"/>
        </w:rPr>
        <w:t xml:space="preserve"> report </w:t>
      </w:r>
      <w:r w:rsidR="0087277E">
        <w:rPr>
          <w:rFonts w:ascii="Arial" w:hAnsi="Arial" w:cs="Arial"/>
          <w:sz w:val="22"/>
          <w:szCs w:val="22"/>
          <w:lang w:val="en-GB"/>
        </w:rPr>
        <w:lastRenderedPageBreak/>
        <w:t>to confirm that tit takes account of all creditor claims</w:t>
      </w:r>
      <w:r w:rsidR="00973328">
        <w:rPr>
          <w:rFonts w:ascii="Arial" w:hAnsi="Arial" w:cs="Arial"/>
          <w:sz w:val="22"/>
          <w:szCs w:val="22"/>
          <w:lang w:val="en-GB"/>
        </w:rPr>
        <w:t xml:space="preserve"> (Bankruptcy Law Article 97)</w:t>
      </w:r>
      <w:r w:rsidR="0087277E">
        <w:rPr>
          <w:rFonts w:ascii="Arial" w:hAnsi="Arial" w:cs="Arial"/>
          <w:sz w:val="22"/>
          <w:szCs w:val="22"/>
          <w:lang w:val="en-GB"/>
        </w:rPr>
        <w:t>.</w:t>
      </w:r>
      <w:r w:rsidR="00973328">
        <w:rPr>
          <w:rFonts w:ascii="Arial" w:hAnsi="Arial" w:cs="Arial"/>
          <w:sz w:val="22"/>
          <w:szCs w:val="22"/>
          <w:lang w:val="en-GB"/>
        </w:rPr>
        <w:t xml:space="preserve"> The court then directs the trustee to convene a meeting of the creditors by way of notice and advertisement.</w:t>
      </w:r>
      <w:r w:rsidR="0087277E">
        <w:rPr>
          <w:rStyle w:val="FootnoteReference"/>
          <w:rFonts w:ascii="Arial" w:hAnsi="Arial" w:cs="Arial"/>
          <w:sz w:val="22"/>
          <w:szCs w:val="22"/>
          <w:lang w:val="en-GB"/>
        </w:rPr>
        <w:footnoteReference w:id="23"/>
      </w:r>
      <w:r w:rsidR="00973328">
        <w:rPr>
          <w:rFonts w:ascii="Arial" w:hAnsi="Arial" w:cs="Arial"/>
          <w:sz w:val="22"/>
          <w:szCs w:val="22"/>
          <w:lang w:val="en-GB"/>
        </w:rPr>
        <w:t xml:space="preserve"> The trustee prepares a scheme for restructuring and submits it to court, the court is required to review the proposes scheme within 10 business days and can request the trustee to vary the scheme and resubmit it within a further 5 day period (Bankruptcy Law article 103)</w:t>
      </w:r>
      <w:r w:rsidR="00973328">
        <w:rPr>
          <w:rStyle w:val="FootnoteReference"/>
          <w:rFonts w:ascii="Arial" w:hAnsi="Arial" w:cs="Arial"/>
          <w:sz w:val="22"/>
          <w:szCs w:val="22"/>
          <w:lang w:val="en-GB"/>
        </w:rPr>
        <w:footnoteReference w:id="24"/>
      </w:r>
      <w:r w:rsidR="00973328">
        <w:rPr>
          <w:rFonts w:ascii="Arial" w:hAnsi="Arial" w:cs="Arial"/>
          <w:sz w:val="22"/>
          <w:szCs w:val="22"/>
          <w:lang w:val="en-GB"/>
        </w:rPr>
        <w:t>. Following review, the court must request the trustee to convene a meeting of the creditors to review the scheme and may also direct the formation of committees representing classes of creditors and may give directions about the appointment or conduct of any representatives of those classes at the meeting of creditors.</w:t>
      </w:r>
      <w:r w:rsidR="00973328">
        <w:rPr>
          <w:rStyle w:val="FootnoteReference"/>
          <w:rFonts w:ascii="Arial" w:hAnsi="Arial" w:cs="Arial"/>
          <w:sz w:val="22"/>
          <w:szCs w:val="22"/>
          <w:lang w:val="en-GB"/>
        </w:rPr>
        <w:footnoteReference w:id="25"/>
      </w:r>
      <w:r w:rsidR="00993256">
        <w:rPr>
          <w:rFonts w:ascii="Arial" w:hAnsi="Arial" w:cs="Arial"/>
          <w:sz w:val="22"/>
          <w:szCs w:val="22"/>
          <w:lang w:val="en-GB"/>
        </w:rPr>
        <w:t xml:space="preserve"> The </w:t>
      </w:r>
      <w:r w:rsidR="00164DBE">
        <w:rPr>
          <w:rFonts w:ascii="Arial" w:hAnsi="Arial" w:cs="Arial"/>
          <w:sz w:val="22"/>
          <w:szCs w:val="22"/>
          <w:lang w:val="en-GB"/>
        </w:rPr>
        <w:t>creditors</w:t>
      </w:r>
      <w:r w:rsidR="00993256">
        <w:rPr>
          <w:rFonts w:ascii="Arial" w:hAnsi="Arial" w:cs="Arial"/>
          <w:sz w:val="22"/>
          <w:szCs w:val="22"/>
          <w:lang w:val="en-GB"/>
        </w:rPr>
        <w:t xml:space="preserve"> then vote on the scheme by creditors whose debts have been admitted, the court may dire</w:t>
      </w:r>
      <w:r w:rsidR="00164DBE">
        <w:rPr>
          <w:rFonts w:ascii="Arial" w:hAnsi="Arial" w:cs="Arial"/>
          <w:sz w:val="22"/>
          <w:szCs w:val="22"/>
          <w:lang w:val="en-GB"/>
        </w:rPr>
        <w:t>ct that the creditors whose debts have been admitted on an interim basis may vote if proposed by the trustee, subject to terms and conditions imposed by the court.</w:t>
      </w:r>
      <w:r w:rsidR="00164DBE">
        <w:rPr>
          <w:rStyle w:val="FootnoteReference"/>
          <w:rFonts w:ascii="Arial" w:hAnsi="Arial" w:cs="Arial"/>
          <w:sz w:val="22"/>
          <w:szCs w:val="22"/>
          <w:lang w:val="en-GB"/>
        </w:rPr>
        <w:footnoteReference w:id="26"/>
      </w:r>
      <w:r w:rsidR="00EF16E6">
        <w:rPr>
          <w:rFonts w:ascii="Arial" w:hAnsi="Arial" w:cs="Arial"/>
          <w:sz w:val="22"/>
          <w:szCs w:val="22"/>
          <w:lang w:val="en-GB"/>
        </w:rPr>
        <w:t xml:space="preserve"> If the scheme is approved at the creditor’s meting, the trustee then puts the scheme to court or </w:t>
      </w:r>
      <w:proofErr w:type="gramStart"/>
      <w:r w:rsidR="00EF16E6">
        <w:rPr>
          <w:rFonts w:ascii="Arial" w:hAnsi="Arial" w:cs="Arial"/>
          <w:sz w:val="22"/>
          <w:szCs w:val="22"/>
          <w:lang w:val="en-GB"/>
        </w:rPr>
        <w:t>approval,</w:t>
      </w:r>
      <w:proofErr w:type="gramEnd"/>
      <w:r w:rsidR="00EF16E6">
        <w:rPr>
          <w:rFonts w:ascii="Arial" w:hAnsi="Arial" w:cs="Arial"/>
          <w:sz w:val="22"/>
          <w:szCs w:val="22"/>
          <w:lang w:val="en-GB"/>
        </w:rPr>
        <w:t xml:space="preserve"> the court may either approve or reject the scheme. Any creditor who voted against the scheme may object to the proposed scheme within a further three business days and the court must make a determination within five business days from the date of submitting the objection the court’s determination is final (Bankruptcy Law art 108)</w:t>
      </w:r>
      <w:r w:rsidR="00EF16E6">
        <w:rPr>
          <w:rStyle w:val="FootnoteReference"/>
          <w:rFonts w:ascii="Arial" w:hAnsi="Arial" w:cs="Arial"/>
          <w:sz w:val="22"/>
          <w:szCs w:val="22"/>
          <w:lang w:val="en-GB"/>
        </w:rPr>
        <w:footnoteReference w:id="27"/>
      </w:r>
      <w:r w:rsidR="00B66A94">
        <w:rPr>
          <w:rFonts w:ascii="Arial" w:hAnsi="Arial" w:cs="Arial"/>
          <w:sz w:val="22"/>
          <w:szCs w:val="22"/>
          <w:lang w:val="en-GB"/>
        </w:rPr>
        <w:t>. The court then gives its determination on the scheme as a matter of urgency provided it is satisfied that all necessary conditions have been met</w:t>
      </w:r>
      <w:r w:rsidR="00120FBC">
        <w:rPr>
          <w:rFonts w:ascii="Arial" w:hAnsi="Arial" w:cs="Arial"/>
          <w:sz w:val="22"/>
          <w:szCs w:val="22"/>
          <w:lang w:val="en-GB"/>
        </w:rPr>
        <w:t xml:space="preserve"> the court may not approve a scheme that affects the priority of any secured creditor rights.</w:t>
      </w:r>
      <w:r w:rsidR="00120FBC">
        <w:rPr>
          <w:rStyle w:val="FootnoteReference"/>
          <w:rFonts w:ascii="Arial" w:hAnsi="Arial" w:cs="Arial"/>
          <w:sz w:val="22"/>
          <w:szCs w:val="22"/>
          <w:lang w:val="en-GB"/>
        </w:rPr>
        <w:footnoteReference w:id="28"/>
      </w:r>
      <w:r w:rsidR="005532B0">
        <w:rPr>
          <w:rFonts w:ascii="Arial" w:hAnsi="Arial" w:cs="Arial"/>
          <w:sz w:val="22"/>
          <w:szCs w:val="22"/>
          <w:lang w:val="en-GB"/>
        </w:rPr>
        <w:t xml:space="preserve"> If the scheme is approved by the court the trustee is to implement it, if the trustee considers that the amendment to the scheme is required and such amendment may affect any party’s rights, the court needs to consider the trustee’s application for amendment (Bankruptcy Law Art 114).</w:t>
      </w:r>
      <w:r w:rsidR="005532B0">
        <w:rPr>
          <w:rStyle w:val="FootnoteReference"/>
          <w:rFonts w:ascii="Arial" w:hAnsi="Arial" w:cs="Arial"/>
          <w:sz w:val="22"/>
          <w:szCs w:val="22"/>
          <w:lang w:val="en-GB"/>
        </w:rPr>
        <w:footnoteReference w:id="29"/>
      </w:r>
      <w:r w:rsidR="002332A5">
        <w:rPr>
          <w:rFonts w:ascii="Arial" w:hAnsi="Arial" w:cs="Arial"/>
          <w:sz w:val="22"/>
          <w:szCs w:val="22"/>
          <w:lang w:val="en-GB"/>
        </w:rPr>
        <w:t xml:space="preserve"> Once the restructuring is completed following the discharge of obligations provided for under the scheme, the court is to make an order confirming the complete implementation of the scheme (Bankruptcy Law art 115)</w:t>
      </w:r>
      <w:r w:rsidR="002332A5">
        <w:rPr>
          <w:rStyle w:val="FootnoteReference"/>
          <w:rFonts w:ascii="Arial" w:hAnsi="Arial" w:cs="Arial"/>
          <w:sz w:val="22"/>
          <w:szCs w:val="22"/>
          <w:lang w:val="en-GB"/>
        </w:rPr>
        <w:footnoteReference w:id="30"/>
      </w:r>
      <w:r w:rsidR="002332A5">
        <w:rPr>
          <w:rFonts w:ascii="Arial" w:hAnsi="Arial" w:cs="Arial"/>
          <w:sz w:val="22"/>
          <w:szCs w:val="22"/>
          <w:lang w:val="en-GB"/>
        </w:rPr>
        <w:t>.</w:t>
      </w:r>
    </w:p>
    <w:p w14:paraId="53491FC8" w14:textId="77777777" w:rsidR="00B45DDD" w:rsidRDefault="00B45DDD" w:rsidP="00CB22FA">
      <w:pPr>
        <w:ind w:left="720"/>
        <w:jc w:val="both"/>
        <w:rPr>
          <w:rFonts w:ascii="Arial" w:hAnsi="Arial" w:cs="Arial"/>
          <w:sz w:val="22"/>
          <w:szCs w:val="22"/>
          <w:lang w:val="en-GB"/>
        </w:rPr>
      </w:pPr>
    </w:p>
    <w:p w14:paraId="37551785" w14:textId="77777777" w:rsidR="00B45DDD" w:rsidRPr="00CB22FA" w:rsidRDefault="00B45DDD" w:rsidP="00CB22FA">
      <w:pPr>
        <w:ind w:left="720"/>
        <w:jc w:val="both"/>
        <w:rPr>
          <w:rFonts w:ascii="Arial" w:hAnsi="Arial" w:cs="Arial"/>
          <w:sz w:val="22"/>
          <w:szCs w:val="22"/>
          <w:lang w:val="en-GB"/>
        </w:rPr>
      </w:pPr>
    </w:p>
    <w:p w14:paraId="770B4F0F" w14:textId="77777777" w:rsidR="001A45DB" w:rsidRPr="00CA448F" w:rsidRDefault="001A45DB" w:rsidP="00C76745">
      <w:pPr>
        <w:jc w:val="both"/>
        <w:rPr>
          <w:rFonts w:ascii="Arial" w:hAnsi="Arial" w:cs="Arial"/>
          <w:sz w:val="22"/>
          <w:szCs w:val="22"/>
          <w:shd w:val="clear" w:color="auto" w:fill="FFFFFF"/>
        </w:rPr>
      </w:pPr>
    </w:p>
    <w:p w14:paraId="2DFE3209" w14:textId="6D58F469" w:rsidR="00122F36" w:rsidRPr="00CA448F" w:rsidRDefault="00122F36" w:rsidP="00C76745">
      <w:pPr>
        <w:jc w:val="both"/>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C76745">
      <w:pPr>
        <w:jc w:val="both"/>
        <w:rPr>
          <w:rFonts w:ascii="Arial" w:hAnsi="Arial" w:cs="Arial"/>
          <w:sz w:val="22"/>
          <w:szCs w:val="22"/>
          <w:shd w:val="clear" w:color="auto" w:fill="FFFFFF"/>
        </w:rPr>
      </w:pPr>
    </w:p>
    <w:p w14:paraId="24020BB9" w14:textId="766E0D06" w:rsidR="00122F36" w:rsidRPr="00CA448F" w:rsidRDefault="001A45DB" w:rsidP="00C76745">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C76745">
      <w:pPr>
        <w:jc w:val="both"/>
        <w:rPr>
          <w:rFonts w:ascii="Arial" w:hAnsi="Arial" w:cs="Arial"/>
          <w:sz w:val="22"/>
          <w:szCs w:val="22"/>
          <w:shd w:val="clear" w:color="auto" w:fill="FFFFFF"/>
        </w:rPr>
      </w:pPr>
    </w:p>
    <w:p w14:paraId="718EECD5" w14:textId="174A3E89" w:rsidR="001A45DB" w:rsidRPr="00CA448F" w:rsidRDefault="00E968BE" w:rsidP="00C76745">
      <w:pPr>
        <w:jc w:val="both"/>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 xml:space="preserve">[Type your answer </w:t>
      </w:r>
      <w:r w:rsidR="00224E71">
        <w:rPr>
          <w:rFonts w:ascii="Arial" w:hAnsi="Arial" w:cs="Arial"/>
          <w:color w:val="808080" w:themeColor="background1" w:themeShade="80"/>
          <w:sz w:val="22"/>
          <w:szCs w:val="22"/>
          <w:shd w:val="clear" w:color="auto" w:fill="FFFFFF"/>
        </w:rPr>
        <w:t>here]</w:t>
      </w:r>
    </w:p>
    <w:p w14:paraId="603872A3" w14:textId="7092CF06" w:rsidR="001A45DB" w:rsidRPr="00CA448F" w:rsidRDefault="001A45DB" w:rsidP="00C76745">
      <w:pPr>
        <w:jc w:val="both"/>
        <w:rPr>
          <w:rFonts w:ascii="Arial" w:hAnsi="Arial" w:cs="Arial"/>
          <w:color w:val="808080" w:themeColor="background1" w:themeShade="80"/>
          <w:sz w:val="22"/>
          <w:szCs w:val="22"/>
          <w:shd w:val="clear" w:color="auto" w:fill="FFFFFF"/>
        </w:rPr>
      </w:pPr>
    </w:p>
    <w:p w14:paraId="5921E84C" w14:textId="057A5CC2" w:rsidR="0077431E" w:rsidRDefault="00EC652A" w:rsidP="001973A3">
      <w:pPr>
        <w:ind w:left="720"/>
        <w:jc w:val="both"/>
        <w:rPr>
          <w:rFonts w:ascii="Arial" w:hAnsi="Arial" w:cs="Arial"/>
          <w:sz w:val="22"/>
          <w:szCs w:val="22"/>
          <w:shd w:val="clear" w:color="auto" w:fill="FFFFFF"/>
        </w:rPr>
      </w:pPr>
      <w:r>
        <w:rPr>
          <w:rFonts w:ascii="Arial" w:hAnsi="Arial" w:cs="Arial"/>
          <w:sz w:val="22"/>
          <w:szCs w:val="22"/>
          <w:shd w:val="clear" w:color="auto" w:fill="FFFFFF"/>
        </w:rPr>
        <w:t xml:space="preserve">The level of court involvement in the UAE Bankruptcy Law is high however in the circumstances specific to the UAE, namely that the UAE has an insolvency regime that is fairly new and relatively untested due to the low rates of business failure in the UAE, the court’s intervention in the steps involved is appropriate to guard against </w:t>
      </w:r>
      <w:r>
        <w:rPr>
          <w:rFonts w:ascii="Arial" w:hAnsi="Arial" w:cs="Arial"/>
          <w:sz w:val="22"/>
          <w:szCs w:val="22"/>
          <w:shd w:val="clear" w:color="auto" w:fill="FFFFFF"/>
        </w:rPr>
        <w:lastRenderedPageBreak/>
        <w:t>unfair outcomes to creditors and potentially debtors</w:t>
      </w:r>
      <w:r w:rsidR="001973A3">
        <w:rPr>
          <w:rFonts w:ascii="Arial" w:hAnsi="Arial" w:cs="Arial"/>
          <w:sz w:val="22"/>
          <w:szCs w:val="22"/>
          <w:shd w:val="clear" w:color="auto" w:fill="FFFFFF"/>
        </w:rPr>
        <w:t>, the oversight adds an added layer of legitimacy to the process that may for most professionals in the jurisdiction be an area where opportunities for practice therein are infrequent. Therefore the degree of court involvement is in my opinion adequate for the jurisdiction.</w:t>
      </w:r>
    </w:p>
    <w:p w14:paraId="0AE2515B" w14:textId="2757D4C5" w:rsidR="007524A3" w:rsidRDefault="007524A3" w:rsidP="00C76745">
      <w:pPr>
        <w:jc w:val="both"/>
        <w:rPr>
          <w:rFonts w:ascii="Arial" w:hAnsi="Arial" w:cs="Arial"/>
          <w:sz w:val="22"/>
          <w:szCs w:val="22"/>
          <w:shd w:val="clear" w:color="auto" w:fill="FFFFFF"/>
        </w:rPr>
      </w:pPr>
    </w:p>
    <w:p w14:paraId="6F8A52B2" w14:textId="28935B4B" w:rsidR="007524A3" w:rsidRDefault="007524A3" w:rsidP="00C76745">
      <w:pPr>
        <w:jc w:val="both"/>
        <w:rPr>
          <w:rFonts w:ascii="Arial" w:hAnsi="Arial" w:cs="Arial"/>
          <w:sz w:val="22"/>
          <w:szCs w:val="22"/>
          <w:shd w:val="clear" w:color="auto" w:fill="FFFFFF"/>
        </w:rPr>
      </w:pPr>
    </w:p>
    <w:p w14:paraId="382223FD" w14:textId="10CB6F4A" w:rsidR="007524A3" w:rsidRDefault="007524A3" w:rsidP="00C76745">
      <w:pPr>
        <w:jc w:val="both"/>
        <w:rPr>
          <w:rFonts w:ascii="Arial" w:hAnsi="Arial" w:cs="Arial"/>
          <w:sz w:val="22"/>
          <w:szCs w:val="22"/>
          <w:shd w:val="clear" w:color="auto" w:fill="FFFFFF"/>
        </w:rPr>
      </w:pPr>
    </w:p>
    <w:p w14:paraId="67791D35" w14:textId="77777777" w:rsidR="007524A3" w:rsidRDefault="007524A3" w:rsidP="00C76745">
      <w:pPr>
        <w:jc w:val="both"/>
        <w:rPr>
          <w:rFonts w:ascii="Arial" w:hAnsi="Arial" w:cs="Arial"/>
          <w:sz w:val="22"/>
          <w:szCs w:val="22"/>
          <w:shd w:val="clear" w:color="auto" w:fill="FFFFFF"/>
        </w:rPr>
      </w:pPr>
    </w:p>
    <w:p w14:paraId="48469270" w14:textId="1F769F16" w:rsidR="009B0723" w:rsidRPr="00CA448F" w:rsidRDefault="00DF75F8" w:rsidP="00C76745">
      <w:pPr>
        <w:jc w:val="both"/>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C76745">
      <w:pPr>
        <w:jc w:val="both"/>
        <w:rPr>
          <w:rFonts w:ascii="Arial" w:hAnsi="Arial" w:cs="Arial"/>
          <w:sz w:val="22"/>
          <w:szCs w:val="22"/>
          <w:lang w:val="en-GB"/>
        </w:rPr>
      </w:pPr>
    </w:p>
    <w:p w14:paraId="78252754" w14:textId="2533A818" w:rsidR="00822751" w:rsidRPr="00CA448F" w:rsidRDefault="008138A2" w:rsidP="00C76745">
      <w:pPr>
        <w:jc w:val="both"/>
        <w:rPr>
          <w:rFonts w:ascii="Arial" w:hAnsi="Arial" w:cs="Arial"/>
          <w:sz w:val="22"/>
          <w:szCs w:val="22"/>
          <w:lang w:val="en-GB"/>
        </w:rPr>
      </w:pPr>
      <w:bookmarkStart w:id="0" w:name="_Hlk17745211"/>
      <w:r>
        <w:rPr>
          <w:rFonts w:ascii="Arial" w:hAnsi="Arial" w:cs="Arial"/>
          <w:sz w:val="22"/>
          <w:szCs w:val="22"/>
          <w:lang w:val="en-GB"/>
        </w:rPr>
        <w:t xml:space="preserve">BNE </w:t>
      </w:r>
      <w:r w:rsidR="003C0156" w:rsidRPr="00CA448F">
        <w:rPr>
          <w:rFonts w:ascii="Arial" w:hAnsi="Arial" w:cs="Arial"/>
          <w:sz w:val="22"/>
          <w:szCs w:val="22"/>
          <w:lang w:val="en-GB"/>
        </w:rPr>
        <w:t xml:space="preserve">LLC operates a restaurant chain in various locations in Dubai. It was a thriving and successful business but had to cease operations temporarily due to the effects of COVID-19. It has exhausted all available funds and has no cash to pay creditors. </w:t>
      </w:r>
      <w:r>
        <w:rPr>
          <w:rFonts w:ascii="Arial" w:hAnsi="Arial" w:cs="Arial"/>
          <w:sz w:val="22"/>
          <w:szCs w:val="22"/>
          <w:lang w:val="en-GB"/>
        </w:rPr>
        <w:t xml:space="preserve">BNE </w:t>
      </w:r>
      <w:r w:rsidR="003C0156" w:rsidRPr="00CA448F">
        <w:rPr>
          <w:rFonts w:ascii="Arial" w:hAnsi="Arial" w:cs="Arial"/>
          <w:sz w:val="22"/>
          <w:szCs w:val="22"/>
          <w:lang w:val="en-GB"/>
        </w:rPr>
        <w:t xml:space="preserve">LLC owns a restaurant </w:t>
      </w:r>
      <w:proofErr w:type="gramStart"/>
      <w:r w:rsidR="003C0156" w:rsidRPr="00CA448F">
        <w:rPr>
          <w:rFonts w:ascii="Arial" w:hAnsi="Arial" w:cs="Arial"/>
          <w:sz w:val="22"/>
          <w:szCs w:val="22"/>
          <w:lang w:val="en-GB"/>
        </w:rPr>
        <w:t>site which</w:t>
      </w:r>
      <w:proofErr w:type="gramEnd"/>
      <w:r w:rsidR="003C0156" w:rsidRPr="00CA448F">
        <w:rPr>
          <w:rFonts w:ascii="Arial" w:hAnsi="Arial" w:cs="Arial"/>
          <w:sz w:val="22"/>
          <w:szCs w:val="22"/>
          <w:lang w:val="en-GB"/>
        </w:rPr>
        <w:t xml:space="preserve"> is under development, but the development is not expected to be completed for seve</w:t>
      </w:r>
      <w:r>
        <w:rPr>
          <w:rFonts w:ascii="Arial" w:hAnsi="Arial" w:cs="Arial"/>
          <w:sz w:val="22"/>
          <w:szCs w:val="22"/>
          <w:lang w:val="en-GB"/>
        </w:rPr>
        <w:t>ral</w:t>
      </w:r>
      <w:r w:rsidR="003C0156" w:rsidRPr="00CA448F">
        <w:rPr>
          <w:rFonts w:ascii="Arial" w:hAnsi="Arial" w:cs="Arial"/>
          <w:sz w:val="22"/>
          <w:szCs w:val="22"/>
          <w:lang w:val="en-GB"/>
        </w:rPr>
        <w:t xml:space="preserve"> months. The site had been purchased by one of </w:t>
      </w:r>
      <w:r w:rsidR="00653841">
        <w:rPr>
          <w:rFonts w:ascii="Arial" w:hAnsi="Arial" w:cs="Arial"/>
          <w:sz w:val="22"/>
          <w:szCs w:val="22"/>
          <w:lang w:val="en-GB"/>
        </w:rPr>
        <w:t>BNE</w:t>
      </w:r>
      <w:r w:rsidR="003C0156" w:rsidRPr="00CA448F">
        <w:rPr>
          <w:rFonts w:ascii="Arial" w:hAnsi="Arial" w:cs="Arial"/>
          <w:sz w:val="22"/>
          <w:szCs w:val="22"/>
          <w:lang w:val="en-GB"/>
        </w:rPr>
        <w:t xml:space="preserve"> LLC’s shareholders and was transferred to </w:t>
      </w:r>
      <w:r w:rsidR="00653841">
        <w:rPr>
          <w:rFonts w:ascii="Arial" w:hAnsi="Arial" w:cs="Arial"/>
          <w:sz w:val="22"/>
          <w:szCs w:val="22"/>
          <w:lang w:val="en-GB"/>
        </w:rPr>
        <w:t>BNE</w:t>
      </w:r>
      <w:r w:rsidR="003C0156" w:rsidRPr="00CA448F">
        <w:rPr>
          <w:rFonts w:ascii="Arial" w:hAnsi="Arial" w:cs="Arial"/>
          <w:sz w:val="22"/>
          <w:szCs w:val="22"/>
          <w:lang w:val="en-GB"/>
        </w:rPr>
        <w:t xml:space="preserve"> LLC on the basis that payment for the site would be made by </w:t>
      </w:r>
      <w:r w:rsidR="00653841">
        <w:rPr>
          <w:rFonts w:ascii="Arial" w:hAnsi="Arial" w:cs="Arial"/>
          <w:sz w:val="22"/>
          <w:szCs w:val="22"/>
          <w:lang w:val="en-GB"/>
        </w:rPr>
        <w:t>BNC</w:t>
      </w:r>
      <w:r w:rsidR="003C0156" w:rsidRPr="00CA448F">
        <w:rPr>
          <w:rFonts w:ascii="Arial" w:hAnsi="Arial" w:cs="Arial"/>
          <w:sz w:val="22"/>
          <w:szCs w:val="22"/>
          <w:lang w:val="en-GB"/>
        </w:rPr>
        <w:t xml:space="preserve"> LLC to the shareholder in full in 202</w:t>
      </w:r>
      <w:r w:rsidR="00653841">
        <w:rPr>
          <w:rFonts w:ascii="Arial" w:hAnsi="Arial" w:cs="Arial"/>
          <w:sz w:val="22"/>
          <w:szCs w:val="22"/>
          <w:lang w:val="en-GB"/>
        </w:rPr>
        <w:t>5</w:t>
      </w:r>
      <w:r w:rsidR="003C0156"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C76745">
      <w:pPr>
        <w:jc w:val="both"/>
        <w:rPr>
          <w:rFonts w:ascii="Arial" w:hAnsi="Arial" w:cs="Arial"/>
          <w:sz w:val="22"/>
          <w:szCs w:val="22"/>
          <w:lang w:val="en-GB"/>
        </w:rPr>
      </w:pPr>
    </w:p>
    <w:p w14:paraId="0CCF6A97" w14:textId="16884C3F" w:rsidR="004300F1" w:rsidRPr="00CA448F" w:rsidRDefault="004300F1" w:rsidP="00C76745">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C76745">
      <w:pPr>
        <w:jc w:val="both"/>
        <w:rPr>
          <w:rFonts w:ascii="Arial" w:hAnsi="Arial" w:cs="Arial"/>
          <w:sz w:val="22"/>
          <w:szCs w:val="22"/>
          <w:lang w:val="en-GB"/>
        </w:rPr>
      </w:pPr>
    </w:p>
    <w:p w14:paraId="031F23F4" w14:textId="05838BD6"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C76745">
      <w:pPr>
        <w:jc w:val="both"/>
        <w:rPr>
          <w:rFonts w:ascii="Arial" w:hAnsi="Arial" w:cs="Arial"/>
          <w:b/>
          <w:sz w:val="22"/>
          <w:szCs w:val="22"/>
          <w:lang w:val="en-GB"/>
        </w:rPr>
      </w:pPr>
    </w:p>
    <w:p w14:paraId="10D2931E" w14:textId="518224AC"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w:t>
      </w:r>
      <w:proofErr w:type="gramStart"/>
      <w:r w:rsidRPr="00CA448F">
        <w:rPr>
          <w:rFonts w:ascii="Arial" w:hAnsi="Arial" w:cs="Arial"/>
          <w:sz w:val="22"/>
          <w:szCs w:val="22"/>
          <w:lang w:val="en-GB"/>
        </w:rPr>
        <w:t>time-frames</w:t>
      </w:r>
      <w:proofErr w:type="gramEnd"/>
      <w:r w:rsidRPr="00CA448F">
        <w:rPr>
          <w:rFonts w:ascii="Arial" w:hAnsi="Arial" w:cs="Arial"/>
          <w:sz w:val="22"/>
          <w:szCs w:val="22"/>
          <w:lang w:val="en-GB"/>
        </w:rPr>
        <w:t xml:space="preserve">.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C76745">
      <w:pPr>
        <w:jc w:val="both"/>
        <w:rPr>
          <w:rFonts w:ascii="Arial" w:hAnsi="Arial" w:cs="Arial"/>
          <w:sz w:val="22"/>
          <w:szCs w:val="22"/>
          <w:lang w:val="en-GB"/>
        </w:rPr>
      </w:pPr>
    </w:p>
    <w:p w14:paraId="580459A3" w14:textId="60D807CE" w:rsidR="003C0156" w:rsidRPr="00CA448F" w:rsidRDefault="003C0156" w:rsidP="00C76745">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C76745">
      <w:pPr>
        <w:jc w:val="both"/>
        <w:rPr>
          <w:rFonts w:ascii="Arial" w:hAnsi="Arial" w:cs="Arial"/>
          <w:sz w:val="22"/>
          <w:szCs w:val="22"/>
          <w:lang w:val="en-GB"/>
        </w:rPr>
      </w:pPr>
    </w:p>
    <w:p w14:paraId="5D931986" w14:textId="74A04236" w:rsidR="00BD1061" w:rsidRPr="00CA448F"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answer here]</w:t>
      </w:r>
    </w:p>
    <w:p w14:paraId="6CDA2848" w14:textId="08483F1B" w:rsidR="00BD1061" w:rsidRDefault="00BD1061" w:rsidP="00C76745">
      <w:pPr>
        <w:jc w:val="both"/>
        <w:rPr>
          <w:rFonts w:ascii="Arial" w:hAnsi="Arial" w:cs="Arial"/>
          <w:color w:val="808080" w:themeColor="background1" w:themeShade="80"/>
          <w:sz w:val="22"/>
          <w:szCs w:val="22"/>
          <w:lang w:val="en-GB"/>
        </w:rPr>
      </w:pPr>
    </w:p>
    <w:p w14:paraId="5552A14F" w14:textId="70530F05" w:rsidR="00F95096" w:rsidRDefault="00F95096" w:rsidP="00F95096">
      <w:pPr>
        <w:ind w:left="720"/>
        <w:jc w:val="both"/>
        <w:rPr>
          <w:rFonts w:ascii="Arial" w:hAnsi="Arial" w:cs="Arial"/>
          <w:sz w:val="22"/>
          <w:szCs w:val="22"/>
          <w:lang w:val="en-GB"/>
        </w:rPr>
      </w:pPr>
      <w:r>
        <w:rPr>
          <w:rFonts w:ascii="Arial" w:hAnsi="Arial" w:cs="Arial"/>
          <w:sz w:val="22"/>
          <w:szCs w:val="22"/>
          <w:lang w:val="en-GB"/>
        </w:rPr>
        <w:t xml:space="preserve">The time frames involved in the </w:t>
      </w:r>
      <w:r w:rsidR="00FD6E7D">
        <w:rPr>
          <w:rFonts w:ascii="Arial" w:hAnsi="Arial" w:cs="Arial"/>
          <w:sz w:val="22"/>
          <w:szCs w:val="22"/>
          <w:lang w:val="en-GB"/>
        </w:rPr>
        <w:t>Preventive</w:t>
      </w:r>
      <w:r>
        <w:rPr>
          <w:rFonts w:ascii="Arial" w:hAnsi="Arial" w:cs="Arial"/>
          <w:sz w:val="22"/>
          <w:szCs w:val="22"/>
          <w:lang w:val="en-GB"/>
        </w:rPr>
        <w:t xml:space="preserve"> Composition process have been stepped out in the table below for ease of reference:</w:t>
      </w:r>
    </w:p>
    <w:p w14:paraId="3841C1A5" w14:textId="77777777" w:rsidR="00F95096" w:rsidRDefault="00F95096" w:rsidP="00F95096">
      <w:pPr>
        <w:ind w:left="720"/>
        <w:jc w:val="both"/>
        <w:rPr>
          <w:rFonts w:ascii="Arial" w:hAnsi="Arial" w:cs="Arial"/>
          <w:sz w:val="22"/>
          <w:szCs w:val="22"/>
          <w:lang w:val="en-GB"/>
        </w:rPr>
      </w:pPr>
    </w:p>
    <w:tbl>
      <w:tblPr>
        <w:tblStyle w:val="TableGrid"/>
        <w:tblW w:w="0" w:type="auto"/>
        <w:tblInd w:w="720" w:type="dxa"/>
        <w:tblLook w:val="04A0" w:firstRow="1" w:lastRow="0" w:firstColumn="1" w:lastColumn="0" w:noHBand="0" w:noVBand="1"/>
      </w:tblPr>
      <w:tblGrid>
        <w:gridCol w:w="806"/>
        <w:gridCol w:w="5670"/>
        <w:gridCol w:w="2046"/>
      </w:tblGrid>
      <w:tr w:rsidR="00F95096" w14:paraId="109C41BD" w14:textId="77777777" w:rsidTr="00F95096">
        <w:tc>
          <w:tcPr>
            <w:tcW w:w="806" w:type="dxa"/>
          </w:tcPr>
          <w:p w14:paraId="5A97269E" w14:textId="1F756824" w:rsidR="00F95096" w:rsidRPr="00F95096" w:rsidRDefault="00F95096" w:rsidP="00F95096">
            <w:pPr>
              <w:jc w:val="center"/>
              <w:rPr>
                <w:rFonts w:ascii="Arial" w:hAnsi="Arial" w:cs="Arial"/>
                <w:b/>
                <w:sz w:val="22"/>
                <w:szCs w:val="22"/>
                <w:lang w:val="en-GB"/>
              </w:rPr>
            </w:pPr>
            <w:r w:rsidRPr="00F95096">
              <w:rPr>
                <w:rFonts w:ascii="Arial" w:hAnsi="Arial" w:cs="Arial"/>
                <w:b/>
                <w:sz w:val="22"/>
                <w:szCs w:val="22"/>
                <w:lang w:val="en-GB"/>
              </w:rPr>
              <w:t>Step</w:t>
            </w:r>
          </w:p>
        </w:tc>
        <w:tc>
          <w:tcPr>
            <w:tcW w:w="5670" w:type="dxa"/>
          </w:tcPr>
          <w:p w14:paraId="73B15B87" w14:textId="7628DE4E" w:rsidR="00F95096" w:rsidRPr="00F95096" w:rsidRDefault="00F95096" w:rsidP="00F95096">
            <w:pPr>
              <w:jc w:val="both"/>
              <w:rPr>
                <w:rFonts w:ascii="Arial" w:hAnsi="Arial" w:cs="Arial"/>
                <w:b/>
                <w:sz w:val="22"/>
                <w:szCs w:val="22"/>
                <w:lang w:val="en-GB"/>
              </w:rPr>
            </w:pPr>
            <w:r w:rsidRPr="00F95096">
              <w:rPr>
                <w:rFonts w:ascii="Arial" w:hAnsi="Arial" w:cs="Arial"/>
                <w:b/>
                <w:sz w:val="22"/>
                <w:szCs w:val="22"/>
                <w:lang w:val="en-GB"/>
              </w:rPr>
              <w:t>Process</w:t>
            </w:r>
          </w:p>
        </w:tc>
        <w:tc>
          <w:tcPr>
            <w:tcW w:w="2046" w:type="dxa"/>
          </w:tcPr>
          <w:p w14:paraId="76114BF7" w14:textId="343F9B13" w:rsidR="00F95096" w:rsidRPr="00F95096" w:rsidRDefault="00E3274D" w:rsidP="00F95096">
            <w:pPr>
              <w:jc w:val="both"/>
              <w:rPr>
                <w:rFonts w:ascii="Arial" w:hAnsi="Arial" w:cs="Arial"/>
                <w:b/>
                <w:sz w:val="22"/>
                <w:szCs w:val="22"/>
                <w:lang w:val="en-GB"/>
              </w:rPr>
            </w:pPr>
            <w:r>
              <w:rPr>
                <w:rFonts w:ascii="Arial" w:hAnsi="Arial" w:cs="Arial"/>
                <w:b/>
                <w:sz w:val="22"/>
                <w:szCs w:val="22"/>
                <w:lang w:val="en-GB"/>
              </w:rPr>
              <w:t>Maximum Days (within ___ days</w:t>
            </w:r>
            <w:r w:rsidR="00F95096" w:rsidRPr="00F95096">
              <w:rPr>
                <w:rFonts w:ascii="Arial" w:hAnsi="Arial" w:cs="Arial"/>
                <w:b/>
                <w:sz w:val="22"/>
                <w:szCs w:val="22"/>
                <w:lang w:val="en-GB"/>
              </w:rPr>
              <w:t>)</w:t>
            </w:r>
          </w:p>
        </w:tc>
      </w:tr>
      <w:tr w:rsidR="00F95096" w14:paraId="6573F731" w14:textId="77777777" w:rsidTr="00F95096">
        <w:tc>
          <w:tcPr>
            <w:tcW w:w="806" w:type="dxa"/>
          </w:tcPr>
          <w:p w14:paraId="55929EA4" w14:textId="4E91E884" w:rsidR="00F95096" w:rsidRDefault="00F95096" w:rsidP="00221401">
            <w:pPr>
              <w:jc w:val="center"/>
              <w:rPr>
                <w:rFonts w:ascii="Arial" w:hAnsi="Arial" w:cs="Arial"/>
                <w:sz w:val="22"/>
                <w:szCs w:val="22"/>
                <w:lang w:val="en-GB"/>
              </w:rPr>
            </w:pPr>
            <w:r>
              <w:rPr>
                <w:rFonts w:ascii="Arial" w:hAnsi="Arial" w:cs="Arial"/>
                <w:sz w:val="22"/>
                <w:szCs w:val="22"/>
                <w:lang w:val="en-GB"/>
              </w:rPr>
              <w:t>1</w:t>
            </w:r>
          </w:p>
        </w:tc>
        <w:tc>
          <w:tcPr>
            <w:tcW w:w="5670" w:type="dxa"/>
          </w:tcPr>
          <w:p w14:paraId="17CFB425" w14:textId="033D9F86" w:rsidR="00221401" w:rsidRDefault="00221401" w:rsidP="00F95096">
            <w:pPr>
              <w:jc w:val="both"/>
              <w:rPr>
                <w:rFonts w:ascii="Arial" w:hAnsi="Arial" w:cs="Arial"/>
                <w:sz w:val="22"/>
                <w:szCs w:val="22"/>
                <w:lang w:val="en-GB"/>
              </w:rPr>
            </w:pPr>
            <w:r>
              <w:rPr>
                <w:rFonts w:ascii="Arial" w:hAnsi="Arial" w:cs="Arial"/>
                <w:sz w:val="22"/>
                <w:szCs w:val="22"/>
                <w:lang w:val="en-GB"/>
              </w:rPr>
              <w:t xml:space="preserve">Application for </w:t>
            </w:r>
            <w:r w:rsidR="00FD6E7D">
              <w:rPr>
                <w:rFonts w:ascii="Arial" w:hAnsi="Arial" w:cs="Arial"/>
                <w:sz w:val="22"/>
                <w:szCs w:val="22"/>
                <w:lang w:val="en-GB"/>
              </w:rPr>
              <w:t>Preventive</w:t>
            </w:r>
            <w:r>
              <w:rPr>
                <w:rFonts w:ascii="Arial" w:hAnsi="Arial" w:cs="Arial"/>
                <w:sz w:val="22"/>
                <w:szCs w:val="22"/>
                <w:lang w:val="en-GB"/>
              </w:rPr>
              <w:t xml:space="preserve"> Composition, the Court appoints an expert to prepare a report on the financial position of the debtor and report back to court</w:t>
            </w:r>
            <w:r>
              <w:rPr>
                <w:rStyle w:val="FootnoteReference"/>
                <w:rFonts w:ascii="Arial" w:hAnsi="Arial" w:cs="Arial"/>
                <w:sz w:val="22"/>
                <w:szCs w:val="22"/>
                <w:lang w:val="en-GB"/>
              </w:rPr>
              <w:footnoteReference w:id="31"/>
            </w:r>
            <w:r>
              <w:rPr>
                <w:rFonts w:ascii="Arial" w:hAnsi="Arial" w:cs="Arial"/>
                <w:sz w:val="22"/>
                <w:szCs w:val="22"/>
                <w:lang w:val="en-GB"/>
              </w:rPr>
              <w:t xml:space="preserve"> </w:t>
            </w:r>
          </w:p>
          <w:p w14:paraId="74DCCF25" w14:textId="66771A11" w:rsidR="00F95096" w:rsidRDefault="00221401" w:rsidP="00F95096">
            <w:pPr>
              <w:jc w:val="both"/>
              <w:rPr>
                <w:rFonts w:ascii="Arial" w:hAnsi="Arial" w:cs="Arial"/>
                <w:sz w:val="22"/>
                <w:szCs w:val="22"/>
                <w:lang w:val="en-GB"/>
              </w:rPr>
            </w:pPr>
            <w:r>
              <w:rPr>
                <w:rFonts w:ascii="Arial" w:hAnsi="Arial" w:cs="Arial"/>
                <w:sz w:val="22"/>
                <w:szCs w:val="22"/>
                <w:lang w:val="en-GB"/>
              </w:rPr>
              <w:t>(Expert report)</w:t>
            </w:r>
          </w:p>
        </w:tc>
        <w:tc>
          <w:tcPr>
            <w:tcW w:w="2046" w:type="dxa"/>
          </w:tcPr>
          <w:p w14:paraId="5603A8EA" w14:textId="382D524B" w:rsidR="00F95096" w:rsidRDefault="00E3274D" w:rsidP="00E3274D">
            <w:pPr>
              <w:jc w:val="right"/>
              <w:rPr>
                <w:rFonts w:ascii="Arial" w:hAnsi="Arial" w:cs="Arial"/>
                <w:sz w:val="22"/>
                <w:szCs w:val="22"/>
                <w:lang w:val="en-GB"/>
              </w:rPr>
            </w:pPr>
            <w:r>
              <w:rPr>
                <w:rFonts w:ascii="Arial" w:hAnsi="Arial" w:cs="Arial"/>
                <w:sz w:val="22"/>
                <w:szCs w:val="22"/>
                <w:lang w:val="en-GB"/>
              </w:rPr>
              <w:t>20 d</w:t>
            </w:r>
            <w:r w:rsidR="00221401">
              <w:rPr>
                <w:rFonts w:ascii="Arial" w:hAnsi="Arial" w:cs="Arial"/>
                <w:sz w:val="22"/>
                <w:szCs w:val="22"/>
                <w:lang w:val="en-GB"/>
              </w:rPr>
              <w:t>ays</w:t>
            </w:r>
          </w:p>
        </w:tc>
      </w:tr>
      <w:tr w:rsidR="00F95096" w14:paraId="3AC3AC43" w14:textId="77777777" w:rsidTr="00F95096">
        <w:tc>
          <w:tcPr>
            <w:tcW w:w="806" w:type="dxa"/>
          </w:tcPr>
          <w:p w14:paraId="2CDEF901" w14:textId="78A44958" w:rsidR="00F95096" w:rsidRDefault="00F95096" w:rsidP="00F95096">
            <w:pPr>
              <w:jc w:val="center"/>
              <w:rPr>
                <w:rFonts w:ascii="Arial" w:hAnsi="Arial" w:cs="Arial"/>
                <w:sz w:val="22"/>
                <w:szCs w:val="22"/>
                <w:lang w:val="en-GB"/>
              </w:rPr>
            </w:pPr>
            <w:r>
              <w:rPr>
                <w:rFonts w:ascii="Arial" w:hAnsi="Arial" w:cs="Arial"/>
                <w:sz w:val="22"/>
                <w:szCs w:val="22"/>
                <w:lang w:val="en-GB"/>
              </w:rPr>
              <w:t>2</w:t>
            </w:r>
          </w:p>
        </w:tc>
        <w:tc>
          <w:tcPr>
            <w:tcW w:w="5670" w:type="dxa"/>
          </w:tcPr>
          <w:p w14:paraId="01036BEA" w14:textId="7C7945D6" w:rsidR="00F95096" w:rsidRDefault="00221401" w:rsidP="00F95096">
            <w:pPr>
              <w:jc w:val="both"/>
              <w:rPr>
                <w:rFonts w:ascii="Arial" w:hAnsi="Arial" w:cs="Arial"/>
                <w:sz w:val="22"/>
                <w:szCs w:val="22"/>
                <w:lang w:val="en-GB"/>
              </w:rPr>
            </w:pPr>
            <w:r>
              <w:rPr>
                <w:rFonts w:ascii="Arial" w:hAnsi="Arial" w:cs="Arial"/>
                <w:sz w:val="22"/>
                <w:szCs w:val="22"/>
                <w:lang w:val="en-GB"/>
              </w:rPr>
              <w:t xml:space="preserve">Court to decide on </w:t>
            </w:r>
            <w:r w:rsidR="00FD6E7D">
              <w:rPr>
                <w:rFonts w:ascii="Arial" w:hAnsi="Arial" w:cs="Arial"/>
                <w:sz w:val="22"/>
                <w:szCs w:val="22"/>
                <w:lang w:val="en-GB"/>
              </w:rPr>
              <w:t>Preventive</w:t>
            </w:r>
            <w:r>
              <w:rPr>
                <w:rFonts w:ascii="Arial" w:hAnsi="Arial" w:cs="Arial"/>
                <w:sz w:val="22"/>
                <w:szCs w:val="22"/>
                <w:lang w:val="en-GB"/>
              </w:rPr>
              <w:t xml:space="preserve"> Composition Application from receipt of expert’s report (or immediately from application if no expert report is required)</w:t>
            </w:r>
            <w:r>
              <w:rPr>
                <w:rStyle w:val="FootnoteReference"/>
                <w:rFonts w:ascii="Arial" w:hAnsi="Arial" w:cs="Arial"/>
                <w:sz w:val="22"/>
                <w:szCs w:val="22"/>
                <w:lang w:val="en-GB"/>
              </w:rPr>
              <w:footnoteReference w:id="32"/>
            </w:r>
            <w:r w:rsidR="00E3274D">
              <w:rPr>
                <w:rFonts w:ascii="Arial" w:hAnsi="Arial" w:cs="Arial"/>
                <w:sz w:val="22"/>
                <w:szCs w:val="22"/>
                <w:lang w:val="en-GB"/>
              </w:rPr>
              <w:t xml:space="preserve"> The Court then appoints a trustee</w:t>
            </w:r>
            <w:r w:rsidR="00E3274D">
              <w:rPr>
                <w:rStyle w:val="FootnoteReference"/>
                <w:rFonts w:ascii="Arial" w:hAnsi="Arial" w:cs="Arial"/>
                <w:sz w:val="22"/>
                <w:szCs w:val="22"/>
                <w:lang w:val="en-GB"/>
              </w:rPr>
              <w:footnoteReference w:id="33"/>
            </w:r>
          </w:p>
        </w:tc>
        <w:tc>
          <w:tcPr>
            <w:tcW w:w="2046" w:type="dxa"/>
          </w:tcPr>
          <w:p w14:paraId="7B4FAD98" w14:textId="20771C43" w:rsidR="00F95096" w:rsidRDefault="00E3274D" w:rsidP="00E3274D">
            <w:pPr>
              <w:jc w:val="right"/>
              <w:rPr>
                <w:rFonts w:ascii="Arial" w:hAnsi="Arial" w:cs="Arial"/>
                <w:sz w:val="22"/>
                <w:szCs w:val="22"/>
                <w:lang w:val="en-GB"/>
              </w:rPr>
            </w:pPr>
            <w:r>
              <w:rPr>
                <w:rFonts w:ascii="Arial" w:hAnsi="Arial" w:cs="Arial"/>
                <w:sz w:val="22"/>
                <w:szCs w:val="22"/>
                <w:lang w:val="en-GB"/>
              </w:rPr>
              <w:t>5 days</w:t>
            </w:r>
          </w:p>
        </w:tc>
      </w:tr>
      <w:tr w:rsidR="00F95096" w14:paraId="4994F657" w14:textId="77777777" w:rsidTr="00F95096">
        <w:tc>
          <w:tcPr>
            <w:tcW w:w="806" w:type="dxa"/>
          </w:tcPr>
          <w:p w14:paraId="7FB45815" w14:textId="519EB16D" w:rsidR="00F95096" w:rsidRDefault="00F95096" w:rsidP="00F95096">
            <w:pPr>
              <w:jc w:val="center"/>
              <w:rPr>
                <w:rFonts w:ascii="Arial" w:hAnsi="Arial" w:cs="Arial"/>
                <w:sz w:val="22"/>
                <w:szCs w:val="22"/>
                <w:lang w:val="en-GB"/>
              </w:rPr>
            </w:pPr>
            <w:r>
              <w:rPr>
                <w:rFonts w:ascii="Arial" w:hAnsi="Arial" w:cs="Arial"/>
                <w:sz w:val="22"/>
                <w:szCs w:val="22"/>
                <w:lang w:val="en-GB"/>
              </w:rPr>
              <w:t>3</w:t>
            </w:r>
          </w:p>
        </w:tc>
        <w:tc>
          <w:tcPr>
            <w:tcW w:w="5670" w:type="dxa"/>
          </w:tcPr>
          <w:p w14:paraId="44A4245A" w14:textId="65B7D844" w:rsidR="00F95096" w:rsidRDefault="00E3274D" w:rsidP="00E3274D">
            <w:pPr>
              <w:jc w:val="both"/>
              <w:rPr>
                <w:rFonts w:ascii="Arial" w:hAnsi="Arial" w:cs="Arial"/>
                <w:sz w:val="22"/>
                <w:szCs w:val="22"/>
                <w:lang w:val="en-GB"/>
              </w:rPr>
            </w:pPr>
            <w:r>
              <w:rPr>
                <w:rFonts w:ascii="Arial" w:hAnsi="Arial" w:cs="Arial"/>
                <w:sz w:val="22"/>
                <w:szCs w:val="22"/>
                <w:lang w:val="en-GB"/>
              </w:rPr>
              <w:t xml:space="preserve">Trustee publishes the decision of the court ordering </w:t>
            </w:r>
            <w:r w:rsidR="00FD6E7D">
              <w:rPr>
                <w:rFonts w:ascii="Arial" w:hAnsi="Arial" w:cs="Arial"/>
                <w:sz w:val="22"/>
                <w:szCs w:val="22"/>
                <w:lang w:val="en-GB"/>
              </w:rPr>
              <w:t>Preventive</w:t>
            </w:r>
            <w:r>
              <w:rPr>
                <w:rFonts w:ascii="Arial" w:hAnsi="Arial" w:cs="Arial"/>
                <w:sz w:val="22"/>
                <w:szCs w:val="22"/>
                <w:lang w:val="en-GB"/>
              </w:rPr>
              <w:t xml:space="preserve"> composition and calling for creditors to </w:t>
            </w:r>
            <w:r>
              <w:rPr>
                <w:rFonts w:ascii="Arial" w:hAnsi="Arial" w:cs="Arial"/>
                <w:sz w:val="22"/>
                <w:szCs w:val="22"/>
                <w:lang w:val="en-GB"/>
              </w:rPr>
              <w:lastRenderedPageBreak/>
              <w:t>come forward within 20 days of publication in two widely read newspapers, one in English, one in Arabic</w:t>
            </w:r>
            <w:r>
              <w:rPr>
                <w:rStyle w:val="FootnoteReference"/>
                <w:rFonts w:ascii="Arial" w:hAnsi="Arial" w:cs="Arial"/>
                <w:sz w:val="22"/>
                <w:szCs w:val="22"/>
                <w:lang w:val="en-GB"/>
              </w:rPr>
              <w:footnoteReference w:id="34"/>
            </w:r>
          </w:p>
        </w:tc>
        <w:tc>
          <w:tcPr>
            <w:tcW w:w="2046" w:type="dxa"/>
          </w:tcPr>
          <w:p w14:paraId="68135AF2" w14:textId="072D0A70" w:rsidR="00F95096" w:rsidRDefault="00E3274D" w:rsidP="00E3274D">
            <w:pPr>
              <w:jc w:val="right"/>
              <w:rPr>
                <w:rFonts w:ascii="Arial" w:hAnsi="Arial" w:cs="Arial"/>
                <w:sz w:val="22"/>
                <w:szCs w:val="22"/>
                <w:lang w:val="en-GB"/>
              </w:rPr>
            </w:pPr>
            <w:r>
              <w:rPr>
                <w:rFonts w:ascii="Arial" w:hAnsi="Arial" w:cs="Arial"/>
                <w:sz w:val="22"/>
                <w:szCs w:val="22"/>
                <w:lang w:val="en-GB"/>
              </w:rPr>
              <w:lastRenderedPageBreak/>
              <w:t>5 days</w:t>
            </w:r>
          </w:p>
        </w:tc>
      </w:tr>
      <w:tr w:rsidR="00F95096" w14:paraId="5899D54C" w14:textId="77777777" w:rsidTr="00F95096">
        <w:tc>
          <w:tcPr>
            <w:tcW w:w="806" w:type="dxa"/>
          </w:tcPr>
          <w:p w14:paraId="72BB4E2E" w14:textId="50097132" w:rsidR="00F95096" w:rsidRDefault="00F95096" w:rsidP="00F95096">
            <w:pPr>
              <w:jc w:val="center"/>
              <w:rPr>
                <w:rFonts w:ascii="Arial" w:hAnsi="Arial" w:cs="Arial"/>
                <w:sz w:val="22"/>
                <w:szCs w:val="22"/>
                <w:lang w:val="en-GB"/>
              </w:rPr>
            </w:pPr>
            <w:r>
              <w:rPr>
                <w:rFonts w:ascii="Arial" w:hAnsi="Arial" w:cs="Arial"/>
                <w:sz w:val="22"/>
                <w:szCs w:val="22"/>
                <w:lang w:val="en-GB"/>
              </w:rPr>
              <w:lastRenderedPageBreak/>
              <w:t>4</w:t>
            </w:r>
          </w:p>
        </w:tc>
        <w:tc>
          <w:tcPr>
            <w:tcW w:w="5670" w:type="dxa"/>
          </w:tcPr>
          <w:p w14:paraId="16B32E1A" w14:textId="22FA048D" w:rsidR="00F95096" w:rsidRDefault="006449BA" w:rsidP="00F95096">
            <w:pPr>
              <w:jc w:val="both"/>
              <w:rPr>
                <w:rFonts w:ascii="Arial" w:hAnsi="Arial" w:cs="Arial"/>
                <w:sz w:val="22"/>
                <w:szCs w:val="22"/>
                <w:lang w:val="en-GB"/>
              </w:rPr>
            </w:pPr>
            <w:r>
              <w:rPr>
                <w:rFonts w:ascii="Arial" w:hAnsi="Arial" w:cs="Arial"/>
                <w:sz w:val="22"/>
                <w:szCs w:val="22"/>
                <w:lang w:val="en-GB"/>
              </w:rPr>
              <w:t xml:space="preserve">The trustee submits the </w:t>
            </w:r>
            <w:r w:rsidR="00FD6E7D">
              <w:rPr>
                <w:rFonts w:ascii="Arial" w:hAnsi="Arial" w:cs="Arial"/>
                <w:sz w:val="22"/>
                <w:szCs w:val="22"/>
                <w:lang w:val="en-GB"/>
              </w:rPr>
              <w:t>Preventive</w:t>
            </w:r>
            <w:r>
              <w:rPr>
                <w:rFonts w:ascii="Arial" w:hAnsi="Arial" w:cs="Arial"/>
                <w:sz w:val="22"/>
                <w:szCs w:val="22"/>
                <w:lang w:val="en-GB"/>
              </w:rPr>
              <w:t xml:space="preserve"> Composition Scheme within 45 days from the date of publication</w:t>
            </w:r>
            <w:r>
              <w:rPr>
                <w:rStyle w:val="FootnoteReference"/>
                <w:rFonts w:ascii="Arial" w:hAnsi="Arial" w:cs="Arial"/>
                <w:sz w:val="22"/>
                <w:szCs w:val="22"/>
                <w:lang w:val="en-GB"/>
              </w:rPr>
              <w:footnoteReference w:id="35"/>
            </w:r>
          </w:p>
        </w:tc>
        <w:tc>
          <w:tcPr>
            <w:tcW w:w="2046" w:type="dxa"/>
          </w:tcPr>
          <w:p w14:paraId="72FC6ACB" w14:textId="243509AA" w:rsidR="00F95096" w:rsidRDefault="006449BA" w:rsidP="00E3274D">
            <w:pPr>
              <w:jc w:val="right"/>
              <w:rPr>
                <w:rFonts w:ascii="Arial" w:hAnsi="Arial" w:cs="Arial"/>
                <w:sz w:val="22"/>
                <w:szCs w:val="22"/>
                <w:lang w:val="en-GB"/>
              </w:rPr>
            </w:pPr>
            <w:r>
              <w:rPr>
                <w:rFonts w:ascii="Arial" w:hAnsi="Arial" w:cs="Arial"/>
                <w:sz w:val="22"/>
                <w:szCs w:val="22"/>
                <w:lang w:val="en-GB"/>
              </w:rPr>
              <w:t>45 days</w:t>
            </w:r>
          </w:p>
        </w:tc>
      </w:tr>
      <w:tr w:rsidR="00F95096" w14:paraId="66802F17" w14:textId="77777777" w:rsidTr="00F95096">
        <w:tc>
          <w:tcPr>
            <w:tcW w:w="806" w:type="dxa"/>
          </w:tcPr>
          <w:p w14:paraId="20989FA6" w14:textId="154879C3" w:rsidR="00F95096" w:rsidRDefault="00F95096" w:rsidP="00F95096">
            <w:pPr>
              <w:jc w:val="center"/>
              <w:rPr>
                <w:rFonts w:ascii="Arial" w:hAnsi="Arial" w:cs="Arial"/>
                <w:sz w:val="22"/>
                <w:szCs w:val="22"/>
                <w:lang w:val="en-GB"/>
              </w:rPr>
            </w:pPr>
            <w:r>
              <w:rPr>
                <w:rFonts w:ascii="Arial" w:hAnsi="Arial" w:cs="Arial"/>
                <w:sz w:val="22"/>
                <w:szCs w:val="22"/>
                <w:lang w:val="en-GB"/>
              </w:rPr>
              <w:t>5</w:t>
            </w:r>
          </w:p>
        </w:tc>
        <w:tc>
          <w:tcPr>
            <w:tcW w:w="5670" w:type="dxa"/>
          </w:tcPr>
          <w:p w14:paraId="1A317162" w14:textId="2A450CD1" w:rsidR="00F95096" w:rsidRDefault="006D075D" w:rsidP="00F95096">
            <w:pPr>
              <w:jc w:val="both"/>
              <w:rPr>
                <w:rFonts w:ascii="Arial" w:hAnsi="Arial" w:cs="Arial"/>
                <w:sz w:val="22"/>
                <w:szCs w:val="22"/>
                <w:lang w:val="en-GB"/>
              </w:rPr>
            </w:pPr>
            <w:r>
              <w:rPr>
                <w:rFonts w:ascii="Arial" w:hAnsi="Arial" w:cs="Arial"/>
                <w:sz w:val="22"/>
                <w:szCs w:val="22"/>
                <w:lang w:val="en-GB"/>
              </w:rPr>
              <w:t>The Court reviews the draft composition scheme as submitted by the trustee and confirm that it takes into account the interests of the parties</w:t>
            </w:r>
            <w:r>
              <w:rPr>
                <w:rStyle w:val="FootnoteReference"/>
                <w:rFonts w:ascii="Arial" w:hAnsi="Arial" w:cs="Arial"/>
                <w:sz w:val="22"/>
                <w:szCs w:val="22"/>
                <w:lang w:val="en-GB"/>
              </w:rPr>
              <w:footnoteReference w:id="36"/>
            </w:r>
          </w:p>
        </w:tc>
        <w:tc>
          <w:tcPr>
            <w:tcW w:w="2046" w:type="dxa"/>
          </w:tcPr>
          <w:p w14:paraId="75D77A6A" w14:textId="37867371" w:rsidR="00F95096" w:rsidRDefault="006D075D" w:rsidP="00E3274D">
            <w:pPr>
              <w:jc w:val="right"/>
              <w:rPr>
                <w:rFonts w:ascii="Arial" w:hAnsi="Arial" w:cs="Arial"/>
                <w:sz w:val="22"/>
                <w:szCs w:val="22"/>
                <w:lang w:val="en-GB"/>
              </w:rPr>
            </w:pPr>
            <w:r>
              <w:rPr>
                <w:rFonts w:ascii="Arial" w:hAnsi="Arial" w:cs="Arial"/>
                <w:sz w:val="22"/>
                <w:szCs w:val="22"/>
                <w:lang w:val="en-GB"/>
              </w:rPr>
              <w:t>10 days</w:t>
            </w:r>
          </w:p>
        </w:tc>
      </w:tr>
      <w:tr w:rsidR="00F95096" w14:paraId="74D5789B" w14:textId="77777777" w:rsidTr="00F95096">
        <w:tc>
          <w:tcPr>
            <w:tcW w:w="806" w:type="dxa"/>
          </w:tcPr>
          <w:p w14:paraId="5E9B657D" w14:textId="1873E537" w:rsidR="00F95096" w:rsidRDefault="00F95096" w:rsidP="00F95096">
            <w:pPr>
              <w:jc w:val="center"/>
              <w:rPr>
                <w:rFonts w:ascii="Arial" w:hAnsi="Arial" w:cs="Arial"/>
                <w:sz w:val="22"/>
                <w:szCs w:val="22"/>
                <w:lang w:val="en-GB"/>
              </w:rPr>
            </w:pPr>
            <w:r>
              <w:rPr>
                <w:rFonts w:ascii="Arial" w:hAnsi="Arial" w:cs="Arial"/>
                <w:sz w:val="22"/>
                <w:szCs w:val="22"/>
                <w:lang w:val="en-GB"/>
              </w:rPr>
              <w:t>6</w:t>
            </w:r>
          </w:p>
        </w:tc>
        <w:tc>
          <w:tcPr>
            <w:tcW w:w="5670" w:type="dxa"/>
          </w:tcPr>
          <w:p w14:paraId="0A9147FA" w14:textId="3E6588B2" w:rsidR="00F95096" w:rsidRDefault="006D075D" w:rsidP="000B56F4">
            <w:pPr>
              <w:jc w:val="both"/>
              <w:rPr>
                <w:rFonts w:ascii="Arial" w:hAnsi="Arial" w:cs="Arial"/>
                <w:sz w:val="22"/>
                <w:szCs w:val="22"/>
                <w:lang w:val="en-GB"/>
              </w:rPr>
            </w:pPr>
            <w:r>
              <w:rPr>
                <w:rFonts w:ascii="Arial" w:hAnsi="Arial" w:cs="Arial"/>
                <w:sz w:val="22"/>
                <w:szCs w:val="22"/>
                <w:lang w:val="en-GB"/>
              </w:rPr>
              <w:t>If the court is satisfied, the trustee is then directed to issue invitations</w:t>
            </w:r>
            <w:r w:rsidR="009A5EC7">
              <w:rPr>
                <w:rFonts w:ascii="Arial" w:hAnsi="Arial" w:cs="Arial"/>
                <w:sz w:val="22"/>
                <w:szCs w:val="22"/>
                <w:lang w:val="en-GB"/>
              </w:rPr>
              <w:t xml:space="preserve"> within 5 days</w:t>
            </w:r>
            <w:r>
              <w:rPr>
                <w:rFonts w:ascii="Arial" w:hAnsi="Arial" w:cs="Arial"/>
                <w:sz w:val="22"/>
                <w:szCs w:val="22"/>
                <w:lang w:val="en-GB"/>
              </w:rPr>
              <w:t xml:space="preserve"> to the creditors for purpose of attending a creditor’s meeting</w:t>
            </w:r>
            <w:r w:rsidR="000B56F4">
              <w:rPr>
                <w:rStyle w:val="FootnoteReference"/>
                <w:rFonts w:ascii="Arial" w:hAnsi="Arial" w:cs="Arial"/>
                <w:sz w:val="22"/>
                <w:szCs w:val="22"/>
                <w:lang w:val="en-GB"/>
              </w:rPr>
              <w:footnoteReference w:id="37"/>
            </w:r>
          </w:p>
        </w:tc>
        <w:tc>
          <w:tcPr>
            <w:tcW w:w="2046" w:type="dxa"/>
          </w:tcPr>
          <w:p w14:paraId="0282F3F4" w14:textId="7FF81E66" w:rsidR="00F95096" w:rsidRDefault="006D075D" w:rsidP="00E3274D">
            <w:pPr>
              <w:jc w:val="right"/>
              <w:rPr>
                <w:rFonts w:ascii="Arial" w:hAnsi="Arial" w:cs="Arial"/>
                <w:sz w:val="22"/>
                <w:szCs w:val="22"/>
                <w:lang w:val="en-GB"/>
              </w:rPr>
            </w:pPr>
            <w:r>
              <w:rPr>
                <w:rFonts w:ascii="Arial" w:hAnsi="Arial" w:cs="Arial"/>
                <w:sz w:val="22"/>
                <w:szCs w:val="22"/>
                <w:lang w:val="en-GB"/>
              </w:rPr>
              <w:t>5 days</w:t>
            </w:r>
          </w:p>
        </w:tc>
      </w:tr>
      <w:tr w:rsidR="000B56F4" w14:paraId="4136C437" w14:textId="77777777" w:rsidTr="00F95096">
        <w:tc>
          <w:tcPr>
            <w:tcW w:w="806" w:type="dxa"/>
          </w:tcPr>
          <w:p w14:paraId="61C12EB1" w14:textId="6CB32763" w:rsidR="000B56F4" w:rsidRDefault="000B56F4" w:rsidP="00F95096">
            <w:pPr>
              <w:jc w:val="center"/>
              <w:rPr>
                <w:rFonts w:ascii="Arial" w:hAnsi="Arial" w:cs="Arial"/>
                <w:sz w:val="22"/>
                <w:szCs w:val="22"/>
                <w:lang w:val="en-GB"/>
              </w:rPr>
            </w:pPr>
            <w:r>
              <w:rPr>
                <w:rFonts w:ascii="Arial" w:hAnsi="Arial" w:cs="Arial"/>
                <w:sz w:val="22"/>
                <w:szCs w:val="22"/>
                <w:lang w:val="en-GB"/>
              </w:rPr>
              <w:t>7</w:t>
            </w:r>
          </w:p>
        </w:tc>
        <w:tc>
          <w:tcPr>
            <w:tcW w:w="5670" w:type="dxa"/>
          </w:tcPr>
          <w:p w14:paraId="4B2930D0" w14:textId="0169E809" w:rsidR="000B56F4" w:rsidRDefault="000B56F4" w:rsidP="00F95096">
            <w:pPr>
              <w:jc w:val="both"/>
              <w:rPr>
                <w:rFonts w:ascii="Arial" w:hAnsi="Arial" w:cs="Arial"/>
                <w:sz w:val="22"/>
                <w:szCs w:val="22"/>
                <w:lang w:val="en-GB"/>
              </w:rPr>
            </w:pPr>
            <w:r>
              <w:rPr>
                <w:rFonts w:ascii="Arial" w:hAnsi="Arial" w:cs="Arial"/>
                <w:sz w:val="22"/>
                <w:szCs w:val="22"/>
                <w:lang w:val="en-GB"/>
              </w:rPr>
              <w:t>Creditor’s meeting is held within 15 days of direction by court to invite creditors</w:t>
            </w:r>
            <w:r>
              <w:rPr>
                <w:rStyle w:val="FootnoteReference"/>
                <w:rFonts w:ascii="Arial" w:hAnsi="Arial" w:cs="Arial"/>
                <w:sz w:val="22"/>
                <w:szCs w:val="22"/>
                <w:lang w:val="en-GB"/>
              </w:rPr>
              <w:footnoteReference w:id="38"/>
            </w:r>
          </w:p>
        </w:tc>
        <w:tc>
          <w:tcPr>
            <w:tcW w:w="2046" w:type="dxa"/>
          </w:tcPr>
          <w:p w14:paraId="064286B7" w14:textId="4D9F2B64" w:rsidR="000B56F4" w:rsidRDefault="000B56F4" w:rsidP="00E3274D">
            <w:pPr>
              <w:jc w:val="right"/>
              <w:rPr>
                <w:rFonts w:ascii="Arial" w:hAnsi="Arial" w:cs="Arial"/>
                <w:sz w:val="22"/>
                <w:szCs w:val="22"/>
                <w:lang w:val="en-GB"/>
              </w:rPr>
            </w:pPr>
            <w:r>
              <w:rPr>
                <w:rFonts w:ascii="Arial" w:hAnsi="Arial" w:cs="Arial"/>
                <w:sz w:val="22"/>
                <w:szCs w:val="22"/>
                <w:lang w:val="en-GB"/>
              </w:rPr>
              <w:t>15 days</w:t>
            </w:r>
          </w:p>
        </w:tc>
      </w:tr>
      <w:tr w:rsidR="00F95096" w14:paraId="09A5247C" w14:textId="77777777" w:rsidTr="00F95096">
        <w:tc>
          <w:tcPr>
            <w:tcW w:w="806" w:type="dxa"/>
          </w:tcPr>
          <w:p w14:paraId="3C80CF84" w14:textId="49CAB2FE" w:rsidR="00F95096" w:rsidRDefault="000B56F4" w:rsidP="00F95096">
            <w:pPr>
              <w:jc w:val="center"/>
              <w:rPr>
                <w:rFonts w:ascii="Arial" w:hAnsi="Arial" w:cs="Arial"/>
                <w:sz w:val="22"/>
                <w:szCs w:val="22"/>
                <w:lang w:val="en-GB"/>
              </w:rPr>
            </w:pPr>
            <w:r>
              <w:rPr>
                <w:rFonts w:ascii="Arial" w:hAnsi="Arial" w:cs="Arial"/>
                <w:sz w:val="22"/>
                <w:szCs w:val="22"/>
                <w:lang w:val="en-GB"/>
              </w:rPr>
              <w:t>8</w:t>
            </w:r>
          </w:p>
        </w:tc>
        <w:tc>
          <w:tcPr>
            <w:tcW w:w="5670" w:type="dxa"/>
          </w:tcPr>
          <w:p w14:paraId="34A5D970" w14:textId="0ACB16CB" w:rsidR="00F95096" w:rsidRDefault="009A5EC7" w:rsidP="00F95096">
            <w:pPr>
              <w:jc w:val="both"/>
              <w:rPr>
                <w:rFonts w:ascii="Arial" w:hAnsi="Arial" w:cs="Arial"/>
                <w:sz w:val="22"/>
                <w:szCs w:val="22"/>
                <w:lang w:val="en-GB"/>
              </w:rPr>
            </w:pPr>
            <w:r>
              <w:rPr>
                <w:rFonts w:ascii="Arial" w:hAnsi="Arial" w:cs="Arial"/>
                <w:sz w:val="22"/>
                <w:szCs w:val="22"/>
                <w:lang w:val="en-GB"/>
              </w:rPr>
              <w:t>Once the scheme is approved by the creditors at the meeting, the trustee must then put the scheme to court within 3 days from approval for the court to approve or reject the scheme</w:t>
            </w:r>
            <w:r>
              <w:rPr>
                <w:rStyle w:val="FootnoteReference"/>
                <w:rFonts w:ascii="Arial" w:hAnsi="Arial" w:cs="Arial"/>
                <w:sz w:val="22"/>
                <w:szCs w:val="22"/>
                <w:lang w:val="en-GB"/>
              </w:rPr>
              <w:footnoteReference w:id="39"/>
            </w:r>
          </w:p>
        </w:tc>
        <w:tc>
          <w:tcPr>
            <w:tcW w:w="2046" w:type="dxa"/>
          </w:tcPr>
          <w:p w14:paraId="59937966" w14:textId="2C361056" w:rsidR="00F95096" w:rsidRDefault="009A5EC7" w:rsidP="00E3274D">
            <w:pPr>
              <w:jc w:val="right"/>
              <w:rPr>
                <w:rFonts w:ascii="Arial" w:hAnsi="Arial" w:cs="Arial"/>
                <w:sz w:val="22"/>
                <w:szCs w:val="22"/>
                <w:lang w:val="en-GB"/>
              </w:rPr>
            </w:pPr>
            <w:r>
              <w:rPr>
                <w:rFonts w:ascii="Arial" w:hAnsi="Arial" w:cs="Arial"/>
                <w:sz w:val="22"/>
                <w:szCs w:val="22"/>
                <w:lang w:val="en-GB"/>
              </w:rPr>
              <w:t>3 days</w:t>
            </w:r>
          </w:p>
        </w:tc>
      </w:tr>
      <w:tr w:rsidR="00F95096" w14:paraId="089C51A3" w14:textId="77777777" w:rsidTr="00F95096">
        <w:tc>
          <w:tcPr>
            <w:tcW w:w="806" w:type="dxa"/>
          </w:tcPr>
          <w:p w14:paraId="04EEA022" w14:textId="6CC82621" w:rsidR="00F95096" w:rsidRDefault="000B56F4" w:rsidP="00F95096">
            <w:pPr>
              <w:jc w:val="center"/>
              <w:rPr>
                <w:rFonts w:ascii="Arial" w:hAnsi="Arial" w:cs="Arial"/>
                <w:sz w:val="22"/>
                <w:szCs w:val="22"/>
                <w:lang w:val="en-GB"/>
              </w:rPr>
            </w:pPr>
            <w:r>
              <w:rPr>
                <w:rFonts w:ascii="Arial" w:hAnsi="Arial" w:cs="Arial"/>
                <w:sz w:val="22"/>
                <w:szCs w:val="22"/>
                <w:lang w:val="en-GB"/>
              </w:rPr>
              <w:t>9</w:t>
            </w:r>
          </w:p>
        </w:tc>
        <w:tc>
          <w:tcPr>
            <w:tcW w:w="5670" w:type="dxa"/>
          </w:tcPr>
          <w:p w14:paraId="5181E156" w14:textId="21BA7319" w:rsidR="00F95096" w:rsidRDefault="00C525D3" w:rsidP="00F95096">
            <w:pPr>
              <w:jc w:val="both"/>
              <w:rPr>
                <w:rFonts w:ascii="Arial" w:hAnsi="Arial" w:cs="Arial"/>
                <w:sz w:val="22"/>
                <w:szCs w:val="22"/>
                <w:lang w:val="en-GB"/>
              </w:rPr>
            </w:pPr>
            <w:r>
              <w:rPr>
                <w:rFonts w:ascii="Arial" w:hAnsi="Arial" w:cs="Arial"/>
                <w:sz w:val="22"/>
                <w:szCs w:val="22"/>
                <w:lang w:val="en-GB"/>
              </w:rPr>
              <w:t>The court is required to give a determination on the scheme urgently, if a creditor objects to it, the court is to make a decision on the objection within 5 days, so it is conceivable that urgent determination in this instance would be up to 5 days if there are no objections</w:t>
            </w:r>
          </w:p>
        </w:tc>
        <w:tc>
          <w:tcPr>
            <w:tcW w:w="2046" w:type="dxa"/>
          </w:tcPr>
          <w:p w14:paraId="7EAE87CA" w14:textId="08DE451A" w:rsidR="00F95096" w:rsidRDefault="00C525D3" w:rsidP="00E3274D">
            <w:pPr>
              <w:jc w:val="right"/>
              <w:rPr>
                <w:rFonts w:ascii="Arial" w:hAnsi="Arial" w:cs="Arial"/>
                <w:sz w:val="22"/>
                <w:szCs w:val="22"/>
                <w:lang w:val="en-GB"/>
              </w:rPr>
            </w:pPr>
            <w:r>
              <w:rPr>
                <w:rFonts w:ascii="Arial" w:hAnsi="Arial" w:cs="Arial"/>
                <w:sz w:val="22"/>
                <w:szCs w:val="22"/>
                <w:lang w:val="en-GB"/>
              </w:rPr>
              <w:t>5 days</w:t>
            </w:r>
          </w:p>
        </w:tc>
      </w:tr>
      <w:tr w:rsidR="00F95096" w14:paraId="0AA240EE" w14:textId="77777777" w:rsidTr="00F95096">
        <w:tc>
          <w:tcPr>
            <w:tcW w:w="806" w:type="dxa"/>
          </w:tcPr>
          <w:p w14:paraId="796D37EE" w14:textId="20ECE10B" w:rsidR="00F95096" w:rsidRDefault="000B56F4" w:rsidP="00F95096">
            <w:pPr>
              <w:jc w:val="center"/>
              <w:rPr>
                <w:rFonts w:ascii="Arial" w:hAnsi="Arial" w:cs="Arial"/>
                <w:sz w:val="22"/>
                <w:szCs w:val="22"/>
                <w:lang w:val="en-GB"/>
              </w:rPr>
            </w:pPr>
            <w:r>
              <w:rPr>
                <w:rFonts w:ascii="Arial" w:hAnsi="Arial" w:cs="Arial"/>
                <w:sz w:val="22"/>
                <w:szCs w:val="22"/>
                <w:lang w:val="en-GB"/>
              </w:rPr>
              <w:t>10</w:t>
            </w:r>
          </w:p>
        </w:tc>
        <w:tc>
          <w:tcPr>
            <w:tcW w:w="5670" w:type="dxa"/>
          </w:tcPr>
          <w:p w14:paraId="6E078BF6" w14:textId="165E9164" w:rsidR="00F95096" w:rsidRDefault="00C525D3" w:rsidP="00F95096">
            <w:pPr>
              <w:jc w:val="both"/>
              <w:rPr>
                <w:rFonts w:ascii="Arial" w:hAnsi="Arial" w:cs="Arial"/>
                <w:sz w:val="22"/>
                <w:szCs w:val="22"/>
                <w:lang w:val="en-GB"/>
              </w:rPr>
            </w:pPr>
            <w:r>
              <w:rPr>
                <w:rFonts w:ascii="Arial" w:hAnsi="Arial" w:cs="Arial"/>
                <w:sz w:val="22"/>
                <w:szCs w:val="22"/>
                <w:lang w:val="en-GB"/>
              </w:rPr>
              <w:t xml:space="preserve">Within 7 days of court approval, the trustee is to </w:t>
            </w:r>
            <w:r w:rsidR="001504DA">
              <w:rPr>
                <w:rFonts w:ascii="Arial" w:hAnsi="Arial" w:cs="Arial"/>
                <w:sz w:val="22"/>
                <w:szCs w:val="22"/>
                <w:lang w:val="en-GB"/>
              </w:rPr>
              <w:t>register</w:t>
            </w:r>
            <w:r>
              <w:rPr>
                <w:rFonts w:ascii="Arial" w:hAnsi="Arial" w:cs="Arial"/>
                <w:sz w:val="22"/>
                <w:szCs w:val="22"/>
                <w:lang w:val="en-GB"/>
              </w:rPr>
              <w:t xml:space="preserve"> the courts </w:t>
            </w:r>
            <w:r w:rsidR="001504DA">
              <w:rPr>
                <w:rFonts w:ascii="Arial" w:hAnsi="Arial" w:cs="Arial"/>
                <w:sz w:val="22"/>
                <w:szCs w:val="22"/>
                <w:lang w:val="en-GB"/>
              </w:rPr>
              <w:t>determination</w:t>
            </w:r>
            <w:r>
              <w:rPr>
                <w:rFonts w:ascii="Arial" w:hAnsi="Arial" w:cs="Arial"/>
                <w:sz w:val="22"/>
                <w:szCs w:val="22"/>
                <w:lang w:val="en-GB"/>
              </w:rPr>
              <w:t xml:space="preserve"> confirming the approval in the debtor’s governmental </w:t>
            </w:r>
            <w:r w:rsidR="001504DA">
              <w:rPr>
                <w:rFonts w:ascii="Arial" w:hAnsi="Arial" w:cs="Arial"/>
                <w:sz w:val="22"/>
                <w:szCs w:val="22"/>
                <w:lang w:val="en-GB"/>
              </w:rPr>
              <w:t>corporate</w:t>
            </w:r>
            <w:r>
              <w:rPr>
                <w:rFonts w:ascii="Arial" w:hAnsi="Arial" w:cs="Arial"/>
                <w:sz w:val="22"/>
                <w:szCs w:val="22"/>
                <w:lang w:val="en-GB"/>
              </w:rPr>
              <w:t xml:space="preserve"> register and publish a summary of the scheme</w:t>
            </w:r>
            <w:r>
              <w:rPr>
                <w:rStyle w:val="FootnoteReference"/>
                <w:rFonts w:ascii="Arial" w:hAnsi="Arial" w:cs="Arial"/>
                <w:sz w:val="22"/>
                <w:szCs w:val="22"/>
                <w:lang w:val="en-GB"/>
              </w:rPr>
              <w:footnoteReference w:id="40"/>
            </w:r>
          </w:p>
        </w:tc>
        <w:tc>
          <w:tcPr>
            <w:tcW w:w="2046" w:type="dxa"/>
          </w:tcPr>
          <w:p w14:paraId="329148CA" w14:textId="62423EE8" w:rsidR="00F95096" w:rsidRDefault="000B56F4" w:rsidP="00E3274D">
            <w:pPr>
              <w:jc w:val="right"/>
              <w:rPr>
                <w:rFonts w:ascii="Arial" w:hAnsi="Arial" w:cs="Arial"/>
                <w:sz w:val="22"/>
                <w:szCs w:val="22"/>
                <w:lang w:val="en-GB"/>
              </w:rPr>
            </w:pPr>
            <w:r>
              <w:rPr>
                <w:rFonts w:ascii="Arial" w:hAnsi="Arial" w:cs="Arial"/>
                <w:sz w:val="22"/>
                <w:szCs w:val="22"/>
                <w:lang w:val="en-GB"/>
              </w:rPr>
              <w:t>7 days</w:t>
            </w:r>
          </w:p>
        </w:tc>
      </w:tr>
      <w:tr w:rsidR="00F95096" w14:paraId="27F69915" w14:textId="77777777" w:rsidTr="00F95096">
        <w:tc>
          <w:tcPr>
            <w:tcW w:w="806" w:type="dxa"/>
          </w:tcPr>
          <w:p w14:paraId="73676AAA" w14:textId="77777777" w:rsidR="00F95096" w:rsidRDefault="00F95096" w:rsidP="00F95096">
            <w:pPr>
              <w:jc w:val="center"/>
              <w:rPr>
                <w:rFonts w:ascii="Arial" w:hAnsi="Arial" w:cs="Arial"/>
                <w:sz w:val="22"/>
                <w:szCs w:val="22"/>
                <w:lang w:val="en-GB"/>
              </w:rPr>
            </w:pPr>
          </w:p>
        </w:tc>
        <w:tc>
          <w:tcPr>
            <w:tcW w:w="5670" w:type="dxa"/>
          </w:tcPr>
          <w:p w14:paraId="6173FA76" w14:textId="3A5B7D3E" w:rsidR="00F95096" w:rsidRDefault="00F95096" w:rsidP="00F95096">
            <w:pPr>
              <w:jc w:val="both"/>
              <w:rPr>
                <w:rFonts w:ascii="Arial" w:hAnsi="Arial" w:cs="Arial"/>
                <w:sz w:val="22"/>
                <w:szCs w:val="22"/>
                <w:lang w:val="en-GB"/>
              </w:rPr>
            </w:pPr>
            <w:r>
              <w:rPr>
                <w:rFonts w:ascii="Arial" w:hAnsi="Arial" w:cs="Arial"/>
                <w:sz w:val="22"/>
                <w:szCs w:val="22"/>
                <w:lang w:val="en-GB"/>
              </w:rPr>
              <w:t>TOTAL DAYS:</w:t>
            </w:r>
          </w:p>
        </w:tc>
        <w:tc>
          <w:tcPr>
            <w:tcW w:w="2046" w:type="dxa"/>
          </w:tcPr>
          <w:p w14:paraId="395C60B4" w14:textId="6E5089EB" w:rsidR="00F95096" w:rsidRDefault="000B56F4" w:rsidP="00E3274D">
            <w:pPr>
              <w:jc w:val="right"/>
              <w:rPr>
                <w:rFonts w:ascii="Arial" w:hAnsi="Arial" w:cs="Arial"/>
                <w:sz w:val="22"/>
                <w:szCs w:val="22"/>
                <w:lang w:val="en-GB"/>
              </w:rPr>
            </w:pPr>
            <w:r>
              <w:rPr>
                <w:rFonts w:ascii="Arial" w:hAnsi="Arial" w:cs="Arial"/>
                <w:sz w:val="22"/>
                <w:szCs w:val="22"/>
                <w:lang w:val="en-GB"/>
              </w:rPr>
              <w:t>120</w:t>
            </w:r>
          </w:p>
        </w:tc>
      </w:tr>
    </w:tbl>
    <w:p w14:paraId="42E5ED23" w14:textId="77777777" w:rsidR="00F95096" w:rsidRDefault="00F95096" w:rsidP="00F95096">
      <w:pPr>
        <w:ind w:left="720"/>
        <w:jc w:val="both"/>
        <w:rPr>
          <w:rFonts w:ascii="Arial" w:hAnsi="Arial" w:cs="Arial"/>
          <w:sz w:val="22"/>
          <w:szCs w:val="22"/>
          <w:lang w:val="en-GB"/>
        </w:rPr>
      </w:pPr>
    </w:p>
    <w:p w14:paraId="62E0795B" w14:textId="6DC6DE6C" w:rsidR="00F95096" w:rsidRPr="00F95096" w:rsidRDefault="00F95096" w:rsidP="00F95096">
      <w:pPr>
        <w:ind w:left="720"/>
        <w:jc w:val="both"/>
        <w:rPr>
          <w:rFonts w:ascii="Arial" w:hAnsi="Arial" w:cs="Arial"/>
          <w:sz w:val="22"/>
          <w:szCs w:val="22"/>
          <w:lang w:val="en-GB"/>
        </w:rPr>
      </w:pPr>
      <w:r>
        <w:rPr>
          <w:rFonts w:ascii="Arial" w:hAnsi="Arial" w:cs="Arial"/>
          <w:sz w:val="22"/>
          <w:szCs w:val="22"/>
          <w:lang w:val="en-GB"/>
        </w:rPr>
        <w:t xml:space="preserve">Therefore the time it takes between making an application and registration of the scheme before final approval is </w:t>
      </w:r>
      <w:r w:rsidR="000B56F4">
        <w:rPr>
          <w:rFonts w:ascii="Arial" w:hAnsi="Arial" w:cs="Arial"/>
          <w:sz w:val="22"/>
          <w:szCs w:val="22"/>
          <w:lang w:val="en-GB"/>
        </w:rPr>
        <w:t>120</w:t>
      </w:r>
      <w:r>
        <w:rPr>
          <w:rFonts w:ascii="Arial" w:hAnsi="Arial" w:cs="Arial"/>
          <w:sz w:val="22"/>
          <w:szCs w:val="22"/>
          <w:lang w:val="en-GB"/>
        </w:rPr>
        <w:t xml:space="preserve"> days.</w:t>
      </w:r>
    </w:p>
    <w:p w14:paraId="56A9A67B" w14:textId="77777777" w:rsidR="00BD1061" w:rsidRPr="00CA448F" w:rsidRDefault="00BD1061" w:rsidP="00C76745">
      <w:pPr>
        <w:jc w:val="both"/>
        <w:rPr>
          <w:rFonts w:ascii="Arial" w:hAnsi="Arial" w:cs="Arial"/>
          <w:sz w:val="22"/>
          <w:szCs w:val="22"/>
          <w:lang w:val="en-GB"/>
        </w:rPr>
      </w:pPr>
    </w:p>
    <w:p w14:paraId="0A96B7DC" w14:textId="1C377FB3" w:rsidR="003C0156" w:rsidRPr="00CA448F" w:rsidRDefault="003C0156" w:rsidP="00C76745">
      <w:pPr>
        <w:jc w:val="both"/>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C76745">
      <w:pPr>
        <w:jc w:val="both"/>
        <w:rPr>
          <w:rFonts w:ascii="Arial" w:hAnsi="Arial" w:cs="Arial"/>
          <w:b/>
          <w:sz w:val="22"/>
          <w:szCs w:val="22"/>
          <w:lang w:val="en-GB"/>
        </w:rPr>
      </w:pPr>
    </w:p>
    <w:p w14:paraId="3CBAA349" w14:textId="40C1D51D"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LLC’s creditors rejected the proposed Preventive Composition scheme after a process of nearly </w:t>
      </w:r>
      <w:r w:rsidR="001C181F" w:rsidRPr="00CA448F">
        <w:rPr>
          <w:rFonts w:ascii="Arial" w:hAnsi="Arial" w:cs="Arial"/>
          <w:sz w:val="22"/>
          <w:szCs w:val="22"/>
          <w:lang w:val="en-GB"/>
        </w:rPr>
        <w:t xml:space="preserve">four </w:t>
      </w:r>
      <w:r w:rsidR="003C0156"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003C0156"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C76745">
      <w:pPr>
        <w:jc w:val="both"/>
        <w:rPr>
          <w:rFonts w:ascii="Arial" w:hAnsi="Arial" w:cs="Arial"/>
          <w:sz w:val="22"/>
          <w:szCs w:val="22"/>
          <w:lang w:val="en-GB"/>
        </w:rPr>
      </w:pPr>
    </w:p>
    <w:p w14:paraId="018D5BEE" w14:textId="528E5761" w:rsidR="009D3106" w:rsidRPr="00CA448F" w:rsidRDefault="00224E71"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9D3106"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DBB2753" w14:textId="1FE0791D" w:rsidR="009D3106" w:rsidRDefault="009D3106" w:rsidP="00C76745">
      <w:pPr>
        <w:jc w:val="both"/>
        <w:rPr>
          <w:rFonts w:ascii="Arial" w:hAnsi="Arial" w:cs="Arial"/>
          <w:color w:val="808080" w:themeColor="background1" w:themeShade="80"/>
          <w:sz w:val="22"/>
          <w:szCs w:val="22"/>
          <w:lang w:val="en-GB"/>
        </w:rPr>
      </w:pPr>
    </w:p>
    <w:p w14:paraId="0175D430" w14:textId="16598F57" w:rsidR="00FD6E7D" w:rsidRDefault="00FD6E7D" w:rsidP="00A0784B">
      <w:pPr>
        <w:ind w:left="720"/>
        <w:jc w:val="both"/>
        <w:rPr>
          <w:rFonts w:ascii="Arial" w:hAnsi="Arial" w:cs="Arial"/>
          <w:sz w:val="22"/>
          <w:szCs w:val="22"/>
          <w:lang w:val="en-GB"/>
        </w:rPr>
      </w:pPr>
      <w:r>
        <w:rPr>
          <w:rFonts w:ascii="Arial" w:hAnsi="Arial" w:cs="Arial"/>
          <w:sz w:val="22"/>
          <w:szCs w:val="22"/>
          <w:lang w:val="en-GB"/>
        </w:rPr>
        <w:t xml:space="preserve">If the proposed Preventive Composition </w:t>
      </w:r>
      <w:r w:rsidR="00A0784B">
        <w:rPr>
          <w:rFonts w:ascii="Arial" w:hAnsi="Arial" w:cs="Arial"/>
          <w:sz w:val="22"/>
          <w:szCs w:val="22"/>
          <w:lang w:val="en-GB"/>
        </w:rPr>
        <w:t>is rejected and the company has to be placed into liquidation, then the court is required to appoint a trustee to undertake the liquidation, though it can order that any expert or trustee previously appointed in relation to any other procedure should continue office.</w:t>
      </w:r>
      <w:r w:rsidR="00A0784B">
        <w:rPr>
          <w:rStyle w:val="FootnoteReference"/>
          <w:rFonts w:ascii="Arial" w:hAnsi="Arial" w:cs="Arial"/>
          <w:sz w:val="22"/>
          <w:szCs w:val="22"/>
          <w:lang w:val="en-GB"/>
        </w:rPr>
        <w:footnoteReference w:id="41"/>
      </w:r>
    </w:p>
    <w:p w14:paraId="7051D381" w14:textId="77777777" w:rsidR="00A0784B" w:rsidRDefault="00A0784B" w:rsidP="00A0784B">
      <w:pPr>
        <w:ind w:left="720"/>
        <w:jc w:val="both"/>
        <w:rPr>
          <w:rFonts w:ascii="Arial" w:hAnsi="Arial" w:cs="Arial"/>
          <w:sz w:val="22"/>
          <w:szCs w:val="22"/>
          <w:lang w:val="en-GB"/>
        </w:rPr>
      </w:pPr>
    </w:p>
    <w:p w14:paraId="0E2BF3AD" w14:textId="1B707A81" w:rsidR="00A0784B" w:rsidRDefault="00A0784B" w:rsidP="00A0784B">
      <w:pPr>
        <w:ind w:left="720"/>
        <w:jc w:val="both"/>
        <w:rPr>
          <w:rFonts w:ascii="Arial" w:hAnsi="Arial" w:cs="Arial"/>
          <w:sz w:val="22"/>
          <w:szCs w:val="22"/>
          <w:lang w:val="en-GB"/>
        </w:rPr>
      </w:pPr>
      <w:r>
        <w:rPr>
          <w:rFonts w:ascii="Arial" w:hAnsi="Arial" w:cs="Arial"/>
          <w:sz w:val="22"/>
          <w:szCs w:val="22"/>
          <w:lang w:val="en-GB"/>
        </w:rPr>
        <w:lastRenderedPageBreak/>
        <w:t xml:space="preserve">The trustee </w:t>
      </w:r>
      <w:r w:rsidR="00B539E0">
        <w:rPr>
          <w:rFonts w:ascii="Arial" w:hAnsi="Arial" w:cs="Arial"/>
          <w:sz w:val="22"/>
          <w:szCs w:val="22"/>
          <w:lang w:val="en-GB"/>
        </w:rPr>
        <w:t>can be a natural or legal person, and up to three may be appointed to act jointly. The trustee may not be a creditor, a relative or spouse of he debtor, a person who has been convicted of certain dishonesty offences, and any person who has had prescribed commercial relationships with the debtor in the previous two years.</w:t>
      </w:r>
      <w:r>
        <w:rPr>
          <w:rStyle w:val="FootnoteReference"/>
          <w:rFonts w:ascii="Arial" w:hAnsi="Arial" w:cs="Arial"/>
          <w:sz w:val="22"/>
          <w:szCs w:val="22"/>
          <w:lang w:val="en-GB"/>
        </w:rPr>
        <w:footnoteReference w:id="42"/>
      </w:r>
    </w:p>
    <w:p w14:paraId="3D18A657" w14:textId="77777777" w:rsidR="00B539E0" w:rsidRDefault="00B539E0" w:rsidP="00A0784B">
      <w:pPr>
        <w:ind w:left="720"/>
        <w:jc w:val="both"/>
        <w:rPr>
          <w:rFonts w:ascii="Arial" w:hAnsi="Arial" w:cs="Arial"/>
          <w:sz w:val="22"/>
          <w:szCs w:val="22"/>
          <w:lang w:val="en-GB"/>
        </w:rPr>
      </w:pPr>
    </w:p>
    <w:p w14:paraId="75B23E54" w14:textId="07167B0E" w:rsidR="00B539E0" w:rsidRDefault="008A5090" w:rsidP="00A0784B">
      <w:pPr>
        <w:ind w:left="720"/>
        <w:jc w:val="both"/>
        <w:rPr>
          <w:rFonts w:ascii="Arial" w:hAnsi="Arial" w:cs="Arial"/>
          <w:sz w:val="22"/>
          <w:szCs w:val="22"/>
          <w:lang w:val="en-GB"/>
        </w:rPr>
      </w:pPr>
      <w:r>
        <w:rPr>
          <w:rFonts w:ascii="Arial" w:hAnsi="Arial" w:cs="Arial"/>
          <w:sz w:val="22"/>
          <w:szCs w:val="22"/>
          <w:lang w:val="en-GB"/>
        </w:rPr>
        <w:t>The trustee must advertise the trustee’s appointment within three business days and the debtor’s correspondence must state that the debtor is subject to a bankruptcy order.</w:t>
      </w:r>
      <w:r>
        <w:rPr>
          <w:rStyle w:val="FootnoteReference"/>
          <w:rFonts w:ascii="Arial" w:hAnsi="Arial" w:cs="Arial"/>
          <w:sz w:val="22"/>
          <w:szCs w:val="22"/>
          <w:lang w:val="en-GB"/>
        </w:rPr>
        <w:footnoteReference w:id="43"/>
      </w:r>
      <w:r>
        <w:rPr>
          <w:rFonts w:ascii="Arial" w:hAnsi="Arial" w:cs="Arial"/>
          <w:sz w:val="22"/>
          <w:szCs w:val="22"/>
          <w:lang w:val="en-GB"/>
        </w:rPr>
        <w:t xml:space="preserve"> Creditors are required to make their claims with the trustee within 10 business days form the date of the judgment; claims lodged later are not admissible unless the court accepts the reason for the failure to claim.</w:t>
      </w:r>
      <w:r>
        <w:rPr>
          <w:rStyle w:val="FootnoteReference"/>
          <w:rFonts w:ascii="Arial" w:hAnsi="Arial" w:cs="Arial"/>
          <w:sz w:val="22"/>
          <w:szCs w:val="22"/>
          <w:lang w:val="en-GB"/>
        </w:rPr>
        <w:footnoteReference w:id="44"/>
      </w:r>
      <w:r w:rsidR="00A232F1">
        <w:rPr>
          <w:rFonts w:ascii="Arial" w:hAnsi="Arial" w:cs="Arial"/>
          <w:sz w:val="22"/>
          <w:szCs w:val="22"/>
          <w:lang w:val="en-GB"/>
        </w:rPr>
        <w:t xml:space="preserve"> All debts of the debtor falls due on the date of the order for bankruptcy in the case of failure of a debtor to perform on a contract the other party may apply to court for an order for </w:t>
      </w:r>
      <w:r w:rsidR="005079C2">
        <w:rPr>
          <w:rFonts w:ascii="Arial" w:hAnsi="Arial" w:cs="Arial"/>
          <w:sz w:val="22"/>
          <w:szCs w:val="22"/>
          <w:lang w:val="en-GB"/>
        </w:rPr>
        <w:t>rescission</w:t>
      </w:r>
      <w:r w:rsidR="00A232F1">
        <w:rPr>
          <w:rFonts w:ascii="Arial" w:hAnsi="Arial" w:cs="Arial"/>
          <w:sz w:val="22"/>
          <w:szCs w:val="22"/>
          <w:lang w:val="en-GB"/>
        </w:rPr>
        <w:t xml:space="preserve">, bankruptcy does not </w:t>
      </w:r>
      <w:r w:rsidR="005079C2">
        <w:rPr>
          <w:rFonts w:ascii="Arial" w:hAnsi="Arial" w:cs="Arial"/>
          <w:sz w:val="22"/>
          <w:szCs w:val="22"/>
          <w:lang w:val="en-GB"/>
        </w:rPr>
        <w:t>automatically lead to rescission.</w:t>
      </w:r>
      <w:r w:rsidR="005079C2">
        <w:rPr>
          <w:rStyle w:val="FootnoteReference"/>
          <w:rFonts w:ascii="Arial" w:hAnsi="Arial" w:cs="Arial"/>
          <w:sz w:val="22"/>
          <w:szCs w:val="22"/>
          <w:lang w:val="en-GB"/>
        </w:rPr>
        <w:footnoteReference w:id="45"/>
      </w:r>
    </w:p>
    <w:p w14:paraId="047B6CCE" w14:textId="77777777" w:rsidR="005079C2" w:rsidRDefault="005079C2" w:rsidP="00A0784B">
      <w:pPr>
        <w:ind w:left="720"/>
        <w:jc w:val="both"/>
        <w:rPr>
          <w:rFonts w:ascii="Arial" w:hAnsi="Arial" w:cs="Arial"/>
          <w:sz w:val="22"/>
          <w:szCs w:val="22"/>
          <w:lang w:val="en-GB"/>
        </w:rPr>
      </w:pPr>
    </w:p>
    <w:p w14:paraId="0E09CE77" w14:textId="4CD8FD8E" w:rsidR="005079C2" w:rsidRPr="00FD6E7D" w:rsidRDefault="005079C2" w:rsidP="00A0784B">
      <w:pPr>
        <w:ind w:left="720"/>
        <w:jc w:val="both"/>
        <w:rPr>
          <w:rFonts w:ascii="Arial" w:hAnsi="Arial" w:cs="Arial"/>
          <w:sz w:val="22"/>
          <w:szCs w:val="22"/>
          <w:lang w:val="en-GB"/>
        </w:rPr>
      </w:pPr>
      <w:r>
        <w:rPr>
          <w:rFonts w:ascii="Arial" w:hAnsi="Arial" w:cs="Arial"/>
          <w:sz w:val="22"/>
          <w:szCs w:val="22"/>
          <w:lang w:val="en-GB"/>
        </w:rPr>
        <w:t>The trustee is required to liquidate all of the debtor’s property by public auction under the supervision of the court.</w:t>
      </w:r>
      <w:r>
        <w:rPr>
          <w:rStyle w:val="FootnoteReference"/>
          <w:rFonts w:ascii="Arial" w:hAnsi="Arial" w:cs="Arial"/>
          <w:sz w:val="22"/>
          <w:szCs w:val="22"/>
          <w:lang w:val="en-GB"/>
        </w:rPr>
        <w:footnoteReference w:id="46"/>
      </w:r>
      <w:r>
        <w:rPr>
          <w:rFonts w:ascii="Arial" w:hAnsi="Arial" w:cs="Arial"/>
          <w:sz w:val="22"/>
          <w:szCs w:val="22"/>
          <w:lang w:val="en-GB"/>
        </w:rPr>
        <w:t xml:space="preserve"> The proceeds of sale of the assets are distributed by the trustee to the creditors in the order provided for in the law.</w:t>
      </w:r>
      <w:r>
        <w:rPr>
          <w:rStyle w:val="FootnoteReference"/>
          <w:rFonts w:ascii="Arial" w:hAnsi="Arial" w:cs="Arial"/>
          <w:sz w:val="22"/>
          <w:szCs w:val="22"/>
          <w:lang w:val="en-GB"/>
        </w:rPr>
        <w:footnoteReference w:id="47"/>
      </w:r>
    </w:p>
    <w:p w14:paraId="5F170A59" w14:textId="77777777" w:rsidR="003C0156" w:rsidRPr="00CA448F" w:rsidRDefault="003C0156" w:rsidP="00C76745">
      <w:pPr>
        <w:jc w:val="both"/>
        <w:rPr>
          <w:rFonts w:ascii="Arial" w:hAnsi="Arial" w:cs="Arial"/>
          <w:sz w:val="22"/>
          <w:szCs w:val="22"/>
          <w:lang w:val="en-GB"/>
        </w:rPr>
      </w:pPr>
    </w:p>
    <w:p w14:paraId="5BE1299C" w14:textId="7B3C0E9C" w:rsidR="003C0156" w:rsidRPr="00CA448F" w:rsidRDefault="003C0156" w:rsidP="00C76745">
      <w:pPr>
        <w:jc w:val="both"/>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C76745">
      <w:pPr>
        <w:jc w:val="both"/>
        <w:rPr>
          <w:rFonts w:ascii="Arial" w:hAnsi="Arial" w:cs="Arial"/>
          <w:sz w:val="22"/>
          <w:szCs w:val="22"/>
          <w:lang w:val="en-GB"/>
        </w:rPr>
      </w:pPr>
    </w:p>
    <w:p w14:paraId="4DB41691" w14:textId="155F3306" w:rsidR="003C0156" w:rsidRPr="00CA448F" w:rsidRDefault="00653841" w:rsidP="00C76745">
      <w:pPr>
        <w:jc w:val="both"/>
        <w:rPr>
          <w:rFonts w:ascii="Arial" w:hAnsi="Arial" w:cs="Arial"/>
          <w:sz w:val="22"/>
          <w:szCs w:val="22"/>
          <w:lang w:val="en-GB"/>
        </w:rPr>
      </w:pPr>
      <w:r>
        <w:rPr>
          <w:rFonts w:ascii="Arial" w:hAnsi="Arial" w:cs="Arial"/>
          <w:sz w:val="22"/>
          <w:szCs w:val="22"/>
          <w:lang w:val="en-GB"/>
        </w:rPr>
        <w:t>BNE</w:t>
      </w:r>
      <w:r w:rsidR="003C0156" w:rsidRPr="00CA448F">
        <w:rPr>
          <w:rFonts w:ascii="Arial" w:hAnsi="Arial" w:cs="Arial"/>
          <w:sz w:val="22"/>
          <w:szCs w:val="22"/>
          <w:lang w:val="en-GB"/>
        </w:rPr>
        <w:t xml:space="preserve"> LLC incorporated and registered a </w:t>
      </w:r>
      <w:proofErr w:type="gramStart"/>
      <w:r w:rsidR="003C0156" w:rsidRPr="00CA448F">
        <w:rPr>
          <w:rFonts w:ascii="Arial" w:hAnsi="Arial" w:cs="Arial"/>
          <w:sz w:val="22"/>
          <w:szCs w:val="22"/>
          <w:lang w:val="en-GB"/>
        </w:rPr>
        <w:t>fully-owned</w:t>
      </w:r>
      <w:proofErr w:type="gramEnd"/>
      <w:r w:rsidR="003C0156" w:rsidRPr="00CA448F">
        <w:rPr>
          <w:rFonts w:ascii="Arial" w:hAnsi="Arial" w:cs="Arial"/>
          <w:sz w:val="22"/>
          <w:szCs w:val="22"/>
          <w:lang w:val="en-GB"/>
        </w:rPr>
        <w:t xml:space="preserve"> subsidiary company in the DIFC to operate a restaurant in the DIFC, The subsidiary is called </w:t>
      </w:r>
      <w:r w:rsidR="007721EB">
        <w:rPr>
          <w:rFonts w:ascii="Arial" w:hAnsi="Arial" w:cs="Arial"/>
          <w:sz w:val="22"/>
          <w:szCs w:val="22"/>
          <w:lang w:val="en-GB"/>
        </w:rPr>
        <w:t>BNE</w:t>
      </w:r>
      <w:r w:rsidR="003C0156" w:rsidRPr="00CA448F">
        <w:rPr>
          <w:rFonts w:ascii="Arial" w:hAnsi="Arial" w:cs="Arial"/>
          <w:sz w:val="22"/>
          <w:szCs w:val="22"/>
          <w:lang w:val="en-GB"/>
        </w:rPr>
        <w:t xml:space="preserve"> Limited and it is incorporated as a DIFC company. </w:t>
      </w:r>
      <w:r w:rsidR="007721EB">
        <w:rPr>
          <w:rFonts w:ascii="Arial" w:hAnsi="Arial" w:cs="Arial"/>
          <w:sz w:val="22"/>
          <w:szCs w:val="22"/>
          <w:lang w:val="en-GB"/>
        </w:rPr>
        <w:t>BNE</w:t>
      </w:r>
      <w:r w:rsidR="003C0156" w:rsidRPr="00CA448F">
        <w:rPr>
          <w:rFonts w:ascii="Arial" w:hAnsi="Arial" w:cs="Arial"/>
          <w:sz w:val="22"/>
          <w:szCs w:val="22"/>
          <w:lang w:val="en-GB"/>
        </w:rPr>
        <w:t xml:space="preserve"> Limited is also unable to pay its debts. What actions can </w:t>
      </w:r>
      <w:r w:rsidR="007721EB">
        <w:rPr>
          <w:rFonts w:ascii="Arial" w:hAnsi="Arial" w:cs="Arial"/>
          <w:sz w:val="22"/>
          <w:szCs w:val="22"/>
          <w:lang w:val="en-GB"/>
        </w:rPr>
        <w:t>BNE</w:t>
      </w:r>
      <w:r w:rsidR="003C0156" w:rsidRPr="00CA448F">
        <w:rPr>
          <w:rFonts w:ascii="Arial" w:hAnsi="Arial" w:cs="Arial"/>
          <w:sz w:val="22"/>
          <w:szCs w:val="22"/>
          <w:lang w:val="en-GB"/>
        </w:rPr>
        <w:t xml:space="preserve"> Limited’s creditors take if they wish to see </w:t>
      </w:r>
      <w:r w:rsidR="007721EB">
        <w:rPr>
          <w:rFonts w:ascii="Arial" w:hAnsi="Arial" w:cs="Arial"/>
          <w:sz w:val="22"/>
          <w:szCs w:val="22"/>
          <w:lang w:val="en-GB"/>
        </w:rPr>
        <w:t>BNE</w:t>
      </w:r>
      <w:r w:rsidR="003C0156" w:rsidRPr="00CA448F">
        <w:rPr>
          <w:rFonts w:ascii="Arial" w:hAnsi="Arial" w:cs="Arial"/>
          <w:sz w:val="22"/>
          <w:szCs w:val="22"/>
          <w:lang w:val="en-GB"/>
        </w:rPr>
        <w:t xml:space="preserve"> Limited liquidated in the DIFC? In particular, who can take such actions</w:t>
      </w:r>
      <w:r w:rsidR="001D0A61" w:rsidRPr="00CA448F">
        <w:rPr>
          <w:rFonts w:ascii="Arial" w:hAnsi="Arial" w:cs="Arial"/>
          <w:sz w:val="22"/>
          <w:szCs w:val="22"/>
          <w:lang w:val="en-GB"/>
        </w:rPr>
        <w:t xml:space="preserve"> and</w:t>
      </w:r>
      <w:r w:rsidR="003C0156" w:rsidRPr="00CA448F">
        <w:rPr>
          <w:rFonts w:ascii="Arial" w:hAnsi="Arial" w:cs="Arial"/>
          <w:sz w:val="22"/>
          <w:szCs w:val="22"/>
          <w:lang w:val="en-GB"/>
        </w:rPr>
        <w:t xml:space="preserve"> what steps would have to be taken? If </w:t>
      </w:r>
      <w:r w:rsidR="007721EB">
        <w:rPr>
          <w:rFonts w:ascii="Arial" w:hAnsi="Arial" w:cs="Arial"/>
          <w:sz w:val="22"/>
          <w:szCs w:val="22"/>
          <w:lang w:val="en-GB"/>
        </w:rPr>
        <w:t>BNE</w:t>
      </w:r>
      <w:r w:rsidR="00964771">
        <w:rPr>
          <w:rFonts w:ascii="Arial" w:hAnsi="Arial" w:cs="Arial"/>
          <w:sz w:val="22"/>
          <w:szCs w:val="22"/>
          <w:lang w:val="en-GB"/>
        </w:rPr>
        <w:t xml:space="preserve"> Limited</w:t>
      </w:r>
      <w:r w:rsidR="003C0156" w:rsidRPr="00CA448F">
        <w:rPr>
          <w:rFonts w:ascii="Arial" w:hAnsi="Arial" w:cs="Arial"/>
          <w:sz w:val="22"/>
          <w:szCs w:val="22"/>
          <w:lang w:val="en-GB"/>
        </w:rPr>
        <w:t xml:space="preserve"> was to be wound up, who would be responsible for it and what process would be adopted for addressing creditor claims in the winding up?</w:t>
      </w:r>
    </w:p>
    <w:p w14:paraId="547A8353" w14:textId="7B0CE2A3" w:rsidR="00640623" w:rsidRPr="00CA448F" w:rsidRDefault="00640623" w:rsidP="00C76745">
      <w:pPr>
        <w:jc w:val="both"/>
        <w:rPr>
          <w:rFonts w:ascii="Arial" w:hAnsi="Arial" w:cs="Arial"/>
          <w:sz w:val="22"/>
          <w:szCs w:val="22"/>
          <w:lang w:val="en-GB"/>
        </w:rPr>
      </w:pPr>
    </w:p>
    <w:p w14:paraId="385F7F1A" w14:textId="5AE7E827" w:rsidR="00640623" w:rsidRPr="00CA448F" w:rsidRDefault="00DA4D42" w:rsidP="00C7674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[Type your a</w:t>
      </w:r>
      <w:r w:rsidR="00640623" w:rsidRPr="00CA448F">
        <w:rPr>
          <w:rFonts w:ascii="Arial" w:hAnsi="Arial" w:cs="Arial"/>
          <w:color w:val="808080" w:themeColor="background1" w:themeShade="80"/>
          <w:sz w:val="22"/>
          <w:szCs w:val="22"/>
          <w:lang w:val="en-GB"/>
        </w:rPr>
        <w:t>nswer</w:t>
      </w:r>
      <w:r>
        <w:rPr>
          <w:rFonts w:ascii="Arial" w:hAnsi="Arial" w:cs="Arial"/>
          <w:color w:val="808080" w:themeColor="background1" w:themeShade="80"/>
          <w:sz w:val="22"/>
          <w:szCs w:val="22"/>
          <w:lang w:val="en-GB"/>
        </w:rPr>
        <w:t xml:space="preserve"> here]</w:t>
      </w:r>
    </w:p>
    <w:p w14:paraId="4462B235" w14:textId="77777777" w:rsidR="009B0723" w:rsidRDefault="009B0723" w:rsidP="00C76745">
      <w:pPr>
        <w:autoSpaceDE w:val="0"/>
        <w:autoSpaceDN w:val="0"/>
        <w:adjustRightInd w:val="0"/>
        <w:jc w:val="both"/>
        <w:rPr>
          <w:rFonts w:ascii="Arial" w:hAnsi="Arial" w:cs="Arial"/>
          <w:color w:val="808080" w:themeColor="background1" w:themeShade="80"/>
          <w:sz w:val="22"/>
          <w:szCs w:val="22"/>
          <w:lang w:val="en-GB"/>
        </w:rPr>
      </w:pPr>
    </w:p>
    <w:p w14:paraId="44EA97DF" w14:textId="2CC55EC2" w:rsidR="006B7786" w:rsidRDefault="00822059" w:rsidP="006B7786">
      <w:pPr>
        <w:autoSpaceDE w:val="0"/>
        <w:autoSpaceDN w:val="0"/>
        <w:adjustRightInd w:val="0"/>
        <w:ind w:left="720"/>
        <w:jc w:val="both"/>
        <w:rPr>
          <w:rFonts w:ascii="Arial" w:hAnsi="Arial" w:cs="Arial"/>
          <w:sz w:val="22"/>
          <w:szCs w:val="22"/>
          <w:lang w:val="en-GB"/>
        </w:rPr>
      </w:pPr>
      <w:r w:rsidRPr="00822059">
        <w:rPr>
          <w:rFonts w:ascii="Arial" w:hAnsi="Arial" w:cs="Arial"/>
          <w:sz w:val="22"/>
          <w:szCs w:val="22"/>
          <w:lang w:val="en-GB"/>
        </w:rPr>
        <w:t>Any DIFC incorporated company can be wound up under DIFC Insolvency Law</w:t>
      </w:r>
      <w:r w:rsidR="00283693">
        <w:rPr>
          <w:rFonts w:ascii="Arial" w:hAnsi="Arial" w:cs="Arial"/>
          <w:sz w:val="22"/>
          <w:szCs w:val="22"/>
          <w:lang w:val="en-GB"/>
        </w:rPr>
        <w:t>, there are two forms winding up, either voluntary winding up or compulsory winding up. Voluntary winding up commences as soon the company to wind up passes a resolution</w:t>
      </w:r>
      <w:r w:rsidR="000A25D7">
        <w:rPr>
          <w:rFonts w:ascii="Arial" w:hAnsi="Arial" w:cs="Arial"/>
          <w:sz w:val="22"/>
          <w:szCs w:val="22"/>
          <w:lang w:val="en-GB"/>
        </w:rPr>
        <w:t xml:space="preserve"> by a Members Voluntary Winding up</w:t>
      </w:r>
      <w:r w:rsidR="006B7786">
        <w:rPr>
          <w:rFonts w:ascii="Arial" w:hAnsi="Arial" w:cs="Arial"/>
          <w:sz w:val="22"/>
          <w:szCs w:val="22"/>
          <w:lang w:val="en-GB"/>
        </w:rPr>
        <w:t xml:space="preserve"> for its winding up t</w:t>
      </w:r>
      <w:r w:rsidR="00283693">
        <w:rPr>
          <w:rFonts w:ascii="Arial" w:hAnsi="Arial" w:cs="Arial"/>
          <w:sz w:val="22"/>
          <w:szCs w:val="22"/>
          <w:lang w:val="en-GB"/>
        </w:rPr>
        <w:t>his can either be a solvent</w:t>
      </w:r>
      <w:r w:rsidR="000A25D7">
        <w:rPr>
          <w:rFonts w:ascii="Arial" w:hAnsi="Arial" w:cs="Arial"/>
          <w:sz w:val="22"/>
          <w:szCs w:val="22"/>
          <w:lang w:val="en-GB"/>
        </w:rPr>
        <w:t xml:space="preserve"> If the company states it is solvent and a liquidator finds it is insolvent, the liquidator must call the creditors to a meeting for a creditors voluntary winding up</w:t>
      </w:r>
      <w:r w:rsidR="00283693">
        <w:rPr>
          <w:rFonts w:ascii="Arial" w:hAnsi="Arial" w:cs="Arial"/>
          <w:sz w:val="22"/>
          <w:szCs w:val="22"/>
          <w:lang w:val="en-GB"/>
        </w:rPr>
        <w:t>.</w:t>
      </w:r>
      <w:r w:rsidR="00283693">
        <w:rPr>
          <w:rStyle w:val="FootnoteReference"/>
          <w:rFonts w:ascii="Arial" w:hAnsi="Arial" w:cs="Arial"/>
          <w:sz w:val="22"/>
          <w:szCs w:val="22"/>
          <w:lang w:val="en-GB"/>
        </w:rPr>
        <w:footnoteReference w:id="48"/>
      </w:r>
      <w:r w:rsidR="006B7786">
        <w:rPr>
          <w:rFonts w:ascii="Arial" w:hAnsi="Arial" w:cs="Arial"/>
          <w:sz w:val="22"/>
          <w:szCs w:val="22"/>
          <w:lang w:val="en-GB"/>
        </w:rPr>
        <w:t xml:space="preserve"> Upon commencement of a winding-up, a liquidator is appointed and the directors’ powers cease.</w:t>
      </w:r>
      <w:r w:rsidR="006B7786">
        <w:rPr>
          <w:rStyle w:val="FootnoteReference"/>
          <w:rFonts w:ascii="Arial" w:hAnsi="Arial" w:cs="Arial"/>
          <w:sz w:val="22"/>
          <w:szCs w:val="22"/>
          <w:lang w:val="en-GB"/>
        </w:rPr>
        <w:footnoteReference w:id="49"/>
      </w:r>
    </w:p>
    <w:p w14:paraId="2AD0F578" w14:textId="77777777" w:rsidR="000A25D7" w:rsidRDefault="000A25D7" w:rsidP="006B7786">
      <w:pPr>
        <w:autoSpaceDE w:val="0"/>
        <w:autoSpaceDN w:val="0"/>
        <w:adjustRightInd w:val="0"/>
        <w:ind w:left="720"/>
        <w:jc w:val="both"/>
        <w:rPr>
          <w:rFonts w:ascii="Arial" w:hAnsi="Arial" w:cs="Arial"/>
          <w:sz w:val="22"/>
          <w:szCs w:val="22"/>
          <w:lang w:val="en-GB"/>
        </w:rPr>
      </w:pPr>
    </w:p>
    <w:p w14:paraId="014E18FC" w14:textId="1F975AF1" w:rsidR="000A25D7" w:rsidRDefault="000A25D7" w:rsidP="006B778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A court ordered winding up or “compulsory winding up” is made if the company passed a resolution that it is unable to pay off its debts, if a moratorium under a Company Voluntary Arrangement has ended without an arrangement being approved or under any other provision of DIFC law or if the court considers it to be just and equitable to wind the company up.</w:t>
      </w:r>
      <w:r>
        <w:rPr>
          <w:rStyle w:val="FootnoteReference"/>
          <w:rFonts w:ascii="Arial" w:hAnsi="Arial" w:cs="Arial"/>
          <w:sz w:val="22"/>
          <w:szCs w:val="22"/>
          <w:lang w:val="en-GB"/>
        </w:rPr>
        <w:footnoteReference w:id="50"/>
      </w:r>
    </w:p>
    <w:p w14:paraId="674C1AC4" w14:textId="77777777" w:rsidR="000A25D7" w:rsidRDefault="000A25D7" w:rsidP="006B7786">
      <w:pPr>
        <w:autoSpaceDE w:val="0"/>
        <w:autoSpaceDN w:val="0"/>
        <w:adjustRightInd w:val="0"/>
        <w:ind w:left="720"/>
        <w:jc w:val="both"/>
        <w:rPr>
          <w:rFonts w:ascii="Arial" w:hAnsi="Arial" w:cs="Arial"/>
          <w:sz w:val="22"/>
          <w:szCs w:val="22"/>
          <w:lang w:val="en-GB"/>
        </w:rPr>
      </w:pPr>
    </w:p>
    <w:p w14:paraId="5D7A1790" w14:textId="30BDF10F" w:rsidR="000A25D7" w:rsidRDefault="000A25D7" w:rsidP="006B778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lastRenderedPageBreak/>
        <w:t>The most common grounds for commencement of winding up is if a creditor has made a demand for payment of a debt of a sum of more than $2000 USD which is unsatisfied for a period of more than 3 weeks; any execution process is unsatisfied; it is proved that a company is unable to pay its debts as they fall due; or it is proved the value of the company’s liabilities exceeds the value of the company’s assets, including any prospective and contingent liabilities.</w:t>
      </w:r>
      <w:r>
        <w:rPr>
          <w:rStyle w:val="FootnoteReference"/>
          <w:rFonts w:ascii="Arial" w:hAnsi="Arial" w:cs="Arial"/>
          <w:sz w:val="22"/>
          <w:szCs w:val="22"/>
          <w:lang w:val="en-GB"/>
        </w:rPr>
        <w:footnoteReference w:id="51"/>
      </w:r>
    </w:p>
    <w:p w14:paraId="624CDA03" w14:textId="77777777" w:rsidR="000A25D7" w:rsidRDefault="000A25D7" w:rsidP="006B7786">
      <w:pPr>
        <w:autoSpaceDE w:val="0"/>
        <w:autoSpaceDN w:val="0"/>
        <w:adjustRightInd w:val="0"/>
        <w:ind w:left="720"/>
        <w:jc w:val="both"/>
        <w:rPr>
          <w:rFonts w:ascii="Arial" w:hAnsi="Arial" w:cs="Arial"/>
          <w:sz w:val="22"/>
          <w:szCs w:val="22"/>
          <w:lang w:val="en-GB"/>
        </w:rPr>
      </w:pPr>
    </w:p>
    <w:p w14:paraId="55BC3805" w14:textId="0D199C1F" w:rsidR="000A25D7" w:rsidRDefault="000A25D7" w:rsidP="006B7786">
      <w:pPr>
        <w:autoSpaceDE w:val="0"/>
        <w:autoSpaceDN w:val="0"/>
        <w:adjustRightInd w:val="0"/>
        <w:ind w:left="720"/>
        <w:jc w:val="both"/>
        <w:rPr>
          <w:rFonts w:ascii="Arial" w:hAnsi="Arial" w:cs="Arial"/>
          <w:sz w:val="22"/>
          <w:szCs w:val="22"/>
          <w:lang w:val="en-GB"/>
        </w:rPr>
      </w:pPr>
      <w:r>
        <w:rPr>
          <w:rFonts w:ascii="Arial" w:hAnsi="Arial" w:cs="Arial"/>
          <w:sz w:val="22"/>
          <w:szCs w:val="22"/>
          <w:lang w:val="en-GB"/>
        </w:rPr>
        <w:t>An application for he winding up of a company may be brought by the company, its directors or any creditor (including a prospective or contingent creditor), or by the DIFC Authority where it considers the winding-up to be in the best interests f the DIFC and the DIFC court is of the opinion that it is just and equitable for the company to be wound up</w:t>
      </w:r>
      <w:r w:rsidR="00C37AA7">
        <w:rPr>
          <w:rFonts w:ascii="Arial" w:hAnsi="Arial" w:cs="Arial"/>
          <w:sz w:val="22"/>
          <w:szCs w:val="22"/>
          <w:lang w:val="en-GB"/>
        </w:rPr>
        <w:t>.</w:t>
      </w:r>
      <w:r w:rsidR="00C37AA7">
        <w:rPr>
          <w:rStyle w:val="FootnoteReference"/>
          <w:rFonts w:ascii="Arial" w:hAnsi="Arial" w:cs="Arial"/>
          <w:sz w:val="22"/>
          <w:szCs w:val="22"/>
          <w:lang w:val="en-GB"/>
        </w:rPr>
        <w:footnoteReference w:id="52"/>
      </w:r>
      <w:bookmarkStart w:id="1" w:name="_GoBack"/>
      <w:bookmarkEnd w:id="1"/>
    </w:p>
    <w:bookmarkEnd w:id="0"/>
    <w:p w14:paraId="195B7C4A" w14:textId="23AEEE67" w:rsidR="0077498C" w:rsidRPr="00CA448F" w:rsidRDefault="0077498C" w:rsidP="00C76745">
      <w:pPr>
        <w:autoSpaceDE w:val="0"/>
        <w:autoSpaceDN w:val="0"/>
        <w:adjustRightInd w:val="0"/>
        <w:jc w:val="both"/>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6D56E" w14:textId="77777777" w:rsidR="000A25D7" w:rsidRDefault="000A25D7" w:rsidP="00241B44">
      <w:r>
        <w:separator/>
      </w:r>
    </w:p>
  </w:endnote>
  <w:endnote w:type="continuationSeparator" w:id="0">
    <w:p w14:paraId="6CA8CA49" w14:textId="77777777" w:rsidR="000A25D7" w:rsidRDefault="000A25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0A25D7" w:rsidRPr="00FC7B47" w:rsidRDefault="000A25D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0A25D7" w:rsidRPr="00FC7B47" w:rsidRDefault="000A25D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0A25D7" w:rsidRPr="009B4976" w:rsidRDefault="000A25D7" w:rsidP="007C561F">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C37AA7">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1B57CF02" w:rsidR="000A25D7" w:rsidRPr="009B4976" w:rsidRDefault="000A25D7" w:rsidP="009B4976">
    <w:pPr>
      <w:pStyle w:val="Footer"/>
      <w:ind w:right="360"/>
      <w:rPr>
        <w:rFonts w:ascii="Arial" w:hAnsi="Arial" w:cs="Arial"/>
        <w:sz w:val="18"/>
        <w:szCs w:val="18"/>
        <w:lang w:val="en-GB"/>
      </w:rPr>
    </w:pPr>
    <w:r>
      <w:rPr>
        <w:rFonts w:ascii="Arial" w:hAnsi="Arial" w:cs="Arial"/>
        <w:sz w:val="18"/>
        <w:szCs w:val="18"/>
      </w:rPr>
      <w:t>202122-603</w:t>
    </w:r>
    <w:r w:rsidRPr="009B4976">
      <w:rPr>
        <w:rFonts w:ascii="Arial" w:hAnsi="Arial" w:cs="Arial"/>
        <w:sz w:val="18"/>
        <w:szCs w:val="18"/>
        <w:lang w:val="en-GB"/>
      </w:rPr>
      <w:t>.assessment</w:t>
    </w:r>
    <w:r>
      <w:rPr>
        <w:rFonts w:ascii="Arial" w:hAnsi="Arial" w:cs="Arial"/>
        <w:sz w:val="18"/>
        <w:szCs w:val="18"/>
        <w:lang w:val="en-GB"/>
      </w:rPr>
      <w:t>7E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4EE72" w14:textId="77777777" w:rsidR="000A25D7" w:rsidRDefault="000A25D7" w:rsidP="00241B44">
      <w:r>
        <w:separator/>
      </w:r>
    </w:p>
  </w:footnote>
  <w:footnote w:type="continuationSeparator" w:id="0">
    <w:p w14:paraId="0978DCDA" w14:textId="77777777" w:rsidR="000A25D7" w:rsidRDefault="000A25D7" w:rsidP="00241B44">
      <w:r>
        <w:continuationSeparator/>
      </w:r>
    </w:p>
  </w:footnote>
  <w:footnote w:id="1">
    <w:p w14:paraId="4DCC8380" w14:textId="05961BAC" w:rsidR="000A25D7" w:rsidRDefault="000A25D7">
      <w:pPr>
        <w:pStyle w:val="FootnoteText"/>
      </w:pPr>
      <w:r>
        <w:rPr>
          <w:rStyle w:val="FootnoteReference"/>
        </w:rPr>
        <w:footnoteRef/>
      </w:r>
      <w:r>
        <w:t xml:space="preserve"> </w:t>
      </w:r>
      <w:proofErr w:type="spellStart"/>
      <w:r>
        <w:t>Gambrill</w:t>
      </w:r>
      <w:proofErr w:type="spellEnd"/>
      <w:r>
        <w:t xml:space="preserve">, </w:t>
      </w:r>
      <w:proofErr w:type="spellStart"/>
      <w:r>
        <w:t>Iremonger</w:t>
      </w:r>
      <w:proofErr w:type="spellEnd"/>
      <w:r>
        <w:t xml:space="preserve">, </w:t>
      </w:r>
      <w:proofErr w:type="spellStart"/>
      <w:r>
        <w:t>Somekh</w:t>
      </w:r>
      <w:proofErr w:type="spellEnd"/>
      <w:r>
        <w:t xml:space="preserve"> &amp; </w:t>
      </w:r>
      <w:proofErr w:type="spellStart"/>
      <w:r>
        <w:t>Clamon</w:t>
      </w:r>
      <w:proofErr w:type="spellEnd"/>
      <w:r>
        <w:t>, Foundation Certificate in Insolvency Law Module 7E – Guidance Text – United Arab Emirates 2021/2022 (“</w:t>
      </w:r>
      <w:r w:rsidRPr="007C561F">
        <w:rPr>
          <w:b/>
        </w:rPr>
        <w:t>Guidance Text</w:t>
      </w:r>
      <w:r>
        <w:t>”) 5.1 page 9</w:t>
      </w:r>
    </w:p>
  </w:footnote>
  <w:footnote w:id="2">
    <w:p w14:paraId="651A6A36" w14:textId="3A3CB19A" w:rsidR="000A25D7" w:rsidRDefault="000A25D7">
      <w:pPr>
        <w:pStyle w:val="FootnoteText"/>
      </w:pPr>
      <w:r>
        <w:rPr>
          <w:rStyle w:val="FootnoteReference"/>
        </w:rPr>
        <w:footnoteRef/>
      </w:r>
      <w:r>
        <w:t xml:space="preserve"> Guidance Text 5.2 page 10</w:t>
      </w:r>
    </w:p>
  </w:footnote>
  <w:footnote w:id="3">
    <w:p w14:paraId="7FF9C3AB" w14:textId="1ECBEC54" w:rsidR="000A25D7" w:rsidRDefault="000A25D7" w:rsidP="007C47BF">
      <w:pPr>
        <w:pStyle w:val="FootnoteText"/>
      </w:pPr>
      <w:r>
        <w:rPr>
          <w:rStyle w:val="FootnoteReference"/>
        </w:rPr>
        <w:footnoteRef/>
      </w:r>
      <w:r>
        <w:t xml:space="preserve"> Guidance Text 6.4.1 page 14; 6.4.2 page 22</w:t>
      </w:r>
    </w:p>
  </w:footnote>
  <w:footnote w:id="4">
    <w:p w14:paraId="1213498C" w14:textId="501EAEC8" w:rsidR="000A25D7" w:rsidRDefault="000A25D7">
      <w:pPr>
        <w:pStyle w:val="FootnoteText"/>
      </w:pPr>
      <w:r>
        <w:rPr>
          <w:rStyle w:val="FootnoteReference"/>
        </w:rPr>
        <w:footnoteRef/>
      </w:r>
      <w:r>
        <w:t xml:space="preserve"> Guidance Text 6.4.1.5 page 19</w:t>
      </w:r>
    </w:p>
  </w:footnote>
  <w:footnote w:id="5">
    <w:p w14:paraId="7D178A7B" w14:textId="2FF49313" w:rsidR="000A25D7" w:rsidRDefault="000A25D7">
      <w:pPr>
        <w:pStyle w:val="FootnoteText"/>
      </w:pPr>
      <w:r>
        <w:rPr>
          <w:rStyle w:val="FootnoteReference"/>
        </w:rPr>
        <w:footnoteRef/>
      </w:r>
      <w:r>
        <w:t xml:space="preserve"> Guidance Text 6.4.1.6 page 20</w:t>
      </w:r>
    </w:p>
  </w:footnote>
  <w:footnote w:id="6">
    <w:p w14:paraId="24A72FF0" w14:textId="52D5F82E" w:rsidR="000A25D7" w:rsidRDefault="000A25D7">
      <w:pPr>
        <w:pStyle w:val="FootnoteText"/>
      </w:pPr>
      <w:r>
        <w:rPr>
          <w:rStyle w:val="FootnoteReference"/>
        </w:rPr>
        <w:footnoteRef/>
      </w:r>
      <w:r>
        <w:t xml:space="preserve"> Guidance Text 6.4.1.7 page 20; 6.4.2 page 22</w:t>
      </w:r>
    </w:p>
  </w:footnote>
  <w:footnote w:id="7">
    <w:p w14:paraId="6C786644" w14:textId="77777777" w:rsidR="000A25D7" w:rsidRDefault="000A25D7" w:rsidP="001640CD">
      <w:pPr>
        <w:pStyle w:val="FootnoteText"/>
      </w:pPr>
      <w:r>
        <w:rPr>
          <w:rStyle w:val="FootnoteReference"/>
        </w:rPr>
        <w:footnoteRef/>
      </w:r>
      <w:r>
        <w:t xml:space="preserve"> Guidance Text 6.4.1 page 14</w:t>
      </w:r>
    </w:p>
  </w:footnote>
  <w:footnote w:id="8">
    <w:p w14:paraId="59CEADE0" w14:textId="4091C9A1" w:rsidR="000A25D7" w:rsidRDefault="000A25D7">
      <w:pPr>
        <w:pStyle w:val="FootnoteText"/>
      </w:pPr>
      <w:r>
        <w:rPr>
          <w:rStyle w:val="FootnoteReference"/>
        </w:rPr>
        <w:footnoteRef/>
      </w:r>
      <w:r>
        <w:t xml:space="preserve"> Guidance Text 6.4.5.1 page 25</w:t>
      </w:r>
    </w:p>
  </w:footnote>
  <w:footnote w:id="9">
    <w:p w14:paraId="01518188" w14:textId="6D33A2B0" w:rsidR="000A25D7" w:rsidRDefault="000A25D7">
      <w:pPr>
        <w:pStyle w:val="FootnoteText"/>
      </w:pPr>
      <w:r>
        <w:rPr>
          <w:rStyle w:val="FootnoteReference"/>
        </w:rPr>
        <w:footnoteRef/>
      </w:r>
      <w:r>
        <w:t xml:space="preserve"> Guidance Text 6.4.1.2 page 16</w:t>
      </w:r>
    </w:p>
  </w:footnote>
  <w:footnote w:id="10">
    <w:p w14:paraId="340F7FB5" w14:textId="2357788D" w:rsidR="000A25D7" w:rsidRDefault="000A25D7">
      <w:pPr>
        <w:pStyle w:val="FootnoteText"/>
      </w:pPr>
      <w:r>
        <w:rPr>
          <w:rStyle w:val="FootnoteReference"/>
        </w:rPr>
        <w:footnoteRef/>
      </w:r>
      <w:r>
        <w:t xml:space="preserve"> Guidance Text 6.4.5.3 page 23; 6.4.5.5 page 30</w:t>
      </w:r>
    </w:p>
  </w:footnote>
  <w:footnote w:id="11">
    <w:p w14:paraId="531EDCBC" w14:textId="0708816E" w:rsidR="000A25D7" w:rsidRDefault="000A25D7">
      <w:pPr>
        <w:pStyle w:val="FootnoteText"/>
      </w:pPr>
      <w:r>
        <w:rPr>
          <w:rStyle w:val="FootnoteReference"/>
        </w:rPr>
        <w:footnoteRef/>
      </w:r>
      <w:r>
        <w:t xml:space="preserve"> Guidance Text 6.4.6.1 pages 32 – 33 </w:t>
      </w:r>
    </w:p>
  </w:footnote>
  <w:footnote w:id="12">
    <w:p w14:paraId="39CB2B2A" w14:textId="1B629E53" w:rsidR="000A25D7" w:rsidRDefault="000A25D7">
      <w:pPr>
        <w:pStyle w:val="FootnoteText"/>
      </w:pPr>
      <w:r>
        <w:rPr>
          <w:rStyle w:val="FootnoteReference"/>
        </w:rPr>
        <w:footnoteRef/>
      </w:r>
      <w:r>
        <w:t xml:space="preserve"> Guidance Text 3.4 pages 3 – 4 </w:t>
      </w:r>
    </w:p>
  </w:footnote>
  <w:footnote w:id="13">
    <w:p w14:paraId="2FD1C1CA" w14:textId="5DE481E8" w:rsidR="000A25D7" w:rsidRDefault="000A25D7">
      <w:pPr>
        <w:pStyle w:val="FootnoteText"/>
      </w:pPr>
      <w:r>
        <w:rPr>
          <w:rStyle w:val="FootnoteReference"/>
        </w:rPr>
        <w:footnoteRef/>
      </w:r>
      <w:r>
        <w:t xml:space="preserve"> Guidance Text 4.1 page 4</w:t>
      </w:r>
    </w:p>
  </w:footnote>
  <w:footnote w:id="14">
    <w:p w14:paraId="5C9187FB" w14:textId="03B5E7B6" w:rsidR="000A25D7" w:rsidRDefault="000A25D7">
      <w:pPr>
        <w:pStyle w:val="FootnoteText"/>
      </w:pPr>
      <w:r>
        <w:rPr>
          <w:rStyle w:val="FootnoteReference"/>
        </w:rPr>
        <w:footnoteRef/>
      </w:r>
      <w:r>
        <w:t xml:space="preserve"> Guidance Text 4.2.3 page 6</w:t>
      </w:r>
    </w:p>
  </w:footnote>
  <w:footnote w:id="15">
    <w:p w14:paraId="3C4F378B" w14:textId="77777777" w:rsidR="000A25D7" w:rsidRDefault="000A25D7" w:rsidP="00832444">
      <w:pPr>
        <w:pStyle w:val="FootnoteText"/>
      </w:pPr>
      <w:r>
        <w:rPr>
          <w:rStyle w:val="FootnoteReference"/>
        </w:rPr>
        <w:footnoteRef/>
      </w:r>
      <w:r>
        <w:t xml:space="preserve"> Guidance Text 4.2.3 pages 6 – 7 </w:t>
      </w:r>
    </w:p>
  </w:footnote>
  <w:footnote w:id="16">
    <w:p w14:paraId="0C881340" w14:textId="3DDF54DF" w:rsidR="000A25D7" w:rsidRDefault="000A25D7">
      <w:pPr>
        <w:pStyle w:val="FootnoteText"/>
      </w:pPr>
      <w:r>
        <w:rPr>
          <w:rStyle w:val="FootnoteReference"/>
        </w:rPr>
        <w:footnoteRef/>
      </w:r>
      <w:r>
        <w:t xml:space="preserve"> Guidance Text 6.4.1 page 13</w:t>
      </w:r>
    </w:p>
  </w:footnote>
  <w:footnote w:id="17">
    <w:p w14:paraId="0506FE97" w14:textId="21CEA806" w:rsidR="000A25D7" w:rsidRDefault="000A25D7">
      <w:pPr>
        <w:pStyle w:val="FootnoteText"/>
      </w:pPr>
      <w:r>
        <w:rPr>
          <w:rStyle w:val="FootnoteReference"/>
        </w:rPr>
        <w:footnoteRef/>
      </w:r>
      <w:r>
        <w:t xml:space="preserve"> Guidance Text 4.2.3 page 7</w:t>
      </w:r>
    </w:p>
  </w:footnote>
  <w:footnote w:id="18">
    <w:p w14:paraId="625409F5" w14:textId="2428FB9B" w:rsidR="000A25D7" w:rsidRDefault="000A25D7">
      <w:pPr>
        <w:pStyle w:val="FootnoteText"/>
      </w:pPr>
      <w:r>
        <w:rPr>
          <w:rStyle w:val="FootnoteReference"/>
        </w:rPr>
        <w:footnoteRef/>
      </w:r>
      <w:r>
        <w:t xml:space="preserve"> Guidance Text 6.4.5.1 page 24</w:t>
      </w:r>
    </w:p>
  </w:footnote>
  <w:footnote w:id="19">
    <w:p w14:paraId="252E9BEE" w14:textId="27ADC8C9" w:rsidR="000A25D7" w:rsidRDefault="000A25D7">
      <w:pPr>
        <w:pStyle w:val="FootnoteText"/>
      </w:pPr>
      <w:r>
        <w:rPr>
          <w:rStyle w:val="FootnoteReference"/>
        </w:rPr>
        <w:footnoteRef/>
      </w:r>
      <w:r>
        <w:t xml:space="preserve"> Guidance Text 6.4.5.1 page 24</w:t>
      </w:r>
    </w:p>
  </w:footnote>
  <w:footnote w:id="20">
    <w:p w14:paraId="0D1E174A" w14:textId="61E1AF70" w:rsidR="000A25D7" w:rsidRDefault="000A25D7">
      <w:pPr>
        <w:pStyle w:val="FootnoteText"/>
      </w:pPr>
      <w:r>
        <w:rPr>
          <w:rStyle w:val="FootnoteReference"/>
        </w:rPr>
        <w:footnoteRef/>
      </w:r>
      <w:r>
        <w:t xml:space="preserve"> Guidance Text 6.4.5.2 page 26</w:t>
      </w:r>
    </w:p>
  </w:footnote>
  <w:footnote w:id="21">
    <w:p w14:paraId="4358E7AF" w14:textId="219530B2" w:rsidR="000A25D7" w:rsidRDefault="000A25D7">
      <w:pPr>
        <w:pStyle w:val="FootnoteText"/>
      </w:pPr>
      <w:r>
        <w:rPr>
          <w:rStyle w:val="FootnoteReference"/>
        </w:rPr>
        <w:footnoteRef/>
      </w:r>
      <w:r>
        <w:t xml:space="preserve"> Guidance Text 6.4.5.3 page 27</w:t>
      </w:r>
    </w:p>
  </w:footnote>
  <w:footnote w:id="22">
    <w:p w14:paraId="1B97B859" w14:textId="30D15407" w:rsidR="000A25D7" w:rsidRDefault="000A25D7">
      <w:pPr>
        <w:pStyle w:val="FootnoteText"/>
      </w:pPr>
      <w:r>
        <w:rPr>
          <w:rStyle w:val="FootnoteReference"/>
        </w:rPr>
        <w:footnoteRef/>
      </w:r>
      <w:r>
        <w:t xml:space="preserve"> Guidance Text 6.4.5.3 page 28</w:t>
      </w:r>
    </w:p>
  </w:footnote>
  <w:footnote w:id="23">
    <w:p w14:paraId="74A26BF0" w14:textId="2CDC0C73" w:rsidR="000A25D7" w:rsidRDefault="000A25D7">
      <w:pPr>
        <w:pStyle w:val="FootnoteText"/>
      </w:pPr>
      <w:r>
        <w:rPr>
          <w:rStyle w:val="FootnoteReference"/>
        </w:rPr>
        <w:footnoteRef/>
      </w:r>
      <w:r>
        <w:t xml:space="preserve"> Guidance Text 6.4.5.4 page 29</w:t>
      </w:r>
    </w:p>
  </w:footnote>
  <w:footnote w:id="24">
    <w:p w14:paraId="34081205" w14:textId="3B180CE4" w:rsidR="000A25D7" w:rsidRDefault="000A25D7">
      <w:pPr>
        <w:pStyle w:val="FootnoteText"/>
      </w:pPr>
      <w:r>
        <w:rPr>
          <w:rStyle w:val="FootnoteReference"/>
        </w:rPr>
        <w:footnoteRef/>
      </w:r>
      <w:r>
        <w:t xml:space="preserve"> Guidance Text 6.4.5.4 page 29</w:t>
      </w:r>
    </w:p>
  </w:footnote>
  <w:footnote w:id="25">
    <w:p w14:paraId="77B02E30" w14:textId="67258B12" w:rsidR="000A25D7" w:rsidRDefault="000A25D7">
      <w:pPr>
        <w:pStyle w:val="FootnoteText"/>
      </w:pPr>
      <w:r>
        <w:rPr>
          <w:rStyle w:val="FootnoteReference"/>
        </w:rPr>
        <w:footnoteRef/>
      </w:r>
      <w:r>
        <w:t xml:space="preserve"> Guidance Text 6.4.5.4 pages 29 - 30</w:t>
      </w:r>
    </w:p>
  </w:footnote>
  <w:footnote w:id="26">
    <w:p w14:paraId="37EC9DCF" w14:textId="3C251D9C" w:rsidR="000A25D7" w:rsidRDefault="000A25D7">
      <w:pPr>
        <w:pStyle w:val="FootnoteText"/>
      </w:pPr>
      <w:r>
        <w:rPr>
          <w:rStyle w:val="FootnoteReference"/>
        </w:rPr>
        <w:footnoteRef/>
      </w:r>
      <w:r>
        <w:t xml:space="preserve"> Guidance Text 6.4.5.5 page 30</w:t>
      </w:r>
    </w:p>
  </w:footnote>
  <w:footnote w:id="27">
    <w:p w14:paraId="614F5108" w14:textId="6761C980" w:rsidR="000A25D7" w:rsidRDefault="000A25D7">
      <w:pPr>
        <w:pStyle w:val="FootnoteText"/>
      </w:pPr>
      <w:r>
        <w:rPr>
          <w:rStyle w:val="FootnoteReference"/>
        </w:rPr>
        <w:footnoteRef/>
      </w:r>
      <w:r>
        <w:t xml:space="preserve"> Guidance Text 6.4.5.6 page 30</w:t>
      </w:r>
    </w:p>
  </w:footnote>
  <w:footnote w:id="28">
    <w:p w14:paraId="5C96B4F8" w14:textId="0EC489FE" w:rsidR="000A25D7" w:rsidRDefault="000A25D7">
      <w:pPr>
        <w:pStyle w:val="FootnoteText"/>
      </w:pPr>
      <w:r>
        <w:rPr>
          <w:rStyle w:val="FootnoteReference"/>
        </w:rPr>
        <w:footnoteRef/>
      </w:r>
      <w:r>
        <w:t xml:space="preserve"> Guidance Text 6.4.5.6 page 30</w:t>
      </w:r>
    </w:p>
  </w:footnote>
  <w:footnote w:id="29">
    <w:p w14:paraId="2A06D1C5" w14:textId="47281501" w:rsidR="000A25D7" w:rsidRDefault="000A25D7">
      <w:pPr>
        <w:pStyle w:val="FootnoteText"/>
      </w:pPr>
      <w:r>
        <w:rPr>
          <w:rStyle w:val="FootnoteReference"/>
        </w:rPr>
        <w:footnoteRef/>
      </w:r>
      <w:r>
        <w:t xml:space="preserve"> Guidance text 6.4.5.7 page 31</w:t>
      </w:r>
    </w:p>
  </w:footnote>
  <w:footnote w:id="30">
    <w:p w14:paraId="5BDBFEA5" w14:textId="6CD467A7" w:rsidR="000A25D7" w:rsidRDefault="000A25D7">
      <w:pPr>
        <w:pStyle w:val="FootnoteText"/>
      </w:pPr>
      <w:r>
        <w:rPr>
          <w:rStyle w:val="FootnoteReference"/>
        </w:rPr>
        <w:footnoteRef/>
      </w:r>
      <w:r>
        <w:t xml:space="preserve"> Guidance Text 6.4.5.8 page 32</w:t>
      </w:r>
    </w:p>
  </w:footnote>
  <w:footnote w:id="31">
    <w:p w14:paraId="5215BC23" w14:textId="6CD874BD" w:rsidR="000A25D7" w:rsidRDefault="000A25D7" w:rsidP="00221401">
      <w:pPr>
        <w:pStyle w:val="FootnoteText"/>
      </w:pPr>
      <w:r>
        <w:rPr>
          <w:rStyle w:val="FootnoteReference"/>
        </w:rPr>
        <w:footnoteRef/>
      </w:r>
      <w:r>
        <w:t xml:space="preserve"> Guidance Text 6.4.1.1 page 14; Bankruptcy Law art 13</w:t>
      </w:r>
    </w:p>
  </w:footnote>
  <w:footnote w:id="32">
    <w:p w14:paraId="0F6AF95F" w14:textId="58FDECED" w:rsidR="000A25D7" w:rsidRDefault="000A25D7">
      <w:pPr>
        <w:pStyle w:val="FootnoteText"/>
      </w:pPr>
      <w:r>
        <w:rPr>
          <w:rStyle w:val="FootnoteReference"/>
        </w:rPr>
        <w:footnoteRef/>
      </w:r>
      <w:r>
        <w:t xml:space="preserve"> Guidance Text 6.4.1.1 page 14; Bankruptcy Law art 14</w:t>
      </w:r>
    </w:p>
  </w:footnote>
  <w:footnote w:id="33">
    <w:p w14:paraId="0A2E5735" w14:textId="77777777" w:rsidR="000A25D7" w:rsidRDefault="000A25D7" w:rsidP="00E3274D">
      <w:pPr>
        <w:pStyle w:val="FootnoteText"/>
      </w:pPr>
      <w:r>
        <w:rPr>
          <w:rStyle w:val="FootnoteReference"/>
        </w:rPr>
        <w:footnoteRef/>
      </w:r>
      <w:r>
        <w:t xml:space="preserve"> Guidance Text 6.4.1.2 pages 14 - 15</w:t>
      </w:r>
    </w:p>
  </w:footnote>
  <w:footnote w:id="34">
    <w:p w14:paraId="2021F4A9" w14:textId="50217A7C" w:rsidR="000A25D7" w:rsidRDefault="000A25D7">
      <w:pPr>
        <w:pStyle w:val="FootnoteText"/>
      </w:pPr>
      <w:r>
        <w:rPr>
          <w:rStyle w:val="FootnoteReference"/>
        </w:rPr>
        <w:footnoteRef/>
      </w:r>
      <w:r>
        <w:t xml:space="preserve"> Guidance Text 6.4.1.3 page 17; Bankruptcy Law art 35</w:t>
      </w:r>
    </w:p>
  </w:footnote>
  <w:footnote w:id="35">
    <w:p w14:paraId="0C934E44" w14:textId="2C85CDCD" w:rsidR="000A25D7" w:rsidRDefault="000A25D7">
      <w:pPr>
        <w:pStyle w:val="FootnoteText"/>
      </w:pPr>
      <w:r>
        <w:rPr>
          <w:rStyle w:val="FootnoteReference"/>
        </w:rPr>
        <w:footnoteRef/>
      </w:r>
      <w:r>
        <w:t xml:space="preserve"> Guidance Text 6.4.1.4 page 18</w:t>
      </w:r>
    </w:p>
  </w:footnote>
  <w:footnote w:id="36">
    <w:p w14:paraId="090850ED" w14:textId="59BD16A4" w:rsidR="000A25D7" w:rsidRDefault="000A25D7">
      <w:pPr>
        <w:pStyle w:val="FootnoteText"/>
      </w:pPr>
      <w:r>
        <w:rPr>
          <w:rStyle w:val="FootnoteReference"/>
        </w:rPr>
        <w:footnoteRef/>
      </w:r>
      <w:r>
        <w:t xml:space="preserve"> Guidance Text 6.4.1.5 page 19; Bankruptcy Law art 42</w:t>
      </w:r>
    </w:p>
  </w:footnote>
  <w:footnote w:id="37">
    <w:p w14:paraId="5839DCD2" w14:textId="2E90B18C" w:rsidR="000A25D7" w:rsidRDefault="000A25D7">
      <w:pPr>
        <w:pStyle w:val="FootnoteText"/>
      </w:pPr>
      <w:r>
        <w:rPr>
          <w:rStyle w:val="FootnoteReference"/>
        </w:rPr>
        <w:footnoteRef/>
      </w:r>
      <w:r>
        <w:t xml:space="preserve"> Guidance Text 6.4.1.5 page 19</w:t>
      </w:r>
    </w:p>
  </w:footnote>
  <w:footnote w:id="38">
    <w:p w14:paraId="56F74DC7" w14:textId="1F990D47" w:rsidR="000A25D7" w:rsidRDefault="000A25D7">
      <w:pPr>
        <w:pStyle w:val="FootnoteText"/>
      </w:pPr>
      <w:r>
        <w:rPr>
          <w:rStyle w:val="FootnoteReference"/>
        </w:rPr>
        <w:footnoteRef/>
      </w:r>
      <w:r>
        <w:t xml:space="preserve"> Guidance Text 6.4.1.5 page 19</w:t>
      </w:r>
    </w:p>
  </w:footnote>
  <w:footnote w:id="39">
    <w:p w14:paraId="67D728F6" w14:textId="5EEED0BF" w:rsidR="000A25D7" w:rsidRDefault="000A25D7">
      <w:pPr>
        <w:pStyle w:val="FootnoteText"/>
      </w:pPr>
      <w:r>
        <w:rPr>
          <w:rStyle w:val="FootnoteReference"/>
        </w:rPr>
        <w:footnoteRef/>
      </w:r>
      <w:r>
        <w:t xml:space="preserve"> Guidance Text 6.4.1.6 page 20</w:t>
      </w:r>
    </w:p>
  </w:footnote>
  <w:footnote w:id="40">
    <w:p w14:paraId="1337DE87" w14:textId="736419E4" w:rsidR="000A25D7" w:rsidRDefault="000A25D7">
      <w:pPr>
        <w:pStyle w:val="FootnoteText"/>
      </w:pPr>
      <w:r>
        <w:rPr>
          <w:rStyle w:val="FootnoteReference"/>
        </w:rPr>
        <w:footnoteRef/>
      </w:r>
      <w:r>
        <w:t xml:space="preserve"> Guidance Text 6.4.1.6 page 20; Bankruptcy Law art 49</w:t>
      </w:r>
    </w:p>
  </w:footnote>
  <w:footnote w:id="41">
    <w:p w14:paraId="04DCC31E" w14:textId="3B13A783" w:rsidR="000A25D7" w:rsidRDefault="000A25D7">
      <w:pPr>
        <w:pStyle w:val="FootnoteText"/>
      </w:pPr>
      <w:r>
        <w:rPr>
          <w:rStyle w:val="FootnoteReference"/>
        </w:rPr>
        <w:footnoteRef/>
      </w:r>
      <w:r>
        <w:t xml:space="preserve"> Guidance Text 6.4.6.1 page 33</w:t>
      </w:r>
    </w:p>
  </w:footnote>
  <w:footnote w:id="42">
    <w:p w14:paraId="49F0F187" w14:textId="1A5EACD2" w:rsidR="000A25D7" w:rsidRDefault="000A25D7">
      <w:pPr>
        <w:pStyle w:val="FootnoteText"/>
      </w:pPr>
      <w:r>
        <w:rPr>
          <w:rStyle w:val="FootnoteReference"/>
        </w:rPr>
        <w:footnoteRef/>
      </w:r>
      <w:r>
        <w:t xml:space="preserve"> Guidance Text 6.4.5.2 page 27; Bankruptcy Law Article 84</w:t>
      </w:r>
    </w:p>
  </w:footnote>
  <w:footnote w:id="43">
    <w:p w14:paraId="12671A9C" w14:textId="10A956CC" w:rsidR="000A25D7" w:rsidRDefault="000A25D7">
      <w:pPr>
        <w:pStyle w:val="FootnoteText"/>
      </w:pPr>
      <w:r>
        <w:rPr>
          <w:rStyle w:val="FootnoteReference"/>
        </w:rPr>
        <w:footnoteRef/>
      </w:r>
      <w:r>
        <w:t xml:space="preserve"> Guidance Text 6.4.6.1 page 33; Bankruptcy Law Article 128 and 133 respectively</w:t>
      </w:r>
    </w:p>
  </w:footnote>
  <w:footnote w:id="44">
    <w:p w14:paraId="0DC4E48D" w14:textId="305A8CCA" w:rsidR="000A25D7" w:rsidRDefault="000A25D7">
      <w:pPr>
        <w:pStyle w:val="FootnoteText"/>
      </w:pPr>
      <w:r>
        <w:rPr>
          <w:rStyle w:val="FootnoteReference"/>
        </w:rPr>
        <w:footnoteRef/>
      </w:r>
      <w:r>
        <w:t xml:space="preserve"> Guidance Text 6.4.6.1 page 33; Bankruptcy Law Article 129</w:t>
      </w:r>
    </w:p>
  </w:footnote>
  <w:footnote w:id="45">
    <w:p w14:paraId="7043A51A" w14:textId="02CD0E58" w:rsidR="000A25D7" w:rsidRDefault="000A25D7">
      <w:pPr>
        <w:pStyle w:val="FootnoteText"/>
      </w:pPr>
      <w:r>
        <w:rPr>
          <w:rStyle w:val="FootnoteReference"/>
        </w:rPr>
        <w:footnoteRef/>
      </w:r>
      <w:r>
        <w:t xml:space="preserve"> Guidance Text 6.4.6.1 page 33</w:t>
      </w:r>
    </w:p>
  </w:footnote>
  <w:footnote w:id="46">
    <w:p w14:paraId="2CFFA136" w14:textId="08139B21" w:rsidR="000A25D7" w:rsidRDefault="000A25D7">
      <w:pPr>
        <w:pStyle w:val="FootnoteText"/>
      </w:pPr>
      <w:r>
        <w:rPr>
          <w:rStyle w:val="FootnoteReference"/>
        </w:rPr>
        <w:footnoteRef/>
      </w:r>
      <w:r>
        <w:t xml:space="preserve"> Guidance Text 6.4.6.1 page 33</w:t>
      </w:r>
    </w:p>
  </w:footnote>
  <w:footnote w:id="47">
    <w:p w14:paraId="3B84209B" w14:textId="432FFF22" w:rsidR="000A25D7" w:rsidRDefault="000A25D7">
      <w:pPr>
        <w:pStyle w:val="FootnoteText"/>
      </w:pPr>
      <w:r>
        <w:rPr>
          <w:rStyle w:val="FootnoteReference"/>
        </w:rPr>
        <w:footnoteRef/>
      </w:r>
      <w:r>
        <w:t xml:space="preserve"> Guidance Text 6.4.6.1 page 34</w:t>
      </w:r>
    </w:p>
  </w:footnote>
  <w:footnote w:id="48">
    <w:p w14:paraId="5E70A1CF" w14:textId="231001F0" w:rsidR="000A25D7" w:rsidRDefault="000A25D7">
      <w:pPr>
        <w:pStyle w:val="FootnoteText"/>
      </w:pPr>
      <w:r>
        <w:rPr>
          <w:rStyle w:val="FootnoteReference"/>
        </w:rPr>
        <w:footnoteRef/>
      </w:r>
      <w:r>
        <w:t xml:space="preserve"> Guidance Text 6.4.7; 6.4.7.1 page 36</w:t>
      </w:r>
    </w:p>
  </w:footnote>
  <w:footnote w:id="49">
    <w:p w14:paraId="3246795C" w14:textId="040AB93E" w:rsidR="000A25D7" w:rsidRDefault="000A25D7">
      <w:pPr>
        <w:pStyle w:val="FootnoteText"/>
      </w:pPr>
      <w:r>
        <w:rPr>
          <w:rStyle w:val="FootnoteReference"/>
        </w:rPr>
        <w:footnoteRef/>
      </w:r>
      <w:r>
        <w:t xml:space="preserve"> Guidance Text 6.4.7.1 page 37</w:t>
      </w:r>
    </w:p>
  </w:footnote>
  <w:footnote w:id="50">
    <w:p w14:paraId="0C88A02D" w14:textId="10F021C4" w:rsidR="000A25D7" w:rsidRDefault="000A25D7">
      <w:pPr>
        <w:pStyle w:val="FootnoteText"/>
      </w:pPr>
      <w:r>
        <w:rPr>
          <w:rStyle w:val="FootnoteReference"/>
        </w:rPr>
        <w:footnoteRef/>
      </w:r>
      <w:r>
        <w:t xml:space="preserve"> Guidance Text 6.4.7.1 page 37</w:t>
      </w:r>
    </w:p>
  </w:footnote>
  <w:footnote w:id="51">
    <w:p w14:paraId="01D58CBE" w14:textId="6B9A8CFA" w:rsidR="000A25D7" w:rsidRDefault="000A25D7">
      <w:pPr>
        <w:pStyle w:val="FootnoteText"/>
      </w:pPr>
      <w:r>
        <w:rPr>
          <w:rStyle w:val="FootnoteReference"/>
        </w:rPr>
        <w:footnoteRef/>
      </w:r>
      <w:r>
        <w:t xml:space="preserve"> Guidance Text 6.4.7.1 page 37</w:t>
      </w:r>
    </w:p>
  </w:footnote>
  <w:footnote w:id="52">
    <w:p w14:paraId="53D7F76F" w14:textId="1F3C3238" w:rsidR="00C37AA7" w:rsidRDefault="00C37AA7">
      <w:pPr>
        <w:pStyle w:val="FootnoteText"/>
      </w:pPr>
      <w:r>
        <w:rPr>
          <w:rStyle w:val="FootnoteReference"/>
        </w:rPr>
        <w:footnoteRef/>
      </w:r>
      <w:r>
        <w:t xml:space="preserve"> </w:t>
      </w:r>
      <w:r>
        <w:t>Guidance Text 6.4.7.1 page 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0E837BD9"/>
    <w:multiLevelType w:val="hybridMultilevel"/>
    <w:tmpl w:val="8EBAFD40"/>
    <w:lvl w:ilvl="0" w:tplc="8E480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8">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3">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num>
  <w:num w:numId="5">
    <w:abstractNumId w:val="35"/>
  </w:num>
  <w:num w:numId="6">
    <w:abstractNumId w:val="9"/>
  </w:num>
  <w:num w:numId="7">
    <w:abstractNumId w:val="34"/>
  </w:num>
  <w:num w:numId="8">
    <w:abstractNumId w:val="6"/>
  </w:num>
  <w:num w:numId="9">
    <w:abstractNumId w:val="8"/>
  </w:num>
  <w:num w:numId="10">
    <w:abstractNumId w:val="4"/>
  </w:num>
  <w:num w:numId="11">
    <w:abstractNumId w:val="18"/>
  </w:num>
  <w:num w:numId="12">
    <w:abstractNumId w:val="15"/>
  </w:num>
  <w:num w:numId="13">
    <w:abstractNumId w:val="26"/>
  </w:num>
  <w:num w:numId="14">
    <w:abstractNumId w:val="20"/>
  </w:num>
  <w:num w:numId="15">
    <w:abstractNumId w:val="31"/>
  </w:num>
  <w:num w:numId="16">
    <w:abstractNumId w:val="0"/>
  </w:num>
  <w:num w:numId="17">
    <w:abstractNumId w:val="11"/>
  </w:num>
  <w:num w:numId="18">
    <w:abstractNumId w:val="17"/>
  </w:num>
  <w:num w:numId="19">
    <w:abstractNumId w:val="22"/>
  </w:num>
  <w:num w:numId="20">
    <w:abstractNumId w:val="21"/>
  </w:num>
  <w:num w:numId="21">
    <w:abstractNumId w:val="5"/>
  </w:num>
  <w:num w:numId="22">
    <w:abstractNumId w:val="25"/>
  </w:num>
  <w:num w:numId="23">
    <w:abstractNumId w:val="3"/>
  </w:num>
  <w:num w:numId="24">
    <w:abstractNumId w:val="24"/>
  </w:num>
  <w:num w:numId="25">
    <w:abstractNumId w:val="14"/>
  </w:num>
  <w:num w:numId="26">
    <w:abstractNumId w:val="30"/>
  </w:num>
  <w:num w:numId="27">
    <w:abstractNumId w:val="12"/>
  </w:num>
  <w:num w:numId="28">
    <w:abstractNumId w:val="1"/>
  </w:num>
  <w:num w:numId="29">
    <w:abstractNumId w:val="10"/>
  </w:num>
  <w:num w:numId="30">
    <w:abstractNumId w:val="23"/>
  </w:num>
  <w:num w:numId="31">
    <w:abstractNumId w:val="19"/>
  </w:num>
  <w:num w:numId="32">
    <w:abstractNumId w:val="16"/>
  </w:num>
  <w:num w:numId="33">
    <w:abstractNumId w:val="2"/>
  </w:num>
  <w:num w:numId="34">
    <w:abstractNumId w:val="28"/>
  </w:num>
  <w:num w:numId="35">
    <w:abstractNumId w:val="29"/>
  </w:num>
  <w:num w:numId="36">
    <w:abstractNumId w:val="13"/>
  </w:num>
  <w:num w:numId="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7BF3"/>
    <w:rsid w:val="00007C38"/>
    <w:rsid w:val="00010BA0"/>
    <w:rsid w:val="0001430E"/>
    <w:rsid w:val="00020557"/>
    <w:rsid w:val="00021FC2"/>
    <w:rsid w:val="000250C7"/>
    <w:rsid w:val="000265C1"/>
    <w:rsid w:val="00026F16"/>
    <w:rsid w:val="00037621"/>
    <w:rsid w:val="00044D46"/>
    <w:rsid w:val="00045088"/>
    <w:rsid w:val="00045904"/>
    <w:rsid w:val="000471B0"/>
    <w:rsid w:val="000502FD"/>
    <w:rsid w:val="00050EC4"/>
    <w:rsid w:val="00065166"/>
    <w:rsid w:val="00082609"/>
    <w:rsid w:val="000851CC"/>
    <w:rsid w:val="00085C85"/>
    <w:rsid w:val="00087F21"/>
    <w:rsid w:val="00093BE8"/>
    <w:rsid w:val="000A25D7"/>
    <w:rsid w:val="000A407B"/>
    <w:rsid w:val="000A68ED"/>
    <w:rsid w:val="000B56F4"/>
    <w:rsid w:val="000B5FF1"/>
    <w:rsid w:val="000B609F"/>
    <w:rsid w:val="000D55A8"/>
    <w:rsid w:val="000D68D9"/>
    <w:rsid w:val="000E4841"/>
    <w:rsid w:val="000E4FA3"/>
    <w:rsid w:val="000F1677"/>
    <w:rsid w:val="000F3D6C"/>
    <w:rsid w:val="00101707"/>
    <w:rsid w:val="00102CC9"/>
    <w:rsid w:val="0010593A"/>
    <w:rsid w:val="00111F83"/>
    <w:rsid w:val="0011473D"/>
    <w:rsid w:val="00115C85"/>
    <w:rsid w:val="00120FBC"/>
    <w:rsid w:val="00122F36"/>
    <w:rsid w:val="00123855"/>
    <w:rsid w:val="00126A4D"/>
    <w:rsid w:val="00136839"/>
    <w:rsid w:val="0014171F"/>
    <w:rsid w:val="0014622C"/>
    <w:rsid w:val="001504DA"/>
    <w:rsid w:val="00152348"/>
    <w:rsid w:val="0015456D"/>
    <w:rsid w:val="00155FA2"/>
    <w:rsid w:val="00161F1B"/>
    <w:rsid w:val="00162829"/>
    <w:rsid w:val="001640CD"/>
    <w:rsid w:val="00164DBE"/>
    <w:rsid w:val="001706A5"/>
    <w:rsid w:val="00173A3F"/>
    <w:rsid w:val="00180548"/>
    <w:rsid w:val="00180AC4"/>
    <w:rsid w:val="00180CCE"/>
    <w:rsid w:val="0018267A"/>
    <w:rsid w:val="00182779"/>
    <w:rsid w:val="001830DF"/>
    <w:rsid w:val="001846DE"/>
    <w:rsid w:val="001966D9"/>
    <w:rsid w:val="001973A3"/>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34D3"/>
    <w:rsid w:val="0020725B"/>
    <w:rsid w:val="002073B6"/>
    <w:rsid w:val="00207C3D"/>
    <w:rsid w:val="00207CC7"/>
    <w:rsid w:val="002110F1"/>
    <w:rsid w:val="00221401"/>
    <w:rsid w:val="00221D20"/>
    <w:rsid w:val="00224E71"/>
    <w:rsid w:val="00226CB6"/>
    <w:rsid w:val="002332A5"/>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369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F1956"/>
    <w:rsid w:val="002F3440"/>
    <w:rsid w:val="002F75A3"/>
    <w:rsid w:val="00303C2F"/>
    <w:rsid w:val="00305E53"/>
    <w:rsid w:val="00307D85"/>
    <w:rsid w:val="003144EF"/>
    <w:rsid w:val="00320701"/>
    <w:rsid w:val="00326292"/>
    <w:rsid w:val="00326415"/>
    <w:rsid w:val="00330937"/>
    <w:rsid w:val="00330F31"/>
    <w:rsid w:val="00334648"/>
    <w:rsid w:val="003375EE"/>
    <w:rsid w:val="0033768C"/>
    <w:rsid w:val="00337938"/>
    <w:rsid w:val="00340769"/>
    <w:rsid w:val="00341AA6"/>
    <w:rsid w:val="00353FD4"/>
    <w:rsid w:val="00361148"/>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A70DF"/>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21523"/>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7F7"/>
    <w:rsid w:val="00493855"/>
    <w:rsid w:val="00495E79"/>
    <w:rsid w:val="004979B6"/>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079C2"/>
    <w:rsid w:val="00510995"/>
    <w:rsid w:val="00513584"/>
    <w:rsid w:val="005177FE"/>
    <w:rsid w:val="0052263B"/>
    <w:rsid w:val="00524728"/>
    <w:rsid w:val="005331CA"/>
    <w:rsid w:val="00537970"/>
    <w:rsid w:val="00540E3A"/>
    <w:rsid w:val="00544127"/>
    <w:rsid w:val="005463A9"/>
    <w:rsid w:val="005532B0"/>
    <w:rsid w:val="00553EB2"/>
    <w:rsid w:val="00560534"/>
    <w:rsid w:val="0056391B"/>
    <w:rsid w:val="005650E2"/>
    <w:rsid w:val="00567AD7"/>
    <w:rsid w:val="00575B2D"/>
    <w:rsid w:val="005813E3"/>
    <w:rsid w:val="005833D0"/>
    <w:rsid w:val="005846F3"/>
    <w:rsid w:val="005854B7"/>
    <w:rsid w:val="0058622F"/>
    <w:rsid w:val="005906C2"/>
    <w:rsid w:val="005919BD"/>
    <w:rsid w:val="00592F82"/>
    <w:rsid w:val="005A0CCA"/>
    <w:rsid w:val="005A12C7"/>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449BA"/>
    <w:rsid w:val="00645288"/>
    <w:rsid w:val="006465EC"/>
    <w:rsid w:val="00651151"/>
    <w:rsid w:val="00653841"/>
    <w:rsid w:val="00654C2F"/>
    <w:rsid w:val="00657087"/>
    <w:rsid w:val="006639DB"/>
    <w:rsid w:val="006645D6"/>
    <w:rsid w:val="006661EF"/>
    <w:rsid w:val="00677AEB"/>
    <w:rsid w:val="00680EF2"/>
    <w:rsid w:val="00687A1D"/>
    <w:rsid w:val="00697EA1"/>
    <w:rsid w:val="006A2646"/>
    <w:rsid w:val="006A6530"/>
    <w:rsid w:val="006B435A"/>
    <w:rsid w:val="006B4C64"/>
    <w:rsid w:val="006B503E"/>
    <w:rsid w:val="006B7786"/>
    <w:rsid w:val="006C146A"/>
    <w:rsid w:val="006D075D"/>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6077"/>
    <w:rsid w:val="00737C86"/>
    <w:rsid w:val="00740DAD"/>
    <w:rsid w:val="007524A3"/>
    <w:rsid w:val="007566B8"/>
    <w:rsid w:val="007603F5"/>
    <w:rsid w:val="00764DB0"/>
    <w:rsid w:val="0076764D"/>
    <w:rsid w:val="007721EB"/>
    <w:rsid w:val="0077431E"/>
    <w:rsid w:val="0077498C"/>
    <w:rsid w:val="007809BC"/>
    <w:rsid w:val="00784128"/>
    <w:rsid w:val="00787BCC"/>
    <w:rsid w:val="00793173"/>
    <w:rsid w:val="007A2A33"/>
    <w:rsid w:val="007A7EA9"/>
    <w:rsid w:val="007B4F09"/>
    <w:rsid w:val="007B58FF"/>
    <w:rsid w:val="007B5C89"/>
    <w:rsid w:val="007C1FCC"/>
    <w:rsid w:val="007C47BF"/>
    <w:rsid w:val="007C561F"/>
    <w:rsid w:val="007C6201"/>
    <w:rsid w:val="007C7344"/>
    <w:rsid w:val="007D3660"/>
    <w:rsid w:val="007D7C92"/>
    <w:rsid w:val="007E1154"/>
    <w:rsid w:val="007E6BA4"/>
    <w:rsid w:val="007F41F8"/>
    <w:rsid w:val="007F659B"/>
    <w:rsid w:val="007F6EED"/>
    <w:rsid w:val="00802A58"/>
    <w:rsid w:val="00803040"/>
    <w:rsid w:val="0080454E"/>
    <w:rsid w:val="00804C32"/>
    <w:rsid w:val="00806302"/>
    <w:rsid w:val="00806E0A"/>
    <w:rsid w:val="00807119"/>
    <w:rsid w:val="008138A2"/>
    <w:rsid w:val="00815F57"/>
    <w:rsid w:val="00821EDC"/>
    <w:rsid w:val="00822059"/>
    <w:rsid w:val="00822751"/>
    <w:rsid w:val="0082483F"/>
    <w:rsid w:val="008279C0"/>
    <w:rsid w:val="00830004"/>
    <w:rsid w:val="00830097"/>
    <w:rsid w:val="00832444"/>
    <w:rsid w:val="00867701"/>
    <w:rsid w:val="008723F3"/>
    <w:rsid w:val="0087277E"/>
    <w:rsid w:val="00876F56"/>
    <w:rsid w:val="00881DE6"/>
    <w:rsid w:val="008837A6"/>
    <w:rsid w:val="0089145D"/>
    <w:rsid w:val="008A4DF2"/>
    <w:rsid w:val="008A5090"/>
    <w:rsid w:val="008A6CFE"/>
    <w:rsid w:val="008B403D"/>
    <w:rsid w:val="008B5333"/>
    <w:rsid w:val="008B6223"/>
    <w:rsid w:val="008C2BD9"/>
    <w:rsid w:val="008C66E0"/>
    <w:rsid w:val="008D1432"/>
    <w:rsid w:val="008E3339"/>
    <w:rsid w:val="008F20FC"/>
    <w:rsid w:val="008F5FFE"/>
    <w:rsid w:val="0090239E"/>
    <w:rsid w:val="0090333C"/>
    <w:rsid w:val="00905A43"/>
    <w:rsid w:val="00912C79"/>
    <w:rsid w:val="009164DD"/>
    <w:rsid w:val="00921B8C"/>
    <w:rsid w:val="00922A3A"/>
    <w:rsid w:val="00942123"/>
    <w:rsid w:val="0095207B"/>
    <w:rsid w:val="00953349"/>
    <w:rsid w:val="00962045"/>
    <w:rsid w:val="00964771"/>
    <w:rsid w:val="0096548A"/>
    <w:rsid w:val="00965804"/>
    <w:rsid w:val="00971CDF"/>
    <w:rsid w:val="00973328"/>
    <w:rsid w:val="00973D65"/>
    <w:rsid w:val="00980E61"/>
    <w:rsid w:val="00991428"/>
    <w:rsid w:val="00992676"/>
    <w:rsid w:val="00993256"/>
    <w:rsid w:val="009954B2"/>
    <w:rsid w:val="00996691"/>
    <w:rsid w:val="009A3AB7"/>
    <w:rsid w:val="009A5EC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0784B"/>
    <w:rsid w:val="00A2274A"/>
    <w:rsid w:val="00A232F1"/>
    <w:rsid w:val="00A235B7"/>
    <w:rsid w:val="00A27A7A"/>
    <w:rsid w:val="00A334F9"/>
    <w:rsid w:val="00A34ABE"/>
    <w:rsid w:val="00A407EF"/>
    <w:rsid w:val="00A44EE1"/>
    <w:rsid w:val="00A46B4C"/>
    <w:rsid w:val="00A5117B"/>
    <w:rsid w:val="00A55A47"/>
    <w:rsid w:val="00A56D34"/>
    <w:rsid w:val="00A60074"/>
    <w:rsid w:val="00A6627C"/>
    <w:rsid w:val="00A667D6"/>
    <w:rsid w:val="00A71019"/>
    <w:rsid w:val="00A81029"/>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44713"/>
    <w:rsid w:val="00B45DDD"/>
    <w:rsid w:val="00B46C4B"/>
    <w:rsid w:val="00B51B95"/>
    <w:rsid w:val="00B52047"/>
    <w:rsid w:val="00B539E0"/>
    <w:rsid w:val="00B56103"/>
    <w:rsid w:val="00B64929"/>
    <w:rsid w:val="00B66A94"/>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06FA"/>
    <w:rsid w:val="00BF50F7"/>
    <w:rsid w:val="00BF7738"/>
    <w:rsid w:val="00C02F29"/>
    <w:rsid w:val="00C17718"/>
    <w:rsid w:val="00C2018C"/>
    <w:rsid w:val="00C20AFE"/>
    <w:rsid w:val="00C22A25"/>
    <w:rsid w:val="00C24907"/>
    <w:rsid w:val="00C35671"/>
    <w:rsid w:val="00C35B77"/>
    <w:rsid w:val="00C376EB"/>
    <w:rsid w:val="00C37AA7"/>
    <w:rsid w:val="00C46A92"/>
    <w:rsid w:val="00C46EC1"/>
    <w:rsid w:val="00C5122B"/>
    <w:rsid w:val="00C525D3"/>
    <w:rsid w:val="00C52796"/>
    <w:rsid w:val="00C53E2C"/>
    <w:rsid w:val="00C550C8"/>
    <w:rsid w:val="00C55824"/>
    <w:rsid w:val="00C56B61"/>
    <w:rsid w:val="00C606C3"/>
    <w:rsid w:val="00C620F4"/>
    <w:rsid w:val="00C71356"/>
    <w:rsid w:val="00C72848"/>
    <w:rsid w:val="00C76745"/>
    <w:rsid w:val="00C7736C"/>
    <w:rsid w:val="00C77784"/>
    <w:rsid w:val="00C82D87"/>
    <w:rsid w:val="00C8712A"/>
    <w:rsid w:val="00C902C8"/>
    <w:rsid w:val="00C919D1"/>
    <w:rsid w:val="00C963D3"/>
    <w:rsid w:val="00CA448F"/>
    <w:rsid w:val="00CB1983"/>
    <w:rsid w:val="00CB22FA"/>
    <w:rsid w:val="00CB2CBB"/>
    <w:rsid w:val="00CB7CAC"/>
    <w:rsid w:val="00CC5335"/>
    <w:rsid w:val="00CC5451"/>
    <w:rsid w:val="00CC5BA4"/>
    <w:rsid w:val="00CD3AFB"/>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6A6B"/>
    <w:rsid w:val="00DE71A2"/>
    <w:rsid w:val="00DE7516"/>
    <w:rsid w:val="00DE7B11"/>
    <w:rsid w:val="00DF75F8"/>
    <w:rsid w:val="00DF7A3A"/>
    <w:rsid w:val="00E00C00"/>
    <w:rsid w:val="00E01AA6"/>
    <w:rsid w:val="00E07C5A"/>
    <w:rsid w:val="00E15BA9"/>
    <w:rsid w:val="00E20F31"/>
    <w:rsid w:val="00E26E19"/>
    <w:rsid w:val="00E27899"/>
    <w:rsid w:val="00E31DF3"/>
    <w:rsid w:val="00E3274D"/>
    <w:rsid w:val="00E450A4"/>
    <w:rsid w:val="00E506BE"/>
    <w:rsid w:val="00E55547"/>
    <w:rsid w:val="00E62FE8"/>
    <w:rsid w:val="00E6302B"/>
    <w:rsid w:val="00E6452F"/>
    <w:rsid w:val="00E64F45"/>
    <w:rsid w:val="00E653B1"/>
    <w:rsid w:val="00E6742D"/>
    <w:rsid w:val="00E71CB0"/>
    <w:rsid w:val="00E74ECD"/>
    <w:rsid w:val="00E77C3D"/>
    <w:rsid w:val="00E84A57"/>
    <w:rsid w:val="00E90991"/>
    <w:rsid w:val="00E909F0"/>
    <w:rsid w:val="00E90D47"/>
    <w:rsid w:val="00E93993"/>
    <w:rsid w:val="00E9597C"/>
    <w:rsid w:val="00E968BE"/>
    <w:rsid w:val="00EA0913"/>
    <w:rsid w:val="00EA5B00"/>
    <w:rsid w:val="00EB146B"/>
    <w:rsid w:val="00EB45AC"/>
    <w:rsid w:val="00EC1E6D"/>
    <w:rsid w:val="00EC441F"/>
    <w:rsid w:val="00EC4755"/>
    <w:rsid w:val="00EC652A"/>
    <w:rsid w:val="00ED0BC4"/>
    <w:rsid w:val="00ED447D"/>
    <w:rsid w:val="00EE0B41"/>
    <w:rsid w:val="00EE1E8B"/>
    <w:rsid w:val="00EE4971"/>
    <w:rsid w:val="00EE6CB0"/>
    <w:rsid w:val="00EF090E"/>
    <w:rsid w:val="00EF16E6"/>
    <w:rsid w:val="00EF2373"/>
    <w:rsid w:val="00EF5572"/>
    <w:rsid w:val="00F033DA"/>
    <w:rsid w:val="00F078C2"/>
    <w:rsid w:val="00F13691"/>
    <w:rsid w:val="00F13FB1"/>
    <w:rsid w:val="00F27CD8"/>
    <w:rsid w:val="00F30351"/>
    <w:rsid w:val="00F3323E"/>
    <w:rsid w:val="00F341F4"/>
    <w:rsid w:val="00F34F9D"/>
    <w:rsid w:val="00F35CCE"/>
    <w:rsid w:val="00F5524B"/>
    <w:rsid w:val="00F5620F"/>
    <w:rsid w:val="00F60538"/>
    <w:rsid w:val="00F61DD2"/>
    <w:rsid w:val="00F6209B"/>
    <w:rsid w:val="00F628A0"/>
    <w:rsid w:val="00F66AFF"/>
    <w:rsid w:val="00F71433"/>
    <w:rsid w:val="00F76A65"/>
    <w:rsid w:val="00F80E9B"/>
    <w:rsid w:val="00F823E3"/>
    <w:rsid w:val="00F8668C"/>
    <w:rsid w:val="00F9362A"/>
    <w:rsid w:val="00F95096"/>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6E7D"/>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42F2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F95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B7786"/>
    <w:rPr>
      <w:sz w:val="24"/>
    </w:rPr>
  </w:style>
  <w:style w:type="character" w:customStyle="1" w:styleId="EndnoteTextChar">
    <w:name w:val="Endnote Text Char"/>
    <w:basedOn w:val="DefaultParagraphFont"/>
    <w:link w:val="EndnoteText"/>
    <w:uiPriority w:val="99"/>
    <w:rsid w:val="006B7786"/>
    <w:rPr>
      <w:rFonts w:eastAsia="Times New Roman"/>
    </w:rPr>
  </w:style>
  <w:style w:type="character" w:styleId="EndnoteReference">
    <w:name w:val="endnote reference"/>
    <w:basedOn w:val="DefaultParagraphFont"/>
    <w:uiPriority w:val="99"/>
    <w:unhideWhenUsed/>
    <w:rsid w:val="006B77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F95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6B7786"/>
    <w:rPr>
      <w:sz w:val="24"/>
    </w:rPr>
  </w:style>
  <w:style w:type="character" w:customStyle="1" w:styleId="EndnoteTextChar">
    <w:name w:val="Endnote Text Char"/>
    <w:basedOn w:val="DefaultParagraphFont"/>
    <w:link w:val="EndnoteText"/>
    <w:uiPriority w:val="99"/>
    <w:rsid w:val="006B7786"/>
    <w:rPr>
      <w:rFonts w:eastAsia="Times New Roman"/>
    </w:rPr>
  </w:style>
  <w:style w:type="character" w:styleId="EndnoteReference">
    <w:name w:val="endnote reference"/>
    <w:basedOn w:val="DefaultParagraphFont"/>
    <w:uiPriority w:val="99"/>
    <w:unhideWhenUsed/>
    <w:rsid w:val="006B7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6D66A-A2B9-E84B-9B01-537FCF98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14</Pages>
  <Words>4712</Words>
  <Characters>26862</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Kaveer Soni</cp:lastModifiedBy>
  <cp:revision>48</cp:revision>
  <cp:lastPrinted>2019-08-27T05:42:00Z</cp:lastPrinted>
  <dcterms:created xsi:type="dcterms:W3CDTF">2022-07-06T15:22:00Z</dcterms:created>
  <dcterms:modified xsi:type="dcterms:W3CDTF">2022-07-15T08:50:00Z</dcterms:modified>
</cp:coreProperties>
</file>