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F00116" w:rsidRDefault="00831582" w:rsidP="00BE65AA">
      <w:pPr>
        <w:pStyle w:val="ListParagraph"/>
        <w:numPr>
          <w:ilvl w:val="0"/>
          <w:numId w:val="4"/>
        </w:numPr>
        <w:ind w:left="426"/>
        <w:jc w:val="both"/>
        <w:rPr>
          <w:rFonts w:ascii="Arial" w:hAnsi="Arial" w:cs="Arial"/>
          <w:sz w:val="22"/>
          <w:szCs w:val="22"/>
          <w:highlight w:val="yellow"/>
          <w:lang w:val="en-GB"/>
        </w:rPr>
      </w:pPr>
      <w:r w:rsidRPr="00F00116">
        <w:rPr>
          <w:rFonts w:ascii="Arial" w:hAnsi="Arial" w:cs="Arial"/>
          <w:sz w:val="22"/>
          <w:szCs w:val="22"/>
          <w:highlight w:val="yellow"/>
          <w:lang w:val="en-GB"/>
        </w:rPr>
        <w:t>To</w:t>
      </w:r>
      <w:r w:rsidR="005E32B3" w:rsidRPr="00F00116">
        <w:rPr>
          <w:rFonts w:ascii="Arial" w:hAnsi="Arial" w:cs="Arial"/>
          <w:sz w:val="22"/>
          <w:szCs w:val="22"/>
          <w:highlight w:val="yellow"/>
          <w:lang w:val="en-GB"/>
        </w:rPr>
        <w:t xml:space="preserve"> run the business of the </w:t>
      </w:r>
      <w:r w:rsidR="00787521" w:rsidRPr="00F00116">
        <w:rPr>
          <w:rFonts w:ascii="Arial" w:hAnsi="Arial" w:cs="Arial"/>
          <w:sz w:val="22"/>
          <w:szCs w:val="22"/>
          <w:highlight w:val="yellow"/>
          <w:lang w:val="en-GB"/>
        </w:rPr>
        <w:t xml:space="preserve">debtor </w:t>
      </w:r>
      <w:r w:rsidR="005E32B3" w:rsidRPr="00F00116">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Default="004C294D" w:rsidP="00BE65AA">
      <w:pPr>
        <w:pStyle w:val="ListParagraph"/>
        <w:numPr>
          <w:ilvl w:val="0"/>
          <w:numId w:val="5"/>
        </w:numPr>
        <w:ind w:left="426"/>
        <w:jc w:val="both"/>
        <w:rPr>
          <w:rFonts w:ascii="Arial" w:hAnsi="Arial" w:cs="Arial"/>
          <w:sz w:val="22"/>
          <w:szCs w:val="22"/>
          <w:lang w:val="en-GB"/>
        </w:rPr>
      </w:pPr>
      <w:r w:rsidRPr="00F00116">
        <w:rPr>
          <w:rFonts w:ascii="Arial" w:hAnsi="Arial" w:cs="Arial"/>
          <w:sz w:val="22"/>
          <w:szCs w:val="22"/>
          <w:highlight w:val="yellow"/>
          <w:lang w:val="en-GB"/>
        </w:rPr>
        <w:t>A</w:t>
      </w:r>
      <w:r w:rsidR="00C041E8" w:rsidRPr="00F00116">
        <w:rPr>
          <w:rFonts w:ascii="Arial" w:hAnsi="Arial" w:cs="Arial"/>
          <w:sz w:val="22"/>
          <w:szCs w:val="22"/>
          <w:highlight w:val="yellow"/>
          <w:lang w:val="en-GB"/>
        </w:rPr>
        <w:t xml:space="preserve"> </w:t>
      </w:r>
      <w:r w:rsidR="00DE0963" w:rsidRPr="00F00116">
        <w:rPr>
          <w:rFonts w:ascii="Arial" w:hAnsi="Arial" w:cs="Arial"/>
          <w:sz w:val="22"/>
          <w:szCs w:val="22"/>
          <w:highlight w:val="yellow"/>
          <w:lang w:val="en-GB"/>
        </w:rPr>
        <w:t>pledge</w:t>
      </w:r>
      <w:r w:rsidR="0007291B"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F00116" w:rsidRDefault="00FC32B6" w:rsidP="00BE65AA">
      <w:pPr>
        <w:pStyle w:val="ListParagraph"/>
        <w:numPr>
          <w:ilvl w:val="0"/>
          <w:numId w:val="6"/>
        </w:numPr>
        <w:ind w:left="426"/>
        <w:jc w:val="both"/>
        <w:rPr>
          <w:rFonts w:ascii="Arial" w:hAnsi="Arial" w:cs="Arial"/>
          <w:sz w:val="22"/>
          <w:szCs w:val="22"/>
          <w:highlight w:val="yellow"/>
          <w:lang w:val="en-GB"/>
        </w:rPr>
      </w:pPr>
      <w:r w:rsidRPr="00F00116">
        <w:rPr>
          <w:rFonts w:ascii="Arial" w:hAnsi="Arial" w:cs="Arial"/>
          <w:sz w:val="22"/>
          <w:szCs w:val="22"/>
          <w:highlight w:val="yellow"/>
          <w:lang w:val="en-GB"/>
        </w:rPr>
        <w:t>Any of the above</w:t>
      </w:r>
      <w:r w:rsidR="00EA6F96" w:rsidRPr="00F00116">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657334" w:rsidRDefault="0007291B" w:rsidP="00BE65AA">
      <w:pPr>
        <w:pStyle w:val="ListParagraph"/>
        <w:numPr>
          <w:ilvl w:val="0"/>
          <w:numId w:val="7"/>
        </w:numPr>
        <w:ind w:left="426"/>
        <w:jc w:val="both"/>
        <w:rPr>
          <w:rFonts w:ascii="Arial" w:hAnsi="Arial" w:cs="Arial"/>
          <w:sz w:val="22"/>
          <w:szCs w:val="22"/>
          <w:highlight w:val="yellow"/>
          <w:lang w:val="en-GB"/>
        </w:rPr>
      </w:pPr>
      <w:r w:rsidRPr="00657334">
        <w:rPr>
          <w:rFonts w:ascii="Arial" w:hAnsi="Arial" w:cs="Arial"/>
          <w:sz w:val="22"/>
          <w:szCs w:val="22"/>
          <w:highlight w:val="yellow"/>
          <w:lang w:val="en-GB"/>
        </w:rPr>
        <w:t xml:space="preserve">75% or more in </w:t>
      </w:r>
      <w:r w:rsidR="00483BC6" w:rsidRPr="00657334">
        <w:rPr>
          <w:rFonts w:ascii="Arial" w:hAnsi="Arial" w:cs="Arial"/>
          <w:sz w:val="22"/>
          <w:szCs w:val="22"/>
          <w:highlight w:val="yellow"/>
          <w:lang w:val="en-GB"/>
        </w:rPr>
        <w:t>value</w:t>
      </w:r>
      <w:r w:rsidR="00F50041" w:rsidRPr="00657334">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65F1F" w:rsidRDefault="00FC32B6" w:rsidP="00BE65AA">
      <w:pPr>
        <w:pStyle w:val="ListParagraph"/>
        <w:numPr>
          <w:ilvl w:val="0"/>
          <w:numId w:val="8"/>
        </w:numPr>
        <w:ind w:left="426"/>
        <w:jc w:val="both"/>
        <w:rPr>
          <w:rFonts w:ascii="Arial" w:hAnsi="Arial" w:cs="Arial"/>
          <w:sz w:val="22"/>
          <w:szCs w:val="22"/>
          <w:highlight w:val="yellow"/>
          <w:lang w:val="en-GB"/>
        </w:rPr>
      </w:pPr>
      <w:r w:rsidRPr="00365F1F">
        <w:rPr>
          <w:rFonts w:ascii="Arial" w:hAnsi="Arial" w:cs="Arial"/>
          <w:sz w:val="22"/>
          <w:szCs w:val="22"/>
          <w:highlight w:val="yellow"/>
          <w:lang w:val="en-GB"/>
        </w:rPr>
        <w:t>T</w:t>
      </w:r>
      <w:r w:rsidR="00DE2CD9" w:rsidRPr="00365F1F">
        <w:rPr>
          <w:rFonts w:ascii="Arial" w:hAnsi="Arial" w:cs="Arial"/>
          <w:sz w:val="22"/>
          <w:szCs w:val="22"/>
          <w:highlight w:val="yellow"/>
          <w:lang w:val="en-GB"/>
        </w:rPr>
        <w:t>o not travel overseas under any circumstances whatsoever</w:t>
      </w:r>
      <w:r w:rsidR="00384F62" w:rsidRPr="00365F1F">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9C682E" w:rsidRDefault="00FA4DD1" w:rsidP="00C2645B">
      <w:pPr>
        <w:pStyle w:val="ListParagraph"/>
        <w:numPr>
          <w:ilvl w:val="0"/>
          <w:numId w:val="9"/>
        </w:numPr>
        <w:ind w:left="426"/>
        <w:jc w:val="both"/>
        <w:rPr>
          <w:rFonts w:ascii="Arial" w:hAnsi="Arial" w:cs="Arial"/>
          <w:sz w:val="22"/>
          <w:szCs w:val="22"/>
          <w:highlight w:val="yellow"/>
          <w:lang w:val="en-GB"/>
        </w:rPr>
      </w:pPr>
      <w:r w:rsidRPr="009C682E">
        <w:rPr>
          <w:rFonts w:ascii="Arial" w:hAnsi="Arial" w:cs="Arial"/>
          <w:sz w:val="22"/>
          <w:szCs w:val="22"/>
          <w:highlight w:val="yellow"/>
          <w:lang w:val="en-GB"/>
        </w:rPr>
        <w:t>The court can deny recognition only if recognition is “manifestly contrary” to public policy</w:t>
      </w:r>
      <w:r w:rsidR="00EB7B75" w:rsidRPr="009C682E">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sidRPr="00A05422">
        <w:rPr>
          <w:rFonts w:ascii="Arial" w:hAnsi="Arial" w:cs="Arial"/>
          <w:sz w:val="22"/>
          <w:szCs w:val="22"/>
          <w:highlight w:val="yellow"/>
          <w:lang w:val="en-GB"/>
        </w:rPr>
        <w:t xml:space="preserve">Restrictions on </w:t>
      </w:r>
      <w:r w:rsidR="00BC2272" w:rsidRPr="00A05422">
        <w:rPr>
          <w:rFonts w:ascii="Arial" w:hAnsi="Arial" w:cs="Arial"/>
          <w:i/>
          <w:iCs/>
          <w:sz w:val="22"/>
          <w:szCs w:val="22"/>
          <w:highlight w:val="yellow"/>
          <w:lang w:val="en-GB"/>
        </w:rPr>
        <w:t>ipso facto</w:t>
      </w:r>
      <w:r w:rsidR="00BC2272" w:rsidRPr="00A05422">
        <w:rPr>
          <w:rFonts w:ascii="Arial" w:hAnsi="Arial" w:cs="Arial"/>
          <w:sz w:val="22"/>
          <w:szCs w:val="22"/>
          <w:highlight w:val="yellow"/>
          <w:lang w:val="en-GB"/>
        </w:rPr>
        <w:t xml:space="preserve"> clauses</w:t>
      </w:r>
      <w:r w:rsidR="00384F62">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3C0EB3" w:rsidRDefault="00C21EB5" w:rsidP="00BE65AA">
      <w:pPr>
        <w:pStyle w:val="ListParagraph"/>
        <w:numPr>
          <w:ilvl w:val="0"/>
          <w:numId w:val="11"/>
        </w:numPr>
        <w:ind w:left="426"/>
        <w:jc w:val="both"/>
        <w:rPr>
          <w:rFonts w:ascii="Arial" w:hAnsi="Arial" w:cs="Arial"/>
          <w:sz w:val="22"/>
          <w:szCs w:val="22"/>
          <w:highlight w:val="yellow"/>
          <w:lang w:val="en-GB"/>
        </w:rPr>
      </w:pPr>
      <w:r w:rsidRPr="003C0EB3">
        <w:rPr>
          <w:rFonts w:ascii="Arial" w:hAnsi="Arial" w:cs="Arial"/>
          <w:sz w:val="22"/>
          <w:szCs w:val="22"/>
          <w:highlight w:val="yellow"/>
          <w:lang w:val="en-GB"/>
        </w:rPr>
        <w:t xml:space="preserve">The </w:t>
      </w:r>
      <w:r w:rsidR="00384F62" w:rsidRPr="003C0EB3">
        <w:rPr>
          <w:rFonts w:ascii="Arial" w:hAnsi="Arial" w:cs="Arial"/>
          <w:sz w:val="22"/>
          <w:szCs w:val="22"/>
          <w:highlight w:val="yellow"/>
          <w:lang w:val="en-GB"/>
        </w:rPr>
        <w:t>l</w:t>
      </w:r>
      <w:r w:rsidRPr="003C0EB3">
        <w:rPr>
          <w:rFonts w:ascii="Arial" w:hAnsi="Arial" w:cs="Arial"/>
          <w:sz w:val="22"/>
          <w:szCs w:val="22"/>
          <w:highlight w:val="yellow"/>
          <w:lang w:val="en-GB"/>
        </w:rPr>
        <w:t xml:space="preserve">iquidator by way of an application to </w:t>
      </w:r>
      <w:r w:rsidR="00384F62" w:rsidRPr="003C0EB3">
        <w:rPr>
          <w:rFonts w:ascii="Arial" w:hAnsi="Arial" w:cs="Arial"/>
          <w:sz w:val="22"/>
          <w:szCs w:val="22"/>
          <w:highlight w:val="yellow"/>
          <w:lang w:val="en-GB"/>
        </w:rPr>
        <w:t>c</w:t>
      </w:r>
      <w:r w:rsidRPr="003C0EB3">
        <w:rPr>
          <w:rFonts w:ascii="Arial" w:hAnsi="Arial" w:cs="Arial"/>
          <w:sz w:val="22"/>
          <w:szCs w:val="22"/>
          <w:highlight w:val="yellow"/>
          <w:lang w:val="en-GB"/>
        </w:rPr>
        <w:t>ourt</w:t>
      </w:r>
      <w:r w:rsidR="00384F62" w:rsidRPr="003C0EB3">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3C0EB3" w:rsidRDefault="00391426" w:rsidP="00BE65AA">
      <w:pPr>
        <w:pStyle w:val="ListParagraph"/>
        <w:numPr>
          <w:ilvl w:val="0"/>
          <w:numId w:val="12"/>
        </w:numPr>
        <w:ind w:left="426"/>
        <w:jc w:val="both"/>
        <w:rPr>
          <w:rFonts w:ascii="Arial" w:hAnsi="Arial" w:cs="Arial"/>
          <w:sz w:val="22"/>
          <w:szCs w:val="22"/>
          <w:highlight w:val="yellow"/>
          <w:lang w:val="en-GB"/>
        </w:rPr>
      </w:pPr>
      <w:r w:rsidRPr="003C0EB3">
        <w:rPr>
          <w:rFonts w:ascii="Arial" w:hAnsi="Arial" w:cs="Arial"/>
          <w:sz w:val="22"/>
          <w:szCs w:val="22"/>
          <w:highlight w:val="yellow"/>
          <w:lang w:val="en-GB"/>
        </w:rPr>
        <w:t>Not being able to travel overseas at all</w:t>
      </w:r>
      <w:r w:rsidR="00384F62" w:rsidRPr="003C0EB3">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3C0EB3" w:rsidRDefault="0007291B" w:rsidP="00384F62">
      <w:pPr>
        <w:pStyle w:val="ListParagraph"/>
        <w:numPr>
          <w:ilvl w:val="0"/>
          <w:numId w:val="16"/>
        </w:numPr>
        <w:ind w:left="426"/>
        <w:jc w:val="both"/>
        <w:rPr>
          <w:rFonts w:ascii="Arial" w:hAnsi="Arial" w:cs="Arial"/>
          <w:sz w:val="22"/>
          <w:szCs w:val="22"/>
          <w:highlight w:val="yellow"/>
          <w:lang w:val="en-GB"/>
        </w:rPr>
      </w:pPr>
      <w:r w:rsidRPr="003C0EB3">
        <w:rPr>
          <w:rFonts w:ascii="Arial" w:hAnsi="Arial" w:cs="Arial"/>
          <w:sz w:val="22"/>
          <w:szCs w:val="22"/>
          <w:highlight w:val="yellow"/>
          <w:lang w:val="en-GB"/>
        </w:rPr>
        <w:t xml:space="preserve">The </w:t>
      </w:r>
      <w:r w:rsidR="008569B9" w:rsidRPr="003C0EB3">
        <w:rPr>
          <w:rFonts w:ascii="Arial" w:hAnsi="Arial" w:cs="Arial"/>
          <w:sz w:val="22"/>
          <w:szCs w:val="22"/>
          <w:highlight w:val="yellow"/>
          <w:lang w:val="en-GB"/>
        </w:rPr>
        <w:t>more advantageous realisation of the property than in a liquidation</w:t>
      </w:r>
      <w:r w:rsidR="00384F62" w:rsidRPr="003C0EB3">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31D2AA05" w14:textId="79D14579" w:rsidR="001C36B9" w:rsidRDefault="00787C83" w:rsidP="001C36B9">
      <w:pPr>
        <w:ind w:left="567" w:hanging="567"/>
        <w:jc w:val="both"/>
        <w:rPr>
          <w:rFonts w:ascii="Arial" w:hAnsi="Arial" w:cs="Arial"/>
          <w:sz w:val="22"/>
          <w:szCs w:val="22"/>
        </w:rPr>
      </w:pPr>
      <w:r>
        <w:rPr>
          <w:rFonts w:ascii="Arial" w:hAnsi="Arial" w:cs="Arial"/>
          <w:i/>
          <w:iCs/>
          <w:sz w:val="22"/>
          <w:szCs w:val="22"/>
        </w:rPr>
        <w:t xml:space="preserve">Ans. </w:t>
      </w:r>
      <w:r w:rsidR="006608E3" w:rsidRPr="006608E3">
        <w:rPr>
          <w:rFonts w:ascii="Arial" w:hAnsi="Arial" w:cs="Arial"/>
          <w:i/>
          <w:iCs/>
          <w:sz w:val="22"/>
          <w:szCs w:val="22"/>
        </w:rPr>
        <w:t>Sun Electric</w:t>
      </w:r>
      <w:r w:rsidR="006608E3">
        <w:rPr>
          <w:rFonts w:ascii="Arial" w:hAnsi="Arial" w:cs="Arial"/>
          <w:i/>
          <w:iCs/>
          <w:sz w:val="22"/>
          <w:szCs w:val="22"/>
        </w:rPr>
        <w:t xml:space="preserve"> </w:t>
      </w:r>
      <w:r w:rsidR="006608E3" w:rsidRPr="00264F7D">
        <w:rPr>
          <w:rFonts w:ascii="Arial" w:hAnsi="Arial" w:cs="Arial"/>
          <w:i/>
          <w:iCs/>
          <w:sz w:val="22"/>
          <w:szCs w:val="22"/>
          <w:lang w:val="en-GB"/>
        </w:rPr>
        <w:t>Power Pte Ltd v RCMA Asia Pte Ltd</w:t>
      </w:r>
      <w:r w:rsidR="006608E3" w:rsidRPr="00A915E4">
        <w:rPr>
          <w:rFonts w:ascii="Arial" w:hAnsi="Arial" w:cs="Arial"/>
          <w:sz w:val="22"/>
          <w:szCs w:val="22"/>
          <w:lang w:val="en-GB"/>
        </w:rPr>
        <w:t xml:space="preserve"> [2021] SGCA 60</w:t>
      </w:r>
      <w:r w:rsidR="006608E3" w:rsidRPr="006608E3">
        <w:rPr>
          <w:rFonts w:ascii="Arial" w:hAnsi="Arial" w:cs="Arial"/>
          <w:sz w:val="22"/>
          <w:szCs w:val="22"/>
        </w:rPr>
        <w:t> is noteworthy as it</w:t>
      </w:r>
      <w:r w:rsidR="006608E3">
        <w:rPr>
          <w:rFonts w:ascii="Arial" w:hAnsi="Arial" w:cs="Arial"/>
          <w:sz w:val="22"/>
          <w:szCs w:val="22"/>
        </w:rPr>
        <w:t xml:space="preserve"> </w:t>
      </w:r>
      <w:r w:rsidR="006608E3" w:rsidRPr="006608E3">
        <w:rPr>
          <w:rFonts w:ascii="Arial" w:hAnsi="Arial" w:cs="Arial"/>
          <w:sz w:val="22"/>
          <w:szCs w:val="22"/>
        </w:rPr>
        <w:t xml:space="preserve">definitively established the cash flow test as the sole applicable test for the purpose of determining insolvency under s </w:t>
      </w:r>
      <w:r w:rsidR="00421BDE">
        <w:rPr>
          <w:rFonts w:ascii="Arial" w:hAnsi="Arial" w:cs="Arial"/>
          <w:sz w:val="22"/>
          <w:szCs w:val="22"/>
        </w:rPr>
        <w:t>Section 125 (2) (c) of the IRD Act</w:t>
      </w:r>
      <w:r w:rsidR="006608E3" w:rsidRPr="006608E3">
        <w:rPr>
          <w:rFonts w:ascii="Arial" w:hAnsi="Arial" w:cs="Arial"/>
          <w:sz w:val="22"/>
          <w:szCs w:val="22"/>
        </w:rPr>
        <w:t>. The cash flow test assesses whether the company’s current assets exceed its current liabilities such that it can meet all debts as and when they fall due.</w:t>
      </w:r>
    </w:p>
    <w:p w14:paraId="6C6333FB" w14:textId="77777777" w:rsidR="001C36B9" w:rsidRDefault="001C36B9" w:rsidP="001C36B9">
      <w:pPr>
        <w:ind w:left="567" w:hanging="567"/>
        <w:jc w:val="both"/>
        <w:rPr>
          <w:rFonts w:ascii="Arial" w:hAnsi="Arial" w:cs="Arial"/>
          <w:sz w:val="22"/>
          <w:szCs w:val="22"/>
        </w:rPr>
      </w:pPr>
    </w:p>
    <w:p w14:paraId="69C42F40" w14:textId="42D2F375" w:rsidR="00C208DD" w:rsidRDefault="00C208DD" w:rsidP="001C36B9">
      <w:pPr>
        <w:ind w:left="567"/>
        <w:jc w:val="both"/>
        <w:rPr>
          <w:rFonts w:ascii="Arial" w:hAnsi="Arial" w:cs="Arial"/>
          <w:sz w:val="22"/>
          <w:szCs w:val="22"/>
        </w:rPr>
      </w:pPr>
      <w:r>
        <w:rPr>
          <w:rFonts w:ascii="Arial" w:hAnsi="Arial" w:cs="Arial"/>
          <w:sz w:val="22"/>
          <w:szCs w:val="22"/>
        </w:rPr>
        <w:t>In the said case, the Singapore Court of Appeal has decided that:</w:t>
      </w:r>
    </w:p>
    <w:p w14:paraId="3BDBBCF3" w14:textId="3C5ED404" w:rsidR="00C208DD" w:rsidRDefault="00C208DD" w:rsidP="00C208DD">
      <w:pPr>
        <w:pStyle w:val="ListParagraph"/>
        <w:numPr>
          <w:ilvl w:val="0"/>
          <w:numId w:val="17"/>
        </w:numPr>
        <w:jc w:val="both"/>
        <w:rPr>
          <w:rFonts w:ascii="Arial" w:hAnsi="Arial" w:cs="Arial"/>
          <w:sz w:val="22"/>
          <w:szCs w:val="22"/>
        </w:rPr>
      </w:pPr>
      <w:r>
        <w:rPr>
          <w:rFonts w:ascii="Arial" w:hAnsi="Arial" w:cs="Arial"/>
          <w:sz w:val="22"/>
          <w:szCs w:val="22"/>
        </w:rPr>
        <w:lastRenderedPageBreak/>
        <w:t>The cash flow test is the sole test under section 254(2)(c) of the Companies Act</w:t>
      </w:r>
      <w:r w:rsidR="00421BDE">
        <w:rPr>
          <w:rFonts w:ascii="Arial" w:hAnsi="Arial" w:cs="Arial"/>
          <w:sz w:val="22"/>
          <w:szCs w:val="22"/>
        </w:rPr>
        <w:t xml:space="preserve"> (re-enacted as Section 125 (2)(c) of the IRD Act); and </w:t>
      </w:r>
    </w:p>
    <w:p w14:paraId="1CF86503" w14:textId="33039810" w:rsidR="00421BDE" w:rsidRDefault="00421BDE" w:rsidP="00C208DD">
      <w:pPr>
        <w:pStyle w:val="ListParagraph"/>
        <w:numPr>
          <w:ilvl w:val="0"/>
          <w:numId w:val="17"/>
        </w:numPr>
        <w:jc w:val="both"/>
        <w:rPr>
          <w:rFonts w:ascii="Arial" w:hAnsi="Arial" w:cs="Arial"/>
          <w:sz w:val="22"/>
          <w:szCs w:val="22"/>
        </w:rPr>
      </w:pPr>
      <w:r>
        <w:rPr>
          <w:rFonts w:ascii="Arial" w:hAnsi="Arial" w:cs="Arial"/>
          <w:sz w:val="22"/>
          <w:szCs w:val="22"/>
        </w:rPr>
        <w:t>A company has the right to appeal a winding up order regardless of whether a stay order is granted and its directors can control the conduct of the appeal.</w:t>
      </w:r>
    </w:p>
    <w:p w14:paraId="39B82857" w14:textId="0DC61AF2" w:rsidR="00421BDE" w:rsidRDefault="00421BDE" w:rsidP="00421BDE">
      <w:pPr>
        <w:ind w:left="720"/>
        <w:jc w:val="both"/>
        <w:rPr>
          <w:rFonts w:ascii="Arial" w:hAnsi="Arial" w:cs="Arial"/>
          <w:sz w:val="22"/>
          <w:szCs w:val="22"/>
        </w:rPr>
      </w:pPr>
    </w:p>
    <w:p w14:paraId="04047E00" w14:textId="7BA3BC32" w:rsidR="00421BDE" w:rsidRPr="00421BDE" w:rsidRDefault="00421BDE" w:rsidP="001C36B9">
      <w:pPr>
        <w:ind w:left="720" w:firstLine="720"/>
        <w:jc w:val="both"/>
        <w:rPr>
          <w:rFonts w:ascii="Arial" w:hAnsi="Arial" w:cs="Arial"/>
          <w:sz w:val="22"/>
          <w:szCs w:val="22"/>
        </w:rPr>
      </w:pPr>
      <w:r>
        <w:rPr>
          <w:rFonts w:ascii="Arial" w:hAnsi="Arial" w:cs="Arial"/>
          <w:sz w:val="22"/>
          <w:szCs w:val="22"/>
        </w:rPr>
        <w:t>The Court of Appeal also observed that a company which partially pays off a statutory demand withing three weeks, causing the remaining amount payable to fall below the prescribed threshold, will not be deemed to be unable to pay its debts under Section 125 (2)(c) of the IRD Act.</w:t>
      </w:r>
    </w:p>
    <w:p w14:paraId="512178B6" w14:textId="77777777" w:rsidR="00421BDE" w:rsidRDefault="006608E3" w:rsidP="00616F1F">
      <w:pPr>
        <w:ind w:left="720"/>
        <w:jc w:val="both"/>
        <w:rPr>
          <w:rFonts w:ascii="Arial" w:hAnsi="Arial" w:cs="Arial"/>
          <w:sz w:val="22"/>
          <w:szCs w:val="22"/>
        </w:rPr>
      </w:pPr>
      <w:r w:rsidRPr="006608E3">
        <w:rPr>
          <w:rFonts w:ascii="Arial" w:hAnsi="Arial" w:cs="Arial"/>
          <w:sz w:val="22"/>
          <w:szCs w:val="22"/>
        </w:rPr>
        <w:t>The court</w:t>
      </w:r>
      <w:r w:rsidR="00421BDE">
        <w:rPr>
          <w:rFonts w:ascii="Arial" w:hAnsi="Arial" w:cs="Arial"/>
          <w:sz w:val="22"/>
          <w:szCs w:val="22"/>
        </w:rPr>
        <w:t xml:space="preserve"> </w:t>
      </w:r>
      <w:r w:rsidR="00616F1F">
        <w:rPr>
          <w:rFonts w:ascii="Arial" w:hAnsi="Arial" w:cs="Arial"/>
          <w:sz w:val="22"/>
          <w:szCs w:val="22"/>
        </w:rPr>
        <w:t>has</w:t>
      </w:r>
      <w:r w:rsidRPr="006608E3">
        <w:rPr>
          <w:rFonts w:ascii="Arial" w:hAnsi="Arial" w:cs="Arial"/>
          <w:sz w:val="22"/>
          <w:szCs w:val="22"/>
        </w:rPr>
        <w:t xml:space="preserve"> set out a non-exhaustive list of factors which should be</w:t>
      </w:r>
      <w:r w:rsidR="00421BDE">
        <w:rPr>
          <w:rFonts w:ascii="Arial" w:hAnsi="Arial" w:cs="Arial"/>
          <w:sz w:val="22"/>
          <w:szCs w:val="22"/>
        </w:rPr>
        <w:t xml:space="preserve"> </w:t>
      </w:r>
      <w:r w:rsidRPr="006608E3">
        <w:rPr>
          <w:rFonts w:ascii="Arial" w:hAnsi="Arial" w:cs="Arial"/>
          <w:sz w:val="22"/>
          <w:szCs w:val="22"/>
        </w:rPr>
        <w:t>considered</w:t>
      </w:r>
      <w:r w:rsidR="00421BDE">
        <w:rPr>
          <w:rFonts w:ascii="Arial" w:hAnsi="Arial" w:cs="Arial"/>
          <w:sz w:val="22"/>
          <w:szCs w:val="22"/>
        </w:rPr>
        <w:t xml:space="preserve"> </w:t>
      </w:r>
      <w:r w:rsidRPr="006608E3">
        <w:rPr>
          <w:rFonts w:ascii="Arial" w:hAnsi="Arial" w:cs="Arial"/>
          <w:sz w:val="22"/>
          <w:szCs w:val="22"/>
        </w:rPr>
        <w:t>under</w:t>
      </w:r>
      <w:r w:rsidR="00421BDE">
        <w:rPr>
          <w:rFonts w:ascii="Arial" w:hAnsi="Arial" w:cs="Arial"/>
          <w:sz w:val="22"/>
          <w:szCs w:val="22"/>
        </w:rPr>
        <w:t xml:space="preserve"> </w:t>
      </w:r>
      <w:r w:rsidRPr="006608E3">
        <w:rPr>
          <w:rFonts w:ascii="Arial" w:hAnsi="Arial" w:cs="Arial"/>
          <w:sz w:val="22"/>
          <w:szCs w:val="22"/>
        </w:rPr>
        <w:t>the cash flow test:</w:t>
      </w:r>
    </w:p>
    <w:p w14:paraId="3BE66E35" w14:textId="121EBC3A" w:rsidR="00421BDE" w:rsidRPr="00421BDE" w:rsidRDefault="006608E3" w:rsidP="00421BDE">
      <w:pPr>
        <w:pStyle w:val="ListParagraph"/>
        <w:numPr>
          <w:ilvl w:val="0"/>
          <w:numId w:val="18"/>
        </w:numPr>
        <w:jc w:val="both"/>
        <w:rPr>
          <w:rFonts w:ascii="Arial" w:hAnsi="Arial" w:cs="Arial"/>
          <w:sz w:val="22"/>
          <w:szCs w:val="22"/>
        </w:rPr>
      </w:pPr>
      <w:r w:rsidRPr="00421BDE">
        <w:rPr>
          <w:rFonts w:ascii="Arial" w:hAnsi="Arial" w:cs="Arial"/>
          <w:sz w:val="22"/>
          <w:szCs w:val="22"/>
        </w:rPr>
        <w:t>the quantum of all debts which are due or will be due in the reasonably near future;</w:t>
      </w:r>
    </w:p>
    <w:p w14:paraId="125D5C66" w14:textId="77777777" w:rsidR="00617910" w:rsidRDefault="006608E3" w:rsidP="00421BDE">
      <w:pPr>
        <w:pStyle w:val="ListParagraph"/>
        <w:numPr>
          <w:ilvl w:val="0"/>
          <w:numId w:val="18"/>
        </w:numPr>
        <w:jc w:val="both"/>
        <w:rPr>
          <w:rFonts w:ascii="Arial" w:hAnsi="Arial" w:cs="Arial"/>
          <w:sz w:val="22"/>
          <w:szCs w:val="22"/>
        </w:rPr>
      </w:pPr>
      <w:r w:rsidRPr="00421BDE">
        <w:rPr>
          <w:rFonts w:ascii="Arial" w:hAnsi="Arial" w:cs="Arial"/>
          <w:sz w:val="22"/>
          <w:szCs w:val="22"/>
        </w:rPr>
        <w:t>whether payment is being demanded or is likely to be demanded for those debts</w:t>
      </w:r>
      <w:r w:rsidR="00617910">
        <w:rPr>
          <w:rFonts w:ascii="Arial" w:hAnsi="Arial" w:cs="Arial"/>
          <w:sz w:val="22"/>
          <w:szCs w:val="22"/>
        </w:rPr>
        <w:t>;</w:t>
      </w:r>
    </w:p>
    <w:p w14:paraId="234FAFF0" w14:textId="77777777" w:rsidR="00617910" w:rsidRDefault="006608E3" w:rsidP="00421BDE">
      <w:pPr>
        <w:pStyle w:val="ListParagraph"/>
        <w:numPr>
          <w:ilvl w:val="0"/>
          <w:numId w:val="18"/>
        </w:numPr>
        <w:jc w:val="both"/>
        <w:rPr>
          <w:rFonts w:ascii="Arial" w:hAnsi="Arial" w:cs="Arial"/>
          <w:sz w:val="22"/>
          <w:szCs w:val="22"/>
        </w:rPr>
      </w:pPr>
      <w:r w:rsidRPr="00421BDE">
        <w:rPr>
          <w:rFonts w:ascii="Arial" w:hAnsi="Arial" w:cs="Arial"/>
          <w:sz w:val="22"/>
          <w:szCs w:val="22"/>
        </w:rPr>
        <w:t>whether the company has failed to pay any of its debts, the quantum of such debt, and for</w:t>
      </w:r>
      <w:r w:rsidR="00DD3996" w:rsidRPr="00421BDE">
        <w:rPr>
          <w:rFonts w:ascii="Arial" w:hAnsi="Arial" w:cs="Arial"/>
          <w:sz w:val="22"/>
          <w:szCs w:val="22"/>
        </w:rPr>
        <w:t xml:space="preserve"> </w:t>
      </w:r>
      <w:r w:rsidRPr="00421BDE">
        <w:rPr>
          <w:rFonts w:ascii="Arial" w:hAnsi="Arial" w:cs="Arial"/>
          <w:sz w:val="22"/>
          <w:szCs w:val="22"/>
        </w:rPr>
        <w:t>how long the company has failed to pay it;</w:t>
      </w:r>
    </w:p>
    <w:p w14:paraId="48991ECB" w14:textId="77777777" w:rsidR="00617910" w:rsidRDefault="006608E3" w:rsidP="00617910">
      <w:pPr>
        <w:pStyle w:val="ListParagraph"/>
        <w:numPr>
          <w:ilvl w:val="0"/>
          <w:numId w:val="18"/>
        </w:numPr>
        <w:jc w:val="both"/>
        <w:rPr>
          <w:rFonts w:ascii="Arial" w:hAnsi="Arial" w:cs="Arial"/>
          <w:sz w:val="22"/>
          <w:szCs w:val="22"/>
        </w:rPr>
      </w:pPr>
      <w:r w:rsidRPr="00421BDE">
        <w:rPr>
          <w:rFonts w:ascii="Arial" w:hAnsi="Arial" w:cs="Arial"/>
          <w:sz w:val="22"/>
          <w:szCs w:val="22"/>
        </w:rPr>
        <w:t>the length of time that has passed since the commencement of the winding up</w:t>
      </w:r>
      <w:r w:rsidRPr="00421BDE">
        <w:rPr>
          <w:rFonts w:ascii="Arial" w:hAnsi="Arial" w:cs="Arial"/>
          <w:sz w:val="22"/>
          <w:szCs w:val="22"/>
        </w:rPr>
        <w:br/>
        <w:t>proceedings;</w:t>
      </w:r>
    </w:p>
    <w:p w14:paraId="1C80D89E" w14:textId="77777777" w:rsidR="00617910" w:rsidRDefault="006608E3" w:rsidP="00617910">
      <w:pPr>
        <w:pStyle w:val="ListParagraph"/>
        <w:numPr>
          <w:ilvl w:val="0"/>
          <w:numId w:val="18"/>
        </w:numPr>
        <w:jc w:val="both"/>
        <w:rPr>
          <w:rFonts w:ascii="Arial" w:hAnsi="Arial" w:cs="Arial"/>
          <w:sz w:val="22"/>
          <w:szCs w:val="22"/>
        </w:rPr>
      </w:pPr>
      <w:r w:rsidRPr="00617910">
        <w:rPr>
          <w:rFonts w:ascii="Arial" w:hAnsi="Arial" w:cs="Arial"/>
          <w:sz w:val="22"/>
          <w:szCs w:val="22"/>
        </w:rPr>
        <w:t xml:space="preserve">the value of the company's current assets and assets that will be </w:t>
      </w:r>
      <w:proofErr w:type="spellStart"/>
      <w:r w:rsidRPr="00617910">
        <w:rPr>
          <w:rFonts w:ascii="Arial" w:hAnsi="Arial" w:cs="Arial"/>
          <w:sz w:val="22"/>
          <w:szCs w:val="22"/>
        </w:rPr>
        <w:t>realisable</w:t>
      </w:r>
      <w:proofErr w:type="spellEnd"/>
      <w:r w:rsidRPr="00617910">
        <w:rPr>
          <w:rFonts w:ascii="Arial" w:hAnsi="Arial" w:cs="Arial"/>
          <w:sz w:val="22"/>
          <w:szCs w:val="22"/>
        </w:rPr>
        <w:t xml:space="preserve"> in the</w:t>
      </w:r>
      <w:r w:rsidRPr="00617910">
        <w:rPr>
          <w:rFonts w:ascii="Arial" w:hAnsi="Arial" w:cs="Arial"/>
          <w:sz w:val="22"/>
          <w:szCs w:val="22"/>
        </w:rPr>
        <w:br/>
        <w:t>reasonably near future</w:t>
      </w:r>
      <w:r w:rsidR="00617910">
        <w:rPr>
          <w:rFonts w:ascii="Arial" w:hAnsi="Arial" w:cs="Arial"/>
          <w:sz w:val="22"/>
          <w:szCs w:val="22"/>
        </w:rPr>
        <w:t>;</w:t>
      </w:r>
    </w:p>
    <w:p w14:paraId="11EAE23A" w14:textId="77777777" w:rsidR="00617910" w:rsidRDefault="006608E3" w:rsidP="00617910">
      <w:pPr>
        <w:pStyle w:val="ListParagraph"/>
        <w:numPr>
          <w:ilvl w:val="0"/>
          <w:numId w:val="18"/>
        </w:numPr>
        <w:jc w:val="both"/>
        <w:rPr>
          <w:rFonts w:ascii="Arial" w:hAnsi="Arial" w:cs="Arial"/>
          <w:sz w:val="22"/>
          <w:szCs w:val="22"/>
        </w:rPr>
      </w:pPr>
      <w:r w:rsidRPr="00617910">
        <w:rPr>
          <w:rFonts w:ascii="Arial" w:hAnsi="Arial" w:cs="Arial"/>
          <w:sz w:val="22"/>
          <w:szCs w:val="22"/>
        </w:rPr>
        <w:t>the state of the company's business, in order to determine its expected net cash flow from</w:t>
      </w:r>
      <w:r w:rsidR="00AA7046" w:rsidRPr="00617910">
        <w:rPr>
          <w:rFonts w:ascii="Arial" w:hAnsi="Arial" w:cs="Arial"/>
          <w:sz w:val="22"/>
          <w:szCs w:val="22"/>
        </w:rPr>
        <w:t xml:space="preserve"> </w:t>
      </w:r>
      <w:r w:rsidRPr="00617910">
        <w:rPr>
          <w:rFonts w:ascii="Arial" w:hAnsi="Arial" w:cs="Arial"/>
          <w:sz w:val="22"/>
          <w:szCs w:val="22"/>
        </w:rPr>
        <w:t>the business by deducting from projected future sales the cash expenses which would be</w:t>
      </w:r>
      <w:r w:rsidR="00AA7046" w:rsidRPr="00617910">
        <w:rPr>
          <w:rFonts w:ascii="Arial" w:hAnsi="Arial" w:cs="Arial"/>
          <w:sz w:val="22"/>
          <w:szCs w:val="22"/>
        </w:rPr>
        <w:t xml:space="preserve"> </w:t>
      </w:r>
      <w:r w:rsidRPr="00617910">
        <w:rPr>
          <w:rFonts w:ascii="Arial" w:hAnsi="Arial" w:cs="Arial"/>
          <w:sz w:val="22"/>
          <w:szCs w:val="22"/>
        </w:rPr>
        <w:t>necessary to generate those sales;</w:t>
      </w:r>
    </w:p>
    <w:p w14:paraId="3F60D694" w14:textId="77777777" w:rsidR="00617910" w:rsidRDefault="006608E3" w:rsidP="00617910">
      <w:pPr>
        <w:pStyle w:val="ListParagraph"/>
        <w:numPr>
          <w:ilvl w:val="0"/>
          <w:numId w:val="18"/>
        </w:numPr>
        <w:jc w:val="both"/>
        <w:rPr>
          <w:rFonts w:ascii="Arial" w:hAnsi="Arial" w:cs="Arial"/>
          <w:sz w:val="22"/>
          <w:szCs w:val="22"/>
        </w:rPr>
      </w:pPr>
      <w:r w:rsidRPr="00617910">
        <w:rPr>
          <w:rFonts w:ascii="Arial" w:hAnsi="Arial" w:cs="Arial"/>
          <w:sz w:val="22"/>
          <w:szCs w:val="22"/>
        </w:rPr>
        <w:t>any other income or payment which the company may receive in the reasonably near</w:t>
      </w:r>
      <w:r w:rsidR="00616F1F" w:rsidRPr="00617910">
        <w:rPr>
          <w:rFonts w:ascii="Arial" w:hAnsi="Arial" w:cs="Arial"/>
          <w:sz w:val="22"/>
          <w:szCs w:val="22"/>
        </w:rPr>
        <w:t xml:space="preserve"> future; and</w:t>
      </w:r>
    </w:p>
    <w:p w14:paraId="3D4187A9" w14:textId="045368E4" w:rsidR="00384F62" w:rsidRPr="00DA2CA7" w:rsidRDefault="00616F1F" w:rsidP="00DA2CA7">
      <w:pPr>
        <w:pStyle w:val="ListParagraph"/>
        <w:numPr>
          <w:ilvl w:val="0"/>
          <w:numId w:val="18"/>
        </w:numPr>
        <w:jc w:val="both"/>
        <w:rPr>
          <w:rFonts w:ascii="Arial" w:hAnsi="Arial" w:cs="Arial"/>
          <w:sz w:val="22"/>
          <w:szCs w:val="22"/>
        </w:rPr>
      </w:pPr>
      <w:r w:rsidRPr="00617910">
        <w:rPr>
          <w:rFonts w:ascii="Arial" w:hAnsi="Arial" w:cs="Arial"/>
          <w:sz w:val="22"/>
          <w:szCs w:val="22"/>
        </w:rPr>
        <w:t>arrangements between the company and prospective lenders, such as its bankers and shareholders, in order to determine whether any shortfall in liquid and realizable assets and cash flow could be made up by borrowings which woul</w:t>
      </w:r>
      <w:r w:rsidR="00AA7046" w:rsidRPr="00617910">
        <w:rPr>
          <w:rFonts w:ascii="Arial" w:hAnsi="Arial" w:cs="Arial"/>
          <w:sz w:val="22"/>
          <w:szCs w:val="22"/>
        </w:rPr>
        <w:t>d</w:t>
      </w:r>
      <w:r w:rsidRPr="00617910">
        <w:rPr>
          <w:rFonts w:ascii="Arial" w:hAnsi="Arial" w:cs="Arial"/>
          <w:sz w:val="22"/>
          <w:szCs w:val="22"/>
        </w:rPr>
        <w:t xml:space="preserve"> be repayable at the time later than the debts.</w:t>
      </w:r>
    </w:p>
    <w:p w14:paraId="5CB59DF4" w14:textId="52CBFDF8" w:rsidR="009B07AD" w:rsidRDefault="009B07AD" w:rsidP="00384F62">
      <w:pPr>
        <w:jc w:val="both"/>
        <w:rPr>
          <w:rFonts w:ascii="Arial" w:hAnsi="Arial" w:cs="Arial"/>
          <w:sz w:val="22"/>
          <w:szCs w:val="22"/>
          <w:lang w:val="en-GB"/>
        </w:rPr>
      </w:pP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622049AD" w14:textId="77777777" w:rsidR="001C36B9" w:rsidRDefault="001C36B9" w:rsidP="00384F62">
      <w:pPr>
        <w:jc w:val="both"/>
        <w:rPr>
          <w:rFonts w:ascii="Arial" w:hAnsi="Arial" w:cs="Arial"/>
          <w:sz w:val="22"/>
          <w:szCs w:val="22"/>
        </w:rPr>
      </w:pPr>
    </w:p>
    <w:p w14:paraId="7184B9F5" w14:textId="49CDA9E8" w:rsidR="001C36B9" w:rsidRPr="002A37BB" w:rsidRDefault="00787C83" w:rsidP="00384F62">
      <w:pPr>
        <w:jc w:val="both"/>
        <w:rPr>
          <w:rFonts w:ascii="Arial" w:hAnsi="Arial" w:cs="Arial"/>
          <w:sz w:val="22"/>
          <w:szCs w:val="22"/>
        </w:rPr>
      </w:pPr>
      <w:r>
        <w:rPr>
          <w:rFonts w:ascii="Arial" w:hAnsi="Arial" w:cs="Arial"/>
          <w:sz w:val="22"/>
          <w:szCs w:val="22"/>
        </w:rPr>
        <w:t>Ans:</w:t>
      </w:r>
      <w:r w:rsidR="00F20759">
        <w:rPr>
          <w:rFonts w:ascii="Arial" w:hAnsi="Arial" w:cs="Arial"/>
          <w:sz w:val="22"/>
          <w:szCs w:val="22"/>
        </w:rPr>
        <w:t xml:space="preserve"> </w:t>
      </w:r>
      <w:r w:rsidR="001C36B9">
        <w:rPr>
          <w:rFonts w:ascii="Arial" w:hAnsi="Arial" w:cs="Arial"/>
          <w:sz w:val="22"/>
          <w:szCs w:val="22"/>
        </w:rPr>
        <w:t>Four new features that were only introduced in the IRDA which were not in force at the time of the 2017 amendments to the Companies Act are:</w:t>
      </w:r>
    </w:p>
    <w:p w14:paraId="63EBEC0C" w14:textId="29AC077A" w:rsidR="009B07AD" w:rsidRDefault="001C36B9" w:rsidP="00844B7E">
      <w:pPr>
        <w:pStyle w:val="ListParagraph"/>
        <w:numPr>
          <w:ilvl w:val="0"/>
          <w:numId w:val="19"/>
        </w:numPr>
        <w:jc w:val="both"/>
        <w:rPr>
          <w:rFonts w:ascii="Arial" w:hAnsi="Arial" w:cs="Arial"/>
          <w:sz w:val="22"/>
          <w:szCs w:val="22"/>
        </w:rPr>
      </w:pPr>
      <w:r>
        <w:rPr>
          <w:rFonts w:ascii="Arial" w:hAnsi="Arial" w:cs="Arial"/>
          <w:sz w:val="22"/>
          <w:szCs w:val="22"/>
        </w:rPr>
        <w:t>N</w:t>
      </w:r>
      <w:r w:rsidR="00844B7E">
        <w:rPr>
          <w:rFonts w:ascii="Arial" w:hAnsi="Arial" w:cs="Arial"/>
          <w:sz w:val="22"/>
          <w:szCs w:val="22"/>
        </w:rPr>
        <w:t xml:space="preserve">ew provisions limiting the operation of </w:t>
      </w:r>
      <w:r w:rsidR="00844B7E" w:rsidRPr="001C36B9">
        <w:rPr>
          <w:rFonts w:ascii="Arial" w:hAnsi="Arial" w:cs="Arial"/>
          <w:i/>
          <w:iCs/>
          <w:sz w:val="22"/>
          <w:szCs w:val="22"/>
        </w:rPr>
        <w:t>ipso facto</w:t>
      </w:r>
      <w:r w:rsidR="00844B7E">
        <w:rPr>
          <w:rFonts w:ascii="Arial" w:hAnsi="Arial" w:cs="Arial"/>
          <w:sz w:val="22"/>
          <w:szCs w:val="22"/>
        </w:rPr>
        <w:t xml:space="preserve"> clauses.</w:t>
      </w:r>
    </w:p>
    <w:p w14:paraId="6DEBFB3B" w14:textId="049FA71C" w:rsidR="00844B7E" w:rsidRDefault="001C36B9" w:rsidP="00844B7E">
      <w:pPr>
        <w:pStyle w:val="ListParagraph"/>
        <w:numPr>
          <w:ilvl w:val="0"/>
          <w:numId w:val="19"/>
        </w:numPr>
        <w:jc w:val="both"/>
        <w:rPr>
          <w:rFonts w:ascii="Arial" w:hAnsi="Arial" w:cs="Arial"/>
          <w:sz w:val="22"/>
          <w:szCs w:val="22"/>
        </w:rPr>
      </w:pPr>
      <w:r>
        <w:rPr>
          <w:rFonts w:ascii="Arial" w:hAnsi="Arial" w:cs="Arial"/>
          <w:sz w:val="22"/>
          <w:szCs w:val="22"/>
        </w:rPr>
        <w:t>M</w:t>
      </w:r>
      <w:r w:rsidR="006C49DD">
        <w:rPr>
          <w:rFonts w:ascii="Arial" w:hAnsi="Arial" w:cs="Arial"/>
          <w:sz w:val="22"/>
          <w:szCs w:val="22"/>
        </w:rPr>
        <w:t>inimum qualifications, conditions for the grant and renewal of licenses and a disciplinary framework for insolvency practitioners.</w:t>
      </w:r>
    </w:p>
    <w:p w14:paraId="4D57CA9C" w14:textId="0845A080" w:rsidR="006C49DD" w:rsidRDefault="001C36B9" w:rsidP="00844B7E">
      <w:pPr>
        <w:pStyle w:val="ListParagraph"/>
        <w:numPr>
          <w:ilvl w:val="0"/>
          <w:numId w:val="19"/>
        </w:numPr>
        <w:jc w:val="both"/>
        <w:rPr>
          <w:rFonts w:ascii="Arial" w:hAnsi="Arial" w:cs="Arial"/>
          <w:sz w:val="22"/>
          <w:szCs w:val="22"/>
        </w:rPr>
      </w:pPr>
      <w:r>
        <w:rPr>
          <w:rFonts w:ascii="Arial" w:hAnsi="Arial" w:cs="Arial"/>
          <w:sz w:val="22"/>
          <w:szCs w:val="22"/>
        </w:rPr>
        <w:t>A</w:t>
      </w:r>
      <w:r w:rsidR="006C49DD">
        <w:rPr>
          <w:rFonts w:ascii="Arial" w:hAnsi="Arial" w:cs="Arial"/>
          <w:sz w:val="22"/>
          <w:szCs w:val="22"/>
        </w:rPr>
        <w:t xml:space="preserve"> new concept of wrongful trading, which imposes personal liability of the company’s debts on a person if it is proved that they knew that the company was trading wrongfully; or that as an officer of the company, he ought to have known that the company was trading wrongfully.</w:t>
      </w:r>
    </w:p>
    <w:p w14:paraId="711D80FC" w14:textId="3AA04665" w:rsidR="006C49DD" w:rsidRPr="00844B7E" w:rsidRDefault="001C36B9" w:rsidP="00844B7E">
      <w:pPr>
        <w:pStyle w:val="ListParagraph"/>
        <w:numPr>
          <w:ilvl w:val="0"/>
          <w:numId w:val="19"/>
        </w:numPr>
        <w:jc w:val="both"/>
        <w:rPr>
          <w:rFonts w:ascii="Arial" w:hAnsi="Arial" w:cs="Arial"/>
          <w:sz w:val="22"/>
          <w:szCs w:val="22"/>
        </w:rPr>
      </w:pPr>
      <w:r>
        <w:rPr>
          <w:rFonts w:ascii="Arial" w:hAnsi="Arial" w:cs="Arial"/>
          <w:sz w:val="22"/>
          <w:szCs w:val="22"/>
        </w:rPr>
        <w:t>A</w:t>
      </w:r>
      <w:r w:rsidR="006C49DD">
        <w:rPr>
          <w:rFonts w:ascii="Arial" w:hAnsi="Arial" w:cs="Arial"/>
          <w:sz w:val="22"/>
          <w:szCs w:val="22"/>
        </w:rPr>
        <w:t xml:space="preserve"> new voluntary process for initiating judicial mana</w:t>
      </w:r>
      <w:r w:rsidR="00BE3AF3">
        <w:rPr>
          <w:rFonts w:ascii="Arial" w:hAnsi="Arial" w:cs="Arial"/>
          <w:sz w:val="22"/>
          <w:szCs w:val="22"/>
        </w:rPr>
        <w:t>gement without having to first apply to the court in certain cases.</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60DA8941" w:rsidR="00C82D87"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271D6D33" w14:textId="77777777" w:rsidR="00F20759" w:rsidRDefault="00F20759" w:rsidP="00F20759">
      <w:pPr>
        <w:jc w:val="both"/>
        <w:rPr>
          <w:rFonts w:ascii="Arial" w:hAnsi="Arial" w:cs="Arial"/>
          <w:sz w:val="22"/>
          <w:szCs w:val="22"/>
          <w:lang w:val="en-GB"/>
        </w:rPr>
      </w:pPr>
    </w:p>
    <w:p w14:paraId="0803F708" w14:textId="6B57EC9F" w:rsidR="005977C2" w:rsidRPr="00F20759" w:rsidRDefault="00787C83" w:rsidP="00F20759">
      <w:pPr>
        <w:jc w:val="both"/>
        <w:rPr>
          <w:rFonts w:ascii="Arial" w:hAnsi="Arial" w:cs="Arial"/>
          <w:sz w:val="22"/>
          <w:szCs w:val="22"/>
          <w:lang w:val="en-GB"/>
        </w:rPr>
      </w:pPr>
      <w:r>
        <w:rPr>
          <w:rFonts w:ascii="Arial" w:hAnsi="Arial" w:cs="Arial"/>
          <w:sz w:val="22"/>
          <w:szCs w:val="22"/>
          <w:lang w:val="en-GB"/>
        </w:rPr>
        <w:lastRenderedPageBreak/>
        <w:t>Ans:</w:t>
      </w:r>
      <w:r w:rsidR="00F20759">
        <w:rPr>
          <w:rFonts w:ascii="Arial" w:hAnsi="Arial" w:cs="Arial"/>
          <w:sz w:val="22"/>
          <w:szCs w:val="22"/>
          <w:lang w:val="en-GB"/>
        </w:rPr>
        <w:t xml:space="preserve"> </w:t>
      </w:r>
      <w:r w:rsidR="002C32AF" w:rsidRPr="002C32AF">
        <w:rPr>
          <w:rFonts w:ascii="Arial" w:hAnsi="Arial" w:cs="Arial"/>
          <w:sz w:val="22"/>
          <w:szCs w:val="22"/>
        </w:rPr>
        <w:t>A Voluntary Arrangement is a formal arrangement made between a debtor and his</w:t>
      </w:r>
      <w:r w:rsidR="002C32AF">
        <w:rPr>
          <w:rFonts w:ascii="Arial" w:hAnsi="Arial" w:cs="Arial"/>
          <w:sz w:val="22"/>
          <w:szCs w:val="22"/>
        </w:rPr>
        <w:t xml:space="preserve"> </w:t>
      </w:r>
      <w:r w:rsidR="002C32AF" w:rsidRPr="002C32AF">
        <w:rPr>
          <w:rFonts w:ascii="Arial" w:hAnsi="Arial" w:cs="Arial"/>
          <w:sz w:val="22"/>
          <w:szCs w:val="22"/>
        </w:rPr>
        <w:t>creditors for</w:t>
      </w:r>
      <w:r w:rsidR="002C32AF">
        <w:rPr>
          <w:rFonts w:ascii="Arial" w:hAnsi="Arial" w:cs="Arial"/>
          <w:sz w:val="22"/>
          <w:szCs w:val="22"/>
        </w:rPr>
        <w:t xml:space="preserve"> </w:t>
      </w:r>
      <w:r w:rsidR="002C32AF" w:rsidRPr="002C32AF">
        <w:rPr>
          <w:rFonts w:ascii="Arial" w:hAnsi="Arial" w:cs="Arial"/>
          <w:sz w:val="22"/>
          <w:szCs w:val="22"/>
        </w:rPr>
        <w:t>the satisfaction of its debts overseen by a nominee</w:t>
      </w:r>
      <w:r w:rsidR="002C32AF">
        <w:rPr>
          <w:rFonts w:ascii="Arial" w:hAnsi="Arial" w:cs="Arial"/>
          <w:sz w:val="22"/>
          <w:szCs w:val="22"/>
        </w:rPr>
        <w:t xml:space="preserve">. </w:t>
      </w:r>
      <w:r w:rsidR="002C32AF" w:rsidRPr="002C32AF">
        <w:rPr>
          <w:rFonts w:ascii="Arial" w:hAnsi="Arial" w:cs="Arial"/>
          <w:sz w:val="22"/>
          <w:szCs w:val="22"/>
        </w:rPr>
        <w:t>A</w:t>
      </w:r>
      <w:r w:rsidR="005977C2">
        <w:rPr>
          <w:rFonts w:ascii="Arial" w:hAnsi="Arial" w:cs="Arial"/>
          <w:sz w:val="22"/>
          <w:szCs w:val="22"/>
        </w:rPr>
        <w:t>s per Section 277, a</w:t>
      </w:r>
      <w:r w:rsidR="002C32AF" w:rsidRPr="002C32AF">
        <w:rPr>
          <w:rFonts w:ascii="Arial" w:hAnsi="Arial" w:cs="Arial"/>
          <w:sz w:val="22"/>
          <w:szCs w:val="22"/>
        </w:rPr>
        <w:t xml:space="preserve"> debtor must appoint a nominee as part of any proposal for a Voluntary Arrangement.</w:t>
      </w:r>
      <w:r w:rsidR="005977C2">
        <w:rPr>
          <w:rFonts w:ascii="Arial" w:hAnsi="Arial" w:cs="Arial"/>
          <w:sz w:val="22"/>
          <w:szCs w:val="22"/>
        </w:rPr>
        <w:t xml:space="preserve"> However, a </w:t>
      </w:r>
      <w:r w:rsidR="002C32AF" w:rsidRPr="002C32AF">
        <w:rPr>
          <w:rFonts w:ascii="Arial" w:hAnsi="Arial" w:cs="Arial"/>
          <w:sz w:val="22"/>
          <w:szCs w:val="22"/>
        </w:rPr>
        <w:t xml:space="preserve">person </w:t>
      </w:r>
      <w:r w:rsidR="005977C2">
        <w:rPr>
          <w:rFonts w:ascii="Arial" w:hAnsi="Arial" w:cs="Arial"/>
          <w:sz w:val="22"/>
          <w:szCs w:val="22"/>
        </w:rPr>
        <w:t>to</w:t>
      </w:r>
      <w:r w:rsidR="002C32AF" w:rsidRPr="002C32AF">
        <w:rPr>
          <w:rFonts w:ascii="Arial" w:hAnsi="Arial" w:cs="Arial"/>
          <w:sz w:val="22"/>
          <w:szCs w:val="22"/>
        </w:rPr>
        <w:t xml:space="preserve"> be appointed as a nominee </w:t>
      </w:r>
      <w:r w:rsidR="005977C2">
        <w:rPr>
          <w:rFonts w:ascii="Arial" w:hAnsi="Arial" w:cs="Arial"/>
          <w:sz w:val="22"/>
          <w:szCs w:val="22"/>
        </w:rPr>
        <w:t>should necessarily be a</w:t>
      </w:r>
      <w:r w:rsidR="002C32AF" w:rsidRPr="002C32AF">
        <w:rPr>
          <w:rFonts w:ascii="Arial" w:hAnsi="Arial" w:cs="Arial"/>
          <w:sz w:val="22"/>
          <w:szCs w:val="22"/>
        </w:rPr>
        <w:t xml:space="preserve"> licensed insolvency practitioner.</w:t>
      </w:r>
      <w:r w:rsidR="005977C2">
        <w:rPr>
          <w:rFonts w:ascii="Arial" w:hAnsi="Arial" w:cs="Arial"/>
          <w:sz w:val="22"/>
          <w:szCs w:val="22"/>
        </w:rPr>
        <w:t xml:space="preserve"> </w:t>
      </w:r>
    </w:p>
    <w:p w14:paraId="69656170" w14:textId="77777777" w:rsidR="005977C2" w:rsidRDefault="002C32AF" w:rsidP="002C32AF">
      <w:pPr>
        <w:ind w:left="720"/>
        <w:jc w:val="both"/>
        <w:rPr>
          <w:rFonts w:ascii="Arial" w:hAnsi="Arial" w:cs="Arial"/>
          <w:sz w:val="22"/>
          <w:szCs w:val="22"/>
        </w:rPr>
      </w:pPr>
      <w:r w:rsidRPr="002C32AF">
        <w:rPr>
          <w:rFonts w:ascii="Arial" w:hAnsi="Arial" w:cs="Arial"/>
          <w:sz w:val="22"/>
          <w:szCs w:val="22"/>
        </w:rPr>
        <w:t>Where a debtor intends to make such a proposal to its creditors, the Court may grant</w:t>
      </w:r>
      <w:r w:rsidR="005977C2">
        <w:rPr>
          <w:rFonts w:ascii="Arial" w:hAnsi="Arial" w:cs="Arial"/>
          <w:sz w:val="22"/>
          <w:szCs w:val="22"/>
        </w:rPr>
        <w:t xml:space="preserve"> </w:t>
      </w:r>
      <w:r w:rsidRPr="002C32AF">
        <w:rPr>
          <w:rFonts w:ascii="Arial" w:hAnsi="Arial" w:cs="Arial"/>
          <w:sz w:val="22"/>
          <w:szCs w:val="22"/>
        </w:rPr>
        <w:t>an interim</w:t>
      </w:r>
      <w:r w:rsidR="005977C2">
        <w:rPr>
          <w:rFonts w:ascii="Arial" w:hAnsi="Arial" w:cs="Arial"/>
          <w:sz w:val="22"/>
          <w:szCs w:val="22"/>
        </w:rPr>
        <w:t xml:space="preserve"> </w:t>
      </w:r>
      <w:r w:rsidRPr="002C32AF">
        <w:rPr>
          <w:rFonts w:ascii="Arial" w:hAnsi="Arial" w:cs="Arial"/>
          <w:sz w:val="22"/>
          <w:szCs w:val="22"/>
        </w:rPr>
        <w:t>moratorium order pursuant to which:</w:t>
      </w:r>
    </w:p>
    <w:p w14:paraId="0D9EC6DA" w14:textId="77777777" w:rsidR="005977C2" w:rsidRPr="005977C2" w:rsidRDefault="002C32AF" w:rsidP="005977C2">
      <w:pPr>
        <w:pStyle w:val="ListParagraph"/>
        <w:numPr>
          <w:ilvl w:val="0"/>
          <w:numId w:val="20"/>
        </w:numPr>
        <w:jc w:val="both"/>
        <w:rPr>
          <w:rFonts w:ascii="Arial" w:hAnsi="Arial" w:cs="Arial"/>
          <w:sz w:val="22"/>
          <w:szCs w:val="22"/>
          <w:lang w:val="en-GB"/>
        </w:rPr>
      </w:pPr>
      <w:r w:rsidRPr="005977C2">
        <w:rPr>
          <w:rFonts w:ascii="Arial" w:hAnsi="Arial" w:cs="Arial"/>
          <w:sz w:val="22"/>
          <w:szCs w:val="22"/>
        </w:rPr>
        <w:t xml:space="preserve"> no bankruptcy application may be made or proceeded with against the debtor; and</w:t>
      </w:r>
    </w:p>
    <w:p w14:paraId="30A19174" w14:textId="77777777" w:rsidR="005977C2" w:rsidRPr="005977C2" w:rsidRDefault="002C32AF" w:rsidP="005977C2">
      <w:pPr>
        <w:pStyle w:val="ListParagraph"/>
        <w:numPr>
          <w:ilvl w:val="0"/>
          <w:numId w:val="20"/>
        </w:numPr>
        <w:jc w:val="both"/>
        <w:rPr>
          <w:rFonts w:ascii="Arial" w:hAnsi="Arial" w:cs="Arial"/>
          <w:sz w:val="22"/>
          <w:szCs w:val="22"/>
          <w:lang w:val="en-GB"/>
        </w:rPr>
      </w:pPr>
      <w:r w:rsidRPr="005977C2">
        <w:rPr>
          <w:rFonts w:ascii="Arial" w:hAnsi="Arial" w:cs="Arial"/>
          <w:sz w:val="22"/>
          <w:szCs w:val="22"/>
        </w:rPr>
        <w:t>no other proceedings, execution or other legal process may be commenced or continued</w:t>
      </w:r>
      <w:r w:rsidR="005977C2">
        <w:rPr>
          <w:rFonts w:ascii="Arial" w:hAnsi="Arial" w:cs="Arial"/>
          <w:sz w:val="22"/>
          <w:szCs w:val="22"/>
        </w:rPr>
        <w:t xml:space="preserve"> </w:t>
      </w:r>
      <w:r w:rsidRPr="005977C2">
        <w:rPr>
          <w:rFonts w:ascii="Arial" w:hAnsi="Arial" w:cs="Arial"/>
          <w:sz w:val="22"/>
          <w:szCs w:val="22"/>
        </w:rPr>
        <w:t>against the person or property of the debtor without the leave of the court; and</w:t>
      </w:r>
    </w:p>
    <w:p w14:paraId="7E28D8FE" w14:textId="3D3E630A" w:rsidR="005977C2" w:rsidRPr="005977C2" w:rsidRDefault="002C32AF" w:rsidP="005977C2">
      <w:pPr>
        <w:pStyle w:val="ListParagraph"/>
        <w:numPr>
          <w:ilvl w:val="0"/>
          <w:numId w:val="20"/>
        </w:numPr>
        <w:jc w:val="both"/>
        <w:rPr>
          <w:rFonts w:ascii="Arial" w:hAnsi="Arial" w:cs="Arial"/>
          <w:sz w:val="22"/>
          <w:szCs w:val="22"/>
          <w:lang w:val="en-GB"/>
        </w:rPr>
      </w:pPr>
      <w:r w:rsidRPr="005977C2">
        <w:rPr>
          <w:rFonts w:ascii="Arial" w:hAnsi="Arial" w:cs="Arial"/>
          <w:sz w:val="22"/>
          <w:szCs w:val="22"/>
        </w:rPr>
        <w:t xml:space="preserve">where the interim order is in respect of a </w:t>
      </w:r>
      <w:proofErr w:type="gramStart"/>
      <w:r w:rsidRPr="005977C2">
        <w:rPr>
          <w:rFonts w:ascii="Arial" w:hAnsi="Arial" w:cs="Arial"/>
          <w:sz w:val="22"/>
          <w:szCs w:val="22"/>
        </w:rPr>
        <w:t>firm</w:t>
      </w:r>
      <w:r w:rsidR="005977C2">
        <w:rPr>
          <w:rFonts w:ascii="Arial" w:hAnsi="Arial" w:cs="Arial"/>
          <w:sz w:val="22"/>
          <w:szCs w:val="22"/>
        </w:rPr>
        <w:t>:-</w:t>
      </w:r>
      <w:proofErr w:type="gramEnd"/>
    </w:p>
    <w:p w14:paraId="2D299E72" w14:textId="77777777" w:rsidR="005977C2" w:rsidRPr="005977C2" w:rsidRDefault="005977C2" w:rsidP="005977C2">
      <w:pPr>
        <w:pStyle w:val="ListParagraph"/>
        <w:numPr>
          <w:ilvl w:val="0"/>
          <w:numId w:val="18"/>
        </w:numPr>
        <w:jc w:val="both"/>
        <w:rPr>
          <w:rFonts w:ascii="Arial" w:hAnsi="Arial" w:cs="Arial"/>
          <w:sz w:val="22"/>
          <w:szCs w:val="22"/>
          <w:lang w:val="en-GB"/>
        </w:rPr>
      </w:pPr>
      <w:r>
        <w:rPr>
          <w:rFonts w:ascii="Arial" w:hAnsi="Arial" w:cs="Arial"/>
          <w:sz w:val="22"/>
          <w:szCs w:val="22"/>
        </w:rPr>
        <w:t>n</w:t>
      </w:r>
      <w:r w:rsidR="002C32AF" w:rsidRPr="005977C2">
        <w:rPr>
          <w:rFonts w:ascii="Arial" w:hAnsi="Arial" w:cs="Arial"/>
          <w:sz w:val="22"/>
          <w:szCs w:val="22"/>
        </w:rPr>
        <w:t>o bankruptcy application may be made or proceeded with against the firm or, except</w:t>
      </w:r>
      <w:r>
        <w:rPr>
          <w:rFonts w:ascii="Arial" w:hAnsi="Arial" w:cs="Arial"/>
          <w:sz w:val="22"/>
          <w:szCs w:val="22"/>
        </w:rPr>
        <w:t xml:space="preserve"> </w:t>
      </w:r>
      <w:r w:rsidR="002C32AF" w:rsidRPr="005977C2">
        <w:rPr>
          <w:rFonts w:ascii="Arial" w:hAnsi="Arial" w:cs="Arial"/>
          <w:sz w:val="22"/>
          <w:szCs w:val="22"/>
        </w:rPr>
        <w:t>with the leave of the court, any partner therein; and</w:t>
      </w:r>
    </w:p>
    <w:p w14:paraId="5A0B941B" w14:textId="77777777" w:rsidR="00250322" w:rsidRPr="00250322" w:rsidRDefault="002C32AF" w:rsidP="005977C2">
      <w:pPr>
        <w:pStyle w:val="ListParagraph"/>
        <w:numPr>
          <w:ilvl w:val="0"/>
          <w:numId w:val="18"/>
        </w:numPr>
        <w:jc w:val="both"/>
        <w:rPr>
          <w:rFonts w:ascii="Arial" w:hAnsi="Arial" w:cs="Arial"/>
          <w:sz w:val="22"/>
          <w:szCs w:val="22"/>
          <w:lang w:val="en-GB"/>
        </w:rPr>
      </w:pPr>
      <w:r w:rsidRPr="005977C2">
        <w:rPr>
          <w:rFonts w:ascii="Arial" w:hAnsi="Arial" w:cs="Arial"/>
          <w:sz w:val="22"/>
          <w:szCs w:val="22"/>
        </w:rPr>
        <w:t>no other proceedings, execution or other legal process may be commenced or</w:t>
      </w:r>
      <w:r w:rsidRPr="005977C2">
        <w:rPr>
          <w:rFonts w:ascii="Arial" w:hAnsi="Arial" w:cs="Arial"/>
          <w:sz w:val="22"/>
          <w:szCs w:val="22"/>
        </w:rPr>
        <w:br/>
        <w:t>continued against the firm or its property or against the person or property of any</w:t>
      </w:r>
      <w:r w:rsidRPr="005977C2">
        <w:rPr>
          <w:rFonts w:ascii="Arial" w:hAnsi="Arial" w:cs="Arial"/>
          <w:sz w:val="22"/>
          <w:szCs w:val="22"/>
        </w:rPr>
        <w:br/>
        <w:t>partner in the firm, without the leave of the court.</w:t>
      </w:r>
    </w:p>
    <w:p w14:paraId="637922C2" w14:textId="77777777" w:rsidR="00250322" w:rsidRDefault="00250322" w:rsidP="00250322">
      <w:pPr>
        <w:ind w:left="720"/>
        <w:jc w:val="both"/>
        <w:rPr>
          <w:rFonts w:ascii="Arial" w:hAnsi="Arial" w:cs="Arial"/>
          <w:sz w:val="22"/>
          <w:szCs w:val="22"/>
        </w:rPr>
      </w:pPr>
    </w:p>
    <w:p w14:paraId="6D4565E3" w14:textId="36472C3E" w:rsidR="00250322" w:rsidRDefault="002C32AF" w:rsidP="001C36B9">
      <w:pPr>
        <w:ind w:left="720" w:firstLine="360"/>
        <w:jc w:val="both"/>
        <w:rPr>
          <w:rFonts w:ascii="Arial" w:hAnsi="Arial" w:cs="Arial"/>
          <w:sz w:val="22"/>
          <w:szCs w:val="22"/>
          <w:lang w:val="en-IN"/>
        </w:rPr>
      </w:pPr>
      <w:r w:rsidRPr="00250322">
        <w:rPr>
          <w:rFonts w:ascii="Arial" w:hAnsi="Arial" w:cs="Arial"/>
          <w:sz w:val="22"/>
          <w:szCs w:val="22"/>
        </w:rPr>
        <w:t>Where an interim order has been made, the nominee must submit a report to the Court which</w:t>
      </w:r>
      <w:r w:rsidR="00250322">
        <w:rPr>
          <w:rFonts w:ascii="Arial" w:hAnsi="Arial" w:cs="Arial"/>
          <w:sz w:val="22"/>
          <w:szCs w:val="22"/>
        </w:rPr>
        <w:t xml:space="preserve"> </w:t>
      </w:r>
      <w:r w:rsidRPr="00250322">
        <w:rPr>
          <w:rFonts w:ascii="Arial" w:hAnsi="Arial" w:cs="Arial"/>
          <w:sz w:val="22"/>
          <w:szCs w:val="22"/>
        </w:rPr>
        <w:t>states whether in his opinion, a meeting of the debtor's creditors should be summoned and if</w:t>
      </w:r>
      <w:r w:rsidR="00250322">
        <w:rPr>
          <w:rFonts w:ascii="Arial" w:hAnsi="Arial" w:cs="Arial"/>
          <w:sz w:val="22"/>
          <w:szCs w:val="22"/>
        </w:rPr>
        <w:t xml:space="preserve"> </w:t>
      </w:r>
      <w:r w:rsidR="00250322" w:rsidRPr="00250322">
        <w:rPr>
          <w:rFonts w:ascii="Arial" w:hAnsi="Arial" w:cs="Arial"/>
          <w:sz w:val="22"/>
          <w:szCs w:val="22"/>
          <w:lang w:val="en-IN"/>
        </w:rPr>
        <w:t xml:space="preserve">so, the date, time and place which the meeting should take </w:t>
      </w:r>
      <w:proofErr w:type="gramStart"/>
      <w:r w:rsidR="00250322" w:rsidRPr="00250322">
        <w:rPr>
          <w:rFonts w:ascii="Arial" w:hAnsi="Arial" w:cs="Arial"/>
          <w:sz w:val="22"/>
          <w:szCs w:val="22"/>
          <w:lang w:val="en-IN"/>
        </w:rPr>
        <w:t>place</w:t>
      </w:r>
      <w:r w:rsidR="00250322">
        <w:rPr>
          <w:rFonts w:ascii="Arial" w:hAnsi="Arial" w:cs="Arial"/>
          <w:sz w:val="22"/>
          <w:szCs w:val="22"/>
          <w:lang w:val="en-IN"/>
        </w:rPr>
        <w:t>(</w:t>
      </w:r>
      <w:proofErr w:type="gramEnd"/>
      <w:r w:rsidR="00250322">
        <w:rPr>
          <w:rFonts w:ascii="Arial" w:hAnsi="Arial" w:cs="Arial"/>
          <w:sz w:val="22"/>
          <w:szCs w:val="22"/>
          <w:lang w:val="en-IN"/>
        </w:rPr>
        <w:t xml:space="preserve">Section 280 of the Act). </w:t>
      </w:r>
      <w:r w:rsidR="00250322" w:rsidRPr="00250322">
        <w:rPr>
          <w:rFonts w:ascii="Arial" w:hAnsi="Arial" w:cs="Arial"/>
          <w:sz w:val="22"/>
          <w:szCs w:val="22"/>
          <w:lang w:val="en-IN"/>
        </w:rPr>
        <w:t>Then, unless otherwise</w:t>
      </w:r>
      <w:r w:rsidR="00250322">
        <w:rPr>
          <w:rFonts w:ascii="Arial" w:hAnsi="Arial" w:cs="Arial"/>
          <w:sz w:val="22"/>
          <w:szCs w:val="22"/>
          <w:lang w:val="en-IN"/>
        </w:rPr>
        <w:t xml:space="preserve"> </w:t>
      </w:r>
      <w:r w:rsidR="00250322" w:rsidRPr="00250322">
        <w:rPr>
          <w:rFonts w:ascii="Arial" w:hAnsi="Arial" w:cs="Arial"/>
          <w:sz w:val="22"/>
          <w:szCs w:val="22"/>
          <w:lang w:val="en-IN"/>
        </w:rPr>
        <w:t>directed by the Court the nominee will summon a creditors meeting.</w:t>
      </w:r>
    </w:p>
    <w:p w14:paraId="1C03DB66" w14:textId="77777777" w:rsidR="00250322" w:rsidRDefault="00250322" w:rsidP="00250322">
      <w:pPr>
        <w:ind w:left="720"/>
        <w:jc w:val="both"/>
        <w:rPr>
          <w:rFonts w:ascii="Arial" w:hAnsi="Arial" w:cs="Arial"/>
          <w:sz w:val="22"/>
          <w:szCs w:val="22"/>
          <w:lang w:val="en-IN"/>
        </w:rPr>
      </w:pPr>
    </w:p>
    <w:p w14:paraId="4AF7625F" w14:textId="3C3B26C9" w:rsidR="00C72848" w:rsidRPr="00250322" w:rsidRDefault="00250322" w:rsidP="00250322">
      <w:pPr>
        <w:ind w:left="720"/>
        <w:jc w:val="both"/>
        <w:rPr>
          <w:rFonts w:ascii="Arial" w:hAnsi="Arial" w:cs="Arial"/>
          <w:sz w:val="22"/>
          <w:szCs w:val="22"/>
          <w:lang w:val="en-IN"/>
        </w:rPr>
      </w:pPr>
      <w:r>
        <w:rPr>
          <w:rFonts w:ascii="Arial" w:hAnsi="Arial" w:cs="Arial"/>
          <w:sz w:val="22"/>
          <w:szCs w:val="22"/>
          <w:lang w:val="en-IN"/>
        </w:rPr>
        <w:t>Section 282 (1) provides that t</w:t>
      </w:r>
      <w:r w:rsidRPr="00250322">
        <w:rPr>
          <w:rFonts w:ascii="Arial" w:hAnsi="Arial" w:cs="Arial"/>
          <w:sz w:val="22"/>
          <w:szCs w:val="22"/>
          <w:lang w:val="en-IN"/>
        </w:rPr>
        <w:t>he Voluntary Arrangement must then be approved by special resolution by the creditors at the</w:t>
      </w:r>
      <w:r>
        <w:rPr>
          <w:rFonts w:ascii="Arial" w:hAnsi="Arial" w:cs="Arial"/>
          <w:sz w:val="22"/>
          <w:szCs w:val="22"/>
          <w:lang w:val="en-IN"/>
        </w:rPr>
        <w:t xml:space="preserve"> </w:t>
      </w:r>
      <w:r w:rsidRPr="00250322">
        <w:rPr>
          <w:rFonts w:ascii="Arial" w:hAnsi="Arial" w:cs="Arial"/>
          <w:sz w:val="22"/>
          <w:szCs w:val="22"/>
          <w:lang w:val="en-IN"/>
        </w:rPr>
        <w:t>creditors meeting. The Voluntary Arrangement, if approved by the requisite majority, will then</w:t>
      </w:r>
      <w:r w:rsidRPr="00250322">
        <w:rPr>
          <w:rFonts w:ascii="Arial" w:hAnsi="Arial" w:cs="Arial"/>
          <w:sz w:val="22"/>
          <w:szCs w:val="22"/>
          <w:lang w:val="en-IN"/>
        </w:rPr>
        <w:br/>
        <w:t>bind all creditors who have had notice of and were entitled to vote at the meeting.</w:t>
      </w:r>
      <w:r w:rsidRPr="00250322">
        <w:rPr>
          <w:rFonts w:ascii="Arial" w:hAnsi="Arial" w:cs="Arial"/>
          <w:sz w:val="22"/>
          <w:szCs w:val="22"/>
          <w:lang w:val="en-IN"/>
        </w:rPr>
        <w:br/>
        <w:t>If, however, the debtor fails to comply with any of the obligations under the voluntary</w:t>
      </w:r>
      <w:r>
        <w:rPr>
          <w:rFonts w:ascii="Arial" w:hAnsi="Arial" w:cs="Arial"/>
          <w:sz w:val="22"/>
          <w:szCs w:val="22"/>
          <w:lang w:val="en-IN"/>
        </w:rPr>
        <w:t xml:space="preserve"> </w:t>
      </w:r>
      <w:r w:rsidRPr="00250322">
        <w:rPr>
          <w:rFonts w:ascii="Arial" w:hAnsi="Arial" w:cs="Arial"/>
          <w:sz w:val="22"/>
          <w:szCs w:val="22"/>
          <w:lang w:val="en-IN"/>
        </w:rPr>
        <w:t>arrangement, the nominee or any creditor bound by the Voluntary Arrangement may</w:t>
      </w:r>
      <w:r>
        <w:rPr>
          <w:rFonts w:ascii="Arial" w:hAnsi="Arial" w:cs="Arial"/>
          <w:sz w:val="22"/>
          <w:szCs w:val="22"/>
          <w:lang w:val="en-IN"/>
        </w:rPr>
        <w:t xml:space="preserve"> </w:t>
      </w:r>
      <w:r w:rsidRPr="00250322">
        <w:rPr>
          <w:rFonts w:ascii="Arial" w:hAnsi="Arial" w:cs="Arial"/>
          <w:sz w:val="22"/>
          <w:szCs w:val="22"/>
          <w:lang w:val="en-IN"/>
        </w:rPr>
        <w:t>bring a</w:t>
      </w:r>
      <w:r>
        <w:rPr>
          <w:rFonts w:ascii="Arial" w:hAnsi="Arial" w:cs="Arial"/>
          <w:sz w:val="22"/>
          <w:szCs w:val="22"/>
          <w:lang w:val="en-IN"/>
        </w:rPr>
        <w:t xml:space="preserve"> </w:t>
      </w:r>
      <w:r w:rsidRPr="00250322">
        <w:rPr>
          <w:rFonts w:ascii="Arial" w:hAnsi="Arial" w:cs="Arial"/>
          <w:sz w:val="22"/>
          <w:szCs w:val="22"/>
          <w:lang w:val="en-IN"/>
        </w:rPr>
        <w:t>bankruptcy application against the debto</w:t>
      </w:r>
      <w:r>
        <w:rPr>
          <w:rFonts w:ascii="Arial" w:hAnsi="Arial" w:cs="Arial"/>
          <w:sz w:val="22"/>
          <w:szCs w:val="22"/>
          <w:lang w:val="en-IN"/>
        </w:rPr>
        <w:t>r in terms of Section 287.</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68B8782B" w14:textId="77777777" w:rsidR="001C36B9" w:rsidRDefault="001C36B9" w:rsidP="002A37BB">
      <w:pPr>
        <w:jc w:val="both"/>
        <w:rPr>
          <w:rFonts w:ascii="Arial" w:hAnsi="Arial" w:cs="Arial"/>
          <w:sz w:val="22"/>
          <w:szCs w:val="22"/>
        </w:rPr>
      </w:pPr>
    </w:p>
    <w:p w14:paraId="3624A1F8" w14:textId="54CBC29B" w:rsidR="00E81C76" w:rsidRDefault="00F20759" w:rsidP="00F20759">
      <w:pPr>
        <w:jc w:val="both"/>
        <w:rPr>
          <w:rFonts w:ascii="Arial" w:hAnsi="Arial" w:cs="Arial"/>
          <w:sz w:val="22"/>
          <w:szCs w:val="22"/>
        </w:rPr>
      </w:pPr>
      <w:r>
        <w:rPr>
          <w:rFonts w:ascii="Arial" w:hAnsi="Arial" w:cs="Arial"/>
          <w:sz w:val="22"/>
          <w:szCs w:val="22"/>
        </w:rPr>
        <w:t>Ans:</w:t>
      </w:r>
      <w:r>
        <w:rPr>
          <w:rFonts w:ascii="Arial" w:hAnsi="Arial" w:cs="Arial"/>
          <w:sz w:val="22"/>
          <w:szCs w:val="22"/>
        </w:rPr>
        <w:t xml:space="preserve"> </w:t>
      </w:r>
      <w:r w:rsidR="00E81C76">
        <w:rPr>
          <w:rFonts w:ascii="Arial" w:hAnsi="Arial" w:cs="Arial"/>
          <w:sz w:val="22"/>
          <w:szCs w:val="22"/>
        </w:rPr>
        <w:t>Generally, the Singapore legal system has permitted litigation funding in the context of insolvency under appropriate circumstances. However, prior to the IRDA, a liquidator was only able to assign the proceeds of the company’s claims to third parties and not the right to pursue actions that are personal to the judicial manager or liquidator.</w:t>
      </w:r>
    </w:p>
    <w:p w14:paraId="443AFB75" w14:textId="25CD9F0F" w:rsidR="00E81C76" w:rsidRDefault="00E81C76" w:rsidP="002A37BB">
      <w:pPr>
        <w:jc w:val="both"/>
        <w:rPr>
          <w:rFonts w:ascii="Arial" w:hAnsi="Arial" w:cs="Arial"/>
          <w:sz w:val="22"/>
          <w:szCs w:val="22"/>
        </w:rPr>
      </w:pPr>
    </w:p>
    <w:p w14:paraId="5C5BB6F9" w14:textId="16072CE6" w:rsidR="00E81C76" w:rsidRDefault="00E81C76" w:rsidP="002A37BB">
      <w:pPr>
        <w:jc w:val="both"/>
        <w:rPr>
          <w:rFonts w:ascii="Arial" w:hAnsi="Arial" w:cs="Arial"/>
          <w:sz w:val="22"/>
          <w:szCs w:val="22"/>
        </w:rPr>
      </w:pPr>
      <w:r>
        <w:rPr>
          <w:rFonts w:ascii="Arial" w:hAnsi="Arial" w:cs="Arial"/>
          <w:sz w:val="22"/>
          <w:szCs w:val="22"/>
        </w:rPr>
        <w:t xml:space="preserve">Under the IRD Act, </w:t>
      </w:r>
      <w:r w:rsidR="00A0533D">
        <w:rPr>
          <w:rFonts w:ascii="Arial" w:hAnsi="Arial" w:cs="Arial"/>
          <w:sz w:val="22"/>
          <w:szCs w:val="22"/>
        </w:rPr>
        <w:t>both the judicial managers and the liquidators are statutorily empowered to bring certain cause of action, including those which are privy to them where</w:t>
      </w:r>
      <w:r w:rsidR="002B13F4">
        <w:rPr>
          <w:rFonts w:ascii="Arial" w:hAnsi="Arial" w:cs="Arial"/>
          <w:sz w:val="22"/>
          <w:szCs w:val="22"/>
        </w:rPr>
        <w:t xml:space="preserve"> the companies do not have sufficient means to pursue such claims. The Act enables the judicial managers and liquidators to seek third party funding for such claims. However, authorization by the court or the committee of inspection is required. These claims are in relation to transactions that are deemed undervalued or have unfair preference transactions, extortionate credit transactions, fraudulent trading, wrongful trading and assessment of damaged against delinquent officers of the company.</w:t>
      </w:r>
    </w:p>
    <w:p w14:paraId="45B03435" w14:textId="13CFA80D" w:rsidR="00D73E6E" w:rsidRDefault="00D73E6E" w:rsidP="002A37BB">
      <w:pPr>
        <w:jc w:val="both"/>
        <w:rPr>
          <w:rFonts w:ascii="Arial" w:hAnsi="Arial" w:cs="Arial"/>
          <w:sz w:val="22"/>
          <w:szCs w:val="22"/>
        </w:rPr>
      </w:pPr>
    </w:p>
    <w:p w14:paraId="206EC98D" w14:textId="32105E02" w:rsidR="00D73E6E" w:rsidRDefault="00D73E6E" w:rsidP="001C36B9">
      <w:pPr>
        <w:ind w:firstLine="360"/>
        <w:jc w:val="both"/>
        <w:rPr>
          <w:rFonts w:ascii="Arial" w:hAnsi="Arial" w:cs="Arial"/>
          <w:sz w:val="22"/>
          <w:szCs w:val="22"/>
        </w:rPr>
      </w:pPr>
      <w:r>
        <w:rPr>
          <w:rFonts w:ascii="Arial" w:hAnsi="Arial" w:cs="Arial"/>
          <w:sz w:val="22"/>
          <w:szCs w:val="22"/>
        </w:rPr>
        <w:lastRenderedPageBreak/>
        <w:t>Under Section 224 to 229 of the IRDA, upon liquidation of a company, a liquidator or judicial manager can apply to the court to seek a claw back assets previously transferred in transactions where:</w:t>
      </w:r>
    </w:p>
    <w:p w14:paraId="38F34EF7" w14:textId="15E74AA8" w:rsidR="00D73E6E" w:rsidRDefault="00D73E6E" w:rsidP="00D73E6E">
      <w:pPr>
        <w:pStyle w:val="ListParagraph"/>
        <w:numPr>
          <w:ilvl w:val="0"/>
          <w:numId w:val="26"/>
        </w:numPr>
        <w:jc w:val="both"/>
        <w:rPr>
          <w:rFonts w:ascii="Arial" w:hAnsi="Arial" w:cs="Arial"/>
          <w:sz w:val="22"/>
          <w:szCs w:val="22"/>
        </w:rPr>
      </w:pPr>
      <w:r>
        <w:rPr>
          <w:rFonts w:ascii="Arial" w:hAnsi="Arial" w:cs="Arial"/>
          <w:sz w:val="22"/>
          <w:szCs w:val="22"/>
        </w:rPr>
        <w:t>an unfai</w:t>
      </w:r>
      <w:r w:rsidR="004B3D29">
        <w:rPr>
          <w:rFonts w:ascii="Arial" w:hAnsi="Arial" w:cs="Arial"/>
          <w:sz w:val="22"/>
          <w:szCs w:val="22"/>
        </w:rPr>
        <w:t>r</w:t>
      </w:r>
      <w:r>
        <w:rPr>
          <w:rFonts w:ascii="Arial" w:hAnsi="Arial" w:cs="Arial"/>
          <w:sz w:val="22"/>
          <w:szCs w:val="22"/>
        </w:rPr>
        <w:t xml:space="preserve"> or undue preference was given; or</w:t>
      </w:r>
    </w:p>
    <w:p w14:paraId="52515130" w14:textId="044EDB14" w:rsidR="00D73E6E" w:rsidRDefault="00D73E6E" w:rsidP="00D73E6E">
      <w:pPr>
        <w:pStyle w:val="ListParagraph"/>
        <w:numPr>
          <w:ilvl w:val="0"/>
          <w:numId w:val="26"/>
        </w:numPr>
        <w:jc w:val="both"/>
        <w:rPr>
          <w:rFonts w:ascii="Arial" w:hAnsi="Arial" w:cs="Arial"/>
          <w:sz w:val="22"/>
          <w:szCs w:val="22"/>
        </w:rPr>
      </w:pPr>
      <w:r>
        <w:rPr>
          <w:rFonts w:ascii="Arial" w:hAnsi="Arial" w:cs="Arial"/>
          <w:sz w:val="22"/>
          <w:szCs w:val="22"/>
        </w:rPr>
        <w:t>the transaction was conducted at an undervalue</w:t>
      </w:r>
      <w:r w:rsidR="00345A84">
        <w:rPr>
          <w:rFonts w:ascii="Arial" w:hAnsi="Arial" w:cs="Arial"/>
          <w:sz w:val="22"/>
          <w:szCs w:val="22"/>
        </w:rPr>
        <w:t>.</w:t>
      </w:r>
    </w:p>
    <w:p w14:paraId="60373886" w14:textId="4180579A" w:rsidR="00345A84" w:rsidRDefault="00345A84" w:rsidP="00345A84">
      <w:pPr>
        <w:pStyle w:val="ListParagraph"/>
        <w:jc w:val="both"/>
        <w:rPr>
          <w:rFonts w:ascii="Arial" w:hAnsi="Arial" w:cs="Arial"/>
          <w:sz w:val="22"/>
          <w:szCs w:val="22"/>
        </w:rPr>
      </w:pPr>
    </w:p>
    <w:p w14:paraId="73AD9080" w14:textId="640FEE8A" w:rsidR="00345A84" w:rsidRPr="00345A84" w:rsidRDefault="00345A84" w:rsidP="00345A84">
      <w:pPr>
        <w:jc w:val="both"/>
        <w:rPr>
          <w:rFonts w:ascii="Arial" w:hAnsi="Arial" w:cs="Arial"/>
          <w:sz w:val="22"/>
          <w:szCs w:val="22"/>
        </w:rPr>
      </w:pPr>
      <w:r>
        <w:rPr>
          <w:rFonts w:ascii="Arial" w:hAnsi="Arial" w:cs="Arial"/>
          <w:sz w:val="22"/>
          <w:szCs w:val="22"/>
        </w:rPr>
        <w:t xml:space="preserve">it is to be noted that </w:t>
      </w:r>
      <w:proofErr w:type="spellStart"/>
      <w:r>
        <w:rPr>
          <w:rFonts w:ascii="Arial" w:hAnsi="Arial" w:cs="Arial"/>
          <w:sz w:val="22"/>
          <w:szCs w:val="22"/>
        </w:rPr>
        <w:t>clawback</w:t>
      </w:r>
      <w:proofErr w:type="spellEnd"/>
      <w:r>
        <w:rPr>
          <w:rFonts w:ascii="Arial" w:hAnsi="Arial" w:cs="Arial"/>
          <w:sz w:val="22"/>
          <w:szCs w:val="22"/>
        </w:rPr>
        <w:t xml:space="preserve"> provision are only available to a liquidator or judicial manager </w:t>
      </w:r>
      <w:r w:rsidR="00747DFA">
        <w:rPr>
          <w:rFonts w:ascii="Arial" w:hAnsi="Arial" w:cs="Arial"/>
          <w:sz w:val="22"/>
          <w:szCs w:val="22"/>
        </w:rPr>
        <w:t>once the company is placed into liquidation or judicial management. Accordingly, dire</w:t>
      </w:r>
      <w:r w:rsidR="00902042">
        <w:rPr>
          <w:rFonts w:ascii="Arial" w:hAnsi="Arial" w:cs="Arial"/>
          <w:sz w:val="22"/>
          <w:szCs w:val="22"/>
        </w:rPr>
        <w:t>ctors should be alive to the fact that creditors might seek to place the company into liquidation or judicial management to have the liquidator or judicial manager avail themselves of such actions.</w:t>
      </w:r>
    </w:p>
    <w:p w14:paraId="7563B626" w14:textId="0751779D" w:rsidR="002B13F4" w:rsidRDefault="002B13F4" w:rsidP="002A37BB">
      <w:pPr>
        <w:jc w:val="both"/>
        <w:rPr>
          <w:rFonts w:ascii="Arial" w:hAnsi="Arial" w:cs="Arial"/>
          <w:sz w:val="22"/>
          <w:szCs w:val="22"/>
        </w:rPr>
      </w:pPr>
    </w:p>
    <w:p w14:paraId="5B667A15" w14:textId="37EF0944" w:rsidR="00873CDC" w:rsidRPr="002A37BB" w:rsidRDefault="00873CDC" w:rsidP="002A37BB">
      <w:pPr>
        <w:jc w:val="both"/>
        <w:rPr>
          <w:rFonts w:ascii="Arial" w:hAnsi="Arial" w:cs="Arial"/>
          <w:sz w:val="22"/>
          <w:szCs w:val="22"/>
        </w:rPr>
      </w:pPr>
      <w:r>
        <w:rPr>
          <w:rFonts w:ascii="Arial" w:hAnsi="Arial" w:cs="Arial"/>
          <w:sz w:val="22"/>
          <w:szCs w:val="22"/>
        </w:rPr>
        <w:t xml:space="preserve">Under section 144 of the IRDA, the liquidator may also, with the authority of the court of the committee of inspection prove, rank and claim in the bankruptcy of any </w:t>
      </w:r>
      <w:r w:rsidR="005B6971">
        <w:rPr>
          <w:rFonts w:ascii="Arial" w:hAnsi="Arial" w:cs="Arial"/>
          <w:sz w:val="22"/>
          <w:szCs w:val="22"/>
        </w:rPr>
        <w:t>debtor</w:t>
      </w:r>
      <w:r>
        <w:rPr>
          <w:rFonts w:ascii="Arial" w:hAnsi="Arial" w:cs="Arial"/>
          <w:sz w:val="22"/>
          <w:szCs w:val="22"/>
        </w:rPr>
        <w:t xml:space="preserve"> for any balance against his estate, and receive </w:t>
      </w:r>
      <w:r w:rsidR="005B6971">
        <w:rPr>
          <w:rFonts w:ascii="Arial" w:hAnsi="Arial" w:cs="Arial"/>
          <w:sz w:val="22"/>
          <w:szCs w:val="22"/>
        </w:rPr>
        <w:t>dividends</w:t>
      </w:r>
      <w:r>
        <w:rPr>
          <w:rFonts w:ascii="Arial" w:hAnsi="Arial" w:cs="Arial"/>
          <w:sz w:val="22"/>
          <w:szCs w:val="22"/>
        </w:rPr>
        <w:t xml:space="preserve"> in the bankruptcy in respect of that balance as a separate due from the bankrupt, and </w:t>
      </w:r>
      <w:r w:rsidR="005B6971">
        <w:rPr>
          <w:rFonts w:ascii="Arial" w:hAnsi="Arial" w:cs="Arial"/>
          <w:sz w:val="22"/>
          <w:szCs w:val="22"/>
        </w:rPr>
        <w:t>ratably</w:t>
      </w:r>
      <w:r>
        <w:rPr>
          <w:rFonts w:ascii="Arial" w:hAnsi="Arial" w:cs="Arial"/>
          <w:sz w:val="22"/>
          <w:szCs w:val="22"/>
        </w:rPr>
        <w:t xml:space="preserve"> with the other separate creditors.</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4366B0D2" w:rsidR="00807119" w:rsidRDefault="0007291B" w:rsidP="002A37BB">
      <w:pPr>
        <w:jc w:val="both"/>
        <w:rPr>
          <w:rFonts w:ascii="Arial" w:hAnsi="Arial" w:cs="Arial"/>
          <w:sz w:val="22"/>
          <w:szCs w:val="22"/>
          <w:lang w:val="en-GB"/>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19DD45C6" w14:textId="77777777" w:rsidR="00F20759" w:rsidRDefault="00F20759" w:rsidP="00F20759">
      <w:pPr>
        <w:jc w:val="both"/>
        <w:rPr>
          <w:rFonts w:ascii="Arial" w:hAnsi="Arial" w:cs="Arial"/>
          <w:sz w:val="22"/>
          <w:szCs w:val="22"/>
          <w:lang w:val="en-GB"/>
        </w:rPr>
      </w:pPr>
    </w:p>
    <w:p w14:paraId="3B2B2FD7" w14:textId="16DF917E" w:rsidR="002072C8" w:rsidRDefault="00787C83" w:rsidP="00F20759">
      <w:pPr>
        <w:jc w:val="both"/>
        <w:rPr>
          <w:rFonts w:ascii="Arial" w:hAnsi="Arial" w:cs="Arial"/>
          <w:sz w:val="22"/>
          <w:szCs w:val="22"/>
        </w:rPr>
      </w:pPr>
      <w:r>
        <w:rPr>
          <w:rFonts w:ascii="Arial" w:hAnsi="Arial" w:cs="Arial"/>
          <w:sz w:val="22"/>
          <w:szCs w:val="22"/>
          <w:lang w:val="en-GB"/>
        </w:rPr>
        <w:t>Ans:</w:t>
      </w:r>
      <w:r w:rsidR="00F20759">
        <w:rPr>
          <w:rFonts w:ascii="Arial" w:hAnsi="Arial" w:cs="Arial"/>
          <w:sz w:val="22"/>
          <w:szCs w:val="22"/>
        </w:rPr>
        <w:t xml:space="preserve"> </w:t>
      </w:r>
      <w:r w:rsidR="002072C8">
        <w:rPr>
          <w:rFonts w:ascii="Arial" w:hAnsi="Arial" w:cs="Arial"/>
          <w:sz w:val="22"/>
          <w:szCs w:val="22"/>
        </w:rPr>
        <w:t xml:space="preserve">Judicial </w:t>
      </w:r>
      <w:r>
        <w:rPr>
          <w:rFonts w:ascii="Arial" w:hAnsi="Arial" w:cs="Arial"/>
          <w:sz w:val="22"/>
          <w:szCs w:val="22"/>
        </w:rPr>
        <w:t>Management</w:t>
      </w:r>
      <w:r w:rsidR="002072C8">
        <w:rPr>
          <w:rFonts w:ascii="Arial" w:hAnsi="Arial" w:cs="Arial"/>
          <w:sz w:val="22"/>
          <w:szCs w:val="22"/>
        </w:rPr>
        <w:t xml:space="preserve"> is a corporate rescue tool used by the Singapore Insolvency law which entails the appointment of an insolvency practitioner as the judicial manager. The judicial manager replaces the company’s directors and management and takes over responsibility of the running of the company. Upon the appointment of a judicial manager, the power of the company’s directors </w:t>
      </w:r>
      <w:proofErr w:type="gramStart"/>
      <w:r w:rsidR="002072C8">
        <w:rPr>
          <w:rFonts w:ascii="Arial" w:hAnsi="Arial" w:cs="Arial"/>
          <w:sz w:val="22"/>
          <w:szCs w:val="22"/>
        </w:rPr>
        <w:t>cease</w:t>
      </w:r>
      <w:proofErr w:type="gramEnd"/>
      <w:r w:rsidR="002072C8">
        <w:rPr>
          <w:rFonts w:ascii="Arial" w:hAnsi="Arial" w:cs="Arial"/>
          <w:sz w:val="22"/>
          <w:szCs w:val="22"/>
        </w:rPr>
        <w:t xml:space="preserve"> and the judicial manager takes over the </w:t>
      </w:r>
      <w:r w:rsidR="00880C0F">
        <w:rPr>
          <w:rFonts w:ascii="Arial" w:hAnsi="Arial" w:cs="Arial"/>
          <w:sz w:val="22"/>
          <w:szCs w:val="22"/>
        </w:rPr>
        <w:t>affairs</w:t>
      </w:r>
      <w:r w:rsidR="002072C8">
        <w:rPr>
          <w:rFonts w:ascii="Arial" w:hAnsi="Arial" w:cs="Arial"/>
          <w:sz w:val="22"/>
          <w:szCs w:val="22"/>
        </w:rPr>
        <w:t>, business and property of the company.</w:t>
      </w:r>
    </w:p>
    <w:p w14:paraId="3075CC16" w14:textId="32233997" w:rsidR="00C32B78" w:rsidRDefault="00C32B78" w:rsidP="002A37BB">
      <w:pPr>
        <w:jc w:val="both"/>
        <w:rPr>
          <w:rFonts w:ascii="Arial" w:hAnsi="Arial" w:cs="Arial"/>
          <w:sz w:val="22"/>
          <w:szCs w:val="22"/>
        </w:rPr>
      </w:pPr>
    </w:p>
    <w:p w14:paraId="0C652848" w14:textId="47821B37" w:rsidR="00C32B78" w:rsidRDefault="00C32B78" w:rsidP="001C36B9">
      <w:pPr>
        <w:ind w:firstLine="720"/>
        <w:jc w:val="both"/>
        <w:rPr>
          <w:rFonts w:ascii="Arial" w:hAnsi="Arial" w:cs="Arial"/>
          <w:sz w:val="22"/>
          <w:szCs w:val="22"/>
        </w:rPr>
      </w:pPr>
      <w:r>
        <w:rPr>
          <w:rFonts w:ascii="Arial" w:hAnsi="Arial" w:cs="Arial"/>
          <w:sz w:val="22"/>
          <w:szCs w:val="22"/>
        </w:rPr>
        <w:t>Judicial management is a creditor-in-possession procedure. Upon the application of a company or its creditors, the court may appoint a judicial manager where it is shown that the company is or is likely to become unable to pay its debts</w:t>
      </w:r>
      <w:r w:rsidR="00C86F7A">
        <w:rPr>
          <w:rFonts w:ascii="Arial" w:hAnsi="Arial" w:cs="Arial"/>
          <w:sz w:val="22"/>
          <w:szCs w:val="22"/>
        </w:rPr>
        <w:t>.</w:t>
      </w:r>
      <w:r>
        <w:rPr>
          <w:rFonts w:ascii="Arial" w:hAnsi="Arial" w:cs="Arial"/>
          <w:sz w:val="22"/>
          <w:szCs w:val="22"/>
        </w:rPr>
        <w:t xml:space="preserve"> however, </w:t>
      </w:r>
      <w:r w:rsidR="00C86F7A">
        <w:rPr>
          <w:rFonts w:ascii="Arial" w:hAnsi="Arial" w:cs="Arial"/>
          <w:sz w:val="22"/>
          <w:szCs w:val="22"/>
        </w:rPr>
        <w:t>only such companies that are eligible to be wound up under the IRD Act 2018 may apply for judicial management.</w:t>
      </w:r>
    </w:p>
    <w:p w14:paraId="655AE4A5" w14:textId="6B027BB6" w:rsidR="00C86F7A" w:rsidRDefault="00C86F7A" w:rsidP="002A37BB">
      <w:pPr>
        <w:jc w:val="both"/>
        <w:rPr>
          <w:rFonts w:ascii="Arial" w:hAnsi="Arial" w:cs="Arial"/>
          <w:sz w:val="22"/>
          <w:szCs w:val="22"/>
        </w:rPr>
      </w:pPr>
    </w:p>
    <w:p w14:paraId="5950D2ED" w14:textId="2A7C0DE4" w:rsidR="00C86F7A" w:rsidRDefault="00C86F7A" w:rsidP="001C36B9">
      <w:pPr>
        <w:ind w:firstLine="360"/>
        <w:jc w:val="both"/>
        <w:rPr>
          <w:rFonts w:ascii="Arial" w:hAnsi="Arial" w:cs="Arial"/>
          <w:sz w:val="22"/>
          <w:szCs w:val="22"/>
        </w:rPr>
      </w:pPr>
      <w:r>
        <w:rPr>
          <w:rFonts w:ascii="Arial" w:hAnsi="Arial" w:cs="Arial"/>
          <w:sz w:val="22"/>
          <w:szCs w:val="22"/>
        </w:rPr>
        <w:t xml:space="preserve">Section 94(1) </w:t>
      </w:r>
      <w:r w:rsidR="00D304D1">
        <w:rPr>
          <w:rFonts w:ascii="Arial" w:hAnsi="Arial" w:cs="Arial"/>
          <w:sz w:val="22"/>
          <w:szCs w:val="22"/>
        </w:rPr>
        <w:t>of the IRD Act 2018 introduces a new voluntary process for initiating judicial management without having to first apply to the court if:</w:t>
      </w:r>
    </w:p>
    <w:p w14:paraId="742DAC48" w14:textId="1277829B" w:rsidR="00D304D1" w:rsidRDefault="008E12B8" w:rsidP="008E12B8">
      <w:pPr>
        <w:pStyle w:val="ListParagraph"/>
        <w:numPr>
          <w:ilvl w:val="0"/>
          <w:numId w:val="21"/>
        </w:numPr>
        <w:jc w:val="both"/>
        <w:rPr>
          <w:rFonts w:ascii="Arial" w:hAnsi="Arial" w:cs="Arial"/>
          <w:sz w:val="22"/>
          <w:szCs w:val="22"/>
        </w:rPr>
      </w:pPr>
      <w:r>
        <w:rPr>
          <w:rFonts w:ascii="Arial" w:hAnsi="Arial" w:cs="Arial"/>
          <w:sz w:val="22"/>
          <w:szCs w:val="22"/>
        </w:rPr>
        <w:t>the company is, or is likely to become, unable to pay its debts;</w:t>
      </w:r>
    </w:p>
    <w:p w14:paraId="0DDA26F7" w14:textId="6ABBA404" w:rsidR="008E12B8" w:rsidRDefault="008E12B8" w:rsidP="008E12B8">
      <w:pPr>
        <w:pStyle w:val="ListParagraph"/>
        <w:numPr>
          <w:ilvl w:val="0"/>
          <w:numId w:val="21"/>
        </w:numPr>
        <w:jc w:val="both"/>
        <w:rPr>
          <w:rFonts w:ascii="Arial" w:hAnsi="Arial" w:cs="Arial"/>
          <w:sz w:val="22"/>
          <w:szCs w:val="22"/>
        </w:rPr>
      </w:pPr>
      <w:r>
        <w:rPr>
          <w:rFonts w:ascii="Arial" w:hAnsi="Arial" w:cs="Arial"/>
          <w:sz w:val="22"/>
          <w:szCs w:val="22"/>
        </w:rPr>
        <w:t>there is a reasonable probability of achieving one or more of the purposes of judicial management mentione</w:t>
      </w:r>
      <w:r w:rsidR="00551D3F">
        <w:rPr>
          <w:rFonts w:ascii="Arial" w:hAnsi="Arial" w:cs="Arial"/>
          <w:sz w:val="22"/>
          <w:szCs w:val="22"/>
        </w:rPr>
        <w:t>d</w:t>
      </w:r>
      <w:r>
        <w:rPr>
          <w:rFonts w:ascii="Arial" w:hAnsi="Arial" w:cs="Arial"/>
          <w:sz w:val="22"/>
          <w:szCs w:val="22"/>
        </w:rPr>
        <w:t xml:space="preserve"> in section 89(1); and</w:t>
      </w:r>
    </w:p>
    <w:p w14:paraId="04346373" w14:textId="3B8237F7" w:rsidR="008E12B8" w:rsidRDefault="008E12B8" w:rsidP="008E12B8">
      <w:pPr>
        <w:pStyle w:val="ListParagraph"/>
        <w:numPr>
          <w:ilvl w:val="0"/>
          <w:numId w:val="21"/>
        </w:numPr>
        <w:jc w:val="both"/>
        <w:rPr>
          <w:rFonts w:ascii="Arial" w:hAnsi="Arial" w:cs="Arial"/>
          <w:sz w:val="22"/>
          <w:szCs w:val="22"/>
        </w:rPr>
      </w:pPr>
      <w:r>
        <w:rPr>
          <w:rFonts w:ascii="Arial" w:hAnsi="Arial" w:cs="Arial"/>
          <w:sz w:val="22"/>
          <w:szCs w:val="22"/>
        </w:rPr>
        <w:t xml:space="preserve">a resolution </w:t>
      </w:r>
      <w:r w:rsidR="00230ABE">
        <w:rPr>
          <w:rFonts w:ascii="Arial" w:hAnsi="Arial" w:cs="Arial"/>
          <w:sz w:val="22"/>
          <w:szCs w:val="22"/>
        </w:rPr>
        <w:t>of</w:t>
      </w:r>
      <w:r>
        <w:rPr>
          <w:rFonts w:ascii="Arial" w:hAnsi="Arial" w:cs="Arial"/>
          <w:sz w:val="22"/>
          <w:szCs w:val="22"/>
        </w:rPr>
        <w:t xml:space="preserve"> its creditors is obtained.</w:t>
      </w:r>
    </w:p>
    <w:p w14:paraId="40BC74C2" w14:textId="5E9DF1C6" w:rsidR="00230ABE" w:rsidRDefault="00230ABE" w:rsidP="00230ABE">
      <w:pPr>
        <w:jc w:val="both"/>
        <w:rPr>
          <w:rFonts w:ascii="Arial" w:hAnsi="Arial" w:cs="Arial"/>
          <w:sz w:val="22"/>
          <w:szCs w:val="22"/>
        </w:rPr>
      </w:pPr>
    </w:p>
    <w:p w14:paraId="6C51323C" w14:textId="18A3A969" w:rsidR="00230ABE" w:rsidRDefault="00230ABE" w:rsidP="001C36B9">
      <w:pPr>
        <w:ind w:firstLine="360"/>
        <w:jc w:val="both"/>
        <w:rPr>
          <w:rFonts w:ascii="Arial" w:hAnsi="Arial" w:cs="Arial"/>
          <w:sz w:val="22"/>
          <w:szCs w:val="22"/>
        </w:rPr>
      </w:pPr>
      <w:r>
        <w:rPr>
          <w:rFonts w:ascii="Arial" w:hAnsi="Arial" w:cs="Arial"/>
          <w:sz w:val="22"/>
          <w:szCs w:val="22"/>
        </w:rPr>
        <w:t>Section 94 also sets out the procedure for the judicial management process which is initiated voluntarily. This includes but is not limited to:</w:t>
      </w:r>
    </w:p>
    <w:p w14:paraId="59A6D3A5" w14:textId="250BFA30" w:rsidR="00230ABE" w:rsidRDefault="00230ABE" w:rsidP="00230ABE">
      <w:pPr>
        <w:pStyle w:val="ListParagraph"/>
        <w:numPr>
          <w:ilvl w:val="0"/>
          <w:numId w:val="29"/>
        </w:numPr>
        <w:jc w:val="both"/>
        <w:rPr>
          <w:rFonts w:ascii="Arial" w:hAnsi="Arial" w:cs="Arial"/>
          <w:sz w:val="22"/>
          <w:szCs w:val="22"/>
        </w:rPr>
      </w:pPr>
      <w:r>
        <w:rPr>
          <w:rFonts w:ascii="Arial" w:hAnsi="Arial" w:cs="Arial"/>
          <w:sz w:val="22"/>
          <w:szCs w:val="22"/>
        </w:rPr>
        <w:t>the manner creditor meetings should be conducted;</w:t>
      </w:r>
    </w:p>
    <w:p w14:paraId="5789C36D" w14:textId="7C20FD6F" w:rsidR="00230ABE" w:rsidRDefault="00230ABE" w:rsidP="00230ABE">
      <w:pPr>
        <w:pStyle w:val="ListParagraph"/>
        <w:numPr>
          <w:ilvl w:val="0"/>
          <w:numId w:val="29"/>
        </w:numPr>
        <w:jc w:val="both"/>
        <w:rPr>
          <w:rFonts w:ascii="Arial" w:hAnsi="Arial" w:cs="Arial"/>
          <w:sz w:val="22"/>
          <w:szCs w:val="22"/>
        </w:rPr>
      </w:pPr>
      <w:r>
        <w:rPr>
          <w:rFonts w:ascii="Arial" w:hAnsi="Arial" w:cs="Arial"/>
          <w:sz w:val="22"/>
          <w:szCs w:val="22"/>
        </w:rPr>
        <w:t>notice requirements; and</w:t>
      </w:r>
    </w:p>
    <w:p w14:paraId="55F772F6" w14:textId="4D5347E7" w:rsidR="00230ABE" w:rsidRPr="00230ABE" w:rsidRDefault="00230ABE" w:rsidP="00230ABE">
      <w:pPr>
        <w:pStyle w:val="ListParagraph"/>
        <w:numPr>
          <w:ilvl w:val="0"/>
          <w:numId w:val="29"/>
        </w:numPr>
        <w:jc w:val="both"/>
        <w:rPr>
          <w:rFonts w:ascii="Arial" w:hAnsi="Arial" w:cs="Arial"/>
          <w:sz w:val="22"/>
          <w:szCs w:val="22"/>
        </w:rPr>
      </w:pPr>
      <w:r>
        <w:rPr>
          <w:rFonts w:ascii="Arial" w:hAnsi="Arial" w:cs="Arial"/>
          <w:sz w:val="22"/>
          <w:szCs w:val="22"/>
        </w:rPr>
        <w:t>relevant timelines.</w:t>
      </w:r>
    </w:p>
    <w:p w14:paraId="5FA838C4" w14:textId="656BA3F3" w:rsidR="008E12B8" w:rsidRDefault="008E12B8" w:rsidP="008E12B8">
      <w:pPr>
        <w:jc w:val="both"/>
        <w:rPr>
          <w:rFonts w:ascii="Arial" w:hAnsi="Arial" w:cs="Arial"/>
          <w:sz w:val="22"/>
          <w:szCs w:val="22"/>
        </w:rPr>
      </w:pPr>
    </w:p>
    <w:p w14:paraId="6D7D8562" w14:textId="1381793F" w:rsidR="008E12B8" w:rsidRDefault="008E12B8" w:rsidP="001C36B9">
      <w:pPr>
        <w:ind w:firstLine="360"/>
        <w:jc w:val="both"/>
        <w:rPr>
          <w:rFonts w:ascii="Arial" w:hAnsi="Arial" w:cs="Arial"/>
          <w:sz w:val="22"/>
          <w:szCs w:val="22"/>
        </w:rPr>
      </w:pPr>
      <w:r>
        <w:rPr>
          <w:rFonts w:ascii="Arial" w:hAnsi="Arial" w:cs="Arial"/>
          <w:sz w:val="22"/>
          <w:szCs w:val="22"/>
        </w:rPr>
        <w:t>A</w:t>
      </w:r>
      <w:r w:rsidRPr="008E12B8">
        <w:rPr>
          <w:rFonts w:ascii="Arial" w:hAnsi="Arial" w:cs="Arial"/>
          <w:sz w:val="22"/>
          <w:szCs w:val="22"/>
        </w:rPr>
        <w:t xml:space="preserve"> company can propose to its creditors that it enter judicial management and, with the approval of a majority in number and value of the creditors present and voting, be placed under judicial management. Judicial management can only commence if the requisite majority of creditors resolves to place the company under judicial management. If such requisite majority is not obtained, the process ends.</w:t>
      </w:r>
      <w:r>
        <w:rPr>
          <w:rFonts w:ascii="Arial" w:hAnsi="Arial" w:cs="Arial"/>
          <w:sz w:val="22"/>
          <w:szCs w:val="22"/>
        </w:rPr>
        <w:t xml:space="preserve"> It is however pertinent to mention that </w:t>
      </w:r>
      <w:r w:rsidRPr="008E12B8">
        <w:rPr>
          <w:rFonts w:ascii="Arial" w:hAnsi="Arial" w:cs="Arial"/>
          <w:sz w:val="22"/>
          <w:szCs w:val="22"/>
        </w:rPr>
        <w:t xml:space="preserve">once the company is placed into judicial management, the judicial management process will </w:t>
      </w:r>
      <w:r w:rsidRPr="008E12B8">
        <w:rPr>
          <w:rFonts w:ascii="Arial" w:hAnsi="Arial" w:cs="Arial"/>
          <w:sz w:val="22"/>
          <w:szCs w:val="22"/>
        </w:rPr>
        <w:lastRenderedPageBreak/>
        <w:t>then continue under the supervision of the court in the same manner as a court commenced process.</w:t>
      </w:r>
    </w:p>
    <w:p w14:paraId="6B2441FC" w14:textId="77777777" w:rsidR="00F20759" w:rsidRDefault="00F20759" w:rsidP="00F20759">
      <w:pPr>
        <w:jc w:val="both"/>
        <w:rPr>
          <w:rFonts w:ascii="Arial" w:hAnsi="Arial" w:cs="Arial"/>
          <w:sz w:val="22"/>
          <w:szCs w:val="22"/>
        </w:rPr>
      </w:pPr>
    </w:p>
    <w:p w14:paraId="30A3B314" w14:textId="58CA7CD8" w:rsidR="007E40F0" w:rsidRDefault="00551D3F" w:rsidP="00F20759">
      <w:pPr>
        <w:jc w:val="both"/>
        <w:rPr>
          <w:rFonts w:ascii="Arial" w:hAnsi="Arial" w:cs="Arial"/>
          <w:sz w:val="22"/>
          <w:szCs w:val="22"/>
        </w:rPr>
      </w:pPr>
      <w:r>
        <w:rPr>
          <w:rFonts w:ascii="Arial" w:hAnsi="Arial" w:cs="Arial"/>
          <w:sz w:val="22"/>
          <w:szCs w:val="22"/>
        </w:rPr>
        <w:t>However, for an application for judicial management before the court must satisfy:</w:t>
      </w:r>
    </w:p>
    <w:p w14:paraId="6A4E6721" w14:textId="5FDC9E11" w:rsidR="00551D3F" w:rsidRDefault="00551D3F" w:rsidP="00551D3F">
      <w:pPr>
        <w:pStyle w:val="ListParagraph"/>
        <w:numPr>
          <w:ilvl w:val="0"/>
          <w:numId w:val="30"/>
        </w:numPr>
        <w:jc w:val="both"/>
        <w:rPr>
          <w:rFonts w:ascii="Arial" w:hAnsi="Arial" w:cs="Arial"/>
          <w:sz w:val="22"/>
          <w:szCs w:val="22"/>
        </w:rPr>
      </w:pPr>
      <w:r w:rsidRPr="00551D3F">
        <w:rPr>
          <w:rFonts w:ascii="Arial" w:hAnsi="Arial" w:cs="Arial"/>
          <w:sz w:val="22"/>
          <w:szCs w:val="22"/>
        </w:rPr>
        <w:t xml:space="preserve"> that the company is or will be unable to pay its debts;</w:t>
      </w:r>
    </w:p>
    <w:p w14:paraId="2DA8CAD1" w14:textId="0AEA438B" w:rsidR="00551D3F" w:rsidRDefault="00551D3F" w:rsidP="00551D3F">
      <w:pPr>
        <w:pStyle w:val="ListParagraph"/>
        <w:numPr>
          <w:ilvl w:val="0"/>
          <w:numId w:val="30"/>
        </w:numPr>
        <w:jc w:val="both"/>
        <w:rPr>
          <w:rFonts w:ascii="Arial" w:hAnsi="Arial" w:cs="Arial"/>
          <w:sz w:val="22"/>
          <w:szCs w:val="22"/>
        </w:rPr>
      </w:pPr>
      <w:r>
        <w:rPr>
          <w:rFonts w:ascii="Arial" w:hAnsi="Arial" w:cs="Arial"/>
          <w:sz w:val="22"/>
          <w:szCs w:val="22"/>
        </w:rPr>
        <w:t>That the making of the order would be likely to achieve one or more of the following purposes, namely:</w:t>
      </w:r>
    </w:p>
    <w:p w14:paraId="582DCFAF" w14:textId="33A3161E" w:rsidR="00551D3F" w:rsidRDefault="00551D3F" w:rsidP="00551D3F">
      <w:pPr>
        <w:pStyle w:val="ListParagraph"/>
        <w:numPr>
          <w:ilvl w:val="0"/>
          <w:numId w:val="31"/>
        </w:numPr>
        <w:jc w:val="both"/>
        <w:rPr>
          <w:rFonts w:ascii="Arial" w:hAnsi="Arial" w:cs="Arial"/>
          <w:sz w:val="22"/>
          <w:szCs w:val="22"/>
        </w:rPr>
      </w:pPr>
      <w:r>
        <w:rPr>
          <w:rFonts w:ascii="Arial" w:hAnsi="Arial" w:cs="Arial"/>
          <w:sz w:val="22"/>
          <w:szCs w:val="22"/>
        </w:rPr>
        <w:t>Survival of company, or the whole or part of its undertaking as a going concern;</w:t>
      </w:r>
    </w:p>
    <w:p w14:paraId="12944728" w14:textId="0E5FE960" w:rsidR="00551D3F" w:rsidRDefault="00551D3F" w:rsidP="00551D3F">
      <w:pPr>
        <w:pStyle w:val="ListParagraph"/>
        <w:numPr>
          <w:ilvl w:val="0"/>
          <w:numId w:val="31"/>
        </w:numPr>
        <w:jc w:val="both"/>
        <w:rPr>
          <w:rFonts w:ascii="Arial" w:hAnsi="Arial" w:cs="Arial"/>
          <w:sz w:val="22"/>
          <w:szCs w:val="22"/>
        </w:rPr>
      </w:pPr>
      <w:r>
        <w:rPr>
          <w:rFonts w:ascii="Arial" w:hAnsi="Arial" w:cs="Arial"/>
          <w:sz w:val="22"/>
          <w:szCs w:val="22"/>
        </w:rPr>
        <w:t>The approval under section 210 of the Companies Act of a compromise or arrangement between the company and any such persons as are mentioned in that section; or</w:t>
      </w:r>
    </w:p>
    <w:p w14:paraId="2027C76C" w14:textId="4188C124" w:rsidR="00551D3F" w:rsidRPr="00551D3F" w:rsidRDefault="00551D3F" w:rsidP="00551D3F">
      <w:pPr>
        <w:pStyle w:val="ListParagraph"/>
        <w:numPr>
          <w:ilvl w:val="0"/>
          <w:numId w:val="31"/>
        </w:numPr>
        <w:jc w:val="both"/>
        <w:rPr>
          <w:rFonts w:ascii="Arial" w:hAnsi="Arial" w:cs="Arial"/>
          <w:sz w:val="22"/>
          <w:szCs w:val="22"/>
        </w:rPr>
      </w:pPr>
      <w:r>
        <w:rPr>
          <w:rFonts w:ascii="Arial" w:hAnsi="Arial" w:cs="Arial"/>
          <w:sz w:val="22"/>
          <w:szCs w:val="22"/>
        </w:rPr>
        <w:t>The more advantageous realization of the company’s assets than would occur in a winding-up.</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lastRenderedPageBreak/>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54FE7B40" w14:textId="77777777" w:rsidR="00F20759" w:rsidRDefault="00F20759" w:rsidP="00F20759">
      <w:pPr>
        <w:jc w:val="both"/>
        <w:rPr>
          <w:rFonts w:ascii="Arial" w:hAnsi="Arial" w:cs="Arial"/>
          <w:sz w:val="22"/>
          <w:szCs w:val="22"/>
          <w:lang w:val="en-GB"/>
        </w:rPr>
      </w:pPr>
    </w:p>
    <w:p w14:paraId="427C8E33" w14:textId="2A06768B" w:rsidR="00384F62" w:rsidRPr="00787C83" w:rsidRDefault="00F20759" w:rsidP="00F20759">
      <w:pPr>
        <w:jc w:val="both"/>
        <w:rPr>
          <w:rFonts w:ascii="Arial" w:hAnsi="Arial" w:cs="Arial"/>
          <w:sz w:val="22"/>
          <w:szCs w:val="22"/>
        </w:rPr>
      </w:pPr>
      <w:r>
        <w:rPr>
          <w:rFonts w:ascii="Arial" w:hAnsi="Arial" w:cs="Arial"/>
          <w:sz w:val="22"/>
          <w:szCs w:val="22"/>
          <w:lang w:val="en-GB"/>
        </w:rPr>
        <w:t xml:space="preserve">ANS: </w:t>
      </w:r>
      <w:r w:rsidR="00C5262D" w:rsidRPr="00787C83">
        <w:rPr>
          <w:rFonts w:ascii="Arial" w:hAnsi="Arial" w:cs="Arial"/>
          <w:sz w:val="22"/>
          <w:szCs w:val="22"/>
        </w:rPr>
        <w:t>The company can make an application under Section 64 only if:</w:t>
      </w:r>
    </w:p>
    <w:p w14:paraId="40776E3A" w14:textId="46F2E283" w:rsidR="00C5262D" w:rsidRDefault="00C5262D" w:rsidP="00C5262D">
      <w:pPr>
        <w:pStyle w:val="ListParagraph"/>
        <w:numPr>
          <w:ilvl w:val="0"/>
          <w:numId w:val="22"/>
        </w:numPr>
        <w:jc w:val="both"/>
        <w:rPr>
          <w:rFonts w:ascii="Arial" w:hAnsi="Arial" w:cs="Arial"/>
          <w:sz w:val="22"/>
          <w:szCs w:val="22"/>
        </w:rPr>
      </w:pPr>
      <w:r>
        <w:rPr>
          <w:rFonts w:ascii="Arial" w:hAnsi="Arial" w:cs="Arial"/>
          <w:sz w:val="22"/>
          <w:szCs w:val="22"/>
        </w:rPr>
        <w:t>No order has been made an</w:t>
      </w:r>
      <w:r w:rsidR="00C71AA1">
        <w:rPr>
          <w:rFonts w:ascii="Arial" w:hAnsi="Arial" w:cs="Arial"/>
          <w:sz w:val="22"/>
          <w:szCs w:val="22"/>
        </w:rPr>
        <w:t>d</w:t>
      </w:r>
      <w:r>
        <w:rPr>
          <w:rFonts w:ascii="Arial" w:hAnsi="Arial" w:cs="Arial"/>
          <w:sz w:val="22"/>
          <w:szCs w:val="22"/>
        </w:rPr>
        <w:t xml:space="preserve"> no resolution has been passed for the winding up of the company;</w:t>
      </w:r>
    </w:p>
    <w:p w14:paraId="075161B1" w14:textId="5FF8DFEB" w:rsidR="00C5262D" w:rsidRDefault="00C5262D" w:rsidP="00C5262D">
      <w:pPr>
        <w:pStyle w:val="ListParagraph"/>
        <w:numPr>
          <w:ilvl w:val="0"/>
          <w:numId w:val="22"/>
        </w:numPr>
        <w:jc w:val="both"/>
        <w:rPr>
          <w:rFonts w:ascii="Arial" w:hAnsi="Arial" w:cs="Arial"/>
          <w:sz w:val="22"/>
          <w:szCs w:val="22"/>
        </w:rPr>
      </w:pPr>
      <w:r>
        <w:rPr>
          <w:rFonts w:ascii="Arial" w:hAnsi="Arial" w:cs="Arial"/>
          <w:sz w:val="22"/>
          <w:szCs w:val="22"/>
        </w:rPr>
        <w:t xml:space="preserve">The company make or undertakes to do so as soon as practicable an application to sanction a scheme of </w:t>
      </w:r>
      <w:r w:rsidR="00ED62CD">
        <w:rPr>
          <w:rFonts w:ascii="Arial" w:hAnsi="Arial" w:cs="Arial"/>
          <w:sz w:val="22"/>
          <w:szCs w:val="22"/>
        </w:rPr>
        <w:t>arrangement;</w:t>
      </w:r>
    </w:p>
    <w:p w14:paraId="776AA1A9" w14:textId="273BE320" w:rsidR="00ED62CD" w:rsidRDefault="00ED62CD" w:rsidP="00ED62CD">
      <w:pPr>
        <w:pStyle w:val="ListParagraph"/>
        <w:numPr>
          <w:ilvl w:val="0"/>
          <w:numId w:val="22"/>
        </w:numPr>
        <w:jc w:val="both"/>
        <w:rPr>
          <w:rFonts w:ascii="Arial" w:hAnsi="Arial" w:cs="Arial"/>
          <w:sz w:val="22"/>
          <w:szCs w:val="22"/>
        </w:rPr>
      </w:pPr>
      <w:r>
        <w:rPr>
          <w:rFonts w:ascii="Arial" w:hAnsi="Arial" w:cs="Arial"/>
          <w:sz w:val="22"/>
          <w:szCs w:val="22"/>
        </w:rPr>
        <w:t xml:space="preserve">The company has not applied for protection under section 210(10) of the </w:t>
      </w:r>
      <w:proofErr w:type="gramStart"/>
      <w:r>
        <w:rPr>
          <w:rFonts w:ascii="Arial" w:hAnsi="Arial" w:cs="Arial"/>
          <w:sz w:val="22"/>
          <w:szCs w:val="22"/>
        </w:rPr>
        <w:t>companies</w:t>
      </w:r>
      <w:proofErr w:type="gramEnd"/>
      <w:r>
        <w:rPr>
          <w:rFonts w:ascii="Arial" w:hAnsi="Arial" w:cs="Arial"/>
          <w:sz w:val="22"/>
          <w:szCs w:val="22"/>
        </w:rPr>
        <w:t xml:space="preserve"> act.</w:t>
      </w:r>
    </w:p>
    <w:p w14:paraId="3F850EFA" w14:textId="31B96B48" w:rsidR="00ED62CD" w:rsidRDefault="00ED62CD" w:rsidP="001C36B9">
      <w:pPr>
        <w:ind w:firstLine="360"/>
        <w:jc w:val="both"/>
        <w:rPr>
          <w:rFonts w:ascii="Arial" w:hAnsi="Arial" w:cs="Arial"/>
          <w:sz w:val="22"/>
          <w:szCs w:val="22"/>
        </w:rPr>
      </w:pPr>
      <w:r>
        <w:rPr>
          <w:rFonts w:ascii="Arial" w:hAnsi="Arial" w:cs="Arial"/>
          <w:sz w:val="22"/>
          <w:szCs w:val="22"/>
        </w:rPr>
        <w:t xml:space="preserve">Additionally, when making an application, the company must also publish a notice in the Gazette and in </w:t>
      </w:r>
      <w:proofErr w:type="spellStart"/>
      <w:r>
        <w:rPr>
          <w:rFonts w:ascii="Arial" w:hAnsi="Arial" w:cs="Arial"/>
          <w:sz w:val="22"/>
          <w:szCs w:val="22"/>
        </w:rPr>
        <w:t>atleast</w:t>
      </w:r>
      <w:proofErr w:type="spellEnd"/>
      <w:r>
        <w:rPr>
          <w:rFonts w:ascii="Arial" w:hAnsi="Arial" w:cs="Arial"/>
          <w:sz w:val="22"/>
          <w:szCs w:val="22"/>
        </w:rPr>
        <w:t xml:space="preserve"> one English local daily newspaper and send notice to the creditors. The application must also include:</w:t>
      </w:r>
    </w:p>
    <w:p w14:paraId="2819CC4C" w14:textId="68700008" w:rsidR="00ED62CD" w:rsidRDefault="00ED62CD" w:rsidP="00ED62CD">
      <w:pPr>
        <w:pStyle w:val="ListParagraph"/>
        <w:numPr>
          <w:ilvl w:val="0"/>
          <w:numId w:val="23"/>
        </w:numPr>
        <w:jc w:val="both"/>
        <w:rPr>
          <w:rFonts w:ascii="Arial" w:hAnsi="Arial" w:cs="Arial"/>
          <w:sz w:val="22"/>
          <w:szCs w:val="22"/>
        </w:rPr>
      </w:pPr>
      <w:r>
        <w:rPr>
          <w:rFonts w:ascii="Arial" w:hAnsi="Arial" w:cs="Arial"/>
          <w:sz w:val="22"/>
          <w:szCs w:val="22"/>
        </w:rPr>
        <w:t xml:space="preserve">Evidence of support from company’s </w:t>
      </w:r>
      <w:r w:rsidR="001C36B9">
        <w:rPr>
          <w:rFonts w:ascii="Arial" w:hAnsi="Arial" w:cs="Arial"/>
          <w:sz w:val="22"/>
          <w:szCs w:val="22"/>
        </w:rPr>
        <w:t>creditors</w:t>
      </w:r>
      <w:r>
        <w:rPr>
          <w:rFonts w:ascii="Arial" w:hAnsi="Arial" w:cs="Arial"/>
          <w:sz w:val="22"/>
          <w:szCs w:val="22"/>
        </w:rPr>
        <w:t>;</w:t>
      </w:r>
    </w:p>
    <w:p w14:paraId="3520B5D9" w14:textId="2EB889B4" w:rsidR="00ED62CD" w:rsidRDefault="00ED62CD" w:rsidP="00ED62CD">
      <w:pPr>
        <w:pStyle w:val="ListParagraph"/>
        <w:numPr>
          <w:ilvl w:val="0"/>
          <w:numId w:val="23"/>
        </w:numPr>
        <w:jc w:val="both"/>
        <w:rPr>
          <w:rFonts w:ascii="Arial" w:hAnsi="Arial" w:cs="Arial"/>
          <w:sz w:val="22"/>
          <w:szCs w:val="22"/>
        </w:rPr>
      </w:pPr>
      <w:r>
        <w:rPr>
          <w:rFonts w:ascii="Arial" w:hAnsi="Arial" w:cs="Arial"/>
          <w:sz w:val="22"/>
          <w:szCs w:val="22"/>
        </w:rPr>
        <w:t>A brief description of the intended compromise or arrangement containing sufficient details to enable the court to determine if it is feasible and merits consideration by the creditors; and</w:t>
      </w:r>
    </w:p>
    <w:p w14:paraId="7887941B" w14:textId="226773F4" w:rsidR="00ED62CD" w:rsidRDefault="00ED62CD" w:rsidP="00ED62CD">
      <w:pPr>
        <w:pStyle w:val="ListParagraph"/>
        <w:numPr>
          <w:ilvl w:val="0"/>
          <w:numId w:val="23"/>
        </w:numPr>
        <w:jc w:val="both"/>
        <w:rPr>
          <w:rFonts w:ascii="Arial" w:hAnsi="Arial" w:cs="Arial"/>
          <w:sz w:val="22"/>
          <w:szCs w:val="22"/>
        </w:rPr>
      </w:pPr>
      <w:r>
        <w:rPr>
          <w:rFonts w:ascii="Arial" w:hAnsi="Arial" w:cs="Arial"/>
          <w:sz w:val="22"/>
          <w:szCs w:val="22"/>
        </w:rPr>
        <w:t>A list of every secured creditor and the largest unsecured creditors.</w:t>
      </w:r>
    </w:p>
    <w:p w14:paraId="221901A5" w14:textId="1FE182CB" w:rsidR="00384F62" w:rsidRDefault="00461896" w:rsidP="00384F62">
      <w:pPr>
        <w:jc w:val="both"/>
        <w:rPr>
          <w:rFonts w:ascii="Arial" w:hAnsi="Arial" w:cs="Arial"/>
          <w:sz w:val="22"/>
          <w:szCs w:val="22"/>
          <w:lang w:val="en-GB"/>
        </w:rPr>
      </w:pPr>
      <w:r>
        <w:rPr>
          <w:rFonts w:ascii="Arial" w:hAnsi="Arial" w:cs="Arial"/>
          <w:sz w:val="22"/>
          <w:szCs w:val="22"/>
          <w:lang w:val="en-GB"/>
        </w:rPr>
        <w:t>The court also orders the company to submit to the court sufficient information relating to the company’s financial affairs to enable creditors to assess the feasibility of the compromise arrangement</w:t>
      </w:r>
      <w:r w:rsidR="00054A4A">
        <w:rPr>
          <w:rFonts w:ascii="Arial" w:hAnsi="Arial" w:cs="Arial"/>
          <w:sz w:val="22"/>
          <w:szCs w:val="22"/>
          <w:lang w:val="en-GB"/>
        </w:rPr>
        <w:t>, including valuation of significant assets, details of any disposal of property, financial reports and profitability documents.</w:t>
      </w:r>
    </w:p>
    <w:p w14:paraId="296375C5" w14:textId="77777777" w:rsidR="00054A4A" w:rsidRDefault="00054A4A" w:rsidP="00384F62">
      <w:pPr>
        <w:jc w:val="both"/>
        <w:rPr>
          <w:rFonts w:ascii="Arial" w:hAnsi="Arial" w:cs="Arial"/>
          <w:sz w:val="22"/>
          <w:szCs w:val="22"/>
          <w:lang w:val="en-GB"/>
        </w:rPr>
      </w:pPr>
    </w:p>
    <w:p w14:paraId="1566BCE5" w14:textId="2169571D"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lastRenderedPageBreak/>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66E8DFF6" w:rsidR="00384F62" w:rsidRDefault="00384F62" w:rsidP="00384F62">
      <w:pPr>
        <w:ind w:left="720" w:hanging="720"/>
        <w:jc w:val="both"/>
        <w:rPr>
          <w:rFonts w:ascii="Arial" w:hAnsi="Arial" w:cs="Arial"/>
          <w:color w:val="7B7B7B" w:themeColor="accent3" w:themeShade="BF"/>
          <w:sz w:val="22"/>
          <w:szCs w:val="22"/>
        </w:rPr>
      </w:pPr>
    </w:p>
    <w:p w14:paraId="714C97C6" w14:textId="397371F4" w:rsidR="00461896" w:rsidRDefault="00F20759" w:rsidP="00054A4A">
      <w:pPr>
        <w:jc w:val="both"/>
        <w:rPr>
          <w:rFonts w:ascii="Arial" w:hAnsi="Arial" w:cs="Arial"/>
          <w:sz w:val="22"/>
          <w:szCs w:val="22"/>
        </w:rPr>
      </w:pPr>
      <w:r>
        <w:rPr>
          <w:rFonts w:ascii="Arial" w:hAnsi="Arial" w:cs="Arial"/>
          <w:sz w:val="22"/>
          <w:szCs w:val="22"/>
        </w:rPr>
        <w:t xml:space="preserve">ANS: </w:t>
      </w:r>
      <w:r w:rsidR="00691DA1" w:rsidRPr="00691DA1">
        <w:rPr>
          <w:rFonts w:ascii="Arial" w:hAnsi="Arial" w:cs="Arial"/>
          <w:sz w:val="22"/>
          <w:szCs w:val="22"/>
        </w:rPr>
        <w:t xml:space="preserve">Under section 65 of the IRDA, </w:t>
      </w:r>
      <w:r w:rsidR="00461896">
        <w:rPr>
          <w:rFonts w:ascii="Arial" w:hAnsi="Arial" w:cs="Arial"/>
          <w:sz w:val="22"/>
          <w:szCs w:val="22"/>
        </w:rPr>
        <w:t>the court can grant moratorium orders relating to subsidiaries</w:t>
      </w:r>
      <w:r w:rsidR="00054A4A">
        <w:rPr>
          <w:rFonts w:ascii="Arial" w:hAnsi="Arial" w:cs="Arial"/>
          <w:sz w:val="22"/>
          <w:szCs w:val="22"/>
        </w:rPr>
        <w:t xml:space="preserve"> </w:t>
      </w:r>
      <w:r w:rsidR="00461896">
        <w:rPr>
          <w:rFonts w:ascii="Arial" w:hAnsi="Arial" w:cs="Arial"/>
          <w:sz w:val="22"/>
          <w:szCs w:val="22"/>
        </w:rPr>
        <w:t>or related companies which play a necessary and integral role in the compromise or arrangement to be proposed by the company under the Section 64 moratorium.</w:t>
      </w:r>
    </w:p>
    <w:p w14:paraId="0EE4D482" w14:textId="20D39D77" w:rsidR="00691DA1" w:rsidRPr="002A37BB" w:rsidRDefault="00D367E3" w:rsidP="00461896">
      <w:pPr>
        <w:jc w:val="both"/>
        <w:rPr>
          <w:rFonts w:ascii="Arial" w:hAnsi="Arial" w:cs="Arial"/>
          <w:sz w:val="22"/>
          <w:szCs w:val="22"/>
        </w:rPr>
      </w:pPr>
      <w:r w:rsidRPr="00D367E3">
        <w:rPr>
          <w:rFonts w:ascii="Arial" w:hAnsi="Arial" w:cs="Arial"/>
          <w:sz w:val="22"/>
          <w:szCs w:val="22"/>
        </w:rPr>
        <w:t xml:space="preserve">Upon the filing of a Related Company’s Application for Moratorium, unless the Court orders otherwise, the Related Company (a) must send a notice of the application to each creditor of the Related Company who will be affected by an order under section 65(1) of the IRDA and who is known to the Related </w:t>
      </w:r>
      <w:proofErr w:type="gramStart"/>
      <w:r w:rsidRPr="00D367E3">
        <w:rPr>
          <w:rFonts w:ascii="Arial" w:hAnsi="Arial" w:cs="Arial"/>
          <w:sz w:val="22"/>
          <w:szCs w:val="22"/>
        </w:rPr>
        <w:t>Company ,</w:t>
      </w:r>
      <w:proofErr w:type="gramEnd"/>
      <w:r w:rsidRPr="00D367E3">
        <w:rPr>
          <w:rFonts w:ascii="Arial" w:hAnsi="Arial" w:cs="Arial"/>
          <w:sz w:val="22"/>
          <w:szCs w:val="22"/>
        </w:rPr>
        <w:t xml:space="preserve"> and (b) should also send a notice of the application to every other creditor of the Related Company</w:t>
      </w:r>
    </w:p>
    <w:p w14:paraId="073CA7D3" w14:textId="78BA7258" w:rsidR="00384F62" w:rsidRDefault="00384F62" w:rsidP="00384F62">
      <w:pPr>
        <w:jc w:val="both"/>
        <w:rPr>
          <w:rFonts w:ascii="Arial" w:hAnsi="Arial" w:cs="Arial"/>
          <w:sz w:val="22"/>
          <w:szCs w:val="22"/>
          <w:lang w:val="en-GB"/>
        </w:rPr>
      </w:pPr>
    </w:p>
    <w:p w14:paraId="23C183FF" w14:textId="5C0B9E68" w:rsidR="00A9046A" w:rsidRDefault="00A9046A" w:rsidP="00384F62">
      <w:pPr>
        <w:jc w:val="both"/>
        <w:rPr>
          <w:rFonts w:ascii="Arial" w:hAnsi="Arial" w:cs="Arial"/>
          <w:sz w:val="22"/>
          <w:szCs w:val="22"/>
          <w:lang w:val="en-GB"/>
        </w:rPr>
      </w:pPr>
      <w:r>
        <w:rPr>
          <w:rFonts w:ascii="Arial" w:hAnsi="Arial" w:cs="Arial"/>
          <w:sz w:val="22"/>
          <w:szCs w:val="22"/>
          <w:lang w:val="en-GB"/>
        </w:rPr>
        <w:t xml:space="preserve">Further, </w:t>
      </w:r>
      <w:r>
        <w:rPr>
          <w:rFonts w:ascii="Arial" w:hAnsi="Arial" w:cs="Arial"/>
          <w:sz w:val="22"/>
          <w:szCs w:val="22"/>
        </w:rPr>
        <w:t>f</w:t>
      </w:r>
      <w:r w:rsidRPr="00A9046A">
        <w:rPr>
          <w:rFonts w:ascii="Arial" w:hAnsi="Arial" w:cs="Arial"/>
          <w:sz w:val="22"/>
          <w:szCs w:val="22"/>
        </w:rPr>
        <w:t>or a Related Company’s Application for Moratorium, the Related Company is to prepare and tender to Court a document (“Related Company’s Memorandum”), to show that the Related Company is a “company” as defined in section 63(3) of the IRDA, and the Related Company’s compliance with all applicable conditions and requirements of section 65 of the IRDA.</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2847C374" w:rsidR="00384F62" w:rsidRDefault="00787C83" w:rsidP="00384F62">
      <w:pPr>
        <w:jc w:val="both"/>
        <w:rPr>
          <w:rFonts w:ascii="Arial" w:hAnsi="Arial" w:cs="Arial"/>
          <w:sz w:val="22"/>
          <w:szCs w:val="22"/>
          <w:lang w:val="en-GB"/>
        </w:rPr>
      </w:pPr>
      <w:r>
        <w:rPr>
          <w:rFonts w:ascii="Arial" w:hAnsi="Arial" w:cs="Arial"/>
          <w:sz w:val="22"/>
          <w:szCs w:val="22"/>
          <w:lang w:val="en-GB"/>
        </w:rPr>
        <w:t>Ans:</w:t>
      </w:r>
    </w:p>
    <w:p w14:paraId="6729A5CF" w14:textId="2D77576A" w:rsidR="00384F62" w:rsidRDefault="00384F62" w:rsidP="00384F62">
      <w:pPr>
        <w:ind w:left="720" w:hanging="720"/>
        <w:jc w:val="both"/>
        <w:rPr>
          <w:rFonts w:ascii="Arial" w:hAnsi="Arial" w:cs="Arial"/>
          <w:color w:val="7B7B7B" w:themeColor="accent3" w:themeShade="BF"/>
          <w:sz w:val="22"/>
          <w:szCs w:val="22"/>
        </w:rPr>
      </w:pPr>
    </w:p>
    <w:p w14:paraId="56614B82" w14:textId="3B981695" w:rsidR="009E08F2" w:rsidRPr="002A37BB" w:rsidRDefault="00F20759" w:rsidP="00F20759">
      <w:pPr>
        <w:jc w:val="both"/>
        <w:rPr>
          <w:rFonts w:ascii="Arial" w:hAnsi="Arial" w:cs="Arial"/>
          <w:sz w:val="22"/>
          <w:szCs w:val="22"/>
        </w:rPr>
      </w:pPr>
      <w:r>
        <w:rPr>
          <w:rFonts w:ascii="Arial" w:hAnsi="Arial" w:cs="Arial"/>
          <w:sz w:val="22"/>
          <w:szCs w:val="22"/>
        </w:rPr>
        <w:t xml:space="preserve">ANS: </w:t>
      </w:r>
      <w:r w:rsidR="009E08F2" w:rsidRPr="00787C83">
        <w:rPr>
          <w:rFonts w:ascii="Arial" w:hAnsi="Arial" w:cs="Arial"/>
          <w:sz w:val="22"/>
          <w:szCs w:val="22"/>
        </w:rPr>
        <w:t xml:space="preserve">Yes, a key feature of Section 64 of the IRD Act 2018 </w:t>
      </w:r>
      <w:r w:rsidR="00107DFC" w:rsidRPr="00787C83">
        <w:rPr>
          <w:rFonts w:ascii="Arial" w:hAnsi="Arial" w:cs="Arial"/>
          <w:sz w:val="22"/>
          <w:szCs w:val="22"/>
        </w:rPr>
        <w:t xml:space="preserve">is the moratoria having extra territorial effect. However </w:t>
      </w:r>
      <w:r w:rsidR="00FC1A49" w:rsidRPr="00787C83">
        <w:rPr>
          <w:rFonts w:ascii="Arial" w:hAnsi="Arial" w:cs="Arial"/>
          <w:sz w:val="22"/>
          <w:szCs w:val="22"/>
        </w:rPr>
        <w:t xml:space="preserve">the moratoria shall apply and restrain the commencement of proceedings in foreign jurisdiction as long as the Singapore Court has </w:t>
      </w:r>
      <w:r w:rsidR="00FC1A49" w:rsidRPr="00787C83">
        <w:rPr>
          <w:rFonts w:ascii="Arial" w:hAnsi="Arial" w:cs="Arial"/>
          <w:i/>
          <w:iCs/>
          <w:sz w:val="22"/>
          <w:szCs w:val="22"/>
        </w:rPr>
        <w:t xml:space="preserve">in </w:t>
      </w:r>
      <w:proofErr w:type="spellStart"/>
      <w:r w:rsidR="00FC1A49" w:rsidRPr="00787C83">
        <w:rPr>
          <w:rFonts w:ascii="Arial" w:hAnsi="Arial" w:cs="Arial"/>
          <w:i/>
          <w:iCs/>
          <w:sz w:val="22"/>
          <w:szCs w:val="22"/>
        </w:rPr>
        <w:t>person</w:t>
      </w:r>
      <w:r w:rsidR="00787C83" w:rsidRPr="00787C83">
        <w:rPr>
          <w:rFonts w:ascii="Arial" w:hAnsi="Arial" w:cs="Arial"/>
          <w:i/>
          <w:iCs/>
          <w:sz w:val="22"/>
          <w:szCs w:val="22"/>
        </w:rPr>
        <w:t>a</w:t>
      </w:r>
      <w:r w:rsidR="00FC1A49" w:rsidRPr="00787C83">
        <w:rPr>
          <w:rFonts w:ascii="Arial" w:hAnsi="Arial" w:cs="Arial"/>
          <w:i/>
          <w:iCs/>
          <w:sz w:val="22"/>
          <w:szCs w:val="22"/>
        </w:rPr>
        <w:t>m</w:t>
      </w:r>
      <w:proofErr w:type="spellEnd"/>
      <w:r w:rsidR="00FC1A49" w:rsidRPr="00787C83">
        <w:rPr>
          <w:rFonts w:ascii="Arial" w:hAnsi="Arial" w:cs="Arial"/>
          <w:sz w:val="22"/>
          <w:szCs w:val="22"/>
        </w:rPr>
        <w:t xml:space="preserve"> jurisdiction over the creditors</w:t>
      </w:r>
      <w:r w:rsidR="00FC1A49">
        <w:rPr>
          <w:rFonts w:ascii="Arial" w:hAnsi="Arial" w:cs="Arial"/>
          <w:color w:val="7B7B7B" w:themeColor="accent3" w:themeShade="BF"/>
          <w:sz w:val="22"/>
          <w:szCs w:val="22"/>
        </w:rPr>
        <w:t>.</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2C3169A" w14:textId="3D8456DE" w:rsidR="00384F62" w:rsidRDefault="00DC3606" w:rsidP="00F20759">
      <w:pPr>
        <w:jc w:val="both"/>
        <w:rPr>
          <w:rFonts w:ascii="Arial" w:hAnsi="Arial" w:cs="Arial"/>
          <w:sz w:val="22"/>
          <w:szCs w:val="22"/>
          <w:lang w:val="en-GB"/>
        </w:rPr>
      </w:pPr>
      <w:r>
        <w:rPr>
          <w:rFonts w:ascii="Arial" w:hAnsi="Arial" w:cs="Arial"/>
          <w:sz w:val="22"/>
          <w:szCs w:val="22"/>
          <w:lang w:val="en-GB"/>
        </w:rPr>
        <w:lastRenderedPageBreak/>
        <w:t>Ans:</w:t>
      </w:r>
      <w:r w:rsidR="00F20759">
        <w:rPr>
          <w:rFonts w:ascii="Arial" w:hAnsi="Arial" w:cs="Arial"/>
          <w:sz w:val="22"/>
          <w:szCs w:val="22"/>
          <w:lang w:val="en-GB"/>
        </w:rPr>
        <w:t xml:space="preserve"> </w:t>
      </w:r>
      <w:r w:rsidR="00E510E4">
        <w:rPr>
          <w:rFonts w:ascii="Arial" w:hAnsi="Arial" w:cs="Arial"/>
          <w:sz w:val="22"/>
          <w:szCs w:val="22"/>
          <w:lang w:val="en-GB"/>
        </w:rPr>
        <w:t>Section 210 of the Companies Act provides that the liquidator, the company or any creditor (as the case maybe) may apply to apply to the court in a summary way proposing a compromise or arrangement between:</w:t>
      </w:r>
    </w:p>
    <w:p w14:paraId="1C2BA2D9" w14:textId="1B234C93" w:rsidR="00E510E4" w:rsidRDefault="00E510E4" w:rsidP="00E510E4">
      <w:pPr>
        <w:pStyle w:val="ListParagraph"/>
        <w:numPr>
          <w:ilvl w:val="0"/>
          <w:numId w:val="32"/>
        </w:numPr>
        <w:jc w:val="both"/>
        <w:rPr>
          <w:rFonts w:ascii="Arial" w:hAnsi="Arial" w:cs="Arial"/>
          <w:sz w:val="22"/>
          <w:szCs w:val="22"/>
          <w:lang w:val="en-GB"/>
        </w:rPr>
      </w:pPr>
      <w:r>
        <w:rPr>
          <w:rFonts w:ascii="Arial" w:hAnsi="Arial" w:cs="Arial"/>
          <w:sz w:val="22"/>
          <w:szCs w:val="22"/>
          <w:lang w:val="en-GB"/>
        </w:rPr>
        <w:t>Company and its creditors or any class of them;</w:t>
      </w:r>
    </w:p>
    <w:p w14:paraId="343D7680" w14:textId="06ADEBE7" w:rsidR="00E510E4" w:rsidRDefault="00E510E4" w:rsidP="00E510E4">
      <w:pPr>
        <w:pStyle w:val="ListParagraph"/>
        <w:numPr>
          <w:ilvl w:val="0"/>
          <w:numId w:val="32"/>
        </w:numPr>
        <w:jc w:val="both"/>
        <w:rPr>
          <w:rFonts w:ascii="Arial" w:hAnsi="Arial" w:cs="Arial"/>
          <w:sz w:val="22"/>
          <w:szCs w:val="22"/>
          <w:lang w:val="en-GB"/>
        </w:rPr>
      </w:pPr>
      <w:r>
        <w:rPr>
          <w:rFonts w:ascii="Arial" w:hAnsi="Arial" w:cs="Arial"/>
          <w:sz w:val="22"/>
          <w:szCs w:val="22"/>
          <w:lang w:val="en-GB"/>
        </w:rPr>
        <w:t>Company and its members or any class of them; or</w:t>
      </w:r>
    </w:p>
    <w:p w14:paraId="593FB5DD" w14:textId="227D3684" w:rsidR="00E510E4" w:rsidRDefault="00E510E4" w:rsidP="00E510E4">
      <w:pPr>
        <w:pStyle w:val="ListParagraph"/>
        <w:numPr>
          <w:ilvl w:val="0"/>
          <w:numId w:val="32"/>
        </w:numPr>
        <w:jc w:val="both"/>
        <w:rPr>
          <w:rFonts w:ascii="Arial" w:hAnsi="Arial" w:cs="Arial"/>
          <w:sz w:val="22"/>
          <w:szCs w:val="22"/>
          <w:lang w:val="en-GB"/>
        </w:rPr>
      </w:pPr>
      <w:r>
        <w:rPr>
          <w:rFonts w:ascii="Arial" w:hAnsi="Arial" w:cs="Arial"/>
          <w:sz w:val="22"/>
          <w:szCs w:val="22"/>
          <w:lang w:val="en-GB"/>
        </w:rPr>
        <w:t>Company and holder of units of share of the company or any class of them</w:t>
      </w:r>
      <w:r w:rsidR="005E660A">
        <w:rPr>
          <w:rFonts w:ascii="Arial" w:hAnsi="Arial" w:cs="Arial"/>
          <w:sz w:val="22"/>
          <w:szCs w:val="22"/>
          <w:lang w:val="en-GB"/>
        </w:rPr>
        <w:t>.</w:t>
      </w:r>
    </w:p>
    <w:p w14:paraId="0E507B67" w14:textId="7E74543B" w:rsidR="005E660A" w:rsidRDefault="005E660A" w:rsidP="005E660A">
      <w:pPr>
        <w:jc w:val="both"/>
        <w:rPr>
          <w:rFonts w:ascii="Arial" w:hAnsi="Arial" w:cs="Arial"/>
          <w:sz w:val="22"/>
          <w:szCs w:val="22"/>
          <w:lang w:val="en-GB"/>
        </w:rPr>
      </w:pPr>
      <w:r>
        <w:rPr>
          <w:rFonts w:ascii="Arial" w:hAnsi="Arial" w:cs="Arial"/>
          <w:sz w:val="22"/>
          <w:szCs w:val="22"/>
          <w:lang w:val="en-GB"/>
        </w:rPr>
        <w:t xml:space="preserve">The court on such application being made, may order a meeting of the creditors, the members of the company, the holders of units of shares of the company to be summoned in such manner as the court </w:t>
      </w:r>
      <w:proofErr w:type="spellStart"/>
      <w:proofErr w:type="gramStart"/>
      <w:r>
        <w:rPr>
          <w:rFonts w:ascii="Arial" w:hAnsi="Arial" w:cs="Arial"/>
          <w:sz w:val="22"/>
          <w:szCs w:val="22"/>
          <w:lang w:val="en-GB"/>
        </w:rPr>
        <w:t>directs.A</w:t>
      </w:r>
      <w:proofErr w:type="spellEnd"/>
      <w:proofErr w:type="gramEnd"/>
      <w:r>
        <w:rPr>
          <w:rFonts w:ascii="Arial" w:hAnsi="Arial" w:cs="Arial"/>
          <w:sz w:val="22"/>
          <w:szCs w:val="22"/>
          <w:lang w:val="en-GB"/>
        </w:rPr>
        <w:t xml:space="preserve"> compromise or arrangement becomes binding when the creditors, members or the holder of units of shares </w:t>
      </w:r>
      <w:r w:rsidR="00C6049E">
        <w:rPr>
          <w:rFonts w:ascii="Arial" w:hAnsi="Arial" w:cs="Arial"/>
          <w:sz w:val="22"/>
          <w:szCs w:val="22"/>
          <w:lang w:val="en-GB"/>
        </w:rPr>
        <w:t>agree to such compromise or arrangement by way of a majority of three-fourth in value of those present and voting wither in person or by proxy at the meeting.</w:t>
      </w:r>
    </w:p>
    <w:p w14:paraId="4FD04695" w14:textId="04309262" w:rsidR="00C6049E" w:rsidRDefault="00C6049E" w:rsidP="005E660A">
      <w:pPr>
        <w:jc w:val="both"/>
        <w:rPr>
          <w:rFonts w:ascii="Arial" w:hAnsi="Arial" w:cs="Arial"/>
          <w:sz w:val="22"/>
          <w:szCs w:val="22"/>
          <w:lang w:val="en-GB"/>
        </w:rPr>
      </w:pPr>
    </w:p>
    <w:p w14:paraId="566C5B51" w14:textId="6E83FF28" w:rsidR="00C6049E" w:rsidRPr="005E660A" w:rsidRDefault="00C6049E" w:rsidP="001C36B9">
      <w:pPr>
        <w:ind w:firstLine="720"/>
        <w:jc w:val="both"/>
        <w:rPr>
          <w:rFonts w:ascii="Arial" w:hAnsi="Arial" w:cs="Arial"/>
          <w:sz w:val="22"/>
          <w:szCs w:val="22"/>
          <w:lang w:val="en-GB"/>
        </w:rPr>
      </w:pPr>
      <w:r>
        <w:rPr>
          <w:rFonts w:ascii="Arial" w:hAnsi="Arial" w:cs="Arial"/>
          <w:sz w:val="22"/>
          <w:szCs w:val="22"/>
          <w:lang w:val="en-GB"/>
        </w:rPr>
        <w:t>The pre pack scheme proposed under Section 71 of the IRDA confers on the courts the power to approve a compromise or arrangement witho</w:t>
      </w:r>
      <w:r w:rsidR="00A378EF">
        <w:rPr>
          <w:rFonts w:ascii="Arial" w:hAnsi="Arial" w:cs="Arial"/>
          <w:sz w:val="22"/>
          <w:szCs w:val="22"/>
          <w:lang w:val="en-GB"/>
        </w:rPr>
        <w:t xml:space="preserve">ut having ordered for a meeting of the creditors of class of creditors under Section 210 (1) of the Companies Act. Such an approval by the order of the court is binding on the company and the creditors meant to be bound by the compromise or arrangement. </w:t>
      </w:r>
      <w:r w:rsidR="00376454">
        <w:rPr>
          <w:rFonts w:ascii="Arial" w:hAnsi="Arial" w:cs="Arial"/>
          <w:sz w:val="22"/>
          <w:szCs w:val="22"/>
          <w:lang w:val="en-GB"/>
        </w:rPr>
        <w:t xml:space="preserve">One of the major factors for the court’s sanction of the proposed compromise or arrangement is whether the proposed </w:t>
      </w:r>
      <w:r w:rsidR="007829AF">
        <w:rPr>
          <w:rFonts w:ascii="Arial" w:hAnsi="Arial" w:cs="Arial"/>
          <w:sz w:val="22"/>
          <w:szCs w:val="22"/>
          <w:lang w:val="en-GB"/>
        </w:rPr>
        <w:t>scheme</w:t>
      </w:r>
      <w:r w:rsidR="00376454">
        <w:rPr>
          <w:rFonts w:ascii="Arial" w:hAnsi="Arial" w:cs="Arial"/>
          <w:sz w:val="22"/>
          <w:szCs w:val="22"/>
          <w:lang w:val="en-GB"/>
        </w:rPr>
        <w:t xml:space="preserve"> would have been approved by the requisite majority </w:t>
      </w:r>
      <w:r w:rsidR="007829AF">
        <w:rPr>
          <w:rFonts w:ascii="Arial" w:hAnsi="Arial" w:cs="Arial"/>
          <w:sz w:val="22"/>
          <w:szCs w:val="22"/>
          <w:lang w:val="en-GB"/>
        </w:rPr>
        <w:t xml:space="preserve">in number representing three quarters in value of the creditors had meeting of creditors been called for. </w:t>
      </w:r>
      <w:r w:rsidR="00A378EF">
        <w:rPr>
          <w:rFonts w:ascii="Arial" w:hAnsi="Arial" w:cs="Arial"/>
          <w:sz w:val="22"/>
          <w:szCs w:val="22"/>
          <w:lang w:val="en-GB"/>
        </w:rPr>
        <w:t>A pre pack scheme is thus time and cost saving</w:t>
      </w:r>
      <w:r w:rsidR="00376454">
        <w:rPr>
          <w:rFonts w:ascii="Arial" w:hAnsi="Arial" w:cs="Arial"/>
          <w:sz w:val="22"/>
          <w:szCs w:val="22"/>
          <w:lang w:val="en-GB"/>
        </w:rPr>
        <w:t>. Another difference is that since the compromise or arrangement is approved without a creditors meeting, the cram down provision is not available in a pre-pack scheme of arrangement.</w:t>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7FB9312C" w14:textId="77777777" w:rsidR="00F20759" w:rsidRDefault="00F20759" w:rsidP="00F20759">
      <w:pPr>
        <w:jc w:val="both"/>
        <w:rPr>
          <w:rFonts w:ascii="Arial" w:hAnsi="Arial" w:cs="Arial"/>
          <w:sz w:val="22"/>
          <w:szCs w:val="22"/>
          <w:lang w:val="en-GB"/>
        </w:rPr>
      </w:pPr>
    </w:p>
    <w:p w14:paraId="5DEDEFCF" w14:textId="124BC45F" w:rsidR="009A70C9" w:rsidRDefault="009A70C9" w:rsidP="00F20759">
      <w:pPr>
        <w:jc w:val="both"/>
        <w:rPr>
          <w:rFonts w:ascii="Arial" w:hAnsi="Arial" w:cs="Arial"/>
          <w:sz w:val="22"/>
          <w:szCs w:val="22"/>
          <w:lang w:val="en-GB"/>
        </w:rPr>
      </w:pPr>
      <w:r>
        <w:rPr>
          <w:rFonts w:ascii="Arial" w:hAnsi="Arial" w:cs="Arial"/>
          <w:sz w:val="22"/>
          <w:szCs w:val="22"/>
          <w:lang w:val="en-GB"/>
        </w:rPr>
        <w:t>Ans:</w:t>
      </w:r>
      <w:r w:rsidR="00F20759">
        <w:rPr>
          <w:rFonts w:ascii="Arial" w:hAnsi="Arial" w:cs="Arial"/>
          <w:sz w:val="22"/>
          <w:szCs w:val="22"/>
          <w:lang w:val="en-GB"/>
        </w:rPr>
        <w:t xml:space="preserve"> </w:t>
      </w:r>
      <w:r>
        <w:rPr>
          <w:rFonts w:ascii="Arial" w:hAnsi="Arial" w:cs="Arial"/>
          <w:sz w:val="22"/>
          <w:szCs w:val="22"/>
          <w:lang w:val="en-GB"/>
        </w:rPr>
        <w:t xml:space="preserve">As per the IRDA, </w:t>
      </w:r>
      <w:r w:rsidR="00D77133">
        <w:rPr>
          <w:rFonts w:ascii="Arial" w:hAnsi="Arial" w:cs="Arial"/>
          <w:sz w:val="22"/>
          <w:szCs w:val="22"/>
          <w:lang w:val="en-GB"/>
        </w:rPr>
        <w:t xml:space="preserve">those foreign debtors having </w:t>
      </w:r>
      <w:r w:rsidR="00453D2A">
        <w:rPr>
          <w:rFonts w:ascii="Arial" w:hAnsi="Arial" w:cs="Arial"/>
          <w:sz w:val="22"/>
          <w:szCs w:val="22"/>
          <w:lang w:val="en-GB"/>
        </w:rPr>
        <w:t>substantial</w:t>
      </w:r>
      <w:r w:rsidR="00D77133">
        <w:rPr>
          <w:rFonts w:ascii="Arial" w:hAnsi="Arial" w:cs="Arial"/>
          <w:sz w:val="22"/>
          <w:szCs w:val="22"/>
          <w:lang w:val="en-GB"/>
        </w:rPr>
        <w:t xml:space="preserve"> connection with Singapore shall be eligible for corporate rescue provisions. The Angostura Group has to establish one or more of the following factors:</w:t>
      </w:r>
    </w:p>
    <w:p w14:paraId="08ACB5A6" w14:textId="174AC137"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 xml:space="preserve">The </w:t>
      </w:r>
      <w:r w:rsidR="001C36B9">
        <w:rPr>
          <w:rFonts w:ascii="Arial" w:hAnsi="Arial" w:cs="Arial"/>
          <w:sz w:val="22"/>
          <w:szCs w:val="22"/>
        </w:rPr>
        <w:t>center</w:t>
      </w:r>
      <w:r>
        <w:rPr>
          <w:rFonts w:ascii="Arial" w:hAnsi="Arial" w:cs="Arial"/>
          <w:sz w:val="22"/>
          <w:szCs w:val="22"/>
        </w:rPr>
        <w:t xml:space="preserve"> of main interests is located in Singapore;</w:t>
      </w:r>
    </w:p>
    <w:p w14:paraId="42F2DF11" w14:textId="53CF6190"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That it is carrying on business in Singapore or has a place of business in Singapore;</w:t>
      </w:r>
    </w:p>
    <w:p w14:paraId="55DEA42F" w14:textId="3A2EB12E"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 xml:space="preserve">That it </w:t>
      </w:r>
      <w:r w:rsidR="001C36B9">
        <w:rPr>
          <w:rFonts w:ascii="Arial" w:hAnsi="Arial" w:cs="Arial"/>
          <w:sz w:val="22"/>
          <w:szCs w:val="22"/>
        </w:rPr>
        <w:t>i</w:t>
      </w:r>
      <w:r>
        <w:rPr>
          <w:rFonts w:ascii="Arial" w:hAnsi="Arial" w:cs="Arial"/>
          <w:sz w:val="22"/>
          <w:szCs w:val="22"/>
        </w:rPr>
        <w:t>s registered as a foreign company in Singapore;</w:t>
      </w:r>
    </w:p>
    <w:p w14:paraId="5D788591" w14:textId="57F7312F"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That it has substantial assets in Singapore;</w:t>
      </w:r>
    </w:p>
    <w:p w14:paraId="4126CAF1" w14:textId="232EB72E"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 xml:space="preserve">That </w:t>
      </w:r>
      <w:proofErr w:type="gramStart"/>
      <w:r>
        <w:rPr>
          <w:rFonts w:ascii="Arial" w:hAnsi="Arial" w:cs="Arial"/>
          <w:sz w:val="22"/>
          <w:szCs w:val="22"/>
        </w:rPr>
        <w:t>It</w:t>
      </w:r>
      <w:proofErr w:type="gramEnd"/>
      <w:r>
        <w:rPr>
          <w:rFonts w:ascii="Arial" w:hAnsi="Arial" w:cs="Arial"/>
          <w:sz w:val="22"/>
          <w:szCs w:val="22"/>
        </w:rPr>
        <w:t xml:space="preserve"> has chosen Singapore law as the law governing a loan or transaction, or the law governing the resolution of one or more disputes; and/or</w:t>
      </w:r>
    </w:p>
    <w:p w14:paraId="52361B0E" w14:textId="726F8EF6" w:rsidR="00D77133" w:rsidRDefault="00D77133" w:rsidP="00D77133">
      <w:pPr>
        <w:pStyle w:val="ListParagraph"/>
        <w:numPr>
          <w:ilvl w:val="0"/>
          <w:numId w:val="27"/>
        </w:numPr>
        <w:jc w:val="both"/>
        <w:rPr>
          <w:rFonts w:ascii="Arial" w:hAnsi="Arial" w:cs="Arial"/>
          <w:sz w:val="22"/>
          <w:szCs w:val="22"/>
        </w:rPr>
      </w:pPr>
      <w:r>
        <w:rPr>
          <w:rFonts w:ascii="Arial" w:hAnsi="Arial" w:cs="Arial"/>
          <w:sz w:val="22"/>
          <w:szCs w:val="22"/>
        </w:rPr>
        <w:t>That it has submitted to the jurisdiction of the Singapore Courts for the resolution of one or more disputes relating to a loan or other transaction.</w:t>
      </w:r>
    </w:p>
    <w:p w14:paraId="3CCC6423" w14:textId="1B1FA391" w:rsidR="004E72E4" w:rsidRDefault="004E72E4" w:rsidP="004E72E4">
      <w:pPr>
        <w:jc w:val="both"/>
        <w:rPr>
          <w:rFonts w:ascii="Arial" w:hAnsi="Arial" w:cs="Arial"/>
          <w:sz w:val="22"/>
          <w:szCs w:val="22"/>
        </w:rPr>
      </w:pPr>
      <w:r>
        <w:rPr>
          <w:rFonts w:ascii="Arial" w:hAnsi="Arial" w:cs="Arial"/>
          <w:sz w:val="22"/>
          <w:szCs w:val="22"/>
        </w:rPr>
        <w:t>Furthermore, it has also to satisfy either or both:</w:t>
      </w:r>
    </w:p>
    <w:p w14:paraId="27D2B796" w14:textId="36C8C5EC" w:rsidR="004E72E4" w:rsidRDefault="004E72E4" w:rsidP="004E72E4">
      <w:pPr>
        <w:pStyle w:val="ListParagraph"/>
        <w:numPr>
          <w:ilvl w:val="0"/>
          <w:numId w:val="28"/>
        </w:numPr>
        <w:jc w:val="both"/>
        <w:rPr>
          <w:rFonts w:ascii="Arial" w:hAnsi="Arial" w:cs="Arial"/>
          <w:sz w:val="22"/>
          <w:szCs w:val="22"/>
        </w:rPr>
      </w:pPr>
      <w:r>
        <w:rPr>
          <w:rFonts w:ascii="Arial" w:hAnsi="Arial" w:cs="Arial"/>
          <w:sz w:val="22"/>
          <w:szCs w:val="22"/>
        </w:rPr>
        <w:t>Rescue financing is necessary for the survival of the Group;</w:t>
      </w:r>
    </w:p>
    <w:p w14:paraId="4F5DCBA5" w14:textId="7C6ABA31" w:rsidR="004E72E4" w:rsidRPr="004E72E4" w:rsidRDefault="004E72E4" w:rsidP="004E72E4">
      <w:pPr>
        <w:pStyle w:val="ListParagraph"/>
        <w:numPr>
          <w:ilvl w:val="0"/>
          <w:numId w:val="28"/>
        </w:numPr>
        <w:jc w:val="both"/>
        <w:rPr>
          <w:rFonts w:ascii="Arial" w:hAnsi="Arial" w:cs="Arial"/>
          <w:sz w:val="22"/>
          <w:szCs w:val="22"/>
        </w:rPr>
      </w:pPr>
      <w:r>
        <w:rPr>
          <w:rFonts w:ascii="Arial" w:hAnsi="Arial" w:cs="Arial"/>
          <w:sz w:val="22"/>
          <w:szCs w:val="22"/>
        </w:rPr>
        <w:t>Necessary to achieve a more advantageous realization of the assets of the company as compared to winding up of the company.</w:t>
      </w:r>
    </w:p>
    <w:p w14:paraId="26899022" w14:textId="5A365639" w:rsidR="00384F62" w:rsidRDefault="00384F62" w:rsidP="00384F62">
      <w:pPr>
        <w:jc w:val="both"/>
        <w:rPr>
          <w:rFonts w:ascii="Arial" w:hAnsi="Arial" w:cs="Arial"/>
          <w:sz w:val="22"/>
          <w:szCs w:val="22"/>
          <w:lang w:val="en-GB"/>
        </w:rPr>
      </w:pPr>
    </w:p>
    <w:p w14:paraId="7196B833" w14:textId="3E256128" w:rsidR="00384F62" w:rsidRDefault="00384F62" w:rsidP="00384F62">
      <w:pPr>
        <w:jc w:val="both"/>
        <w:rPr>
          <w:rFonts w:ascii="Arial" w:hAnsi="Arial" w:cs="Arial"/>
          <w:sz w:val="22"/>
          <w:szCs w:val="22"/>
          <w:lang w:val="en-GB"/>
        </w:rPr>
      </w:pPr>
    </w:p>
    <w:p w14:paraId="3B0D1346" w14:textId="7FA932CD" w:rsidR="00384F62" w:rsidRDefault="00384F62" w:rsidP="00384F62">
      <w:pPr>
        <w:jc w:val="both"/>
        <w:rPr>
          <w:rFonts w:ascii="Arial" w:hAnsi="Arial" w:cs="Arial"/>
          <w:sz w:val="22"/>
          <w:szCs w:val="22"/>
          <w:lang w:val="en-GB"/>
        </w:rPr>
      </w:pPr>
    </w:p>
    <w:p w14:paraId="190EE287" w14:textId="6B1518DA" w:rsidR="00384F62" w:rsidRDefault="00384F62" w:rsidP="00384F62">
      <w:pPr>
        <w:jc w:val="both"/>
        <w:rPr>
          <w:rFonts w:ascii="Arial" w:hAnsi="Arial" w:cs="Arial"/>
          <w:sz w:val="22"/>
          <w:szCs w:val="22"/>
          <w:lang w:val="en-GB"/>
        </w:rPr>
      </w:pP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7758077E" w14:textId="1A0FF820" w:rsidR="00787C83" w:rsidRDefault="00384F62" w:rsidP="00787C83">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CD03CCC" w14:textId="68EF646C" w:rsidR="00787C83" w:rsidRDefault="00787C83" w:rsidP="00787C83">
      <w:pPr>
        <w:jc w:val="both"/>
        <w:rPr>
          <w:rFonts w:ascii="Arial" w:hAnsi="Arial" w:cs="Arial"/>
          <w:sz w:val="22"/>
          <w:szCs w:val="22"/>
          <w:lang w:val="en-GB"/>
        </w:rPr>
      </w:pPr>
      <w:r>
        <w:rPr>
          <w:rFonts w:ascii="Arial" w:hAnsi="Arial" w:cs="Arial"/>
          <w:sz w:val="22"/>
          <w:szCs w:val="22"/>
          <w:lang w:val="en-GB"/>
        </w:rPr>
        <w:lastRenderedPageBreak/>
        <w:t>Ans:</w:t>
      </w:r>
      <w:r w:rsidR="00F20759">
        <w:rPr>
          <w:rFonts w:ascii="Arial" w:hAnsi="Arial" w:cs="Arial"/>
          <w:sz w:val="22"/>
          <w:szCs w:val="22"/>
          <w:lang w:val="en-GB"/>
        </w:rPr>
        <w:t xml:space="preserve"> </w:t>
      </w:r>
      <w:r>
        <w:rPr>
          <w:rFonts w:ascii="Arial" w:hAnsi="Arial" w:cs="Arial"/>
          <w:sz w:val="22"/>
          <w:szCs w:val="22"/>
          <w:lang w:val="en-GB"/>
        </w:rPr>
        <w:t>Article 17 of the Singapore Model law on Cross Border Insolvency provides for the requirements in order to recognise foreign insolvency proceeding. The</w:t>
      </w:r>
      <w:r w:rsidR="001B3D6F">
        <w:rPr>
          <w:rFonts w:ascii="Arial" w:hAnsi="Arial" w:cs="Arial"/>
          <w:sz w:val="22"/>
          <w:szCs w:val="22"/>
          <w:lang w:val="en-GB"/>
        </w:rPr>
        <w:t xml:space="preserve"> Article provides that the proceedings must be recognized if:</w:t>
      </w:r>
    </w:p>
    <w:p w14:paraId="3E634285" w14:textId="09132E9C" w:rsidR="001B3D6F" w:rsidRPr="001B3D6F" w:rsidRDefault="001B3D6F" w:rsidP="001B3D6F">
      <w:pPr>
        <w:pStyle w:val="ListParagraph"/>
        <w:numPr>
          <w:ilvl w:val="0"/>
          <w:numId w:val="24"/>
        </w:numPr>
        <w:jc w:val="both"/>
        <w:rPr>
          <w:rFonts w:ascii="Arial" w:hAnsi="Arial" w:cs="Arial"/>
          <w:sz w:val="22"/>
          <w:szCs w:val="22"/>
          <w:lang w:val="en-GB"/>
        </w:rPr>
      </w:pPr>
      <w:r w:rsidRPr="001B3D6F">
        <w:rPr>
          <w:rFonts w:ascii="Arial" w:hAnsi="Arial" w:cs="Arial"/>
          <w:sz w:val="22"/>
          <w:szCs w:val="22"/>
        </w:rPr>
        <w:t>it is a foreign proceeding within the meaning of Article 2(</w:t>
      </w:r>
      <w:r w:rsidRPr="001B3D6F">
        <w:rPr>
          <w:rFonts w:ascii="Arial" w:hAnsi="Arial" w:cs="Arial"/>
          <w:i/>
          <w:iCs/>
          <w:sz w:val="22"/>
          <w:szCs w:val="22"/>
        </w:rPr>
        <w:t>h</w:t>
      </w:r>
      <w:r w:rsidRPr="001B3D6F">
        <w:rPr>
          <w:rFonts w:ascii="Arial" w:hAnsi="Arial" w:cs="Arial"/>
          <w:sz w:val="22"/>
          <w:szCs w:val="22"/>
        </w:rPr>
        <w:t>);</w:t>
      </w:r>
    </w:p>
    <w:p w14:paraId="3FEFD41D" w14:textId="75691EA9" w:rsidR="001B3D6F" w:rsidRPr="001B3D6F" w:rsidRDefault="001B3D6F" w:rsidP="001B3D6F">
      <w:pPr>
        <w:pStyle w:val="ListParagraph"/>
        <w:numPr>
          <w:ilvl w:val="0"/>
          <w:numId w:val="24"/>
        </w:numPr>
        <w:jc w:val="both"/>
        <w:rPr>
          <w:rFonts w:ascii="Arial" w:hAnsi="Arial" w:cs="Arial"/>
          <w:sz w:val="22"/>
          <w:szCs w:val="22"/>
          <w:lang w:val="en-GB"/>
        </w:rPr>
      </w:pPr>
      <w:r w:rsidRPr="001B3D6F">
        <w:rPr>
          <w:rFonts w:ascii="Arial" w:hAnsi="Arial" w:cs="Arial"/>
          <w:sz w:val="22"/>
          <w:szCs w:val="22"/>
        </w:rPr>
        <w:t>the person or body applying for recognition is a foreign representative within the meaning of Article 2(</w:t>
      </w:r>
      <w:proofErr w:type="spellStart"/>
      <w:r w:rsidRPr="001B3D6F">
        <w:rPr>
          <w:rFonts w:ascii="Arial" w:hAnsi="Arial" w:cs="Arial"/>
          <w:i/>
          <w:iCs/>
          <w:sz w:val="22"/>
          <w:szCs w:val="22"/>
        </w:rPr>
        <w:t>i</w:t>
      </w:r>
      <w:proofErr w:type="spellEnd"/>
      <w:r w:rsidRPr="001B3D6F">
        <w:rPr>
          <w:rFonts w:ascii="Arial" w:hAnsi="Arial" w:cs="Arial"/>
          <w:sz w:val="22"/>
          <w:szCs w:val="22"/>
        </w:rPr>
        <w:t>);</w:t>
      </w:r>
    </w:p>
    <w:p w14:paraId="5CCA4283" w14:textId="5E56FA7A" w:rsidR="001B3D6F" w:rsidRPr="001B3D6F" w:rsidRDefault="001B3D6F" w:rsidP="001B3D6F">
      <w:pPr>
        <w:pStyle w:val="ListParagraph"/>
        <w:numPr>
          <w:ilvl w:val="0"/>
          <w:numId w:val="24"/>
        </w:numPr>
        <w:jc w:val="both"/>
        <w:rPr>
          <w:rFonts w:ascii="Arial" w:hAnsi="Arial" w:cs="Arial"/>
          <w:sz w:val="22"/>
          <w:szCs w:val="22"/>
          <w:lang w:val="en-GB"/>
        </w:rPr>
      </w:pPr>
      <w:r w:rsidRPr="001B3D6F">
        <w:rPr>
          <w:rFonts w:ascii="Arial" w:hAnsi="Arial" w:cs="Arial"/>
          <w:sz w:val="22"/>
          <w:szCs w:val="22"/>
        </w:rPr>
        <w:t>the application meets the requirements of Article 15(2) and (3); and</w:t>
      </w:r>
    </w:p>
    <w:p w14:paraId="49D40D56" w14:textId="06A17197" w:rsidR="001B3D6F" w:rsidRPr="001B3D6F" w:rsidRDefault="001B3D6F" w:rsidP="001B3D6F">
      <w:pPr>
        <w:pStyle w:val="ListParagraph"/>
        <w:numPr>
          <w:ilvl w:val="0"/>
          <w:numId w:val="24"/>
        </w:numPr>
        <w:jc w:val="both"/>
        <w:rPr>
          <w:rFonts w:ascii="Arial" w:hAnsi="Arial" w:cs="Arial"/>
          <w:sz w:val="22"/>
          <w:szCs w:val="22"/>
          <w:lang w:val="en-GB"/>
        </w:rPr>
      </w:pPr>
      <w:r>
        <w:rPr>
          <w:rFonts w:ascii="Arial" w:hAnsi="Arial" w:cs="Arial"/>
          <w:sz w:val="22"/>
          <w:szCs w:val="22"/>
        </w:rPr>
        <w:t>t</w:t>
      </w:r>
      <w:r w:rsidRPr="001B3D6F">
        <w:rPr>
          <w:rFonts w:ascii="Arial" w:hAnsi="Arial" w:cs="Arial"/>
          <w:sz w:val="22"/>
          <w:szCs w:val="22"/>
        </w:rPr>
        <w:t>he application has been submitted to the Court mentioned in Article 4.</w:t>
      </w:r>
    </w:p>
    <w:p w14:paraId="7A8F64A0" w14:textId="24E44F15" w:rsidR="001B3D6F" w:rsidRDefault="001B3D6F" w:rsidP="001B3D6F">
      <w:pPr>
        <w:jc w:val="both"/>
        <w:rPr>
          <w:rFonts w:ascii="Arial" w:hAnsi="Arial" w:cs="Arial"/>
          <w:sz w:val="22"/>
          <w:szCs w:val="22"/>
          <w:lang w:val="en-GB"/>
        </w:rPr>
      </w:pPr>
    </w:p>
    <w:p w14:paraId="65BAA2CE" w14:textId="688B3F6B" w:rsidR="001B3D6F" w:rsidRDefault="001B3D6F" w:rsidP="001B3D6F">
      <w:pPr>
        <w:jc w:val="both"/>
        <w:rPr>
          <w:rFonts w:ascii="Arial" w:hAnsi="Arial" w:cs="Arial"/>
          <w:sz w:val="22"/>
          <w:szCs w:val="22"/>
          <w:lang w:val="en-GB"/>
        </w:rPr>
      </w:pPr>
      <w:r>
        <w:rPr>
          <w:rFonts w:ascii="Arial" w:hAnsi="Arial" w:cs="Arial"/>
          <w:sz w:val="22"/>
          <w:szCs w:val="22"/>
          <w:lang w:val="en-GB"/>
        </w:rPr>
        <w:t xml:space="preserve">In case the foreign insolvency proceedings are so recognised as per Article 17(1), </w:t>
      </w:r>
      <w:r w:rsidR="00D00F4D">
        <w:rPr>
          <w:rFonts w:ascii="Arial" w:hAnsi="Arial" w:cs="Arial"/>
          <w:sz w:val="22"/>
          <w:szCs w:val="22"/>
          <w:lang w:val="en-GB"/>
        </w:rPr>
        <w:t xml:space="preserve">clause 2 provides that the proceedings are consequently recognised </w:t>
      </w:r>
      <w:proofErr w:type="gramStart"/>
      <w:r w:rsidR="00D00F4D">
        <w:rPr>
          <w:rFonts w:ascii="Arial" w:hAnsi="Arial" w:cs="Arial"/>
          <w:sz w:val="22"/>
          <w:szCs w:val="22"/>
          <w:lang w:val="en-GB"/>
        </w:rPr>
        <w:t>as:-</w:t>
      </w:r>
      <w:proofErr w:type="gramEnd"/>
    </w:p>
    <w:p w14:paraId="410CD958" w14:textId="6CBC9042" w:rsidR="00D00F4D" w:rsidRDefault="00D00F4D" w:rsidP="00D00F4D">
      <w:pPr>
        <w:pStyle w:val="ListParagraph"/>
        <w:numPr>
          <w:ilvl w:val="0"/>
          <w:numId w:val="25"/>
        </w:numPr>
        <w:jc w:val="both"/>
        <w:rPr>
          <w:rFonts w:ascii="Arial" w:hAnsi="Arial" w:cs="Arial"/>
          <w:sz w:val="22"/>
          <w:szCs w:val="22"/>
          <w:lang w:val="en-GB"/>
        </w:rPr>
      </w:pPr>
      <w:r>
        <w:rPr>
          <w:rFonts w:ascii="Arial" w:hAnsi="Arial" w:cs="Arial"/>
          <w:sz w:val="22"/>
          <w:szCs w:val="22"/>
          <w:lang w:val="en-GB"/>
        </w:rPr>
        <w:t>as a foreign main proceeding if it is taking place in the Stet where the debtor has its centre of main interests; or</w:t>
      </w:r>
    </w:p>
    <w:p w14:paraId="18F7256C" w14:textId="1797BD9D" w:rsidR="00D00F4D" w:rsidRDefault="00F932C3" w:rsidP="00D00F4D">
      <w:pPr>
        <w:pStyle w:val="ListParagraph"/>
        <w:numPr>
          <w:ilvl w:val="0"/>
          <w:numId w:val="25"/>
        </w:numPr>
        <w:jc w:val="both"/>
        <w:rPr>
          <w:rFonts w:ascii="Arial" w:hAnsi="Arial" w:cs="Arial"/>
          <w:sz w:val="22"/>
          <w:szCs w:val="22"/>
          <w:lang w:val="en-GB"/>
        </w:rPr>
      </w:pPr>
      <w:r>
        <w:rPr>
          <w:rFonts w:ascii="Arial" w:hAnsi="Arial" w:cs="Arial"/>
          <w:sz w:val="22"/>
          <w:szCs w:val="22"/>
          <w:lang w:val="en-GB"/>
        </w:rPr>
        <w:t>as a foreign non-main proceeding, if the debtor has an establishment within the meaning of Article 2(d) in the foreign state</w:t>
      </w:r>
      <w:r w:rsidR="00D17F29">
        <w:rPr>
          <w:rFonts w:ascii="Arial" w:hAnsi="Arial" w:cs="Arial"/>
          <w:sz w:val="22"/>
          <w:szCs w:val="22"/>
          <w:lang w:val="en-GB"/>
        </w:rPr>
        <w:t>.</w:t>
      </w:r>
    </w:p>
    <w:p w14:paraId="6FD9CFA5" w14:textId="691F6137" w:rsidR="00D17F29" w:rsidRDefault="00D17F29" w:rsidP="00D17F29">
      <w:pPr>
        <w:jc w:val="both"/>
        <w:rPr>
          <w:rFonts w:ascii="Arial" w:hAnsi="Arial" w:cs="Arial"/>
          <w:sz w:val="22"/>
          <w:szCs w:val="22"/>
          <w:lang w:val="en-GB"/>
        </w:rPr>
      </w:pPr>
    </w:p>
    <w:p w14:paraId="73E166B9" w14:textId="6ABC8CF0" w:rsidR="00D17F29" w:rsidRPr="00D17F29" w:rsidRDefault="00D17F29" w:rsidP="00D17F29">
      <w:pPr>
        <w:jc w:val="both"/>
        <w:rPr>
          <w:rFonts w:ascii="Arial" w:hAnsi="Arial" w:cs="Arial"/>
          <w:sz w:val="22"/>
          <w:szCs w:val="22"/>
          <w:lang w:val="en-GB"/>
        </w:rPr>
      </w:pPr>
      <w:r w:rsidRPr="00D17F29">
        <w:rPr>
          <w:rFonts w:ascii="Arial" w:hAnsi="Arial" w:cs="Arial"/>
          <w:sz w:val="22"/>
          <w:szCs w:val="22"/>
        </w:rPr>
        <w:t xml:space="preserve">The effect of a foreign insolvency being </w:t>
      </w:r>
      <w:r w:rsidR="001C36B9" w:rsidRPr="00D17F29">
        <w:rPr>
          <w:rFonts w:ascii="Arial" w:hAnsi="Arial" w:cs="Arial"/>
          <w:sz w:val="22"/>
          <w:szCs w:val="22"/>
        </w:rPr>
        <w:t>recognized</w:t>
      </w:r>
      <w:r w:rsidRPr="00D17F29">
        <w:rPr>
          <w:rFonts w:ascii="Arial" w:hAnsi="Arial" w:cs="Arial"/>
          <w:sz w:val="22"/>
          <w:szCs w:val="22"/>
        </w:rPr>
        <w:t xml:space="preserve"> as a main proceeding includes (a) stays of actions or enforcement proceedings by individual creditors against the debtor or its assets; and (b) a suspension of the debtor's right to transfer or encumber its assets. These reliefs flow automatically upon recognition of foreign insolvency proceedings as a main proceeding.</w:t>
      </w:r>
      <w:r>
        <w:rPr>
          <w:rFonts w:ascii="Arial" w:hAnsi="Arial" w:cs="Arial"/>
          <w:sz w:val="22"/>
          <w:szCs w:val="22"/>
        </w:rPr>
        <w:t xml:space="preserve"> However, </w:t>
      </w:r>
      <w:proofErr w:type="gramStart"/>
      <w:r w:rsidRPr="00D17F29">
        <w:rPr>
          <w:rFonts w:ascii="Arial" w:hAnsi="Arial" w:cs="Arial"/>
          <w:sz w:val="22"/>
          <w:szCs w:val="22"/>
        </w:rPr>
        <w:t>When</w:t>
      </w:r>
      <w:proofErr w:type="gramEnd"/>
      <w:r w:rsidRPr="00D17F29">
        <w:rPr>
          <w:rFonts w:ascii="Arial" w:hAnsi="Arial" w:cs="Arial"/>
          <w:sz w:val="22"/>
          <w:szCs w:val="22"/>
        </w:rPr>
        <w:t xml:space="preserve"> foreign insolvency proceedings are </w:t>
      </w:r>
      <w:r w:rsidR="001C36B9" w:rsidRPr="00D17F29">
        <w:rPr>
          <w:rFonts w:ascii="Arial" w:hAnsi="Arial" w:cs="Arial"/>
          <w:sz w:val="22"/>
          <w:szCs w:val="22"/>
        </w:rPr>
        <w:t>recognized</w:t>
      </w:r>
      <w:r w:rsidRPr="00D17F29">
        <w:rPr>
          <w:rFonts w:ascii="Arial" w:hAnsi="Arial" w:cs="Arial"/>
          <w:sz w:val="22"/>
          <w:szCs w:val="22"/>
        </w:rPr>
        <w:t xml:space="preserve"> as a non-main proceeding, separate applications must be made to a Singapore court for appropriate relief. In such cases, relief would only be granted if the court is satisfied that the interests of the creditors and other interested persons are adequately protected.</w:t>
      </w:r>
    </w:p>
    <w:p w14:paraId="1819F33A" w14:textId="77777777" w:rsidR="00787C83" w:rsidRPr="00787C83" w:rsidRDefault="00787C83" w:rsidP="00787C83">
      <w:pPr>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9201" w14:textId="77777777" w:rsidR="002F1DDC" w:rsidRDefault="002F1DDC">
      <w:r>
        <w:separator/>
      </w:r>
    </w:p>
  </w:endnote>
  <w:endnote w:type="continuationSeparator" w:id="0">
    <w:p w14:paraId="408F2E32" w14:textId="77777777" w:rsidR="002F1DDC" w:rsidRDefault="002F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08EAAC7E" w:rsidR="008569B9" w:rsidRPr="009B4976" w:rsidRDefault="00F20759" w:rsidP="009B4976">
    <w:pPr>
      <w:pStyle w:val="Footer"/>
      <w:ind w:right="360"/>
      <w:rPr>
        <w:rFonts w:ascii="Arial" w:hAnsi="Arial" w:cs="Arial"/>
        <w:sz w:val="18"/>
        <w:szCs w:val="18"/>
        <w:lang w:val="en-GB"/>
      </w:rPr>
    </w:pPr>
    <w:r>
      <w:rPr>
        <w:rFonts w:ascii="Arial" w:hAnsi="Arial" w:cs="Arial"/>
        <w:sz w:val="18"/>
        <w:szCs w:val="18"/>
        <w:lang w:val="en-GB"/>
      </w:rPr>
      <w:t>202122-513</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4A67" w14:textId="77777777" w:rsidR="002F1DDC" w:rsidRDefault="002F1DDC">
      <w:r>
        <w:separator/>
      </w:r>
    </w:p>
  </w:footnote>
  <w:footnote w:type="continuationSeparator" w:id="0">
    <w:p w14:paraId="0B443477" w14:textId="77777777" w:rsidR="002F1DDC" w:rsidRDefault="002F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714"/>
    <w:multiLevelType w:val="hybridMultilevel"/>
    <w:tmpl w:val="51886900"/>
    <w:lvl w:ilvl="0" w:tplc="3B7EA9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30D63"/>
    <w:multiLevelType w:val="hybridMultilevel"/>
    <w:tmpl w:val="28EA16B2"/>
    <w:lvl w:ilvl="0" w:tplc="6C7A0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30F94"/>
    <w:multiLevelType w:val="hybridMultilevel"/>
    <w:tmpl w:val="3B024182"/>
    <w:lvl w:ilvl="0" w:tplc="177082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134710C"/>
    <w:multiLevelType w:val="hybridMultilevel"/>
    <w:tmpl w:val="1BCA59DA"/>
    <w:lvl w:ilvl="0" w:tplc="C4DE06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863A54"/>
    <w:multiLevelType w:val="hybridMultilevel"/>
    <w:tmpl w:val="63EE0B5A"/>
    <w:lvl w:ilvl="0" w:tplc="DABAAB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8"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D11D1"/>
    <w:multiLevelType w:val="hybridMultilevel"/>
    <w:tmpl w:val="47B8DE2A"/>
    <w:lvl w:ilvl="0" w:tplc="CADA93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A1843"/>
    <w:multiLevelType w:val="hybridMultilevel"/>
    <w:tmpl w:val="DDBE4020"/>
    <w:lvl w:ilvl="0" w:tplc="F93C1E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7EB4A55"/>
    <w:multiLevelType w:val="hybridMultilevel"/>
    <w:tmpl w:val="D6EA5B4A"/>
    <w:lvl w:ilvl="0" w:tplc="DDCA0B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04C452E"/>
    <w:multiLevelType w:val="hybridMultilevel"/>
    <w:tmpl w:val="2CF06CF4"/>
    <w:lvl w:ilvl="0" w:tplc="FBB86B9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A7D3CE7"/>
    <w:multiLevelType w:val="hybridMultilevel"/>
    <w:tmpl w:val="C84A35DC"/>
    <w:lvl w:ilvl="0" w:tplc="665E82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4266F1"/>
    <w:multiLevelType w:val="hybridMultilevel"/>
    <w:tmpl w:val="BDA4B736"/>
    <w:lvl w:ilvl="0" w:tplc="3212342A">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A05439"/>
    <w:multiLevelType w:val="hybridMultilevel"/>
    <w:tmpl w:val="BE346F36"/>
    <w:lvl w:ilvl="0" w:tplc="EA20813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3533511"/>
    <w:multiLevelType w:val="hybridMultilevel"/>
    <w:tmpl w:val="1B4CAA48"/>
    <w:lvl w:ilvl="0" w:tplc="1F067BD8">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07E2F"/>
    <w:multiLevelType w:val="hybridMultilevel"/>
    <w:tmpl w:val="4BD6E22E"/>
    <w:lvl w:ilvl="0" w:tplc="A31AA64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5048E"/>
    <w:multiLevelType w:val="hybridMultilevel"/>
    <w:tmpl w:val="03C26D64"/>
    <w:lvl w:ilvl="0" w:tplc="F7CCED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1B5ECC"/>
    <w:multiLevelType w:val="hybridMultilevel"/>
    <w:tmpl w:val="83C6B5E4"/>
    <w:lvl w:ilvl="0" w:tplc="9486734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456947884">
    <w:abstractNumId w:val="8"/>
  </w:num>
  <w:num w:numId="2" w16cid:durableId="1170558259">
    <w:abstractNumId w:val="7"/>
  </w:num>
  <w:num w:numId="3" w16cid:durableId="1635063022">
    <w:abstractNumId w:val="12"/>
  </w:num>
  <w:num w:numId="4" w16cid:durableId="2052068692">
    <w:abstractNumId w:val="2"/>
  </w:num>
  <w:num w:numId="5" w16cid:durableId="184055542">
    <w:abstractNumId w:val="13"/>
  </w:num>
  <w:num w:numId="6" w16cid:durableId="2074766981">
    <w:abstractNumId w:val="31"/>
  </w:num>
  <w:num w:numId="7" w16cid:durableId="590313523">
    <w:abstractNumId w:val="4"/>
  </w:num>
  <w:num w:numId="8" w16cid:durableId="1228344937">
    <w:abstractNumId w:val="26"/>
  </w:num>
  <w:num w:numId="9" w16cid:durableId="149639656">
    <w:abstractNumId w:val="27"/>
  </w:num>
  <w:num w:numId="10" w16cid:durableId="384452535">
    <w:abstractNumId w:val="11"/>
  </w:num>
  <w:num w:numId="11" w16cid:durableId="1832060069">
    <w:abstractNumId w:val="24"/>
  </w:num>
  <w:num w:numId="12" w16cid:durableId="1998073602">
    <w:abstractNumId w:val="14"/>
  </w:num>
  <w:num w:numId="13" w16cid:durableId="29917090">
    <w:abstractNumId w:val="16"/>
  </w:num>
  <w:num w:numId="14" w16cid:durableId="860583468">
    <w:abstractNumId w:val="29"/>
  </w:num>
  <w:num w:numId="15" w16cid:durableId="377555235">
    <w:abstractNumId w:val="10"/>
  </w:num>
  <w:num w:numId="16" w16cid:durableId="1520270515">
    <w:abstractNumId w:val="9"/>
  </w:num>
  <w:num w:numId="17" w16cid:durableId="1830053755">
    <w:abstractNumId w:val="0"/>
  </w:num>
  <w:num w:numId="18" w16cid:durableId="1074429843">
    <w:abstractNumId w:val="3"/>
  </w:num>
  <w:num w:numId="19" w16cid:durableId="1973825452">
    <w:abstractNumId w:val="21"/>
  </w:num>
  <w:num w:numId="20" w16cid:durableId="391276960">
    <w:abstractNumId w:val="17"/>
  </w:num>
  <w:num w:numId="21" w16cid:durableId="288824900">
    <w:abstractNumId w:val="30"/>
  </w:num>
  <w:num w:numId="22" w16cid:durableId="1837722878">
    <w:abstractNumId w:val="23"/>
  </w:num>
  <w:num w:numId="23" w16cid:durableId="709109738">
    <w:abstractNumId w:val="18"/>
  </w:num>
  <w:num w:numId="24" w16cid:durableId="1253314762">
    <w:abstractNumId w:val="1"/>
  </w:num>
  <w:num w:numId="25" w16cid:durableId="828643373">
    <w:abstractNumId w:val="20"/>
  </w:num>
  <w:num w:numId="26" w16cid:durableId="1010108558">
    <w:abstractNumId w:val="6"/>
  </w:num>
  <w:num w:numId="27" w16cid:durableId="919947587">
    <w:abstractNumId w:val="15"/>
  </w:num>
  <w:num w:numId="28" w16cid:durableId="893348426">
    <w:abstractNumId w:val="5"/>
  </w:num>
  <w:num w:numId="29" w16cid:durableId="314728046">
    <w:abstractNumId w:val="19"/>
  </w:num>
  <w:num w:numId="30" w16cid:durableId="1162355069">
    <w:abstractNumId w:val="28"/>
  </w:num>
  <w:num w:numId="31" w16cid:durableId="1390152537">
    <w:abstractNumId w:val="22"/>
  </w:num>
  <w:num w:numId="32" w16cid:durableId="107659036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54A4A"/>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07DFC"/>
    <w:rsid w:val="0011473D"/>
    <w:rsid w:val="00115C85"/>
    <w:rsid w:val="001209CE"/>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3D6F"/>
    <w:rsid w:val="001B5016"/>
    <w:rsid w:val="001B73FB"/>
    <w:rsid w:val="001C36B9"/>
    <w:rsid w:val="001C45FC"/>
    <w:rsid w:val="001D0469"/>
    <w:rsid w:val="001D29C0"/>
    <w:rsid w:val="001D4862"/>
    <w:rsid w:val="001E25B9"/>
    <w:rsid w:val="001E49E0"/>
    <w:rsid w:val="001E7B5A"/>
    <w:rsid w:val="001F7412"/>
    <w:rsid w:val="0020090A"/>
    <w:rsid w:val="00202DFE"/>
    <w:rsid w:val="0020725B"/>
    <w:rsid w:val="002072C8"/>
    <w:rsid w:val="002110F1"/>
    <w:rsid w:val="002208D9"/>
    <w:rsid w:val="00223CAE"/>
    <w:rsid w:val="00230ABE"/>
    <w:rsid w:val="002311E3"/>
    <w:rsid w:val="002356EA"/>
    <w:rsid w:val="00235D7D"/>
    <w:rsid w:val="00240B0E"/>
    <w:rsid w:val="0024116D"/>
    <w:rsid w:val="00241B44"/>
    <w:rsid w:val="00241FA3"/>
    <w:rsid w:val="00245EFB"/>
    <w:rsid w:val="0024716F"/>
    <w:rsid w:val="00250322"/>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3F4"/>
    <w:rsid w:val="002B1C45"/>
    <w:rsid w:val="002B2F9F"/>
    <w:rsid w:val="002C13C8"/>
    <w:rsid w:val="002C32AF"/>
    <w:rsid w:val="002C3547"/>
    <w:rsid w:val="002C72F3"/>
    <w:rsid w:val="002D0021"/>
    <w:rsid w:val="002D0C55"/>
    <w:rsid w:val="002D299D"/>
    <w:rsid w:val="002D3473"/>
    <w:rsid w:val="002E38E2"/>
    <w:rsid w:val="002F1956"/>
    <w:rsid w:val="002F1DDC"/>
    <w:rsid w:val="002F3440"/>
    <w:rsid w:val="002F75A3"/>
    <w:rsid w:val="002F7D0F"/>
    <w:rsid w:val="00303C2F"/>
    <w:rsid w:val="003144EF"/>
    <w:rsid w:val="00321AD2"/>
    <w:rsid w:val="00323BF3"/>
    <w:rsid w:val="00326292"/>
    <w:rsid w:val="00326415"/>
    <w:rsid w:val="00330937"/>
    <w:rsid w:val="00330F31"/>
    <w:rsid w:val="00334648"/>
    <w:rsid w:val="0033768C"/>
    <w:rsid w:val="00337938"/>
    <w:rsid w:val="00340769"/>
    <w:rsid w:val="00341AA6"/>
    <w:rsid w:val="00342A74"/>
    <w:rsid w:val="00345A84"/>
    <w:rsid w:val="003541EB"/>
    <w:rsid w:val="00361A0A"/>
    <w:rsid w:val="00361BAA"/>
    <w:rsid w:val="00364836"/>
    <w:rsid w:val="0036565C"/>
    <w:rsid w:val="00365F1F"/>
    <w:rsid w:val="0036625E"/>
    <w:rsid w:val="0037465A"/>
    <w:rsid w:val="00376303"/>
    <w:rsid w:val="00376454"/>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B73F3"/>
    <w:rsid w:val="003C0EB3"/>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21BDE"/>
    <w:rsid w:val="00430C5C"/>
    <w:rsid w:val="00430FED"/>
    <w:rsid w:val="00434A8C"/>
    <w:rsid w:val="00437297"/>
    <w:rsid w:val="00444284"/>
    <w:rsid w:val="00445CE6"/>
    <w:rsid w:val="004534C2"/>
    <w:rsid w:val="00453D2A"/>
    <w:rsid w:val="0045446F"/>
    <w:rsid w:val="0045683E"/>
    <w:rsid w:val="00461896"/>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B3D29"/>
    <w:rsid w:val="004C294D"/>
    <w:rsid w:val="004D1A5A"/>
    <w:rsid w:val="004D2FFF"/>
    <w:rsid w:val="004D363D"/>
    <w:rsid w:val="004D3721"/>
    <w:rsid w:val="004D4F1C"/>
    <w:rsid w:val="004D64F9"/>
    <w:rsid w:val="004D7749"/>
    <w:rsid w:val="004E30B0"/>
    <w:rsid w:val="004E3A6B"/>
    <w:rsid w:val="004E622C"/>
    <w:rsid w:val="004E6D1C"/>
    <w:rsid w:val="004E72E4"/>
    <w:rsid w:val="004E7D70"/>
    <w:rsid w:val="004F5DE9"/>
    <w:rsid w:val="004F5FDF"/>
    <w:rsid w:val="004F716A"/>
    <w:rsid w:val="0050434D"/>
    <w:rsid w:val="00510B34"/>
    <w:rsid w:val="00513A41"/>
    <w:rsid w:val="005177FE"/>
    <w:rsid w:val="0052263B"/>
    <w:rsid w:val="00524728"/>
    <w:rsid w:val="005312B3"/>
    <w:rsid w:val="00531721"/>
    <w:rsid w:val="005331CA"/>
    <w:rsid w:val="00537970"/>
    <w:rsid w:val="00540E3A"/>
    <w:rsid w:val="005423B5"/>
    <w:rsid w:val="00544127"/>
    <w:rsid w:val="005463A9"/>
    <w:rsid w:val="00546D65"/>
    <w:rsid w:val="00551D3F"/>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977C2"/>
    <w:rsid w:val="005A0CCA"/>
    <w:rsid w:val="005A6ED5"/>
    <w:rsid w:val="005A6FF2"/>
    <w:rsid w:val="005A726D"/>
    <w:rsid w:val="005B5514"/>
    <w:rsid w:val="005B67AC"/>
    <w:rsid w:val="005B6971"/>
    <w:rsid w:val="005B79F4"/>
    <w:rsid w:val="005C523F"/>
    <w:rsid w:val="005C529D"/>
    <w:rsid w:val="005C5B99"/>
    <w:rsid w:val="005D16DD"/>
    <w:rsid w:val="005D43E0"/>
    <w:rsid w:val="005D58A3"/>
    <w:rsid w:val="005E1B79"/>
    <w:rsid w:val="005E32B3"/>
    <w:rsid w:val="005E6076"/>
    <w:rsid w:val="005E660A"/>
    <w:rsid w:val="005E7008"/>
    <w:rsid w:val="005E7EC1"/>
    <w:rsid w:val="005F026D"/>
    <w:rsid w:val="005F2AEA"/>
    <w:rsid w:val="005F2D0B"/>
    <w:rsid w:val="005F4B31"/>
    <w:rsid w:val="00610388"/>
    <w:rsid w:val="00610AC7"/>
    <w:rsid w:val="00612CA5"/>
    <w:rsid w:val="006153EC"/>
    <w:rsid w:val="006155A9"/>
    <w:rsid w:val="00616F1F"/>
    <w:rsid w:val="00617910"/>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57334"/>
    <w:rsid w:val="006608E3"/>
    <w:rsid w:val="00661BA6"/>
    <w:rsid w:val="00661D51"/>
    <w:rsid w:val="006639DB"/>
    <w:rsid w:val="006661EF"/>
    <w:rsid w:val="00670CB1"/>
    <w:rsid w:val="00677AEB"/>
    <w:rsid w:val="00680EF2"/>
    <w:rsid w:val="00684441"/>
    <w:rsid w:val="00687A1D"/>
    <w:rsid w:val="00691DA1"/>
    <w:rsid w:val="00697EA1"/>
    <w:rsid w:val="006A2646"/>
    <w:rsid w:val="006A6530"/>
    <w:rsid w:val="006B435A"/>
    <w:rsid w:val="006B4C64"/>
    <w:rsid w:val="006C03D4"/>
    <w:rsid w:val="006C49DD"/>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7DFA"/>
    <w:rsid w:val="007603F5"/>
    <w:rsid w:val="00764DB0"/>
    <w:rsid w:val="0076764D"/>
    <w:rsid w:val="0077498C"/>
    <w:rsid w:val="007809BC"/>
    <w:rsid w:val="00781734"/>
    <w:rsid w:val="007818AF"/>
    <w:rsid w:val="007829AF"/>
    <w:rsid w:val="00784128"/>
    <w:rsid w:val="00784A74"/>
    <w:rsid w:val="00784E9B"/>
    <w:rsid w:val="00787521"/>
    <w:rsid w:val="00787BCC"/>
    <w:rsid w:val="00787C83"/>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4B7E"/>
    <w:rsid w:val="0084683C"/>
    <w:rsid w:val="00851178"/>
    <w:rsid w:val="00853901"/>
    <w:rsid w:val="008569B9"/>
    <w:rsid w:val="00856BD4"/>
    <w:rsid w:val="00867701"/>
    <w:rsid w:val="008723F3"/>
    <w:rsid w:val="00873CDC"/>
    <w:rsid w:val="00876F56"/>
    <w:rsid w:val="00880C0F"/>
    <w:rsid w:val="00881DE6"/>
    <w:rsid w:val="008837A6"/>
    <w:rsid w:val="0089145D"/>
    <w:rsid w:val="008A4DF2"/>
    <w:rsid w:val="008A6CFE"/>
    <w:rsid w:val="008B0F78"/>
    <w:rsid w:val="008B155E"/>
    <w:rsid w:val="008B16E7"/>
    <w:rsid w:val="008B5333"/>
    <w:rsid w:val="008B6223"/>
    <w:rsid w:val="008B779D"/>
    <w:rsid w:val="008C66E0"/>
    <w:rsid w:val="008E12B8"/>
    <w:rsid w:val="008E3339"/>
    <w:rsid w:val="008F20FC"/>
    <w:rsid w:val="008F5FFE"/>
    <w:rsid w:val="00902042"/>
    <w:rsid w:val="00905A43"/>
    <w:rsid w:val="00912C79"/>
    <w:rsid w:val="00921B8C"/>
    <w:rsid w:val="00932FBE"/>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A70C9"/>
    <w:rsid w:val="009B0723"/>
    <w:rsid w:val="009B07AD"/>
    <w:rsid w:val="009B0883"/>
    <w:rsid w:val="009B15E2"/>
    <w:rsid w:val="009B4976"/>
    <w:rsid w:val="009C0B8E"/>
    <w:rsid w:val="009C1BC8"/>
    <w:rsid w:val="009C2442"/>
    <w:rsid w:val="009C5286"/>
    <w:rsid w:val="009C616E"/>
    <w:rsid w:val="009C682E"/>
    <w:rsid w:val="009D0811"/>
    <w:rsid w:val="009D0EE1"/>
    <w:rsid w:val="009D23C6"/>
    <w:rsid w:val="009D62BD"/>
    <w:rsid w:val="009E08F2"/>
    <w:rsid w:val="009E2A56"/>
    <w:rsid w:val="009E2AEB"/>
    <w:rsid w:val="009E2E27"/>
    <w:rsid w:val="009E3DF6"/>
    <w:rsid w:val="009E45DF"/>
    <w:rsid w:val="009E4DE3"/>
    <w:rsid w:val="009E717E"/>
    <w:rsid w:val="009F1595"/>
    <w:rsid w:val="009F206F"/>
    <w:rsid w:val="009F275E"/>
    <w:rsid w:val="009F4B79"/>
    <w:rsid w:val="00A01DDA"/>
    <w:rsid w:val="00A047EE"/>
    <w:rsid w:val="00A0533D"/>
    <w:rsid w:val="00A05422"/>
    <w:rsid w:val="00A2274A"/>
    <w:rsid w:val="00A235B7"/>
    <w:rsid w:val="00A27A7A"/>
    <w:rsid w:val="00A34ABE"/>
    <w:rsid w:val="00A378EF"/>
    <w:rsid w:val="00A407EF"/>
    <w:rsid w:val="00A46B4C"/>
    <w:rsid w:val="00A5117B"/>
    <w:rsid w:val="00A55E28"/>
    <w:rsid w:val="00A568A0"/>
    <w:rsid w:val="00A56D34"/>
    <w:rsid w:val="00A57528"/>
    <w:rsid w:val="00A60074"/>
    <w:rsid w:val="00A64900"/>
    <w:rsid w:val="00A6627C"/>
    <w:rsid w:val="00A71019"/>
    <w:rsid w:val="00A81029"/>
    <w:rsid w:val="00A81F56"/>
    <w:rsid w:val="00A83871"/>
    <w:rsid w:val="00A845F5"/>
    <w:rsid w:val="00A9046A"/>
    <w:rsid w:val="00A915E4"/>
    <w:rsid w:val="00A92054"/>
    <w:rsid w:val="00A94591"/>
    <w:rsid w:val="00A94F39"/>
    <w:rsid w:val="00A96489"/>
    <w:rsid w:val="00AA7046"/>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C6F55"/>
    <w:rsid w:val="00BE3AF3"/>
    <w:rsid w:val="00BE4FF3"/>
    <w:rsid w:val="00BE5B8E"/>
    <w:rsid w:val="00BE65AA"/>
    <w:rsid w:val="00BF42A8"/>
    <w:rsid w:val="00BF50F7"/>
    <w:rsid w:val="00C02F29"/>
    <w:rsid w:val="00C041E8"/>
    <w:rsid w:val="00C0731E"/>
    <w:rsid w:val="00C17718"/>
    <w:rsid w:val="00C208DD"/>
    <w:rsid w:val="00C20AFE"/>
    <w:rsid w:val="00C21EB5"/>
    <w:rsid w:val="00C22A25"/>
    <w:rsid w:val="00C2645B"/>
    <w:rsid w:val="00C32B78"/>
    <w:rsid w:val="00C35671"/>
    <w:rsid w:val="00C35B77"/>
    <w:rsid w:val="00C376EB"/>
    <w:rsid w:val="00C46A92"/>
    <w:rsid w:val="00C46EC1"/>
    <w:rsid w:val="00C5262D"/>
    <w:rsid w:val="00C52796"/>
    <w:rsid w:val="00C5332A"/>
    <w:rsid w:val="00C53E2C"/>
    <w:rsid w:val="00C550C8"/>
    <w:rsid w:val="00C55824"/>
    <w:rsid w:val="00C56B61"/>
    <w:rsid w:val="00C6049E"/>
    <w:rsid w:val="00C606C3"/>
    <w:rsid w:val="00C620F4"/>
    <w:rsid w:val="00C66D43"/>
    <w:rsid w:val="00C71AA1"/>
    <w:rsid w:val="00C72848"/>
    <w:rsid w:val="00C73755"/>
    <w:rsid w:val="00C7736C"/>
    <w:rsid w:val="00C82D87"/>
    <w:rsid w:val="00C86F7A"/>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00F4D"/>
    <w:rsid w:val="00D148DC"/>
    <w:rsid w:val="00D17F29"/>
    <w:rsid w:val="00D17FDC"/>
    <w:rsid w:val="00D21D8C"/>
    <w:rsid w:val="00D21F25"/>
    <w:rsid w:val="00D304D1"/>
    <w:rsid w:val="00D307FA"/>
    <w:rsid w:val="00D367E3"/>
    <w:rsid w:val="00D53719"/>
    <w:rsid w:val="00D63EFD"/>
    <w:rsid w:val="00D65741"/>
    <w:rsid w:val="00D73E6E"/>
    <w:rsid w:val="00D77133"/>
    <w:rsid w:val="00D77884"/>
    <w:rsid w:val="00D80DC2"/>
    <w:rsid w:val="00D84752"/>
    <w:rsid w:val="00D86B3B"/>
    <w:rsid w:val="00D8748A"/>
    <w:rsid w:val="00D93196"/>
    <w:rsid w:val="00DA0DC0"/>
    <w:rsid w:val="00DA124D"/>
    <w:rsid w:val="00DA2CA7"/>
    <w:rsid w:val="00DB243C"/>
    <w:rsid w:val="00DB482A"/>
    <w:rsid w:val="00DB50FB"/>
    <w:rsid w:val="00DB56F2"/>
    <w:rsid w:val="00DB6EEB"/>
    <w:rsid w:val="00DB6EF5"/>
    <w:rsid w:val="00DC3089"/>
    <w:rsid w:val="00DC3606"/>
    <w:rsid w:val="00DC4420"/>
    <w:rsid w:val="00DC7761"/>
    <w:rsid w:val="00DD0802"/>
    <w:rsid w:val="00DD2E11"/>
    <w:rsid w:val="00DD3996"/>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10E4"/>
    <w:rsid w:val="00E522E3"/>
    <w:rsid w:val="00E5240D"/>
    <w:rsid w:val="00E534E3"/>
    <w:rsid w:val="00E55547"/>
    <w:rsid w:val="00E6302B"/>
    <w:rsid w:val="00E6452F"/>
    <w:rsid w:val="00E64F45"/>
    <w:rsid w:val="00E6742D"/>
    <w:rsid w:val="00E700E4"/>
    <w:rsid w:val="00E71CB0"/>
    <w:rsid w:val="00E73133"/>
    <w:rsid w:val="00E73C3B"/>
    <w:rsid w:val="00E77C3D"/>
    <w:rsid w:val="00E81C76"/>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D62CD"/>
    <w:rsid w:val="00EE030D"/>
    <w:rsid w:val="00EE4971"/>
    <w:rsid w:val="00EE6CB0"/>
    <w:rsid w:val="00EF090E"/>
    <w:rsid w:val="00EF4D30"/>
    <w:rsid w:val="00EF4EE8"/>
    <w:rsid w:val="00EF5572"/>
    <w:rsid w:val="00F00116"/>
    <w:rsid w:val="00F033DA"/>
    <w:rsid w:val="00F0392F"/>
    <w:rsid w:val="00F130CF"/>
    <w:rsid w:val="00F13691"/>
    <w:rsid w:val="00F13FB1"/>
    <w:rsid w:val="00F20759"/>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32C3"/>
    <w:rsid w:val="00F97C5B"/>
    <w:rsid w:val="00FA3D50"/>
    <w:rsid w:val="00FA4DD1"/>
    <w:rsid w:val="00FA721C"/>
    <w:rsid w:val="00FB7FBD"/>
    <w:rsid w:val="00FC1A49"/>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207">
      <w:bodyDiv w:val="1"/>
      <w:marLeft w:val="0"/>
      <w:marRight w:val="0"/>
      <w:marTop w:val="0"/>
      <w:marBottom w:val="0"/>
      <w:divBdr>
        <w:top w:val="none" w:sz="0" w:space="0" w:color="auto"/>
        <w:left w:val="none" w:sz="0" w:space="0" w:color="auto"/>
        <w:bottom w:val="none" w:sz="0" w:space="0" w:color="auto"/>
        <w:right w:val="none" w:sz="0" w:space="0" w:color="auto"/>
      </w:divBdr>
    </w:div>
    <w:div w:id="1190531040">
      <w:bodyDiv w:val="1"/>
      <w:marLeft w:val="0"/>
      <w:marRight w:val="0"/>
      <w:marTop w:val="0"/>
      <w:marBottom w:val="0"/>
      <w:divBdr>
        <w:top w:val="none" w:sz="0" w:space="0" w:color="auto"/>
        <w:left w:val="none" w:sz="0" w:space="0" w:color="auto"/>
        <w:bottom w:val="none" w:sz="0" w:space="0" w:color="auto"/>
        <w:right w:val="none" w:sz="0" w:space="0" w:color="auto"/>
      </w:divBdr>
    </w:div>
    <w:div w:id="21321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Sood</dc:creator>
  <cp:lastModifiedBy>Swati Sood</cp:lastModifiedBy>
  <cp:revision>2</cp:revision>
  <dcterms:created xsi:type="dcterms:W3CDTF">2022-07-15T06:30:00Z</dcterms:created>
  <dcterms:modified xsi:type="dcterms:W3CDTF">2022-07-15T06:30:00Z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