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w:t>
      </w:r>
      <w:proofErr w:type="gramStart"/>
      <w:r w:rsidRPr="002A1547">
        <w:rPr>
          <w:rFonts w:ascii="Arial" w:hAnsi="Arial" w:cs="Arial"/>
          <w:sz w:val="22"/>
          <w:szCs w:val="22"/>
          <w:lang w:val="en-GB"/>
        </w:rPr>
        <w:t>are</w:t>
      </w:r>
      <w:proofErr w:type="gramEnd"/>
      <w:r w:rsidRPr="002A1547">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1E547E" w:rsidRDefault="00A95EBC" w:rsidP="00E41EED">
      <w:pPr>
        <w:pStyle w:val="ListParagraph"/>
        <w:numPr>
          <w:ilvl w:val="0"/>
          <w:numId w:val="1"/>
        </w:numPr>
        <w:ind w:left="426"/>
        <w:rPr>
          <w:rFonts w:ascii="Arial" w:hAnsi="Arial" w:cs="Arial"/>
          <w:sz w:val="22"/>
          <w:szCs w:val="22"/>
          <w:lang w:val="en-GB"/>
        </w:rPr>
      </w:pPr>
      <w:r w:rsidRPr="001E547E">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1E547E" w:rsidRDefault="00A95EBC" w:rsidP="00E41EED">
      <w:pPr>
        <w:pStyle w:val="ListParagraph"/>
        <w:numPr>
          <w:ilvl w:val="0"/>
          <w:numId w:val="1"/>
        </w:numPr>
        <w:ind w:left="426"/>
        <w:rPr>
          <w:rFonts w:ascii="Arial" w:hAnsi="Arial" w:cs="Arial"/>
          <w:sz w:val="22"/>
          <w:szCs w:val="22"/>
          <w:highlight w:val="yellow"/>
          <w:lang w:val="en-GB"/>
        </w:rPr>
      </w:pPr>
      <w:r w:rsidRPr="001E547E">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923C84" w:rsidRDefault="00A95EBC" w:rsidP="00E41EED">
      <w:pPr>
        <w:pStyle w:val="ListParagraph"/>
        <w:numPr>
          <w:ilvl w:val="0"/>
          <w:numId w:val="2"/>
        </w:numPr>
        <w:ind w:left="426"/>
        <w:jc w:val="both"/>
        <w:rPr>
          <w:rFonts w:ascii="Arial" w:hAnsi="Arial" w:cs="Arial"/>
          <w:sz w:val="22"/>
          <w:szCs w:val="22"/>
          <w:highlight w:val="yellow"/>
          <w:lang w:val="en-GB"/>
        </w:rPr>
      </w:pPr>
      <w:r w:rsidRPr="00923C84">
        <w:rPr>
          <w:rFonts w:ascii="Arial" w:hAnsi="Arial" w:cs="Arial"/>
          <w:i/>
          <w:iCs/>
          <w:sz w:val="22"/>
          <w:szCs w:val="22"/>
          <w:highlight w:val="yellow"/>
          <w:lang w:val="en-GB"/>
        </w:rPr>
        <w:t>Ad hoc</w:t>
      </w:r>
      <w:r w:rsidRPr="00923C84">
        <w:rPr>
          <w:rFonts w:ascii="Arial" w:hAnsi="Arial" w:cs="Arial"/>
          <w:sz w:val="22"/>
          <w:szCs w:val="22"/>
          <w:highlight w:val="yellow"/>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 xml:space="preserve">cessation des </w:t>
      </w:r>
      <w:proofErr w:type="spellStart"/>
      <w:r w:rsidRPr="004E5928">
        <w:rPr>
          <w:rFonts w:ascii="Arial" w:hAnsi="Arial" w:cs="Arial"/>
          <w:i/>
          <w:iCs/>
          <w:sz w:val="22"/>
          <w:szCs w:val="22"/>
          <w:lang w:val="en-GB"/>
        </w:rPr>
        <w:t>paiements</w:t>
      </w:r>
      <w:proofErr w:type="spellEnd"/>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available assets. The debtor must </w:t>
      </w:r>
      <w:r w:rsidR="001E0828">
        <w:rPr>
          <w:rFonts w:ascii="Arial" w:hAnsi="Arial" w:cs="Arial"/>
          <w:sz w:val="22"/>
          <w:szCs w:val="22"/>
          <w:lang w:val="en-GB"/>
        </w:rPr>
        <w:t>therefore</w:t>
      </w:r>
      <w:r w:rsidR="006F695C">
        <w:rPr>
          <w:rFonts w:ascii="Arial" w:hAnsi="Arial" w:cs="Arial"/>
          <w:sz w:val="22"/>
          <w:szCs w:val="22"/>
          <w:lang w:val="en-GB"/>
        </w:rPr>
        <w:t xml:space="preserve"> </w:t>
      </w:r>
      <w:r w:rsidRPr="001E0828">
        <w:rPr>
          <w:rFonts w:ascii="Arial" w:hAnsi="Arial" w:cs="Arial"/>
          <w:sz w:val="22"/>
          <w:szCs w:val="22"/>
          <w:lang w:val="en-GB"/>
        </w:rPr>
        <w:t xml:space="preserve">file for insolvency within 45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0A1BD0" w:rsidRDefault="00A95EBC" w:rsidP="00E41EED">
      <w:pPr>
        <w:pStyle w:val="ListParagraph"/>
        <w:numPr>
          <w:ilvl w:val="0"/>
          <w:numId w:val="3"/>
        </w:numPr>
        <w:ind w:left="426"/>
        <w:jc w:val="both"/>
        <w:rPr>
          <w:rFonts w:ascii="Arial" w:hAnsi="Arial" w:cs="Arial"/>
          <w:sz w:val="22"/>
          <w:szCs w:val="22"/>
          <w:highlight w:val="yellow"/>
          <w:lang w:val="en-GB"/>
        </w:rPr>
      </w:pPr>
      <w:r w:rsidRPr="000A1BD0">
        <w:rPr>
          <w:rFonts w:ascii="Arial" w:hAnsi="Arial" w:cs="Arial"/>
          <w:sz w:val="22"/>
          <w:szCs w:val="22"/>
          <w:highlight w:val="yellow"/>
          <w:lang w:val="en-GB"/>
        </w:rPr>
        <w:lastRenderedPageBreak/>
        <w:t xml:space="preserve">A debtor is insolvent when they are unable to pay their debts as they fall due. The fact that </w:t>
      </w:r>
      <w:r w:rsidR="006F695C" w:rsidRPr="000A1BD0">
        <w:rPr>
          <w:rFonts w:ascii="Arial" w:hAnsi="Arial" w:cs="Arial"/>
          <w:sz w:val="22"/>
          <w:szCs w:val="22"/>
          <w:highlight w:val="yellow"/>
          <w:lang w:val="en-GB"/>
        </w:rPr>
        <w:t>a debtor’s</w:t>
      </w:r>
      <w:r w:rsidRPr="000A1BD0">
        <w:rPr>
          <w:rFonts w:ascii="Arial" w:hAnsi="Arial" w:cs="Arial"/>
          <w:sz w:val="22"/>
          <w:szCs w:val="22"/>
          <w:highlight w:val="yellow"/>
          <w:lang w:val="en-GB"/>
        </w:rPr>
        <w:t xml:space="preserve"> assets exceed its liabilities is immaterial under French law. The debtor must file for insolvency within 45 days of the occurrence of such </w:t>
      </w:r>
      <w:r w:rsidR="00BB5BE5" w:rsidRPr="000A1BD0">
        <w:rPr>
          <w:rFonts w:ascii="Arial" w:hAnsi="Arial" w:cs="Arial"/>
          <w:sz w:val="22"/>
          <w:szCs w:val="22"/>
          <w:highlight w:val="yellow"/>
          <w:lang w:val="en-GB"/>
        </w:rPr>
        <w:t xml:space="preserve">a </w:t>
      </w:r>
      <w:r w:rsidRPr="000A1BD0">
        <w:rPr>
          <w:rFonts w:ascii="Arial" w:hAnsi="Arial" w:cs="Arial"/>
          <w:sz w:val="22"/>
          <w:szCs w:val="22"/>
          <w:highlight w:val="yellow"/>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5E35FD" w:rsidRDefault="00A95EBC" w:rsidP="00E41EED">
      <w:pPr>
        <w:pStyle w:val="ListParagraph"/>
        <w:numPr>
          <w:ilvl w:val="0"/>
          <w:numId w:val="4"/>
        </w:numPr>
        <w:ind w:left="426"/>
        <w:jc w:val="both"/>
        <w:rPr>
          <w:rFonts w:ascii="Arial" w:hAnsi="Arial" w:cs="Arial"/>
          <w:iCs/>
          <w:sz w:val="22"/>
          <w:szCs w:val="22"/>
          <w:highlight w:val="yellow"/>
          <w:lang w:val="en-GB"/>
        </w:rPr>
      </w:pPr>
      <w:r w:rsidRPr="005E35FD">
        <w:rPr>
          <w:rFonts w:ascii="Arial" w:hAnsi="Arial" w:cs="Arial"/>
          <w:sz w:val="22"/>
          <w:szCs w:val="22"/>
          <w:highlight w:val="yellow"/>
          <w:lang w:val="en-GB"/>
        </w:rPr>
        <w:t>T</w:t>
      </w:r>
      <w:r w:rsidRPr="005E35FD">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5E35FD" w:rsidRDefault="00A95EBC" w:rsidP="00E41EED">
      <w:pPr>
        <w:pStyle w:val="ListParagraph"/>
        <w:numPr>
          <w:ilvl w:val="0"/>
          <w:numId w:val="5"/>
        </w:numPr>
        <w:ind w:left="426"/>
        <w:rPr>
          <w:rFonts w:ascii="Arial" w:hAnsi="Arial" w:cs="Arial"/>
          <w:sz w:val="22"/>
          <w:szCs w:val="22"/>
          <w:highlight w:val="yellow"/>
          <w:lang w:val="en-GB"/>
        </w:rPr>
      </w:pPr>
      <w:r w:rsidRPr="005E35FD">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5E35FD" w:rsidRDefault="00A95EBC" w:rsidP="00E41EED">
      <w:pPr>
        <w:pStyle w:val="ListParagraph"/>
        <w:numPr>
          <w:ilvl w:val="0"/>
          <w:numId w:val="6"/>
        </w:numPr>
        <w:ind w:left="426"/>
        <w:jc w:val="both"/>
        <w:rPr>
          <w:rFonts w:ascii="Arial" w:hAnsi="Arial" w:cs="Arial"/>
          <w:sz w:val="22"/>
          <w:szCs w:val="22"/>
          <w:highlight w:val="yellow"/>
          <w:lang w:val="en-GB"/>
        </w:rPr>
      </w:pPr>
      <w:r w:rsidRPr="005E35FD">
        <w:rPr>
          <w:rFonts w:ascii="Arial" w:hAnsi="Arial" w:cs="Arial"/>
          <w:sz w:val="22"/>
          <w:szCs w:val="22"/>
          <w:highlight w:val="yellow"/>
          <w:lang w:val="en-GB"/>
        </w:rPr>
        <w:t xml:space="preserve">The company needs to show that it is </w:t>
      </w:r>
      <w:r w:rsidRPr="005E35FD">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5E35FD" w:rsidRDefault="00A95EBC" w:rsidP="00E41EED">
      <w:pPr>
        <w:pStyle w:val="ListParagraph"/>
        <w:numPr>
          <w:ilvl w:val="0"/>
          <w:numId w:val="7"/>
        </w:numPr>
        <w:ind w:left="426"/>
        <w:jc w:val="both"/>
        <w:rPr>
          <w:rFonts w:ascii="Arial" w:hAnsi="Arial" w:cs="Arial"/>
          <w:sz w:val="22"/>
          <w:szCs w:val="22"/>
          <w:highlight w:val="yellow"/>
          <w:lang w:val="en-GB"/>
        </w:rPr>
      </w:pPr>
      <w:r w:rsidRPr="005E35FD">
        <w:rPr>
          <w:rFonts w:ascii="Arial" w:hAnsi="Arial" w:cs="Arial"/>
          <w:sz w:val="22"/>
          <w:szCs w:val="22"/>
          <w:highlight w:val="yellow"/>
          <w:lang w:val="en-GB"/>
        </w:rPr>
        <w:t xml:space="preserve">For safeguard proceedings, the constitution of classes of creditors is not compulsory except for companies </w:t>
      </w:r>
      <w:r w:rsidR="00D168CB" w:rsidRPr="005E35FD">
        <w:rPr>
          <w:rFonts w:ascii="Arial" w:hAnsi="Arial" w:cs="Arial"/>
          <w:sz w:val="22"/>
          <w:szCs w:val="22"/>
          <w:highlight w:val="yellow"/>
          <w:lang w:val="en-GB"/>
        </w:rPr>
        <w:t>that</w:t>
      </w:r>
      <w:r w:rsidRPr="005E35FD">
        <w:rPr>
          <w:rFonts w:ascii="Arial" w:hAnsi="Arial" w:cs="Arial"/>
          <w:sz w:val="22"/>
          <w:szCs w:val="22"/>
          <w:highlight w:val="yellow"/>
          <w:lang w:val="en-GB"/>
        </w:rPr>
        <w:t xml:space="preserve"> employ over 250 employees and have a turnover greater than EUR</w:t>
      </w:r>
      <w:r w:rsidR="00D168CB" w:rsidRPr="005E35FD">
        <w:rPr>
          <w:rFonts w:ascii="Arial" w:hAnsi="Arial" w:cs="Arial"/>
          <w:sz w:val="22"/>
          <w:szCs w:val="22"/>
          <w:highlight w:val="yellow"/>
          <w:lang w:val="en-GB"/>
        </w:rPr>
        <w:t xml:space="preserve"> </w:t>
      </w:r>
      <w:r w:rsidRPr="005E35FD">
        <w:rPr>
          <w:rFonts w:ascii="Arial" w:hAnsi="Arial" w:cs="Arial"/>
          <w:sz w:val="22"/>
          <w:szCs w:val="22"/>
          <w:highlight w:val="yellow"/>
          <w:lang w:val="en-GB"/>
        </w:rPr>
        <w:t>20 million or have a turnover of over EUR</w:t>
      </w:r>
      <w:r w:rsidR="00D168CB" w:rsidRPr="005E35FD">
        <w:rPr>
          <w:rFonts w:ascii="Arial" w:hAnsi="Arial" w:cs="Arial"/>
          <w:sz w:val="22"/>
          <w:szCs w:val="22"/>
          <w:highlight w:val="yellow"/>
          <w:lang w:val="en-GB"/>
        </w:rPr>
        <w:t xml:space="preserve"> </w:t>
      </w:r>
      <w:r w:rsidRPr="005E35FD">
        <w:rPr>
          <w:rFonts w:ascii="Arial" w:hAnsi="Arial" w:cs="Arial"/>
          <w:sz w:val="22"/>
          <w:szCs w:val="22"/>
          <w:highlight w:val="yellow"/>
          <w:lang w:val="en-GB"/>
        </w:rPr>
        <w:t xml:space="preserve">40 million. If classes are formed, it is up to the insolvency practitioner to group creditors within </w:t>
      </w:r>
      <w:proofErr w:type="gramStart"/>
      <w:r w:rsidRPr="005E35FD">
        <w:rPr>
          <w:rFonts w:ascii="Arial" w:hAnsi="Arial" w:cs="Arial"/>
          <w:sz w:val="22"/>
          <w:szCs w:val="22"/>
          <w:highlight w:val="yellow"/>
          <w:lang w:val="en-GB"/>
        </w:rPr>
        <w:t>classes</w:t>
      </w:r>
      <w:proofErr w:type="gramEnd"/>
      <w:r w:rsidRPr="005E35FD">
        <w:rPr>
          <w:rFonts w:ascii="Arial" w:hAnsi="Arial" w:cs="Arial"/>
          <w:sz w:val="22"/>
          <w:szCs w:val="22"/>
          <w:highlight w:val="yellow"/>
          <w:lang w:val="en-GB"/>
        </w:rPr>
        <w:t xml:space="preserve">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w:t>
      </w:r>
      <w:proofErr w:type="gramStart"/>
      <w:r w:rsidRPr="00366263">
        <w:rPr>
          <w:rFonts w:ascii="Arial" w:hAnsi="Arial" w:cs="Arial"/>
          <w:sz w:val="22"/>
          <w:szCs w:val="22"/>
          <w:lang w:val="en-GB"/>
        </w:rPr>
        <w:t>classes</w:t>
      </w:r>
      <w:proofErr w:type="gramEnd"/>
      <w:r w:rsidRPr="00366263">
        <w:rPr>
          <w:rFonts w:ascii="Arial" w:hAnsi="Arial" w:cs="Arial"/>
          <w:sz w:val="22"/>
          <w:szCs w:val="22"/>
          <w:lang w:val="en-GB"/>
        </w:rPr>
        <w:t xml:space="preserve">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For safeguard proceedings and accelerated safeguard proceedings the constitution of classes is compulsory for all companies. The Commercial Code requires the insolvency practitioner to create the following three classes: (</w:t>
      </w:r>
      <w:proofErr w:type="spellStart"/>
      <w:r w:rsidRPr="00366263">
        <w:rPr>
          <w:rFonts w:ascii="Arial" w:hAnsi="Arial" w:cs="Arial"/>
          <w:sz w:val="22"/>
          <w:szCs w:val="22"/>
          <w:lang w:val="en-GB"/>
        </w:rPr>
        <w:t>i</w:t>
      </w:r>
      <w:proofErr w:type="spellEnd"/>
      <w:r w:rsidRPr="00366263">
        <w:rPr>
          <w:rFonts w:ascii="Arial" w:hAnsi="Arial" w:cs="Arial"/>
          <w:sz w:val="22"/>
          <w:szCs w:val="22"/>
          <w:lang w:val="en-GB"/>
        </w:rPr>
        <w:t xml:space="preserve">)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15147F" w:rsidRDefault="00A95EBC" w:rsidP="00E41EED">
      <w:pPr>
        <w:pStyle w:val="ListParagraph"/>
        <w:numPr>
          <w:ilvl w:val="0"/>
          <w:numId w:val="8"/>
        </w:numPr>
        <w:ind w:left="426"/>
        <w:jc w:val="both"/>
        <w:rPr>
          <w:rFonts w:ascii="Arial" w:hAnsi="Arial" w:cs="Arial"/>
          <w:sz w:val="22"/>
          <w:szCs w:val="22"/>
          <w:highlight w:val="yellow"/>
          <w:lang w:val="en-GB"/>
        </w:rPr>
      </w:pPr>
      <w:r w:rsidRPr="0015147F">
        <w:rPr>
          <w:rFonts w:ascii="Arial" w:hAnsi="Arial" w:cs="Arial"/>
          <w:sz w:val="22"/>
          <w:szCs w:val="22"/>
          <w:highlight w:val="yellow"/>
          <w:lang w:val="en-GB"/>
        </w:rPr>
        <w:t>Pre-filing creditors, except (</w:t>
      </w:r>
      <w:proofErr w:type="spellStart"/>
      <w:r w:rsidRPr="0015147F">
        <w:rPr>
          <w:rFonts w:ascii="Arial" w:hAnsi="Arial" w:cs="Arial"/>
          <w:sz w:val="22"/>
          <w:szCs w:val="22"/>
          <w:highlight w:val="yellow"/>
          <w:lang w:val="en-GB"/>
        </w:rPr>
        <w:t>i</w:t>
      </w:r>
      <w:proofErr w:type="spellEnd"/>
      <w:r w:rsidRPr="0015147F">
        <w:rPr>
          <w:rFonts w:ascii="Arial" w:hAnsi="Arial" w:cs="Arial"/>
          <w:sz w:val="22"/>
          <w:szCs w:val="22"/>
          <w:highlight w:val="yellow"/>
          <w:lang w:val="en-GB"/>
        </w:rPr>
        <w:t xml:space="preserve">) claims secured by a security interest conferring a retention title right; (ii) claims assigned by way of a </w:t>
      </w:r>
      <w:r w:rsidRPr="0015147F">
        <w:rPr>
          <w:rFonts w:ascii="Arial" w:hAnsi="Arial" w:cs="Arial"/>
          <w:i/>
          <w:iCs/>
          <w:sz w:val="22"/>
          <w:szCs w:val="22"/>
          <w:highlight w:val="yellow"/>
          <w:lang w:val="en-GB"/>
        </w:rPr>
        <w:t>Dailly</w:t>
      </w:r>
      <w:r w:rsidRPr="0015147F">
        <w:rPr>
          <w:rFonts w:ascii="Arial" w:hAnsi="Arial" w:cs="Arial"/>
          <w:sz w:val="22"/>
          <w:szCs w:val="22"/>
          <w:highlight w:val="yellow"/>
          <w:lang w:val="en-GB"/>
        </w:rPr>
        <w:t xml:space="preserve"> assignment of receivables; (iii) claims secured by a </w:t>
      </w:r>
      <w:r w:rsidRPr="0015147F">
        <w:rPr>
          <w:rFonts w:ascii="Arial" w:hAnsi="Arial" w:cs="Arial"/>
          <w:i/>
          <w:iCs/>
          <w:sz w:val="22"/>
          <w:szCs w:val="22"/>
          <w:highlight w:val="yellow"/>
          <w:lang w:val="en-GB"/>
        </w:rPr>
        <w:t>fiducie</w:t>
      </w:r>
      <w:r w:rsidRPr="0015147F">
        <w:rPr>
          <w:rFonts w:ascii="Arial" w:hAnsi="Arial" w:cs="Arial"/>
          <w:sz w:val="22"/>
          <w:szCs w:val="22"/>
          <w:highlight w:val="yellow"/>
          <w:lang w:val="en-GB"/>
        </w:rPr>
        <w:t xml:space="preserve"> agreement; </w:t>
      </w:r>
      <w:proofErr w:type="gramStart"/>
      <w:r w:rsidRPr="0015147F">
        <w:rPr>
          <w:rFonts w:ascii="Arial" w:hAnsi="Arial" w:cs="Arial"/>
          <w:sz w:val="22"/>
          <w:szCs w:val="22"/>
          <w:highlight w:val="yellow"/>
          <w:lang w:val="en-GB"/>
        </w:rPr>
        <w:t>(iv) set-off</w:t>
      </w:r>
      <w:proofErr w:type="gramEnd"/>
      <w:r w:rsidRPr="0015147F">
        <w:rPr>
          <w:rFonts w:ascii="Arial" w:hAnsi="Arial" w:cs="Arial"/>
          <w:sz w:val="22"/>
          <w:szCs w:val="22"/>
          <w:highlight w:val="yellow"/>
          <w:lang w:val="en-GB"/>
        </w:rPr>
        <w:t xml:space="preserve">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Post-filing creditors, except (</w:t>
      </w:r>
      <w:proofErr w:type="spellStart"/>
      <w:r w:rsidRPr="005A07B3">
        <w:rPr>
          <w:rFonts w:ascii="Arial" w:hAnsi="Arial" w:cs="Arial"/>
          <w:sz w:val="22"/>
          <w:szCs w:val="22"/>
          <w:lang w:val="en-GB"/>
        </w:rPr>
        <w:t>i</w:t>
      </w:r>
      <w:proofErr w:type="spellEnd"/>
      <w:r w:rsidRPr="005A07B3">
        <w:rPr>
          <w:rFonts w:ascii="Arial" w:hAnsi="Arial" w:cs="Arial"/>
          <w:sz w:val="22"/>
          <w:szCs w:val="22"/>
          <w:lang w:val="en-GB"/>
        </w:rPr>
        <w:t xml:space="preserve">)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w:t>
      </w:r>
      <w:proofErr w:type="gramStart"/>
      <w:r w:rsidRPr="005A07B3">
        <w:rPr>
          <w:rFonts w:ascii="Arial" w:hAnsi="Arial" w:cs="Arial"/>
          <w:sz w:val="22"/>
          <w:szCs w:val="22"/>
          <w:lang w:val="en-GB"/>
        </w:rPr>
        <w:t>(iv) set-off</w:t>
      </w:r>
      <w:proofErr w:type="gramEnd"/>
      <w:r w:rsidRPr="005A07B3">
        <w:rPr>
          <w:rFonts w:ascii="Arial" w:hAnsi="Arial" w:cs="Arial"/>
          <w:sz w:val="22"/>
          <w:szCs w:val="22"/>
          <w:lang w:val="en-GB"/>
        </w:rPr>
        <w:t xml:space="preserve">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15147F" w:rsidRDefault="00A95EBC" w:rsidP="00E41EED">
      <w:pPr>
        <w:pStyle w:val="ListParagraph"/>
        <w:numPr>
          <w:ilvl w:val="0"/>
          <w:numId w:val="9"/>
        </w:numPr>
        <w:ind w:left="426"/>
        <w:jc w:val="both"/>
        <w:rPr>
          <w:rFonts w:ascii="Arial" w:hAnsi="Arial" w:cs="Arial"/>
          <w:sz w:val="22"/>
          <w:szCs w:val="22"/>
          <w:lang w:val="en-GB"/>
        </w:rPr>
      </w:pPr>
      <w:r w:rsidRPr="0015147F">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15147F" w:rsidRDefault="00A95EBC" w:rsidP="00E41EED">
      <w:pPr>
        <w:pStyle w:val="ListParagraph"/>
        <w:numPr>
          <w:ilvl w:val="0"/>
          <w:numId w:val="9"/>
        </w:numPr>
        <w:ind w:left="426"/>
        <w:jc w:val="both"/>
        <w:rPr>
          <w:rFonts w:ascii="Arial" w:hAnsi="Arial" w:cs="Arial"/>
          <w:sz w:val="22"/>
          <w:szCs w:val="22"/>
          <w:highlight w:val="yellow"/>
          <w:lang w:val="en-GB"/>
        </w:rPr>
      </w:pPr>
      <w:r w:rsidRPr="0015147F">
        <w:rPr>
          <w:rFonts w:ascii="Arial" w:hAnsi="Arial" w:cs="Arial"/>
          <w:sz w:val="22"/>
          <w:szCs w:val="22"/>
          <w:highlight w:val="yellow"/>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5E1932" w:rsidRDefault="00A95EBC" w:rsidP="00C3028F">
      <w:pPr>
        <w:pStyle w:val="ListParagraph"/>
        <w:numPr>
          <w:ilvl w:val="0"/>
          <w:numId w:val="10"/>
        </w:numPr>
        <w:ind w:left="426"/>
        <w:jc w:val="both"/>
        <w:rPr>
          <w:rFonts w:ascii="Arial" w:hAnsi="Arial" w:cs="Arial"/>
          <w:sz w:val="22"/>
          <w:szCs w:val="22"/>
          <w:highlight w:val="yellow"/>
          <w:lang w:val="en-GB"/>
        </w:rPr>
      </w:pPr>
      <w:r w:rsidRPr="005E1932">
        <w:rPr>
          <w:rFonts w:ascii="Arial" w:hAnsi="Arial" w:cs="Arial"/>
          <w:sz w:val="22"/>
          <w:szCs w:val="22"/>
          <w:highlight w:val="yellow"/>
          <w:lang w:val="en-GB"/>
        </w:rPr>
        <w:t xml:space="preserve">Foreign judgments can only be enforced if they have been subject to a procedure of </w:t>
      </w:r>
      <w:r w:rsidRPr="005E1932">
        <w:rPr>
          <w:rFonts w:ascii="Arial" w:hAnsi="Arial" w:cs="Arial"/>
          <w:i/>
          <w:iCs/>
          <w:sz w:val="22"/>
          <w:szCs w:val="22"/>
          <w:highlight w:val="yellow"/>
          <w:lang w:val="en-GB"/>
        </w:rPr>
        <w:t>exequatur</w:t>
      </w:r>
      <w:r w:rsidRPr="005E1932">
        <w:rPr>
          <w:rFonts w:ascii="Arial" w:hAnsi="Arial" w:cs="Arial"/>
          <w:sz w:val="22"/>
          <w:szCs w:val="22"/>
          <w:highlight w:val="yellow"/>
          <w:lang w:val="en-GB"/>
        </w:rPr>
        <w:t xml:space="preserve">. For a foreign judgment to be granted </w:t>
      </w:r>
      <w:r w:rsidRPr="005E1932">
        <w:rPr>
          <w:rFonts w:ascii="Arial" w:hAnsi="Arial" w:cs="Arial"/>
          <w:i/>
          <w:iCs/>
          <w:sz w:val="22"/>
          <w:szCs w:val="22"/>
          <w:highlight w:val="yellow"/>
          <w:lang w:val="en-GB"/>
        </w:rPr>
        <w:t>exequatur</w:t>
      </w:r>
      <w:r w:rsidRPr="005E1932">
        <w:rPr>
          <w:rFonts w:ascii="Arial" w:hAnsi="Arial" w:cs="Arial"/>
          <w:sz w:val="22"/>
          <w:szCs w:val="22"/>
          <w:highlight w:val="yellow"/>
          <w:lang w:val="en-GB"/>
        </w:rPr>
        <w:t>, three conditions must be met: (</w:t>
      </w:r>
      <w:proofErr w:type="spellStart"/>
      <w:r w:rsidRPr="005E1932">
        <w:rPr>
          <w:rFonts w:ascii="Arial" w:hAnsi="Arial" w:cs="Arial"/>
          <w:sz w:val="22"/>
          <w:szCs w:val="22"/>
          <w:highlight w:val="yellow"/>
          <w:lang w:val="en-GB"/>
        </w:rPr>
        <w:t>i</w:t>
      </w:r>
      <w:proofErr w:type="spellEnd"/>
      <w:r w:rsidRPr="005E1932">
        <w:rPr>
          <w:rFonts w:ascii="Arial" w:hAnsi="Arial"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Pr="005E1932" w:rsidRDefault="00A95EBC" w:rsidP="00C3028F">
      <w:pPr>
        <w:pStyle w:val="ListParagraph"/>
        <w:numPr>
          <w:ilvl w:val="0"/>
          <w:numId w:val="10"/>
        </w:numPr>
        <w:ind w:left="426"/>
        <w:jc w:val="both"/>
        <w:rPr>
          <w:rFonts w:ascii="Arial" w:hAnsi="Arial" w:cs="Arial"/>
          <w:sz w:val="22"/>
          <w:szCs w:val="22"/>
          <w:lang w:val="en-GB"/>
        </w:rPr>
      </w:pPr>
      <w:r w:rsidRPr="005E1932">
        <w:rPr>
          <w:rFonts w:ascii="Arial" w:hAnsi="Arial" w:cs="Arial"/>
          <w:sz w:val="22"/>
          <w:szCs w:val="22"/>
          <w:lang w:val="en-GB"/>
        </w:rPr>
        <w:lastRenderedPageBreak/>
        <w:t xml:space="preserve">Even if foreign judgments have not been granted </w:t>
      </w:r>
      <w:r w:rsidRPr="005E1932">
        <w:rPr>
          <w:rFonts w:ascii="Arial" w:hAnsi="Arial" w:cs="Arial"/>
          <w:i/>
          <w:iCs/>
          <w:sz w:val="22"/>
          <w:szCs w:val="22"/>
          <w:lang w:val="en-GB"/>
        </w:rPr>
        <w:t>exequatur</w:t>
      </w:r>
      <w:r w:rsidRPr="005E1932">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7DD31D80" w:rsidR="00A95EBC" w:rsidRDefault="00A031CD"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refers to the safeguard procedure.</w:t>
      </w:r>
    </w:p>
    <w:p w14:paraId="05934538" w14:textId="271FC57E" w:rsidR="00A031CD" w:rsidRPr="002A1547" w:rsidRDefault="00A031CD"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2 refers to the accelerated safeguard procedure.</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6E44981B" w14:textId="726B5FC2" w:rsidR="00A95EBC" w:rsidRPr="00562C12" w:rsidRDefault="00562C12" w:rsidP="00562C12">
      <w:pPr>
        <w:pStyle w:val="ListParagraph"/>
        <w:numPr>
          <w:ilvl w:val="0"/>
          <w:numId w:val="12"/>
        </w:numPr>
        <w:jc w:val="both"/>
        <w:rPr>
          <w:rFonts w:ascii="Arial" w:hAnsi="Arial" w:cs="Arial"/>
          <w:sz w:val="22"/>
          <w:szCs w:val="22"/>
          <w:lang w:val="en-GB"/>
        </w:rPr>
      </w:pPr>
      <w:r w:rsidRPr="00562C12">
        <w:rPr>
          <w:rFonts w:ascii="Arial" w:hAnsi="Arial" w:cs="Arial"/>
          <w:color w:val="7B7B7B" w:themeColor="accent3" w:themeShade="BF"/>
          <w:sz w:val="22"/>
          <w:szCs w:val="22"/>
          <w:lang w:val="en-GB"/>
        </w:rPr>
        <w:t xml:space="preserve">The maximum duration of </w:t>
      </w:r>
      <w:r>
        <w:rPr>
          <w:rFonts w:ascii="Arial" w:hAnsi="Arial" w:cs="Arial"/>
          <w:color w:val="7B7B7B" w:themeColor="accent3" w:themeShade="BF"/>
          <w:sz w:val="22"/>
          <w:szCs w:val="22"/>
          <w:lang w:val="en-GB"/>
        </w:rPr>
        <w:t xml:space="preserve">the </w:t>
      </w:r>
      <w:r w:rsidRPr="00562C12">
        <w:rPr>
          <w:rFonts w:ascii="Arial" w:hAnsi="Arial" w:cs="Arial"/>
          <w:color w:val="7B7B7B" w:themeColor="accent3" w:themeShade="BF"/>
          <w:sz w:val="22"/>
          <w:szCs w:val="22"/>
          <w:lang w:val="en-GB"/>
        </w:rPr>
        <w:t xml:space="preserve">safeguard proceedings is 12 months </w:t>
      </w:r>
      <w:r>
        <w:rPr>
          <w:rFonts w:ascii="Arial" w:hAnsi="Arial" w:cs="Arial"/>
          <w:color w:val="7B7B7B" w:themeColor="accent3" w:themeShade="BF"/>
          <w:sz w:val="22"/>
          <w:szCs w:val="22"/>
          <w:lang w:val="en-GB"/>
        </w:rPr>
        <w:t>while the maximum duration of the rehabilitation procedure is 18 months.</w:t>
      </w:r>
    </w:p>
    <w:p w14:paraId="3269DE88" w14:textId="05DA6144" w:rsidR="00562C12" w:rsidRPr="003E7298" w:rsidRDefault="00562C12" w:rsidP="003E7298">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In the safeguard proceedings only the debtor may submits a draft restructuring plan to the vote of the creditors.</w:t>
      </w:r>
      <w:r w:rsidR="003E7298">
        <w:rPr>
          <w:rFonts w:ascii="Arial" w:hAnsi="Arial" w:cs="Arial"/>
          <w:color w:val="7B7B7B" w:themeColor="accent3" w:themeShade="BF"/>
          <w:sz w:val="22"/>
          <w:szCs w:val="22"/>
          <w:lang w:val="en-GB"/>
        </w:rPr>
        <w:t xml:space="preserve"> Where classes are constituted in a </w:t>
      </w:r>
      <w:r>
        <w:rPr>
          <w:rFonts w:ascii="Arial" w:hAnsi="Arial" w:cs="Arial"/>
          <w:color w:val="7B7B7B" w:themeColor="accent3" w:themeShade="BF"/>
          <w:sz w:val="22"/>
          <w:szCs w:val="22"/>
          <w:lang w:val="en-GB"/>
        </w:rPr>
        <w:t>rehabilitation procedure</w:t>
      </w:r>
      <w:r w:rsidR="003E729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any </w:t>
      </w:r>
      <w:r w:rsidR="003E7298">
        <w:rPr>
          <w:rFonts w:ascii="Arial" w:hAnsi="Arial" w:cs="Arial"/>
          <w:color w:val="7B7B7B" w:themeColor="accent3" w:themeShade="BF"/>
          <w:sz w:val="22"/>
          <w:szCs w:val="22"/>
          <w:lang w:val="en-GB"/>
        </w:rPr>
        <w:t>impaired party by the plan may submit an alternative</w:t>
      </w:r>
      <w:r>
        <w:rPr>
          <w:rFonts w:ascii="Arial" w:hAnsi="Arial" w:cs="Arial"/>
          <w:color w:val="7B7B7B" w:themeColor="accent3" w:themeShade="BF"/>
          <w:sz w:val="22"/>
          <w:szCs w:val="22"/>
          <w:lang w:val="en-GB"/>
        </w:rPr>
        <w:t xml:space="preserve"> restructuring plan to the vote of the creditors.</w:t>
      </w:r>
      <w:r w:rsidR="003E7298">
        <w:rPr>
          <w:rFonts w:ascii="Arial" w:hAnsi="Arial" w:cs="Arial"/>
          <w:color w:val="7B7B7B" w:themeColor="accent3" w:themeShade="BF"/>
          <w:sz w:val="22"/>
          <w:szCs w:val="22"/>
          <w:lang w:val="en-GB"/>
        </w:rPr>
        <w:t xml:space="preserve"> Additionally, a creditor may also propose a cross-class cram-down in a rehabilitation procedure while in a safeguard procedure, only the debtor may propose a cross-class cram-down.</w:t>
      </w:r>
    </w:p>
    <w:p w14:paraId="25D2235B" w14:textId="3EE89C38" w:rsidR="003E7298" w:rsidRPr="003E7298" w:rsidRDefault="003E7298" w:rsidP="003E7298">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If the plan is not approved the court has the power to reschedule the debtor’s liabilities by up to then years in the rehabilitation procedure under the condition of a minimum instalment of 10% after the fifth year. In the safeguard procedure, the court does not have the power to reschedule the debtor’s liabilities. </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w:t>
      </w:r>
      <w:proofErr w:type="gramStart"/>
      <w:r>
        <w:rPr>
          <w:rFonts w:ascii="Arial" w:hAnsi="Arial" w:cs="Arial"/>
          <w:sz w:val="22"/>
          <w:szCs w:val="22"/>
          <w:lang w:val="en-GB"/>
        </w:rPr>
        <w:t>classes</w:t>
      </w:r>
      <w:proofErr w:type="gramEnd"/>
      <w:r>
        <w:rPr>
          <w:rFonts w:ascii="Arial" w:hAnsi="Arial" w:cs="Arial"/>
          <w:sz w:val="22"/>
          <w:szCs w:val="22"/>
          <w:lang w:val="en-GB"/>
        </w:rPr>
        <w:t xml:space="preserve">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6CD13A04" w:rsidR="00A95EBC" w:rsidRDefault="00EA5702" w:rsidP="00EA5702">
      <w:pPr>
        <w:pStyle w:val="ListParagraph"/>
        <w:numPr>
          <w:ilvl w:val="0"/>
          <w:numId w:val="13"/>
        </w:numPr>
        <w:jc w:val="both"/>
        <w:rPr>
          <w:rFonts w:ascii="Arial" w:hAnsi="Arial" w:cs="Arial"/>
          <w:sz w:val="22"/>
          <w:szCs w:val="22"/>
          <w:lang w:val="en-GB"/>
        </w:rPr>
      </w:pPr>
      <w:r>
        <w:rPr>
          <w:rFonts w:ascii="Arial" w:hAnsi="Arial" w:cs="Arial"/>
          <w:sz w:val="22"/>
          <w:szCs w:val="22"/>
          <w:lang w:val="en-GB"/>
        </w:rPr>
        <w:t>Creditors with secured claims (by security interests in rem) and creditors with unsecured claims must belong to different classes.</w:t>
      </w:r>
    </w:p>
    <w:p w14:paraId="1137487C" w14:textId="10E47732" w:rsidR="003D54B3" w:rsidRDefault="003D54B3" w:rsidP="00EA5702">
      <w:pPr>
        <w:pStyle w:val="ListParagraph"/>
        <w:numPr>
          <w:ilvl w:val="0"/>
          <w:numId w:val="13"/>
        </w:numPr>
        <w:jc w:val="both"/>
        <w:rPr>
          <w:rFonts w:ascii="Arial" w:hAnsi="Arial" w:cs="Arial"/>
          <w:sz w:val="22"/>
          <w:szCs w:val="22"/>
          <w:lang w:val="en-GB"/>
        </w:rPr>
      </w:pPr>
      <w:r>
        <w:rPr>
          <w:rFonts w:ascii="Arial" w:hAnsi="Arial" w:cs="Arial"/>
          <w:sz w:val="22"/>
          <w:szCs w:val="22"/>
          <w:lang w:val="en-GB"/>
        </w:rPr>
        <w:t>The formation of the classes must be in line with subordination agreements entered into before the commencement of proceedings.</w:t>
      </w:r>
    </w:p>
    <w:p w14:paraId="32651887" w14:textId="21CE1ED1" w:rsidR="00EA5702" w:rsidRDefault="00EA5702" w:rsidP="00EA5702">
      <w:pPr>
        <w:pStyle w:val="ListParagraph"/>
        <w:numPr>
          <w:ilvl w:val="0"/>
          <w:numId w:val="13"/>
        </w:numPr>
        <w:jc w:val="both"/>
        <w:rPr>
          <w:rFonts w:ascii="Arial" w:hAnsi="Arial" w:cs="Arial"/>
          <w:sz w:val="22"/>
          <w:szCs w:val="22"/>
          <w:lang w:val="en-GB"/>
        </w:rPr>
      </w:pPr>
      <w:r>
        <w:rPr>
          <w:rFonts w:ascii="Arial" w:hAnsi="Arial" w:cs="Arial"/>
          <w:sz w:val="22"/>
          <w:szCs w:val="22"/>
          <w:lang w:val="en-GB"/>
        </w:rPr>
        <w:t>Equity holders must make up one or more classes.</w:t>
      </w:r>
    </w:p>
    <w:p w14:paraId="31ABAB0F" w14:textId="77777777" w:rsidR="00EA5702" w:rsidRPr="00EA5702" w:rsidRDefault="00EA5702" w:rsidP="003D54B3">
      <w:pPr>
        <w:pStyle w:val="ListParagraph"/>
        <w:jc w:val="both"/>
        <w:rPr>
          <w:rFonts w:ascii="Arial" w:hAnsi="Arial" w:cs="Arial"/>
          <w:sz w:val="22"/>
          <w:szCs w:val="22"/>
          <w:lang w:val="en-GB"/>
        </w:rPr>
      </w:pPr>
    </w:p>
    <w:p w14:paraId="690378AC" w14:textId="77777777" w:rsidR="00A95EBC" w:rsidRPr="002E2552" w:rsidRDefault="00A95EBC" w:rsidP="00A95EBC">
      <w:pPr>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7FA95084" w14:textId="7899AE7F" w:rsidR="00A95EBC" w:rsidRDefault="00253198" w:rsidP="00253198">
      <w:pPr>
        <w:pStyle w:val="ListParagraph"/>
        <w:numPr>
          <w:ilvl w:val="0"/>
          <w:numId w:val="14"/>
        </w:numPr>
        <w:jc w:val="both"/>
        <w:rPr>
          <w:rFonts w:ascii="Arial" w:hAnsi="Arial" w:cs="Arial"/>
          <w:sz w:val="22"/>
          <w:szCs w:val="22"/>
          <w:lang w:val="en-GB"/>
        </w:rPr>
      </w:pPr>
      <w:r>
        <w:rPr>
          <w:rFonts w:ascii="Arial" w:hAnsi="Arial" w:cs="Arial"/>
          <w:sz w:val="22"/>
          <w:szCs w:val="22"/>
          <w:lang w:val="en-GB"/>
        </w:rPr>
        <w:t>In rehabilitation proceedings, in the case creditor’s classes are constituted, an impaired party may propose an alternative draft restructuring plan. In safeguard proceedings, the debtor only may propose a draft restructuring plan. The possibility for creditors to propose an alternative draft restructuring plan gives the creditors more control of the proceeding and strengthens their negotiation power in rehabilitation proceedings (if the debtor is not willing to make concessions towards the creditors in the draft restructuring plan the creditors may propose their own draft restructuring plan).</w:t>
      </w:r>
    </w:p>
    <w:p w14:paraId="3D46EBA5" w14:textId="77777777" w:rsidR="00253198" w:rsidRDefault="00253198" w:rsidP="00253198">
      <w:pPr>
        <w:pStyle w:val="ListParagraph"/>
        <w:jc w:val="both"/>
        <w:rPr>
          <w:rFonts w:ascii="Arial" w:hAnsi="Arial" w:cs="Arial"/>
          <w:sz w:val="22"/>
          <w:szCs w:val="22"/>
          <w:lang w:val="en-GB"/>
        </w:rPr>
      </w:pPr>
    </w:p>
    <w:p w14:paraId="022876A7" w14:textId="2C24DDEA" w:rsidR="00EA0E80" w:rsidRDefault="00253198" w:rsidP="00253198">
      <w:pPr>
        <w:pStyle w:val="ListParagraph"/>
        <w:numPr>
          <w:ilvl w:val="0"/>
          <w:numId w:val="14"/>
        </w:numPr>
        <w:jc w:val="both"/>
        <w:rPr>
          <w:rFonts w:ascii="Arial" w:hAnsi="Arial" w:cs="Arial"/>
          <w:sz w:val="22"/>
          <w:szCs w:val="22"/>
          <w:lang w:val="en-GB"/>
        </w:rPr>
      </w:pPr>
      <w:r>
        <w:rPr>
          <w:rFonts w:ascii="Arial" w:hAnsi="Arial" w:cs="Arial"/>
          <w:sz w:val="22"/>
          <w:szCs w:val="22"/>
          <w:lang w:val="en-GB"/>
        </w:rPr>
        <w:t xml:space="preserve">The maximum duration of regular safeguard proceedings has been reduced from 18 to 12 months. This reform also shifts negotiation power in favour of creditors. </w:t>
      </w:r>
      <w:r w:rsidR="00EA0E80">
        <w:rPr>
          <w:rFonts w:ascii="Arial" w:hAnsi="Arial" w:cs="Arial"/>
          <w:sz w:val="22"/>
          <w:szCs w:val="22"/>
          <w:lang w:val="en-GB"/>
        </w:rPr>
        <w:t xml:space="preserve">As long as the safeguard proceeding is ongoing, creditors </w:t>
      </w:r>
      <w:proofErr w:type="spellStart"/>
      <w:r w:rsidR="00EA0E80">
        <w:rPr>
          <w:rFonts w:ascii="Arial" w:hAnsi="Arial" w:cs="Arial"/>
          <w:sz w:val="22"/>
          <w:szCs w:val="22"/>
          <w:lang w:val="en-GB"/>
        </w:rPr>
        <w:t>can not</w:t>
      </w:r>
      <w:proofErr w:type="spellEnd"/>
      <w:r w:rsidR="00EA0E80">
        <w:rPr>
          <w:rFonts w:ascii="Arial" w:hAnsi="Arial" w:cs="Arial"/>
          <w:sz w:val="22"/>
          <w:szCs w:val="22"/>
          <w:lang w:val="en-GB"/>
        </w:rPr>
        <w:t xml:space="preserve"> enforce their claims against the debtor. This can put creditors which are close to financial difficulties under pressure to make concessions towards the debtor in the draft restructuring plan. The reduction of the duration of the safeguard proceeding decreases this pressure on the creditors and makes it easier for creditors to decline unfavourable terms in a restructuring plan.</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1145CAC2" w14:textId="77777777" w:rsidR="004074B2" w:rsidRDefault="00E05681"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protection</w:t>
      </w:r>
      <w:r w:rsidR="0096207E">
        <w:rPr>
          <w:rFonts w:ascii="Arial" w:hAnsi="Arial" w:cs="Arial"/>
          <w:color w:val="7B7B7B" w:themeColor="accent3" w:themeShade="BF"/>
          <w:sz w:val="22"/>
          <w:szCs w:val="22"/>
          <w:lang w:val="en-GB"/>
        </w:rPr>
        <w:t xml:space="preserve"> of</w:t>
      </w:r>
      <w:r>
        <w:rPr>
          <w:rFonts w:ascii="Arial" w:hAnsi="Arial" w:cs="Arial"/>
          <w:color w:val="7B7B7B" w:themeColor="accent3" w:themeShade="BF"/>
          <w:sz w:val="22"/>
          <w:szCs w:val="22"/>
          <w:lang w:val="en-GB"/>
        </w:rPr>
        <w:t xml:space="preserve"> the interests of</w:t>
      </w:r>
      <w:r w:rsidR="0096207E">
        <w:rPr>
          <w:rFonts w:ascii="Arial" w:hAnsi="Arial" w:cs="Arial"/>
          <w:color w:val="7B7B7B" w:themeColor="accent3" w:themeShade="BF"/>
          <w:sz w:val="22"/>
          <w:szCs w:val="22"/>
          <w:lang w:val="en-GB"/>
        </w:rPr>
        <w:t xml:space="preserve"> creditors is relatively low in Fr</w:t>
      </w:r>
      <w:r w:rsidR="00A5339C">
        <w:rPr>
          <w:rFonts w:ascii="Arial" w:hAnsi="Arial" w:cs="Arial"/>
          <w:color w:val="7B7B7B" w:themeColor="accent3" w:themeShade="BF"/>
          <w:sz w:val="22"/>
          <w:szCs w:val="22"/>
          <w:lang w:val="en-GB"/>
        </w:rPr>
        <w:t>ench insolvency law in comparison</w:t>
      </w:r>
      <w:r w:rsidR="0096207E">
        <w:rPr>
          <w:rFonts w:ascii="Arial" w:hAnsi="Arial" w:cs="Arial"/>
          <w:color w:val="7B7B7B" w:themeColor="accent3" w:themeShade="BF"/>
          <w:sz w:val="22"/>
          <w:szCs w:val="22"/>
          <w:lang w:val="en-GB"/>
        </w:rPr>
        <w:t xml:space="preserve"> to those of other stakeholders. Debtors in financial difficulties are given a wide range of procedures designed to enable them to restructure th</w:t>
      </w:r>
      <w:r>
        <w:rPr>
          <w:rFonts w:ascii="Arial" w:hAnsi="Arial" w:cs="Arial"/>
          <w:color w:val="7B7B7B" w:themeColor="accent3" w:themeShade="BF"/>
          <w:sz w:val="22"/>
          <w:szCs w:val="22"/>
          <w:lang w:val="en-GB"/>
        </w:rPr>
        <w:t>eir deb</w:t>
      </w:r>
      <w:r w:rsidR="0096207E">
        <w:rPr>
          <w:rFonts w:ascii="Arial" w:hAnsi="Arial" w:cs="Arial"/>
          <w:color w:val="7B7B7B" w:themeColor="accent3" w:themeShade="BF"/>
          <w:sz w:val="22"/>
          <w:szCs w:val="22"/>
          <w:lang w:val="en-GB"/>
        </w:rPr>
        <w:t xml:space="preserve">ts prior to insolvency. </w:t>
      </w:r>
    </w:p>
    <w:p w14:paraId="4C7F9881" w14:textId="3D80270E" w:rsidR="00A95EBC" w:rsidRDefault="00D7677E"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w:t>
      </w:r>
      <w:r w:rsidR="0096207E">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out-of-court</w:t>
      </w:r>
      <w:r w:rsidR="0096207E">
        <w:rPr>
          <w:rFonts w:ascii="Arial" w:hAnsi="Arial" w:cs="Arial"/>
          <w:color w:val="7B7B7B" w:themeColor="accent3" w:themeShade="BF"/>
          <w:sz w:val="22"/>
          <w:szCs w:val="22"/>
          <w:lang w:val="en-GB"/>
        </w:rPr>
        <w:t xml:space="preserve"> ad hoc mandate and the conciliation proceedings which support debtors to restructure</w:t>
      </w:r>
      <w:r w:rsidR="0004638F">
        <w:rPr>
          <w:rFonts w:ascii="Arial" w:hAnsi="Arial" w:cs="Arial"/>
          <w:color w:val="7B7B7B" w:themeColor="accent3" w:themeShade="BF"/>
          <w:sz w:val="22"/>
          <w:szCs w:val="22"/>
          <w:lang w:val="en-GB"/>
        </w:rPr>
        <w:t xml:space="preserve"> their debts</w:t>
      </w:r>
      <w:r w:rsidR="0096207E">
        <w:rPr>
          <w:rFonts w:ascii="Arial" w:hAnsi="Arial" w:cs="Arial"/>
          <w:color w:val="7B7B7B" w:themeColor="accent3" w:themeShade="BF"/>
          <w:sz w:val="22"/>
          <w:szCs w:val="22"/>
          <w:lang w:val="en-GB"/>
        </w:rPr>
        <w:t xml:space="preserve"> </w:t>
      </w:r>
      <w:r w:rsidR="0004638F">
        <w:rPr>
          <w:rFonts w:ascii="Arial" w:hAnsi="Arial" w:cs="Arial"/>
          <w:color w:val="7B7B7B" w:themeColor="accent3" w:themeShade="BF"/>
          <w:sz w:val="22"/>
          <w:szCs w:val="22"/>
          <w:lang w:val="en-GB"/>
        </w:rPr>
        <w:t xml:space="preserve">prior to insolvency. </w:t>
      </w:r>
      <w:r>
        <w:rPr>
          <w:rFonts w:ascii="Arial" w:hAnsi="Arial" w:cs="Arial"/>
          <w:color w:val="7B7B7B" w:themeColor="accent3" w:themeShade="BF"/>
          <w:sz w:val="22"/>
          <w:szCs w:val="22"/>
          <w:lang w:val="en-GB"/>
        </w:rPr>
        <w:t>The safeguard proceedings are also available in a pre-insolvency situation and enable debtors to restructure their debts under</w:t>
      </w:r>
      <w:r w:rsidR="00E05681">
        <w:rPr>
          <w:rFonts w:ascii="Arial" w:hAnsi="Arial" w:cs="Arial"/>
          <w:color w:val="7B7B7B" w:themeColor="accent3" w:themeShade="BF"/>
          <w:sz w:val="22"/>
          <w:szCs w:val="22"/>
          <w:lang w:val="en-GB"/>
        </w:rPr>
        <w:t xml:space="preserve"> the protection of</w:t>
      </w:r>
      <w:r>
        <w:rPr>
          <w:rFonts w:ascii="Arial" w:hAnsi="Arial" w:cs="Arial"/>
          <w:color w:val="7B7B7B" w:themeColor="accent3" w:themeShade="BF"/>
          <w:sz w:val="22"/>
          <w:szCs w:val="22"/>
          <w:lang w:val="en-GB"/>
        </w:rPr>
        <w:t xml:space="preserve"> a moratorium on enforcement actions and with support of the court. Only debtors may petition safeguard proceedings. </w:t>
      </w:r>
      <w:r w:rsidR="00071414">
        <w:rPr>
          <w:rFonts w:ascii="Arial" w:hAnsi="Arial" w:cs="Arial"/>
          <w:color w:val="7B7B7B" w:themeColor="accent3" w:themeShade="BF"/>
          <w:sz w:val="22"/>
          <w:szCs w:val="22"/>
          <w:lang w:val="en-GB"/>
        </w:rPr>
        <w:t xml:space="preserve">Furthermore, only debtors may submit a restructuring plan to the vote of the creditors. </w:t>
      </w:r>
      <w:r w:rsidR="00A5339C">
        <w:rPr>
          <w:rFonts w:ascii="Arial" w:hAnsi="Arial" w:cs="Arial"/>
          <w:color w:val="7B7B7B" w:themeColor="accent3" w:themeShade="BF"/>
          <w:sz w:val="22"/>
          <w:szCs w:val="22"/>
          <w:lang w:val="en-GB"/>
        </w:rPr>
        <w:t>In the accelerated safeguard proceedings, it is also only the debtor that may request the initiation of the proceedings and may propose a restructuring plan.</w:t>
      </w:r>
    </w:p>
    <w:p w14:paraId="715AA94B" w14:textId="57DFCFA5" w:rsidR="00A5339C" w:rsidRDefault="00B96B5E"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the company is in a payment failure situation, the debtor, any unpaid creditor or the Public Prosecutor may request rehabilitation procedure. This procedure is also designed to rescue a debtor in financial difficulties if possible. The debtor is enabled to negotiate a restructuring plan with its creditors during an observation period which lasts between 6 and 18 months. During the observation period all creditors are subject to a stay on enforcement actions</w:t>
      </w:r>
      <w:r w:rsidR="005F548E">
        <w:rPr>
          <w:rFonts w:ascii="Arial" w:hAnsi="Arial" w:cs="Arial"/>
          <w:color w:val="7B7B7B" w:themeColor="accent3" w:themeShade="BF"/>
          <w:sz w:val="22"/>
          <w:szCs w:val="22"/>
          <w:lang w:val="en-GB"/>
        </w:rPr>
        <w:t xml:space="preserve"> re default of cash payment</w:t>
      </w:r>
      <w:r>
        <w:rPr>
          <w:rFonts w:ascii="Arial" w:hAnsi="Arial" w:cs="Arial"/>
          <w:color w:val="7B7B7B" w:themeColor="accent3" w:themeShade="BF"/>
          <w:sz w:val="22"/>
          <w:szCs w:val="22"/>
          <w:lang w:val="en-GB"/>
        </w:rPr>
        <w:t>.</w:t>
      </w:r>
      <w:r w:rsidR="005F548E">
        <w:rPr>
          <w:rFonts w:ascii="Arial" w:hAnsi="Arial" w:cs="Arial"/>
          <w:color w:val="7B7B7B" w:themeColor="accent3" w:themeShade="BF"/>
          <w:sz w:val="22"/>
          <w:szCs w:val="22"/>
          <w:lang w:val="en-GB"/>
        </w:rPr>
        <w:t xml:space="preserve"> The administrator appointed to supervise the management of the company during the observation period has the power to continue or terminate the debtor’s contracts.</w:t>
      </w:r>
      <w:r>
        <w:rPr>
          <w:rFonts w:ascii="Arial" w:hAnsi="Arial" w:cs="Arial"/>
          <w:color w:val="7B7B7B" w:themeColor="accent3" w:themeShade="BF"/>
          <w:sz w:val="22"/>
          <w:szCs w:val="22"/>
          <w:lang w:val="en-GB"/>
        </w:rPr>
        <w:t xml:space="preserve"> </w:t>
      </w:r>
      <w:r w:rsidR="00B32257">
        <w:rPr>
          <w:rFonts w:ascii="Arial" w:hAnsi="Arial" w:cs="Arial"/>
          <w:color w:val="7B7B7B" w:themeColor="accent3" w:themeShade="BF"/>
          <w:sz w:val="22"/>
          <w:szCs w:val="22"/>
          <w:lang w:val="en-GB"/>
        </w:rPr>
        <w:t>The possibility to submit a restructuring plan to the vote of the creditors is, however, not restricted to the debtor and any affected party may do so. If the plan has not been approved by all classes of affected parties, the court may apply the cross-class-cram-down mechanism at the request of any affected party.</w:t>
      </w:r>
    </w:p>
    <w:p w14:paraId="1F97256C" w14:textId="14835A69" w:rsidR="002C00F2" w:rsidRDefault="00B32257"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French insolvency law focuses more on the restructuring of debtors in financial difficulties than other insolvency regimes and, in the process, restricts some rights creditors enjoy under other insolvency regimes.</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2C9D11D5" w14:textId="77777777" w:rsidR="006A65D4" w:rsidRDefault="006A65D4"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the 2021 Ordinance, the following provisions have been introduced which strengthen the position of the creditors:</w:t>
      </w:r>
    </w:p>
    <w:p w14:paraId="6B934B33" w14:textId="41B8C22A" w:rsidR="00A95EBC" w:rsidRDefault="006A65D4" w:rsidP="006A65D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6A65D4">
        <w:rPr>
          <w:rFonts w:ascii="Arial" w:hAnsi="Arial" w:cs="Arial"/>
          <w:color w:val="7B7B7B" w:themeColor="accent3" w:themeShade="BF"/>
          <w:sz w:val="22"/>
          <w:szCs w:val="22"/>
          <w:lang w:val="en-GB"/>
        </w:rPr>
        <w:t>he separation of secured creditors and unsecured creditors into two classes</w:t>
      </w:r>
      <w:r>
        <w:rPr>
          <w:rFonts w:ascii="Arial" w:hAnsi="Arial" w:cs="Arial"/>
          <w:color w:val="7B7B7B" w:themeColor="accent3" w:themeShade="BF"/>
          <w:sz w:val="22"/>
          <w:szCs w:val="22"/>
          <w:lang w:val="en-GB"/>
        </w:rPr>
        <w:t>;</w:t>
      </w:r>
    </w:p>
    <w:p w14:paraId="49287656" w14:textId="0DE9E386" w:rsidR="006A65D4" w:rsidRDefault="006A65D4" w:rsidP="006A65D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reduction of the duration of the regular safeguard proceedings from 18 to 12 months,</w:t>
      </w:r>
    </w:p>
    <w:p w14:paraId="565ED1E1" w14:textId="77777777" w:rsidR="00057776" w:rsidRDefault="006A65D4" w:rsidP="006A65D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possibility</w:t>
      </w:r>
      <w:r w:rsidR="00057776">
        <w:rPr>
          <w:rFonts w:ascii="Arial" w:hAnsi="Arial" w:cs="Arial"/>
          <w:color w:val="7B7B7B" w:themeColor="accent3" w:themeShade="BF"/>
          <w:sz w:val="22"/>
          <w:szCs w:val="22"/>
          <w:lang w:val="en-GB"/>
        </w:rPr>
        <w:t xml:space="preserve"> for an impaired party</w:t>
      </w:r>
      <w:r>
        <w:rPr>
          <w:rFonts w:ascii="Arial" w:hAnsi="Arial" w:cs="Arial"/>
          <w:color w:val="7B7B7B" w:themeColor="accent3" w:themeShade="BF"/>
          <w:sz w:val="22"/>
          <w:szCs w:val="22"/>
          <w:lang w:val="en-GB"/>
        </w:rPr>
        <w:t xml:space="preserve"> to propose an alternative restructuring plan in </w:t>
      </w:r>
      <w:r w:rsidR="00057776">
        <w:rPr>
          <w:rFonts w:ascii="Arial" w:hAnsi="Arial" w:cs="Arial"/>
          <w:color w:val="7B7B7B" w:themeColor="accent3" w:themeShade="BF"/>
          <w:sz w:val="22"/>
          <w:szCs w:val="22"/>
          <w:lang w:val="en-GB"/>
        </w:rPr>
        <w:t>rehabilitation proceedings,</w:t>
      </w:r>
    </w:p>
    <w:p w14:paraId="57D7D3EC" w14:textId="176BF850" w:rsidR="006A65D4" w:rsidRPr="00057776" w:rsidRDefault="00057776" w:rsidP="0005777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classes of affected parties are automatic under the accelerated safeguard procedure and subject to certain thresholds under the regular safeguard procedure,</w:t>
      </w:r>
    </w:p>
    <w:p w14:paraId="3BA1F49C" w14:textId="77777777" w:rsidR="006A65D4" w:rsidRPr="002A1547" w:rsidRDefault="006A65D4" w:rsidP="00A95EBC">
      <w:pPr>
        <w:ind w:left="720" w:hanging="720"/>
        <w:jc w:val="both"/>
        <w:rPr>
          <w:rFonts w:ascii="Arial" w:hAnsi="Arial" w:cs="Arial"/>
          <w:sz w:val="22"/>
          <w:szCs w:val="22"/>
          <w:lang w:val="en-GB"/>
        </w:rPr>
      </w:pP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5012BE05" w14:textId="77777777" w:rsidR="00BB062B" w:rsidRDefault="003E6A31" w:rsidP="003E6A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Safeguard and rehabilitation procedures have much in common. Both proceedings are court-based, collective and debtor-in-possession procedure. Both proceedings aiming at restructuring the debtor with a restructuring plan. Both proceedings trigger the appointment of an insolvency judge, an administrator and creditors’ representatives. In view of all these similarities, it would not have needed many changes to merge both proceedings.</w:t>
      </w:r>
      <w:r w:rsidR="00BB062B">
        <w:rPr>
          <w:rFonts w:ascii="Arial" w:hAnsi="Arial" w:cs="Arial"/>
          <w:color w:val="7B7B7B" w:themeColor="accent3" w:themeShade="BF"/>
          <w:sz w:val="22"/>
          <w:szCs w:val="22"/>
          <w:lang w:val="en-GB"/>
        </w:rPr>
        <w:t xml:space="preserve"> A merger could have simplified France’s insolvency framework.</w:t>
      </w:r>
      <w:r>
        <w:rPr>
          <w:rFonts w:ascii="Arial" w:hAnsi="Arial" w:cs="Arial"/>
          <w:color w:val="7B7B7B" w:themeColor="accent3" w:themeShade="BF"/>
          <w:sz w:val="22"/>
          <w:szCs w:val="22"/>
          <w:lang w:val="en-GB"/>
        </w:rPr>
        <w:t xml:space="preserve"> Therefore, it was a reasonable idea to merge these proceedings</w:t>
      </w:r>
      <w:r w:rsidR="00BB062B">
        <w:rPr>
          <w:rFonts w:ascii="Arial" w:hAnsi="Arial" w:cs="Arial"/>
          <w:color w:val="7B7B7B" w:themeColor="accent3" w:themeShade="BF"/>
          <w:sz w:val="22"/>
          <w:szCs w:val="22"/>
          <w:lang w:val="en-GB"/>
        </w:rPr>
        <w:t>.</w:t>
      </w:r>
    </w:p>
    <w:p w14:paraId="7E8F6A63" w14:textId="64034CC4" w:rsidR="00A95EBC" w:rsidRDefault="00BB062B" w:rsidP="00A95EBC">
      <w:pPr>
        <w:jc w:val="both"/>
        <w:rPr>
          <w:rFonts w:ascii="Arial" w:hAnsi="Arial" w:cs="Arial"/>
          <w:sz w:val="22"/>
          <w:szCs w:val="22"/>
          <w:lang w:val="en-GB"/>
        </w:rPr>
      </w:pPr>
      <w:r>
        <w:rPr>
          <w:rFonts w:ascii="Arial" w:hAnsi="Arial" w:cs="Arial"/>
          <w:color w:val="7B7B7B" w:themeColor="accent3" w:themeShade="BF"/>
          <w:sz w:val="22"/>
          <w:szCs w:val="22"/>
          <w:lang w:val="en-GB"/>
        </w:rPr>
        <w:t>However, there are also some differences between the safeguard and rehabilitation proceedings. Safeguard proceedings can only be initiated if the debtor is not payment failure situation while rehabilitation proceedings are only available if the debtor is insolvent. Safeguard proceedings may only be requested by the debtor and only the debtor may submits a restructuring plan to the vote of the creditors while rehabilitation proceedings may be requested by the debtor, any unpaid creditor or the Public Prosecutor and, besides the debtor, any affected party may submit a restructuring plan to the vote of the creditors.</w:t>
      </w:r>
      <w:r w:rsidR="003504FD">
        <w:rPr>
          <w:rFonts w:ascii="Arial" w:hAnsi="Arial" w:cs="Arial"/>
          <w:color w:val="7B7B7B" w:themeColor="accent3" w:themeShade="BF"/>
          <w:sz w:val="22"/>
          <w:szCs w:val="22"/>
          <w:lang w:val="en-GB"/>
        </w:rPr>
        <w:t xml:space="preserve"> Hence, the debtor has more control of the procedure in safeguard proceedings than in rehabilitation </w:t>
      </w:r>
      <w:r w:rsidR="003504FD">
        <w:rPr>
          <w:rFonts w:ascii="Arial" w:hAnsi="Arial" w:cs="Arial"/>
          <w:color w:val="7B7B7B" w:themeColor="accent3" w:themeShade="BF"/>
          <w:sz w:val="22"/>
          <w:szCs w:val="22"/>
          <w:lang w:val="en-GB"/>
        </w:rPr>
        <w:lastRenderedPageBreak/>
        <w:t xml:space="preserve">proceedings. In order to maintain the differences between the two proceedings and give the debtor more control of the proceedings at a stage when is not insolvent (safeguard proceedings), it was also reasonable not to merge the two proceedings. </w:t>
      </w: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38C0C25F" w14:textId="5C0194A3" w:rsidR="00A95EBC" w:rsidRDefault="00171C4A"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 L620-1</w:t>
      </w:r>
      <w:r w:rsidR="0071065F">
        <w:rPr>
          <w:rFonts w:ascii="Arial" w:hAnsi="Arial" w:cs="Arial"/>
          <w:color w:val="7B7B7B" w:themeColor="accent3" w:themeShade="BF"/>
          <w:sz w:val="22"/>
          <w:szCs w:val="22"/>
          <w:lang w:val="en-GB"/>
        </w:rPr>
        <w:t xml:space="preserve"> of the Commercial Code, </w:t>
      </w:r>
      <w:r w:rsidR="00366DCB">
        <w:rPr>
          <w:rFonts w:ascii="Arial" w:hAnsi="Arial" w:cs="Arial"/>
          <w:color w:val="7B7B7B" w:themeColor="accent3" w:themeShade="BF"/>
          <w:sz w:val="22"/>
          <w:szCs w:val="22"/>
          <w:lang w:val="en-GB"/>
        </w:rPr>
        <w:t xml:space="preserve">the </w:t>
      </w:r>
      <w:r w:rsidR="0071065F">
        <w:rPr>
          <w:rFonts w:ascii="Arial" w:hAnsi="Arial" w:cs="Arial"/>
          <w:color w:val="7B7B7B" w:themeColor="accent3" w:themeShade="BF"/>
          <w:sz w:val="22"/>
          <w:szCs w:val="22"/>
          <w:lang w:val="en-GB"/>
        </w:rPr>
        <w:t xml:space="preserve">safeguard procedure may be opened upon request of a debtor mentioned under art. L620-2 who is not in a payment failure situation but is encountering difficulties which it is not in a position to overcome. </w:t>
      </w:r>
    </w:p>
    <w:p w14:paraId="2DAAD768" w14:textId="646833E4" w:rsidR="0071065F" w:rsidRDefault="0071065F"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 L620-2 of the Commercial Code, the safeguard procedure is available, among other, for any person exercising a commercial activity. </w:t>
      </w:r>
    </w:p>
    <w:p w14:paraId="0C9B8EAB" w14:textId="6C806F7A" w:rsidR="0071065F" w:rsidRDefault="00366DCB"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 L631-1 of the Commercial Code, the rehabilitation procedure may be opened upon against a debtor mentioned under art. L631-2 or L631-3 who is in a payment failure situation.</w:t>
      </w:r>
    </w:p>
    <w:p w14:paraId="75DEBCF6" w14:textId="022235AC" w:rsidR="00366DCB" w:rsidRDefault="00366DCB" w:rsidP="00366DC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art. L631-2 of the Commercial Code, the rehabilitation procedure is available, among other, for any person exercising a commercial activity.</w:t>
      </w:r>
    </w:p>
    <w:p w14:paraId="7571B770" w14:textId="43FFFC61" w:rsidR="00366DCB" w:rsidRDefault="00366DCB" w:rsidP="00366DC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at hand,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in “serious financial difficulties” and debts are piling up. It does not state in the facts that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in a payment failure situation. Therefore, it is more likely that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w:t>
      </w:r>
      <w:r w:rsidR="008C3C82">
        <w:rPr>
          <w:rFonts w:ascii="Arial" w:hAnsi="Arial" w:cs="Arial"/>
          <w:color w:val="7B7B7B" w:themeColor="accent3" w:themeShade="BF"/>
          <w:sz w:val="22"/>
          <w:szCs w:val="22"/>
          <w:lang w:val="en-GB"/>
        </w:rPr>
        <w:t xml:space="preserve">is subject to a safeguard procedure at the moment. Giving that debts are piling up, it is, however, likely that </w:t>
      </w:r>
      <w:proofErr w:type="spellStart"/>
      <w:r w:rsidR="008C3C82">
        <w:rPr>
          <w:rFonts w:ascii="Arial" w:hAnsi="Arial" w:cs="Arial"/>
          <w:color w:val="7B7B7B" w:themeColor="accent3" w:themeShade="BF"/>
          <w:sz w:val="22"/>
          <w:szCs w:val="22"/>
          <w:lang w:val="en-GB"/>
        </w:rPr>
        <w:t>Vantou</w:t>
      </w:r>
      <w:proofErr w:type="spellEnd"/>
      <w:r w:rsidR="008C3C82">
        <w:rPr>
          <w:rFonts w:ascii="Arial" w:hAnsi="Arial" w:cs="Arial"/>
          <w:color w:val="7B7B7B" w:themeColor="accent3" w:themeShade="BF"/>
          <w:sz w:val="22"/>
          <w:szCs w:val="22"/>
          <w:lang w:val="en-GB"/>
        </w:rPr>
        <w:t xml:space="preserve"> will be in a payment failure situation in the near future and would then be subject to a rehabilitation procedure.</w:t>
      </w:r>
    </w:p>
    <w:p w14:paraId="6DA64348" w14:textId="1E702063" w:rsidR="00946522" w:rsidRDefault="00946522" w:rsidP="00A95EBC">
      <w:pPr>
        <w:rPr>
          <w:rFonts w:ascii="Arial" w:hAnsi="Arial" w:cs="Arial"/>
          <w:b/>
          <w:bCs/>
          <w:sz w:val="22"/>
          <w:szCs w:val="22"/>
          <w:lang w:val="en-GB"/>
        </w:rPr>
      </w:pPr>
    </w:p>
    <w:p w14:paraId="4E9739ED" w14:textId="1A960946" w:rsidR="00946522" w:rsidRDefault="00946522" w:rsidP="00A95EBC">
      <w:pPr>
        <w:rPr>
          <w:rFonts w:ascii="Arial" w:hAnsi="Arial" w:cs="Arial"/>
          <w:b/>
          <w:bCs/>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6D44D0D6" w14:textId="77777777" w:rsidR="00D965A4" w:rsidRDefault="00D965A4" w:rsidP="00A95EBC">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a limited liability company specialising in optical material. Hence it carries out a commercial activity. </w:t>
      </w:r>
    </w:p>
    <w:p w14:paraId="45448F47" w14:textId="500474EA" w:rsidR="00A95EBC" w:rsidRDefault="00D965A4"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the commercial court is competent for insolvency proceedings if the debtor carries out a commercial activity.</w:t>
      </w:r>
      <w:r w:rsidR="00FB3E0B">
        <w:rPr>
          <w:rFonts w:ascii="Arial" w:hAnsi="Arial" w:cs="Arial"/>
          <w:color w:val="7B7B7B" w:themeColor="accent3" w:themeShade="BF"/>
          <w:sz w:val="22"/>
          <w:szCs w:val="22"/>
          <w:lang w:val="en-GB"/>
        </w:rPr>
        <w:t xml:space="preserve"> However, i</w:t>
      </w:r>
      <w:r>
        <w:rPr>
          <w:rFonts w:ascii="Arial" w:hAnsi="Arial" w:cs="Arial"/>
          <w:color w:val="7B7B7B" w:themeColor="accent3" w:themeShade="BF"/>
          <w:sz w:val="22"/>
          <w:szCs w:val="22"/>
          <w:lang w:val="en-GB"/>
        </w:rPr>
        <w:t>f the debtor is a company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whose employees exceed 250 and turnover exceeds EUR 20 million, or (ii) whose turnover exceeds EUR 40 million, or (iii) that holds or controls entities, where the total combined number of employees is 250 or above and where the combined total turnover is at least EUR 20 million, or (iv) that holds or controls other entities and where the combined turnover is of at least EUR 40 m</w:t>
      </w:r>
      <w:r w:rsidR="00FB3E0B">
        <w:rPr>
          <w:rFonts w:ascii="Arial" w:hAnsi="Arial" w:cs="Arial"/>
          <w:color w:val="7B7B7B" w:themeColor="accent3" w:themeShade="BF"/>
          <w:sz w:val="22"/>
          <w:szCs w:val="22"/>
          <w:lang w:val="en-GB"/>
        </w:rPr>
        <w:t>illion, the specialised commercial court is competent.</w:t>
      </w:r>
    </w:p>
    <w:p w14:paraId="56060C86" w14:textId="4FEC97A4" w:rsidR="00FB3E0B" w:rsidRPr="002A1547" w:rsidRDefault="00FB3E0B" w:rsidP="00A95EBC">
      <w:pPr>
        <w:ind w:left="720" w:hanging="720"/>
        <w:jc w:val="both"/>
        <w:rPr>
          <w:rFonts w:ascii="Arial" w:hAnsi="Arial" w:cs="Arial"/>
          <w:sz w:val="22"/>
          <w:szCs w:val="22"/>
          <w:lang w:val="en-GB"/>
        </w:rPr>
      </w:pPr>
      <w:r>
        <w:rPr>
          <w:rFonts w:ascii="Arial" w:hAnsi="Arial" w:cs="Arial"/>
          <w:sz w:val="22"/>
          <w:szCs w:val="22"/>
          <w:lang w:val="en-GB"/>
        </w:rPr>
        <w:lastRenderedPageBreak/>
        <w:t xml:space="preserve">There is no information on the numbers of employees or the turnover of </w:t>
      </w:r>
      <w:proofErr w:type="spellStart"/>
      <w:r>
        <w:rPr>
          <w:rFonts w:ascii="Arial" w:hAnsi="Arial" w:cs="Arial"/>
          <w:sz w:val="22"/>
          <w:szCs w:val="22"/>
          <w:lang w:val="en-GB"/>
        </w:rPr>
        <w:t>Vantou</w:t>
      </w:r>
      <w:proofErr w:type="spellEnd"/>
      <w:r>
        <w:rPr>
          <w:rFonts w:ascii="Arial" w:hAnsi="Arial" w:cs="Arial"/>
          <w:sz w:val="22"/>
          <w:szCs w:val="22"/>
          <w:lang w:val="en-GB"/>
        </w:rPr>
        <w:t xml:space="preserve">. It is, therefore, unclear if the commercial court or the specialised commercial court is competent for the safeguard proceedings concerning </w:t>
      </w:r>
      <w:proofErr w:type="spellStart"/>
      <w:r>
        <w:rPr>
          <w:rFonts w:ascii="Arial" w:hAnsi="Arial" w:cs="Arial"/>
          <w:sz w:val="22"/>
          <w:szCs w:val="22"/>
          <w:lang w:val="en-GB"/>
        </w:rPr>
        <w:t>Vantou</w:t>
      </w:r>
      <w:proofErr w:type="spellEnd"/>
      <w:r>
        <w:rPr>
          <w:rFonts w:ascii="Arial" w:hAnsi="Arial" w:cs="Arial"/>
          <w:sz w:val="22"/>
          <w:szCs w:val="22"/>
          <w:lang w:val="en-GB"/>
        </w:rPr>
        <w:t>.</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4DB8F595" w14:textId="01D5B75B" w:rsidR="00A95EBC" w:rsidRDefault="002155A0" w:rsidP="00A95EBC">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8C5FDD">
        <w:rPr>
          <w:rFonts w:ascii="Arial" w:hAnsi="Arial" w:cs="Arial"/>
          <w:color w:val="7B7B7B" w:themeColor="accent3" w:themeShade="BF"/>
          <w:sz w:val="22"/>
          <w:szCs w:val="22"/>
          <w:lang w:val="en-GB"/>
        </w:rPr>
        <w:t xml:space="preserve">judgment pronouncing the </w:t>
      </w:r>
      <w:r>
        <w:rPr>
          <w:rFonts w:ascii="Arial" w:hAnsi="Arial" w:cs="Arial"/>
          <w:color w:val="7B7B7B" w:themeColor="accent3" w:themeShade="BF"/>
          <w:sz w:val="22"/>
          <w:szCs w:val="22"/>
          <w:lang w:val="en-GB"/>
        </w:rPr>
        <w:t>safeguard proceedings trigger</w:t>
      </w:r>
      <w:r w:rsidR="008C5FDD">
        <w:rPr>
          <w:rFonts w:ascii="Arial" w:hAnsi="Arial" w:cs="Arial"/>
          <w:color w:val="7B7B7B" w:themeColor="accent3" w:themeShade="BF"/>
          <w:sz w:val="22"/>
          <w:szCs w:val="22"/>
          <w:lang w:val="en-GB"/>
        </w:rPr>
        <w:t>s the opening of the observation period which brings with it</w:t>
      </w:r>
      <w:r>
        <w:rPr>
          <w:rFonts w:ascii="Arial" w:hAnsi="Arial" w:cs="Arial"/>
          <w:color w:val="7B7B7B" w:themeColor="accent3" w:themeShade="BF"/>
          <w:sz w:val="22"/>
          <w:szCs w:val="22"/>
          <w:lang w:val="en-GB"/>
        </w:rPr>
        <w:t xml:space="preserve"> a stay </w:t>
      </w:r>
      <w:r w:rsidR="008C5FDD">
        <w:rPr>
          <w:rFonts w:ascii="Arial" w:hAnsi="Arial" w:cs="Arial"/>
          <w:color w:val="7B7B7B" w:themeColor="accent3" w:themeShade="BF"/>
          <w:sz w:val="22"/>
          <w:szCs w:val="22"/>
          <w:lang w:val="en-GB"/>
        </w:rPr>
        <w:t xml:space="preserve">on enforcement actions. The observation period can, however, not lead to a worsening of the situation of a debtor, and the company needs to ensure the payment of post-judgment debts. </w:t>
      </w:r>
    </w:p>
    <w:p w14:paraId="7EE7BFD9" w14:textId="59A0128C" w:rsidR="008C5FDD" w:rsidRDefault="008C5FDD" w:rsidP="00A95EBC">
      <w:pPr>
        <w:rPr>
          <w:rFonts w:ascii="Arial" w:hAnsi="Arial" w:cs="Arial"/>
          <w:sz w:val="22"/>
          <w:szCs w:val="22"/>
          <w:lang w:val="en-GB"/>
        </w:rPr>
      </w:pPr>
      <w:r>
        <w:rPr>
          <w:rFonts w:ascii="Arial" w:hAnsi="Arial" w:cs="Arial"/>
          <w:color w:val="7B7B7B" w:themeColor="accent3" w:themeShade="BF"/>
          <w:sz w:val="22"/>
          <w:szCs w:val="22"/>
          <w:lang w:val="en-GB"/>
        </w:rPr>
        <w:t xml:space="preserve">If the last two invoices of the water supplier concern the time before the opening of safeguard proceedings concerning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the court will not allow the water supplier to enforce its claim against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However, if these invoices concern costs which accumulated during the observation period and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cannot ensure that it will settle these invoices the court will end </w:t>
      </w:r>
      <w:r w:rsidR="00962093">
        <w:rPr>
          <w:rFonts w:ascii="Arial" w:hAnsi="Arial" w:cs="Arial"/>
          <w:color w:val="7B7B7B" w:themeColor="accent3" w:themeShade="BF"/>
          <w:sz w:val="22"/>
          <w:szCs w:val="22"/>
          <w:lang w:val="en-GB"/>
        </w:rPr>
        <w:t>the safeguard proceedings and may order rehabilitation or liquidation proceedings to be opened.</w:t>
      </w:r>
      <w:bookmarkStart w:id="0" w:name="_GoBack"/>
      <w:bookmarkEnd w:id="0"/>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A80B" w14:textId="77777777" w:rsidR="00B659A6" w:rsidRDefault="00B659A6" w:rsidP="00241B44">
      <w:r>
        <w:separator/>
      </w:r>
    </w:p>
  </w:endnote>
  <w:endnote w:type="continuationSeparator" w:id="0">
    <w:p w14:paraId="4C0D5A20" w14:textId="77777777" w:rsidR="00B659A6" w:rsidRDefault="00B659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62093">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30F05E79" w14:textId="60CF597A" w:rsidR="0068208B" w:rsidRPr="009B4976" w:rsidRDefault="00523CE0" w:rsidP="009B4976">
    <w:pPr>
      <w:pStyle w:val="Footer"/>
      <w:ind w:right="360"/>
      <w:rPr>
        <w:rFonts w:ascii="Arial" w:hAnsi="Arial" w:cs="Arial"/>
        <w:sz w:val="18"/>
        <w:szCs w:val="18"/>
        <w:lang w:val="en-GB"/>
      </w:rPr>
    </w:pPr>
    <w:r>
      <w:rPr>
        <w:rFonts w:ascii="Arial" w:hAnsi="Arial" w:cs="Arial"/>
        <w:sz w:val="18"/>
        <w:szCs w:val="18"/>
        <w:lang w:val="en-GB"/>
      </w:rPr>
      <w:t>202122-368</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F5AF" w14:textId="77777777" w:rsidR="00B659A6" w:rsidRDefault="00B659A6" w:rsidP="00241B44">
      <w:r>
        <w:separator/>
      </w:r>
    </w:p>
  </w:footnote>
  <w:footnote w:type="continuationSeparator" w:id="0">
    <w:p w14:paraId="4F7A5BCD" w14:textId="77777777" w:rsidR="00B659A6" w:rsidRDefault="00B659A6"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4DB7"/>
    <w:multiLevelType w:val="hybridMultilevel"/>
    <w:tmpl w:val="B140788C"/>
    <w:lvl w:ilvl="0" w:tplc="88548FD6">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1A47CB"/>
    <w:multiLevelType w:val="hybridMultilevel"/>
    <w:tmpl w:val="18B06546"/>
    <w:lvl w:ilvl="0" w:tplc="9182C7C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B3B96"/>
    <w:multiLevelType w:val="hybridMultilevel"/>
    <w:tmpl w:val="749C09B8"/>
    <w:lvl w:ilvl="0" w:tplc="E4400EC2">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D0F8D"/>
    <w:multiLevelType w:val="hybridMultilevel"/>
    <w:tmpl w:val="AD3206A6"/>
    <w:lvl w:ilvl="0" w:tplc="6E540D2C">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1"/>
  </w:num>
  <w:num w:numId="5">
    <w:abstractNumId w:val="9"/>
  </w:num>
  <w:num w:numId="6">
    <w:abstractNumId w:val="10"/>
  </w:num>
  <w:num w:numId="7">
    <w:abstractNumId w:val="13"/>
  </w:num>
  <w:num w:numId="8">
    <w:abstractNumId w:val="3"/>
  </w:num>
  <w:num w:numId="9">
    <w:abstractNumId w:val="8"/>
  </w:num>
  <w:num w:numId="10">
    <w:abstractNumId w:val="12"/>
  </w:num>
  <w:num w:numId="11">
    <w:abstractNumId w:val="4"/>
  </w:num>
  <w:num w:numId="12">
    <w:abstractNumId w:val="14"/>
  </w:num>
  <w:num w:numId="13">
    <w:abstractNumId w:val="7"/>
  </w:num>
  <w:num w:numId="14">
    <w:abstractNumId w:val="1"/>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3B4E"/>
    <w:rsid w:val="00037621"/>
    <w:rsid w:val="000376AC"/>
    <w:rsid w:val="00042216"/>
    <w:rsid w:val="00044D46"/>
    <w:rsid w:val="00045088"/>
    <w:rsid w:val="00045904"/>
    <w:rsid w:val="0004638F"/>
    <w:rsid w:val="000502FD"/>
    <w:rsid w:val="00051C2E"/>
    <w:rsid w:val="00053DCD"/>
    <w:rsid w:val="00057776"/>
    <w:rsid w:val="00061EA1"/>
    <w:rsid w:val="00063CD7"/>
    <w:rsid w:val="00065166"/>
    <w:rsid w:val="00071414"/>
    <w:rsid w:val="00081D3D"/>
    <w:rsid w:val="00082609"/>
    <w:rsid w:val="00082C20"/>
    <w:rsid w:val="000851CC"/>
    <w:rsid w:val="000858C0"/>
    <w:rsid w:val="00087F21"/>
    <w:rsid w:val="000929BF"/>
    <w:rsid w:val="00093BE8"/>
    <w:rsid w:val="000A1BD0"/>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147F"/>
    <w:rsid w:val="00152348"/>
    <w:rsid w:val="0015319A"/>
    <w:rsid w:val="0015456D"/>
    <w:rsid w:val="00155FA2"/>
    <w:rsid w:val="00161F1B"/>
    <w:rsid w:val="00162829"/>
    <w:rsid w:val="00171C4A"/>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0828"/>
    <w:rsid w:val="001E25B9"/>
    <w:rsid w:val="001E49E0"/>
    <w:rsid w:val="001E547E"/>
    <w:rsid w:val="001E7B5A"/>
    <w:rsid w:val="001F19EF"/>
    <w:rsid w:val="001F6614"/>
    <w:rsid w:val="001F7412"/>
    <w:rsid w:val="002000EE"/>
    <w:rsid w:val="0020090A"/>
    <w:rsid w:val="00202DFE"/>
    <w:rsid w:val="0020725B"/>
    <w:rsid w:val="002110F1"/>
    <w:rsid w:val="00212B7F"/>
    <w:rsid w:val="002155A0"/>
    <w:rsid w:val="00216320"/>
    <w:rsid w:val="002273A8"/>
    <w:rsid w:val="00230B9A"/>
    <w:rsid w:val="002356EA"/>
    <w:rsid w:val="00236415"/>
    <w:rsid w:val="0024116D"/>
    <w:rsid w:val="00241B44"/>
    <w:rsid w:val="00241FA3"/>
    <w:rsid w:val="002427A4"/>
    <w:rsid w:val="00245EFB"/>
    <w:rsid w:val="00250020"/>
    <w:rsid w:val="002528A2"/>
    <w:rsid w:val="00253198"/>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00F2"/>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0658A"/>
    <w:rsid w:val="003144EF"/>
    <w:rsid w:val="00316236"/>
    <w:rsid w:val="00326292"/>
    <w:rsid w:val="00326415"/>
    <w:rsid w:val="00330937"/>
    <w:rsid w:val="00330F31"/>
    <w:rsid w:val="00334648"/>
    <w:rsid w:val="0033768C"/>
    <w:rsid w:val="00337938"/>
    <w:rsid w:val="00340769"/>
    <w:rsid w:val="00341AA6"/>
    <w:rsid w:val="003504FD"/>
    <w:rsid w:val="00357B2B"/>
    <w:rsid w:val="00361A0A"/>
    <w:rsid w:val="00361EBD"/>
    <w:rsid w:val="00364836"/>
    <w:rsid w:val="00364B73"/>
    <w:rsid w:val="0036565C"/>
    <w:rsid w:val="0036625E"/>
    <w:rsid w:val="00366263"/>
    <w:rsid w:val="00366DCB"/>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D54B3"/>
    <w:rsid w:val="003E0B16"/>
    <w:rsid w:val="003E67D1"/>
    <w:rsid w:val="003E6A31"/>
    <w:rsid w:val="003E7298"/>
    <w:rsid w:val="003F3F3C"/>
    <w:rsid w:val="003F7075"/>
    <w:rsid w:val="00404329"/>
    <w:rsid w:val="00405DC1"/>
    <w:rsid w:val="004074B2"/>
    <w:rsid w:val="00415F1F"/>
    <w:rsid w:val="004163A2"/>
    <w:rsid w:val="0042108F"/>
    <w:rsid w:val="00430FED"/>
    <w:rsid w:val="00434A8C"/>
    <w:rsid w:val="00437297"/>
    <w:rsid w:val="00444284"/>
    <w:rsid w:val="00445CE6"/>
    <w:rsid w:val="00450643"/>
    <w:rsid w:val="004534C2"/>
    <w:rsid w:val="0045446F"/>
    <w:rsid w:val="0045683E"/>
    <w:rsid w:val="00462216"/>
    <w:rsid w:val="00470545"/>
    <w:rsid w:val="004751F5"/>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3CE0"/>
    <w:rsid w:val="00524728"/>
    <w:rsid w:val="005331CA"/>
    <w:rsid w:val="00534637"/>
    <w:rsid w:val="00537970"/>
    <w:rsid w:val="00540E3A"/>
    <w:rsid w:val="00544127"/>
    <w:rsid w:val="005463A9"/>
    <w:rsid w:val="00551B21"/>
    <w:rsid w:val="00553EB2"/>
    <w:rsid w:val="00560534"/>
    <w:rsid w:val="00562C12"/>
    <w:rsid w:val="0056391B"/>
    <w:rsid w:val="005650E2"/>
    <w:rsid w:val="00567AD7"/>
    <w:rsid w:val="00574F47"/>
    <w:rsid w:val="00575B2D"/>
    <w:rsid w:val="005809ED"/>
    <w:rsid w:val="005833D0"/>
    <w:rsid w:val="005846F3"/>
    <w:rsid w:val="0058622F"/>
    <w:rsid w:val="00592F82"/>
    <w:rsid w:val="005A07B3"/>
    <w:rsid w:val="005A0CCA"/>
    <w:rsid w:val="005A6FF2"/>
    <w:rsid w:val="005A726D"/>
    <w:rsid w:val="005B67AC"/>
    <w:rsid w:val="005B7491"/>
    <w:rsid w:val="005B79F4"/>
    <w:rsid w:val="005D16DD"/>
    <w:rsid w:val="005D22F0"/>
    <w:rsid w:val="005D43E0"/>
    <w:rsid w:val="005D58A3"/>
    <w:rsid w:val="005E1932"/>
    <w:rsid w:val="005E1B79"/>
    <w:rsid w:val="005E35FD"/>
    <w:rsid w:val="005E6076"/>
    <w:rsid w:val="005E7008"/>
    <w:rsid w:val="005F026D"/>
    <w:rsid w:val="005F2AEA"/>
    <w:rsid w:val="005F2D0B"/>
    <w:rsid w:val="005F3304"/>
    <w:rsid w:val="005F4B31"/>
    <w:rsid w:val="005F548E"/>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57568"/>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A65D4"/>
    <w:rsid w:val="006B435A"/>
    <w:rsid w:val="006B4C64"/>
    <w:rsid w:val="006B6A59"/>
    <w:rsid w:val="006C1424"/>
    <w:rsid w:val="006D6BD5"/>
    <w:rsid w:val="006E481A"/>
    <w:rsid w:val="006E5298"/>
    <w:rsid w:val="006E5E6C"/>
    <w:rsid w:val="006F4A78"/>
    <w:rsid w:val="006F695C"/>
    <w:rsid w:val="006F734A"/>
    <w:rsid w:val="00700D83"/>
    <w:rsid w:val="00704852"/>
    <w:rsid w:val="007074E9"/>
    <w:rsid w:val="0071065F"/>
    <w:rsid w:val="00713DA4"/>
    <w:rsid w:val="00714BF1"/>
    <w:rsid w:val="00721383"/>
    <w:rsid w:val="0072512C"/>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5F6F"/>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C82"/>
    <w:rsid w:val="008C3DC0"/>
    <w:rsid w:val="008C5A0B"/>
    <w:rsid w:val="008C5FDD"/>
    <w:rsid w:val="008C66E0"/>
    <w:rsid w:val="008E3339"/>
    <w:rsid w:val="008F20FC"/>
    <w:rsid w:val="008F5FFE"/>
    <w:rsid w:val="00905A43"/>
    <w:rsid w:val="009071B9"/>
    <w:rsid w:val="00912C79"/>
    <w:rsid w:val="00921B8C"/>
    <w:rsid w:val="00923C84"/>
    <w:rsid w:val="00942123"/>
    <w:rsid w:val="00943B87"/>
    <w:rsid w:val="00946522"/>
    <w:rsid w:val="0095207B"/>
    <w:rsid w:val="00962045"/>
    <w:rsid w:val="0096207E"/>
    <w:rsid w:val="00962093"/>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3A77"/>
    <w:rsid w:val="009D4DC1"/>
    <w:rsid w:val="009E2AEB"/>
    <w:rsid w:val="009E2E27"/>
    <w:rsid w:val="009E45DF"/>
    <w:rsid w:val="009E4DE3"/>
    <w:rsid w:val="009F275E"/>
    <w:rsid w:val="009F6B1D"/>
    <w:rsid w:val="00A031CD"/>
    <w:rsid w:val="00A047EE"/>
    <w:rsid w:val="00A103D9"/>
    <w:rsid w:val="00A104DC"/>
    <w:rsid w:val="00A2274A"/>
    <w:rsid w:val="00A235B7"/>
    <w:rsid w:val="00A27A7A"/>
    <w:rsid w:val="00A3460B"/>
    <w:rsid w:val="00A34ABE"/>
    <w:rsid w:val="00A407EF"/>
    <w:rsid w:val="00A46B4C"/>
    <w:rsid w:val="00A47D52"/>
    <w:rsid w:val="00A5117B"/>
    <w:rsid w:val="00A5339C"/>
    <w:rsid w:val="00A56D34"/>
    <w:rsid w:val="00A60074"/>
    <w:rsid w:val="00A6627C"/>
    <w:rsid w:val="00A71019"/>
    <w:rsid w:val="00A81029"/>
    <w:rsid w:val="00A845F5"/>
    <w:rsid w:val="00A95EBC"/>
    <w:rsid w:val="00A96489"/>
    <w:rsid w:val="00AB2425"/>
    <w:rsid w:val="00AB685C"/>
    <w:rsid w:val="00AB6C2D"/>
    <w:rsid w:val="00AC08F7"/>
    <w:rsid w:val="00AC3839"/>
    <w:rsid w:val="00AC58EC"/>
    <w:rsid w:val="00AC7082"/>
    <w:rsid w:val="00AD1F3D"/>
    <w:rsid w:val="00AD2BEF"/>
    <w:rsid w:val="00AD3D49"/>
    <w:rsid w:val="00AD4BE8"/>
    <w:rsid w:val="00AF228E"/>
    <w:rsid w:val="00B016A8"/>
    <w:rsid w:val="00B14819"/>
    <w:rsid w:val="00B15E2F"/>
    <w:rsid w:val="00B1686B"/>
    <w:rsid w:val="00B17AA9"/>
    <w:rsid w:val="00B23BE0"/>
    <w:rsid w:val="00B31A6B"/>
    <w:rsid w:val="00B32257"/>
    <w:rsid w:val="00B32A0C"/>
    <w:rsid w:val="00B43018"/>
    <w:rsid w:val="00B44713"/>
    <w:rsid w:val="00B51B95"/>
    <w:rsid w:val="00B56103"/>
    <w:rsid w:val="00B64929"/>
    <w:rsid w:val="00B659A6"/>
    <w:rsid w:val="00B72E42"/>
    <w:rsid w:val="00B736DF"/>
    <w:rsid w:val="00B743D6"/>
    <w:rsid w:val="00B74FBD"/>
    <w:rsid w:val="00B77F46"/>
    <w:rsid w:val="00B82586"/>
    <w:rsid w:val="00B829A3"/>
    <w:rsid w:val="00B8633A"/>
    <w:rsid w:val="00B8681A"/>
    <w:rsid w:val="00B86DB1"/>
    <w:rsid w:val="00B87869"/>
    <w:rsid w:val="00B9639B"/>
    <w:rsid w:val="00B96B5E"/>
    <w:rsid w:val="00BA6E26"/>
    <w:rsid w:val="00BB062B"/>
    <w:rsid w:val="00BB0F2B"/>
    <w:rsid w:val="00BB5BE5"/>
    <w:rsid w:val="00BB66CA"/>
    <w:rsid w:val="00BD4627"/>
    <w:rsid w:val="00BE0B1F"/>
    <w:rsid w:val="00BE4FF3"/>
    <w:rsid w:val="00BE7A6A"/>
    <w:rsid w:val="00BF50F7"/>
    <w:rsid w:val="00C02F29"/>
    <w:rsid w:val="00C1383C"/>
    <w:rsid w:val="00C17718"/>
    <w:rsid w:val="00C20AFE"/>
    <w:rsid w:val="00C22A25"/>
    <w:rsid w:val="00C27B4A"/>
    <w:rsid w:val="00C3028F"/>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68CB"/>
    <w:rsid w:val="00D17561"/>
    <w:rsid w:val="00D17FDC"/>
    <w:rsid w:val="00D21D8C"/>
    <w:rsid w:val="00D53719"/>
    <w:rsid w:val="00D56515"/>
    <w:rsid w:val="00D57E46"/>
    <w:rsid w:val="00D63EFD"/>
    <w:rsid w:val="00D732D3"/>
    <w:rsid w:val="00D7677E"/>
    <w:rsid w:val="00D84752"/>
    <w:rsid w:val="00D86B3B"/>
    <w:rsid w:val="00D8748A"/>
    <w:rsid w:val="00D93196"/>
    <w:rsid w:val="00D965A4"/>
    <w:rsid w:val="00DA0DC0"/>
    <w:rsid w:val="00DA44FE"/>
    <w:rsid w:val="00DB243C"/>
    <w:rsid w:val="00DB482A"/>
    <w:rsid w:val="00DB50FB"/>
    <w:rsid w:val="00DB56F2"/>
    <w:rsid w:val="00DB5D8B"/>
    <w:rsid w:val="00DB6EF5"/>
    <w:rsid w:val="00DC3089"/>
    <w:rsid w:val="00DC4420"/>
    <w:rsid w:val="00DD0802"/>
    <w:rsid w:val="00DD2E11"/>
    <w:rsid w:val="00DE03AF"/>
    <w:rsid w:val="00DE121C"/>
    <w:rsid w:val="00DE6633"/>
    <w:rsid w:val="00DF75F8"/>
    <w:rsid w:val="00DF7A3A"/>
    <w:rsid w:val="00E0039C"/>
    <w:rsid w:val="00E00C00"/>
    <w:rsid w:val="00E01470"/>
    <w:rsid w:val="00E02144"/>
    <w:rsid w:val="00E05681"/>
    <w:rsid w:val="00E07C5A"/>
    <w:rsid w:val="00E15BA9"/>
    <w:rsid w:val="00E26E19"/>
    <w:rsid w:val="00E31DF3"/>
    <w:rsid w:val="00E41EED"/>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0E80"/>
    <w:rsid w:val="00EA5702"/>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441E9"/>
    <w:rsid w:val="00F5524B"/>
    <w:rsid w:val="00F6020D"/>
    <w:rsid w:val="00F60538"/>
    <w:rsid w:val="00F6140F"/>
    <w:rsid w:val="00F61DD2"/>
    <w:rsid w:val="00F66AFF"/>
    <w:rsid w:val="00F71433"/>
    <w:rsid w:val="00F718F3"/>
    <w:rsid w:val="00F97C5B"/>
    <w:rsid w:val="00FA3D50"/>
    <w:rsid w:val="00FB0D02"/>
    <w:rsid w:val="00FB3E0B"/>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BF17-7855-4C97-8530-9E88BF59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21777</Characters>
  <Application>Microsoft Office Word</Application>
  <DocSecurity>0</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Christian Rigert</cp:lastModifiedBy>
  <cp:revision>31</cp:revision>
  <cp:lastPrinted>2019-08-27T05:42:00Z</cp:lastPrinted>
  <dcterms:created xsi:type="dcterms:W3CDTF">2022-06-20T18:01:00Z</dcterms:created>
  <dcterms:modified xsi:type="dcterms:W3CDTF">2022-07-07T19:16:00Z</dcterms:modified>
</cp:coreProperties>
</file>