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675A931E" w:rsidR="004B23A2" w:rsidRDefault="00D0665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F968B7E" wp14:editId="1D7220EA">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5DBFFF8A" w:rsidR="0011473D" w:rsidRDefault="00C56B61"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2BB05941" w:rsidR="002638B0" w:rsidRPr="00E622BB" w:rsidRDefault="00E622BB"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D0665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4D5CF239" w14:textId="77777777" w:rsidR="00D0665F" w:rsidRPr="00592F82" w:rsidRDefault="00D0665F" w:rsidP="00D0665F">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C562A2" w14:textId="77777777" w:rsidR="00D0665F" w:rsidRPr="00592F82" w:rsidRDefault="00D0665F" w:rsidP="00D0665F">
      <w:pPr>
        <w:jc w:val="both"/>
        <w:rPr>
          <w:rFonts w:ascii="Arial" w:hAnsi="Arial" w:cs="Arial"/>
          <w:sz w:val="22"/>
          <w:szCs w:val="22"/>
          <w:lang w:val="en-GB"/>
        </w:rPr>
      </w:pPr>
    </w:p>
    <w:p w14:paraId="0C657FE0" w14:textId="77777777" w:rsidR="00D0665F" w:rsidRDefault="00D0665F" w:rsidP="00D0665F">
      <w:pPr>
        <w:jc w:val="both"/>
        <w:rPr>
          <w:rFonts w:ascii="Arial" w:hAnsi="Arial" w:cs="Arial"/>
          <w:b/>
          <w:sz w:val="22"/>
          <w:szCs w:val="22"/>
          <w:lang w:val="en-GB"/>
        </w:rPr>
      </w:pPr>
    </w:p>
    <w:p w14:paraId="2CE76F7F" w14:textId="77777777" w:rsidR="00D0665F" w:rsidRPr="001E23FD" w:rsidRDefault="00D0665F" w:rsidP="00D066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5AD31AB" w14:textId="77777777" w:rsidR="00D0665F" w:rsidRPr="001E23FD" w:rsidRDefault="00D0665F" w:rsidP="00D0665F">
      <w:pPr>
        <w:jc w:val="both"/>
        <w:rPr>
          <w:rFonts w:ascii="Arial" w:hAnsi="Arial" w:cs="Arial"/>
          <w:b/>
          <w:sz w:val="22"/>
          <w:szCs w:val="22"/>
          <w:lang w:val="en-GB"/>
        </w:rPr>
      </w:pPr>
    </w:p>
    <w:p w14:paraId="20575636" w14:textId="77777777" w:rsidR="00D0665F" w:rsidRPr="001E23FD" w:rsidRDefault="00D0665F" w:rsidP="00D0665F">
      <w:pPr>
        <w:jc w:val="both"/>
        <w:rPr>
          <w:rFonts w:ascii="Arial" w:hAnsi="Arial" w:cs="Arial"/>
          <w:sz w:val="22"/>
          <w:szCs w:val="22"/>
          <w:lang w:val="en-GB"/>
        </w:rPr>
      </w:pPr>
    </w:p>
    <w:p w14:paraId="519312C2"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2437EB6" w14:textId="77777777" w:rsidR="00D0665F" w:rsidRPr="001E23FD" w:rsidRDefault="00D0665F" w:rsidP="00D0665F">
      <w:pPr>
        <w:ind w:left="720" w:hanging="720"/>
        <w:jc w:val="both"/>
        <w:rPr>
          <w:rFonts w:ascii="Arial" w:hAnsi="Arial" w:cs="Arial"/>
          <w:sz w:val="22"/>
          <w:szCs w:val="22"/>
          <w:lang w:val="en-GB"/>
        </w:rPr>
      </w:pPr>
    </w:p>
    <w:p w14:paraId="4260C49D"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563933B" w14:textId="77777777" w:rsidR="00D0665F" w:rsidRPr="001E23FD" w:rsidRDefault="00D0665F" w:rsidP="00D0665F">
      <w:pPr>
        <w:ind w:left="720" w:hanging="720"/>
        <w:jc w:val="both"/>
        <w:rPr>
          <w:rFonts w:ascii="Arial" w:hAnsi="Arial" w:cs="Arial"/>
          <w:sz w:val="22"/>
          <w:szCs w:val="22"/>
          <w:lang w:val="en-GB"/>
        </w:rPr>
      </w:pPr>
    </w:p>
    <w:p w14:paraId="2813E9E5"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F00B728" w14:textId="77777777" w:rsidR="00D0665F" w:rsidRPr="001E23FD" w:rsidRDefault="00D0665F" w:rsidP="00D0665F">
      <w:pPr>
        <w:ind w:left="720" w:hanging="720"/>
        <w:jc w:val="both"/>
        <w:rPr>
          <w:rFonts w:ascii="Arial" w:hAnsi="Arial" w:cs="Arial"/>
          <w:sz w:val="22"/>
          <w:szCs w:val="22"/>
          <w:lang w:val="en-GB"/>
        </w:rPr>
      </w:pPr>
    </w:p>
    <w:p w14:paraId="797F3F83" w14:textId="542DCDF0"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1B47775" w14:textId="77777777" w:rsidR="00D0665F" w:rsidRPr="001E23FD" w:rsidRDefault="00D0665F" w:rsidP="00D0665F">
      <w:pPr>
        <w:ind w:left="720" w:hanging="720"/>
        <w:jc w:val="both"/>
        <w:rPr>
          <w:rFonts w:ascii="Arial" w:hAnsi="Arial" w:cs="Arial"/>
          <w:sz w:val="22"/>
          <w:szCs w:val="22"/>
          <w:lang w:val="en-GB"/>
        </w:rPr>
      </w:pPr>
    </w:p>
    <w:p w14:paraId="23578884"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01CEE97" w14:textId="77777777" w:rsidR="00D0665F" w:rsidRPr="001E23FD" w:rsidRDefault="00D0665F" w:rsidP="00D0665F">
      <w:pPr>
        <w:ind w:left="720" w:hanging="720"/>
        <w:jc w:val="both"/>
        <w:rPr>
          <w:rFonts w:ascii="Arial" w:hAnsi="Arial" w:cs="Arial"/>
          <w:sz w:val="22"/>
          <w:szCs w:val="22"/>
          <w:lang w:val="en-GB"/>
        </w:rPr>
      </w:pPr>
    </w:p>
    <w:p w14:paraId="20FA115E" w14:textId="77777777" w:rsidR="00D0665F" w:rsidRPr="001E23FD" w:rsidRDefault="00D0665F" w:rsidP="00D066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3478F607" w14:textId="77777777" w:rsidR="00D0665F" w:rsidRPr="001E23FD" w:rsidRDefault="00D0665F" w:rsidP="00D0665F">
      <w:pPr>
        <w:ind w:left="720" w:hanging="720"/>
        <w:jc w:val="both"/>
        <w:rPr>
          <w:rFonts w:ascii="Arial" w:hAnsi="Arial" w:cs="Arial"/>
          <w:sz w:val="22"/>
          <w:szCs w:val="22"/>
          <w:lang w:val="en-GB"/>
        </w:rPr>
      </w:pPr>
    </w:p>
    <w:p w14:paraId="1F832AD5" w14:textId="77777777" w:rsidR="00D0665F" w:rsidRPr="00592F82" w:rsidRDefault="00D0665F" w:rsidP="00D066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60F0161" w14:textId="77777777" w:rsidR="00D0665F" w:rsidRPr="00592F82" w:rsidRDefault="00D0665F" w:rsidP="00D0665F">
      <w:pPr>
        <w:ind w:left="720" w:hanging="720"/>
        <w:jc w:val="both"/>
        <w:rPr>
          <w:rFonts w:ascii="Arial" w:hAnsi="Arial" w:cs="Arial"/>
          <w:sz w:val="22"/>
          <w:szCs w:val="22"/>
          <w:lang w:val="en-GB"/>
        </w:rPr>
      </w:pPr>
    </w:p>
    <w:p w14:paraId="08B48B1B" w14:textId="77777777" w:rsidR="00D0665F" w:rsidRPr="00592F82" w:rsidRDefault="00D0665F" w:rsidP="00D0665F">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sidRPr="00D0665F">
        <w:rPr>
          <w:rFonts w:ascii="Arial" w:hAnsi="Arial" w:cs="Arial"/>
          <w:b/>
          <w:bCs/>
          <w:sz w:val="22"/>
          <w:szCs w:val="22"/>
          <w:u w:val="single"/>
        </w:rPr>
        <w:t>does not</w:t>
      </w:r>
      <w:r>
        <w:rPr>
          <w:rFonts w:ascii="Arial" w:hAnsi="Arial" w:cs="Arial"/>
          <w:b/>
          <w:bCs/>
          <w:sz w:val="22"/>
          <w:szCs w:val="22"/>
        </w:rPr>
        <w:t xml:space="preserve">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ListParagraph"/>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Pr="00E0587A" w:rsidRDefault="009F103F" w:rsidP="000B3CBE">
      <w:pPr>
        <w:pStyle w:val="ListParagraph"/>
        <w:numPr>
          <w:ilvl w:val="0"/>
          <w:numId w:val="13"/>
        </w:numPr>
        <w:ind w:left="426"/>
        <w:jc w:val="both"/>
        <w:rPr>
          <w:rFonts w:ascii="Arial" w:hAnsi="Arial" w:cs="Arial"/>
          <w:sz w:val="22"/>
          <w:szCs w:val="22"/>
          <w:highlight w:val="yellow"/>
        </w:rPr>
      </w:pPr>
      <w:r w:rsidRPr="00E0587A">
        <w:rPr>
          <w:rFonts w:ascii="Arial" w:hAnsi="Arial" w:cs="Arial"/>
          <w:sz w:val="22"/>
          <w:szCs w:val="22"/>
          <w:highlight w:val="yellow"/>
        </w:rPr>
        <w:t>Individuals and Partnership Firms</w:t>
      </w:r>
      <w:r w:rsidR="00293A15" w:rsidRPr="00E0587A">
        <w:rPr>
          <w:rFonts w:ascii="Arial" w:hAnsi="Arial" w:cs="Arial"/>
          <w:sz w:val="22"/>
          <w:szCs w:val="22"/>
          <w:highlight w:val="yellow"/>
        </w:rPr>
        <w:t xml:space="preserve"> not being guarantors to corporate debtors</w:t>
      </w:r>
      <w:r w:rsidR="002C77F0" w:rsidRPr="00E0587A">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327D18C0" w:rsidR="009F103F" w:rsidRPr="00486688" w:rsidRDefault="009562A4" w:rsidP="00486688">
      <w:pPr>
        <w:jc w:val="both"/>
        <w:rPr>
          <w:rFonts w:ascii="Arial" w:hAnsi="Arial" w:cs="Arial"/>
          <w:sz w:val="22"/>
          <w:szCs w:val="22"/>
        </w:rPr>
      </w:pPr>
      <w:r>
        <w:rPr>
          <w:rFonts w:ascii="Arial" w:hAnsi="Arial" w:cs="Arial"/>
          <w:sz w:val="22"/>
          <w:szCs w:val="22"/>
        </w:rPr>
        <w:t xml:space="preserve">Which of the </w:t>
      </w:r>
      <w:proofErr w:type="gramStart"/>
      <w:r>
        <w:rPr>
          <w:rFonts w:ascii="Arial" w:hAnsi="Arial" w:cs="Arial"/>
          <w:sz w:val="22"/>
          <w:szCs w:val="22"/>
        </w:rPr>
        <w:t xml:space="preserve">following </w:t>
      </w:r>
      <w:r w:rsidR="00950DF9">
        <w:rPr>
          <w:rFonts w:ascii="Arial" w:hAnsi="Arial" w:cs="Arial"/>
          <w:sz w:val="22"/>
          <w:szCs w:val="22"/>
        </w:rPr>
        <w:t xml:space="preserve"> remedies</w:t>
      </w:r>
      <w:proofErr w:type="gramEnd"/>
      <w:r w:rsidR="00950DF9">
        <w:rPr>
          <w:rFonts w:ascii="Arial" w:hAnsi="Arial" w:cs="Arial"/>
          <w:sz w:val="22"/>
          <w:szCs w:val="22"/>
        </w:rPr>
        <w:t xml:space="preserve"> </w:t>
      </w:r>
      <w:r w:rsidR="00EB2C05" w:rsidRPr="00D0665F">
        <w:rPr>
          <w:rFonts w:ascii="Arial" w:hAnsi="Arial" w:cs="Arial"/>
          <w:b/>
          <w:bCs/>
          <w:sz w:val="22"/>
          <w:szCs w:val="22"/>
          <w:u w:val="single"/>
        </w:rPr>
        <w:t>is</w:t>
      </w:r>
      <w:r w:rsidR="00950DF9">
        <w:rPr>
          <w:rFonts w:ascii="Arial" w:hAnsi="Arial" w:cs="Arial"/>
          <w:sz w:val="22"/>
          <w:szCs w:val="22"/>
        </w:rPr>
        <w:t xml:space="preserve"> available to a non-Indian creditor</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042B4CCE"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Recovery proceedings </w:t>
      </w:r>
      <w:r w:rsidR="00950DF9">
        <w:rPr>
          <w:rFonts w:ascii="Arial" w:hAnsi="Arial" w:cs="Arial"/>
          <w:sz w:val="22"/>
          <w:szCs w:val="22"/>
        </w:rPr>
        <w:t>before the Debt Recovery Tribunal</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0C2E2027" w:rsidR="009F103F" w:rsidRDefault="00950DF9" w:rsidP="000B3CBE">
      <w:pPr>
        <w:pStyle w:val="ListParagraph"/>
        <w:numPr>
          <w:ilvl w:val="0"/>
          <w:numId w:val="14"/>
        </w:numPr>
        <w:ind w:left="426"/>
        <w:jc w:val="both"/>
        <w:rPr>
          <w:rFonts w:ascii="Arial" w:hAnsi="Arial" w:cs="Arial"/>
          <w:sz w:val="22"/>
          <w:szCs w:val="22"/>
        </w:rPr>
      </w:pPr>
      <w:proofErr w:type="gramStart"/>
      <w:r>
        <w:rPr>
          <w:rFonts w:ascii="Arial" w:hAnsi="Arial" w:cs="Arial"/>
          <w:sz w:val="22"/>
          <w:szCs w:val="22"/>
        </w:rPr>
        <w:t>Enforcement  of</w:t>
      </w:r>
      <w:proofErr w:type="gramEnd"/>
      <w:r>
        <w:rPr>
          <w:rFonts w:ascii="Arial" w:hAnsi="Arial" w:cs="Arial"/>
          <w:sz w:val="22"/>
          <w:szCs w:val="22"/>
        </w:rPr>
        <w:t xml:space="preserve"> security interest </w:t>
      </w:r>
      <w:r w:rsidR="009F2CD2">
        <w:rPr>
          <w:rFonts w:ascii="Arial" w:hAnsi="Arial" w:cs="Arial"/>
          <w:sz w:val="22"/>
          <w:szCs w:val="22"/>
        </w:rPr>
        <w:t xml:space="preserve">under </w:t>
      </w:r>
      <w:r w:rsidR="009F2CD2" w:rsidRPr="00486688">
        <w:rPr>
          <w:rFonts w:ascii="Arial" w:hAnsi="Arial" w:cs="Arial"/>
          <w:sz w:val="22"/>
          <w:szCs w:val="22"/>
        </w:rPr>
        <w:t xml:space="preserve">the </w:t>
      </w:r>
      <w:r w:rsidR="009F2CD2"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60943D2D" w:rsidR="009F103F" w:rsidRPr="00E0587A" w:rsidRDefault="00950DF9" w:rsidP="000B3CBE">
      <w:pPr>
        <w:pStyle w:val="ListParagraph"/>
        <w:numPr>
          <w:ilvl w:val="0"/>
          <w:numId w:val="14"/>
        </w:numPr>
        <w:ind w:left="426"/>
        <w:jc w:val="both"/>
        <w:rPr>
          <w:rFonts w:ascii="Arial" w:hAnsi="Arial" w:cs="Arial"/>
          <w:sz w:val="22"/>
          <w:szCs w:val="22"/>
          <w:highlight w:val="yellow"/>
        </w:rPr>
      </w:pPr>
      <w:r w:rsidRPr="00E0587A">
        <w:rPr>
          <w:rFonts w:ascii="Arial" w:hAnsi="Arial" w:cs="Arial"/>
          <w:sz w:val="22"/>
          <w:szCs w:val="22"/>
          <w:highlight w:val="yellow"/>
        </w:rPr>
        <w:t>Initiation of insolvency proceeding against</w:t>
      </w:r>
      <w:r w:rsidR="009F2CD2" w:rsidRPr="00E0587A">
        <w:rPr>
          <w:rFonts w:ascii="Arial" w:hAnsi="Arial" w:cs="Arial"/>
          <w:sz w:val="22"/>
          <w:szCs w:val="22"/>
          <w:highlight w:val="yellow"/>
        </w:rPr>
        <w:t xml:space="preserve"> corporate debtors under the Insolvency and Bankruptcy Code</w:t>
      </w:r>
      <w:r w:rsidR="0004272D" w:rsidRPr="00E0587A">
        <w:rPr>
          <w:rFonts w:ascii="Arial" w:hAnsi="Arial" w:cs="Arial"/>
          <w:sz w:val="22"/>
          <w:szCs w:val="22"/>
          <w:highlight w:val="yellow"/>
        </w:rPr>
        <w:t xml:space="preserve"> 2016</w:t>
      </w:r>
      <w:r w:rsidR="002C77F0" w:rsidRPr="00E0587A">
        <w:rPr>
          <w:rFonts w:ascii="Arial" w:hAnsi="Arial" w:cs="Arial"/>
          <w:sz w:val="22"/>
          <w:szCs w:val="22"/>
          <w:highlight w:val="yellow"/>
        </w:rPr>
        <w:t>.</w:t>
      </w:r>
    </w:p>
    <w:p w14:paraId="60F5C832" w14:textId="77777777" w:rsidR="000B3CBE" w:rsidRPr="000B3CBE" w:rsidRDefault="000B3CBE" w:rsidP="000B3CBE">
      <w:pPr>
        <w:ind w:left="66"/>
        <w:jc w:val="both"/>
        <w:rPr>
          <w:rFonts w:ascii="Arial" w:hAnsi="Arial" w:cs="Arial"/>
          <w:sz w:val="22"/>
          <w:szCs w:val="22"/>
        </w:rPr>
      </w:pPr>
    </w:p>
    <w:p w14:paraId="01686F45" w14:textId="7F0037A9" w:rsidR="009F103F" w:rsidRPr="00486688" w:rsidRDefault="008B6A01"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 Mandatory out</w:t>
      </w:r>
      <w:r w:rsidR="00950DF9">
        <w:rPr>
          <w:rFonts w:ascii="Arial" w:hAnsi="Arial" w:cs="Arial"/>
          <w:sz w:val="22"/>
          <w:szCs w:val="22"/>
        </w:rPr>
        <w:t>-of</w:t>
      </w:r>
      <w:r w:rsidR="00F2100B">
        <w:rPr>
          <w:rFonts w:ascii="Arial" w:hAnsi="Arial" w:cs="Arial"/>
          <w:sz w:val="22"/>
          <w:szCs w:val="22"/>
        </w:rPr>
        <w:t>-</w:t>
      </w:r>
      <w:r w:rsidR="00950DF9">
        <w:rPr>
          <w:rFonts w:ascii="Arial" w:hAnsi="Arial" w:cs="Arial"/>
          <w:sz w:val="22"/>
          <w:szCs w:val="22"/>
        </w:rPr>
        <w:t>court restructuring under the inter-creditor agreement</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w:t>
      </w:r>
      <w:r w:rsidRPr="00F2100B">
        <w:rPr>
          <w:rFonts w:ascii="Arial" w:hAnsi="Arial" w:cs="Arial"/>
          <w:b/>
          <w:bCs/>
          <w:sz w:val="22"/>
          <w:szCs w:val="22"/>
          <w:u w:val="single"/>
        </w:rPr>
        <w:t>is 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E0587A" w:rsidRDefault="006608D5" w:rsidP="000B3CBE">
      <w:pPr>
        <w:pStyle w:val="ListParagraph"/>
        <w:numPr>
          <w:ilvl w:val="0"/>
          <w:numId w:val="15"/>
        </w:numPr>
        <w:ind w:left="426"/>
        <w:jc w:val="both"/>
        <w:rPr>
          <w:rFonts w:ascii="Arial" w:hAnsi="Arial" w:cs="Arial"/>
          <w:sz w:val="22"/>
          <w:szCs w:val="22"/>
          <w:highlight w:val="yellow"/>
        </w:rPr>
      </w:pPr>
      <w:r w:rsidRPr="00E0587A">
        <w:rPr>
          <w:rFonts w:ascii="Arial" w:hAnsi="Arial" w:cs="Arial"/>
          <w:sz w:val="22"/>
          <w:szCs w:val="22"/>
          <w:highlight w:val="yellow"/>
        </w:rPr>
        <w:t>Appointing a</w:t>
      </w:r>
      <w:r w:rsidR="003C05FB" w:rsidRPr="00E0587A">
        <w:rPr>
          <w:rFonts w:ascii="Arial" w:hAnsi="Arial" w:cs="Arial"/>
          <w:sz w:val="22"/>
          <w:szCs w:val="22"/>
          <w:highlight w:val="yellow"/>
        </w:rPr>
        <w:t>n</w:t>
      </w:r>
      <w:r w:rsidRPr="00E0587A">
        <w:rPr>
          <w:rFonts w:ascii="Arial" w:hAnsi="Arial" w:cs="Arial"/>
          <w:sz w:val="22"/>
          <w:szCs w:val="22"/>
          <w:highlight w:val="yellow"/>
        </w:rPr>
        <w:t xml:space="preserve"> insolvency professional as a resolution professional for a company</w:t>
      </w:r>
      <w:r w:rsidR="002C77F0" w:rsidRPr="00E0587A">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6947E810" w:rsidR="009F103F" w:rsidRPr="00486688" w:rsidRDefault="00EB2C05" w:rsidP="00486688">
      <w:pPr>
        <w:jc w:val="both"/>
        <w:rPr>
          <w:rFonts w:ascii="Arial" w:hAnsi="Arial" w:cs="Arial"/>
          <w:sz w:val="22"/>
          <w:szCs w:val="22"/>
        </w:rPr>
      </w:pPr>
      <w:r>
        <w:rPr>
          <w:rFonts w:ascii="Arial" w:hAnsi="Arial" w:cs="Arial"/>
          <w:sz w:val="22"/>
          <w:szCs w:val="22"/>
        </w:rPr>
        <w:t>Who among</w:t>
      </w:r>
      <w:r w:rsidR="00DB4EF2">
        <w:rPr>
          <w:rFonts w:ascii="Arial" w:hAnsi="Arial" w:cs="Arial"/>
          <w:sz w:val="22"/>
          <w:szCs w:val="22"/>
        </w:rPr>
        <w:t xml:space="preserve"> the</w:t>
      </w:r>
      <w:r w:rsidR="00F2100B">
        <w:rPr>
          <w:rFonts w:ascii="Arial" w:hAnsi="Arial" w:cs="Arial"/>
          <w:sz w:val="22"/>
          <w:szCs w:val="22"/>
        </w:rPr>
        <w:t xml:space="preserve"> following</w:t>
      </w:r>
      <w:r w:rsidR="00DB4EF2">
        <w:rPr>
          <w:rFonts w:ascii="Arial" w:hAnsi="Arial" w:cs="Arial"/>
          <w:sz w:val="22"/>
          <w:szCs w:val="22"/>
        </w:rPr>
        <w:t xml:space="preserve"> </w:t>
      </w:r>
      <w:r w:rsidR="00DB4EF2" w:rsidRPr="00F2100B">
        <w:rPr>
          <w:rFonts w:ascii="Arial" w:hAnsi="Arial" w:cs="Arial"/>
          <w:b/>
          <w:bCs/>
          <w:sz w:val="22"/>
          <w:szCs w:val="22"/>
          <w:u w:val="single"/>
        </w:rPr>
        <w:t xml:space="preserve">can be </w:t>
      </w:r>
      <w:r w:rsidRPr="00F2100B">
        <w:rPr>
          <w:rFonts w:ascii="Arial" w:hAnsi="Arial" w:cs="Arial"/>
          <w:b/>
          <w:bCs/>
          <w:sz w:val="22"/>
          <w:szCs w:val="22"/>
          <w:u w:val="single"/>
        </w:rPr>
        <w:t>appointed</w:t>
      </w:r>
      <w:r w:rsidRPr="00F2100B">
        <w:rPr>
          <w:rFonts w:ascii="Arial" w:hAnsi="Arial" w:cs="Arial"/>
          <w:b/>
          <w:bCs/>
          <w:sz w:val="22"/>
          <w:szCs w:val="22"/>
        </w:rPr>
        <w:t xml:space="preserve"> </w:t>
      </w:r>
      <w:r>
        <w:rPr>
          <w:rFonts w:ascii="Arial" w:hAnsi="Arial" w:cs="Arial"/>
          <w:sz w:val="22"/>
          <w:szCs w:val="22"/>
        </w:rPr>
        <w:t xml:space="preserve">as a liquidator </w:t>
      </w:r>
      <w:r w:rsidR="00DB4EF2">
        <w:rPr>
          <w:rFonts w:ascii="Arial" w:hAnsi="Arial" w:cs="Arial"/>
          <w:sz w:val="22"/>
          <w:szCs w:val="22"/>
        </w:rPr>
        <w:t xml:space="preserve">under the </w:t>
      </w:r>
      <w:r>
        <w:rPr>
          <w:rFonts w:ascii="Arial" w:hAnsi="Arial" w:cs="Arial"/>
          <w:sz w:val="22"/>
          <w:szCs w:val="22"/>
        </w:rPr>
        <w:t>Companies Act 2013</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2771FF81"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 xml:space="preserve">An Insolvency </w:t>
      </w:r>
      <w:r w:rsidR="007E6C2E">
        <w:rPr>
          <w:rFonts w:ascii="Arial" w:hAnsi="Arial" w:cs="Arial"/>
          <w:sz w:val="22"/>
          <w:szCs w:val="22"/>
        </w:rPr>
        <w:t>p</w:t>
      </w:r>
      <w:r>
        <w:rPr>
          <w:rFonts w:ascii="Arial" w:hAnsi="Arial" w:cs="Arial"/>
          <w:sz w:val="22"/>
          <w:szCs w:val="22"/>
        </w:rPr>
        <w:t xml:space="preserve">rofessional </w:t>
      </w:r>
      <w:r w:rsidR="007E6C2E">
        <w:rPr>
          <w:rFonts w:ascii="Arial" w:hAnsi="Arial" w:cs="Arial"/>
          <w:sz w:val="22"/>
          <w:szCs w:val="22"/>
        </w:rPr>
        <w:t>a</w:t>
      </w:r>
      <w:r>
        <w:rPr>
          <w:rFonts w:ascii="Arial" w:hAnsi="Arial" w:cs="Arial"/>
          <w:sz w:val="22"/>
          <w:szCs w:val="22"/>
        </w:rPr>
        <w:t>gency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5B63BCF2" w:rsidR="009F103F" w:rsidRDefault="00DB4EF2" w:rsidP="000B3CBE">
      <w:pPr>
        <w:pStyle w:val="ListParagraph"/>
        <w:numPr>
          <w:ilvl w:val="0"/>
          <w:numId w:val="16"/>
        </w:numPr>
        <w:ind w:left="426"/>
        <w:jc w:val="both"/>
        <w:rPr>
          <w:rFonts w:ascii="Arial" w:hAnsi="Arial" w:cs="Arial"/>
          <w:sz w:val="22"/>
          <w:szCs w:val="22"/>
        </w:rPr>
      </w:pPr>
      <w:r w:rsidRPr="00E0587A">
        <w:rPr>
          <w:rFonts w:ascii="Arial" w:hAnsi="Arial" w:cs="Arial"/>
          <w:sz w:val="22"/>
          <w:szCs w:val="22"/>
          <w:highlight w:val="yellow"/>
        </w:rPr>
        <w:t xml:space="preserve">An </w:t>
      </w:r>
      <w:r w:rsidR="00EB2C05" w:rsidRPr="00E0587A">
        <w:rPr>
          <w:rFonts w:ascii="Arial" w:hAnsi="Arial" w:cs="Arial"/>
          <w:sz w:val="22"/>
          <w:szCs w:val="22"/>
          <w:highlight w:val="yellow"/>
        </w:rPr>
        <w:t>insolvency professional</w:t>
      </w:r>
      <w:r w:rsidR="009F103F" w:rsidRPr="00486688">
        <w:rPr>
          <w:rFonts w:ascii="Arial" w:hAnsi="Arial" w:cs="Arial"/>
          <w:sz w:val="22"/>
          <w:szCs w:val="22"/>
        </w:rPr>
        <w:t>.</w:t>
      </w:r>
    </w:p>
    <w:p w14:paraId="07118DA3" w14:textId="77777777" w:rsidR="000B3CBE" w:rsidRPr="000B3CBE" w:rsidRDefault="000B3CBE" w:rsidP="000B3CBE">
      <w:pPr>
        <w:ind w:left="66"/>
        <w:jc w:val="both"/>
        <w:rPr>
          <w:rFonts w:ascii="Arial" w:hAnsi="Arial" w:cs="Arial"/>
          <w:sz w:val="22"/>
          <w:szCs w:val="22"/>
        </w:rPr>
      </w:pPr>
    </w:p>
    <w:p w14:paraId="02B1D160" w14:textId="1C547BE3" w:rsidR="009F103F"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A creditor</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7021837C" w:rsidR="009F103F" w:rsidRPr="00486688" w:rsidRDefault="00EB2C05" w:rsidP="000B3CBE">
      <w:pPr>
        <w:pStyle w:val="ListParagraph"/>
        <w:numPr>
          <w:ilvl w:val="0"/>
          <w:numId w:val="16"/>
        </w:numPr>
        <w:ind w:left="426"/>
        <w:jc w:val="both"/>
        <w:rPr>
          <w:rFonts w:ascii="Arial" w:hAnsi="Arial" w:cs="Arial"/>
          <w:sz w:val="22"/>
          <w:szCs w:val="22"/>
        </w:rPr>
      </w:pPr>
      <w:r>
        <w:rPr>
          <w:rFonts w:ascii="Arial" w:hAnsi="Arial" w:cs="Arial"/>
          <w:sz w:val="22"/>
          <w:szCs w:val="22"/>
        </w:rPr>
        <w:t>A judge of the National Company Law Tribunal</w:t>
      </w:r>
      <w:r w:rsidR="009F103F" w:rsidRPr="00486688">
        <w:rPr>
          <w:rFonts w:ascii="Arial" w:hAnsi="Arial" w:cs="Arial"/>
          <w:sz w:val="22"/>
          <w:szCs w:val="22"/>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016D1A85"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F2100B">
        <w:rPr>
          <w:rFonts w:ascii="Arial" w:hAnsi="Arial" w:cs="Arial"/>
          <w:b/>
          <w:bCs/>
          <w:sz w:val="22"/>
          <w:szCs w:val="22"/>
          <w:u w:val="single"/>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0D8A0387" w:rsidR="009F103F" w:rsidRPr="00BE18F8" w:rsidRDefault="00F2100B" w:rsidP="000B3CBE">
      <w:pPr>
        <w:pStyle w:val="ListParagraph"/>
        <w:numPr>
          <w:ilvl w:val="0"/>
          <w:numId w:val="17"/>
        </w:numPr>
        <w:ind w:left="426"/>
        <w:jc w:val="both"/>
        <w:rPr>
          <w:rFonts w:ascii="Arial" w:hAnsi="Arial" w:cs="Arial"/>
          <w:sz w:val="22"/>
          <w:szCs w:val="22"/>
          <w:highlight w:val="yellow"/>
        </w:rPr>
      </w:pPr>
      <w:r w:rsidRPr="00BE18F8">
        <w:rPr>
          <w:rFonts w:ascii="Arial" w:hAnsi="Arial" w:cs="Arial"/>
          <w:sz w:val="22"/>
          <w:szCs w:val="22"/>
          <w:highlight w:val="yellow"/>
        </w:rPr>
        <w:t>T</w:t>
      </w:r>
      <w:r w:rsidR="008A12B9" w:rsidRPr="00BE18F8">
        <w:rPr>
          <w:rFonts w:ascii="Arial" w:hAnsi="Arial" w:cs="Arial"/>
          <w:sz w:val="22"/>
          <w:szCs w:val="22"/>
          <w:highlight w:val="yellow"/>
        </w:rPr>
        <w:t>he debtor has travelled outside India without court’s approval</w:t>
      </w:r>
      <w:r w:rsidR="009F103F" w:rsidRPr="00BE18F8">
        <w:rPr>
          <w:rFonts w:ascii="Arial" w:hAnsi="Arial" w:cs="Arial"/>
          <w:sz w:val="22"/>
          <w:szCs w:val="22"/>
          <w:highlight w:val="yellow"/>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2AA8E584" w:rsidR="009F103F" w:rsidRDefault="008A12B9"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64B41EE"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w:t>
      </w:r>
      <w:r w:rsidR="00B37275" w:rsidRPr="00F2100B">
        <w:rPr>
          <w:rFonts w:ascii="Arial" w:hAnsi="Arial" w:cs="Arial"/>
          <w:b/>
          <w:bCs/>
          <w:sz w:val="22"/>
          <w:szCs w:val="22"/>
          <w:u w:val="single"/>
        </w:rPr>
        <w:t>is not</w:t>
      </w:r>
      <w:r w:rsidR="002A572B" w:rsidRPr="00486688">
        <w:rPr>
          <w:rFonts w:ascii="Arial" w:hAnsi="Arial" w:cs="Arial"/>
          <w:sz w:val="22"/>
          <w:szCs w:val="22"/>
        </w:rPr>
        <w:t xml:space="preserve"> </w:t>
      </w:r>
      <w:r w:rsidR="00F13E9D">
        <w:rPr>
          <w:rFonts w:ascii="Arial" w:hAnsi="Arial" w:cs="Arial"/>
          <w:sz w:val="22"/>
          <w:szCs w:val="22"/>
        </w:rPr>
        <w:t xml:space="preserve">a disqualification for an insolvent </w:t>
      </w:r>
      <w:r w:rsidR="00B37275">
        <w:rPr>
          <w:rFonts w:ascii="Arial" w:hAnsi="Arial" w:cs="Arial"/>
          <w:sz w:val="22"/>
          <w:szCs w:val="22"/>
        </w:rPr>
        <w:t>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202D21AD"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Appointment as a magistrate</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6BAC9CC8"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Election to a local authority</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58079B44" w:rsidR="002A572B" w:rsidRDefault="00F13E9D" w:rsidP="000B3CBE">
      <w:pPr>
        <w:pStyle w:val="ListParagraph"/>
        <w:numPr>
          <w:ilvl w:val="0"/>
          <w:numId w:val="18"/>
        </w:numPr>
        <w:ind w:left="426"/>
        <w:jc w:val="both"/>
        <w:rPr>
          <w:rFonts w:ascii="Arial" w:hAnsi="Arial" w:cs="Arial"/>
          <w:sz w:val="22"/>
          <w:szCs w:val="22"/>
        </w:rPr>
      </w:pPr>
      <w:r>
        <w:rPr>
          <w:rFonts w:ascii="Arial" w:hAnsi="Arial" w:cs="Arial"/>
          <w:sz w:val="22"/>
          <w:szCs w:val="22"/>
        </w:rPr>
        <w:t>Voting as a member of a local authority</w:t>
      </w:r>
      <w:r w:rsidR="009F0D79" w:rsidRPr="00486688">
        <w:rPr>
          <w:rFonts w:ascii="Arial" w:hAnsi="Arial" w:cs="Arial"/>
          <w:sz w:val="22"/>
          <w:szCs w:val="22"/>
        </w:rPr>
        <w:t>.</w:t>
      </w:r>
    </w:p>
    <w:p w14:paraId="0207CC36" w14:textId="77777777" w:rsidR="000B3CBE" w:rsidRPr="000B3CBE" w:rsidRDefault="000B3CBE" w:rsidP="000B3CBE">
      <w:pPr>
        <w:ind w:left="66"/>
        <w:jc w:val="both"/>
        <w:rPr>
          <w:rFonts w:ascii="Arial" w:hAnsi="Arial" w:cs="Arial"/>
          <w:sz w:val="22"/>
          <w:szCs w:val="22"/>
        </w:rPr>
      </w:pPr>
    </w:p>
    <w:p w14:paraId="37D1BA5C" w14:textId="0091A3D6" w:rsidR="002A572B" w:rsidRPr="00BE18F8" w:rsidRDefault="00F13E9D" w:rsidP="000B3CBE">
      <w:pPr>
        <w:pStyle w:val="ListParagraph"/>
        <w:numPr>
          <w:ilvl w:val="0"/>
          <w:numId w:val="18"/>
        </w:numPr>
        <w:ind w:left="426"/>
        <w:jc w:val="both"/>
        <w:rPr>
          <w:rFonts w:ascii="Arial" w:hAnsi="Arial" w:cs="Arial"/>
          <w:sz w:val="22"/>
          <w:szCs w:val="22"/>
          <w:highlight w:val="yellow"/>
        </w:rPr>
      </w:pPr>
      <w:r w:rsidRPr="00BE18F8">
        <w:rPr>
          <w:rFonts w:ascii="Arial" w:hAnsi="Arial" w:cs="Arial"/>
          <w:sz w:val="22"/>
          <w:szCs w:val="22"/>
          <w:highlight w:val="yellow"/>
        </w:rPr>
        <w:t>Entry into a partnership for a new business</w:t>
      </w:r>
      <w:r w:rsidR="009F0D79" w:rsidRPr="00BE18F8">
        <w:rPr>
          <w:rFonts w:ascii="Arial" w:hAnsi="Arial" w:cs="Arial"/>
          <w:sz w:val="22"/>
          <w:szCs w:val="22"/>
          <w:highlight w:val="yellow"/>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4FC84B04" w:rsidR="002A572B" w:rsidRPr="00486688" w:rsidRDefault="008604EC" w:rsidP="00486688">
      <w:pPr>
        <w:jc w:val="both"/>
        <w:rPr>
          <w:rFonts w:ascii="Arial" w:hAnsi="Arial" w:cs="Arial"/>
          <w:sz w:val="22"/>
          <w:szCs w:val="22"/>
        </w:rPr>
      </w:pPr>
      <w:r>
        <w:rPr>
          <w:rFonts w:ascii="Arial" w:hAnsi="Arial" w:cs="Arial"/>
          <w:sz w:val="22"/>
          <w:szCs w:val="22"/>
        </w:rPr>
        <w:t>Which of the</w:t>
      </w:r>
      <w:r w:rsidR="00B960BA">
        <w:rPr>
          <w:rFonts w:ascii="Arial" w:hAnsi="Arial" w:cs="Arial"/>
          <w:sz w:val="22"/>
          <w:szCs w:val="22"/>
        </w:rPr>
        <w:t xml:space="preserve"> following</w:t>
      </w:r>
      <w:r w:rsidR="002A572B" w:rsidRPr="00486688">
        <w:rPr>
          <w:rFonts w:ascii="Arial" w:hAnsi="Arial" w:cs="Arial"/>
          <w:sz w:val="22"/>
          <w:szCs w:val="22"/>
        </w:rPr>
        <w:t xml:space="preserve"> </w:t>
      </w:r>
      <w:r w:rsidRPr="00B960BA">
        <w:rPr>
          <w:rFonts w:ascii="Arial" w:hAnsi="Arial" w:cs="Arial"/>
          <w:b/>
          <w:bCs/>
          <w:sz w:val="22"/>
          <w:szCs w:val="22"/>
          <w:u w:val="single"/>
        </w:rPr>
        <w:t>has the highest priority</w:t>
      </w:r>
      <w:r>
        <w:rPr>
          <w:rFonts w:ascii="Arial" w:hAnsi="Arial" w:cs="Arial"/>
          <w:sz w:val="22"/>
          <w:szCs w:val="22"/>
        </w:rPr>
        <w:t xml:space="preserve"> in bankruptcy of an individual </w:t>
      </w:r>
      <w:r w:rsidR="002A572B" w:rsidRPr="00486688">
        <w:rPr>
          <w:rFonts w:ascii="Arial" w:hAnsi="Arial" w:cs="Arial"/>
          <w:sz w:val="22"/>
          <w:szCs w:val="22"/>
        </w:rPr>
        <w:t xml:space="preserve">under the Insolvency and Bankruptcy Code </w:t>
      </w:r>
      <w:proofErr w:type="gramStart"/>
      <w:r w:rsidR="002A572B" w:rsidRPr="00486688">
        <w:rPr>
          <w:rFonts w:ascii="Arial" w:hAnsi="Arial" w:cs="Arial"/>
          <w:sz w:val="22"/>
          <w:szCs w:val="22"/>
        </w:rPr>
        <w:t>2016:</w:t>
      </w:r>
      <w:proofErr w:type="gramEnd"/>
    </w:p>
    <w:p w14:paraId="000F4630" w14:textId="77777777" w:rsidR="002A572B" w:rsidRPr="00486688" w:rsidRDefault="002A572B" w:rsidP="00486688">
      <w:pPr>
        <w:jc w:val="both"/>
        <w:rPr>
          <w:rFonts w:ascii="Arial" w:hAnsi="Arial" w:cs="Arial"/>
          <w:sz w:val="22"/>
          <w:szCs w:val="22"/>
        </w:rPr>
      </w:pPr>
    </w:p>
    <w:p w14:paraId="65043FA8" w14:textId="7109B285" w:rsidR="002A572B" w:rsidRDefault="00F24067" w:rsidP="000B3CBE">
      <w:pPr>
        <w:pStyle w:val="ListParagraph"/>
        <w:numPr>
          <w:ilvl w:val="0"/>
          <w:numId w:val="19"/>
        </w:numPr>
        <w:ind w:left="426"/>
        <w:jc w:val="both"/>
        <w:rPr>
          <w:rFonts w:ascii="Arial" w:hAnsi="Arial" w:cs="Arial"/>
          <w:sz w:val="22"/>
          <w:szCs w:val="22"/>
        </w:rPr>
      </w:pPr>
      <w:r>
        <w:rPr>
          <w:rFonts w:ascii="Arial" w:hAnsi="Arial" w:cs="Arial"/>
          <w:sz w:val="22"/>
          <w:szCs w:val="22"/>
        </w:rPr>
        <w:t xml:space="preserve">Workmen’s </w:t>
      </w:r>
      <w:r w:rsidR="00A56380">
        <w:rPr>
          <w:rFonts w:ascii="Arial" w:hAnsi="Arial" w:cs="Arial"/>
          <w:sz w:val="22"/>
          <w:szCs w:val="22"/>
        </w:rPr>
        <w:t>dues for 24 months preceding the bankruptcy order</w:t>
      </w:r>
      <w:r w:rsidR="002A572B" w:rsidRPr="00486688">
        <w:rPr>
          <w:rFonts w:ascii="Arial" w:hAnsi="Arial" w:cs="Arial"/>
          <w:sz w:val="22"/>
          <w:szCs w:val="22"/>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Pr="00BE18F8" w:rsidRDefault="00A56380" w:rsidP="000B3CBE">
      <w:pPr>
        <w:pStyle w:val="ListParagraph"/>
        <w:numPr>
          <w:ilvl w:val="0"/>
          <w:numId w:val="19"/>
        </w:numPr>
        <w:ind w:left="426"/>
        <w:jc w:val="both"/>
        <w:rPr>
          <w:rFonts w:ascii="Arial" w:hAnsi="Arial" w:cs="Arial"/>
          <w:sz w:val="22"/>
          <w:szCs w:val="22"/>
          <w:highlight w:val="yellow"/>
        </w:rPr>
      </w:pPr>
      <w:r w:rsidRPr="00BE18F8">
        <w:rPr>
          <w:rFonts w:ascii="Arial" w:hAnsi="Arial" w:cs="Arial"/>
          <w:sz w:val="22"/>
          <w:szCs w:val="22"/>
          <w:highlight w:val="yellow"/>
        </w:rPr>
        <w:t>Amounts due to the Government</w:t>
      </w:r>
      <w:r w:rsidR="002A572B" w:rsidRPr="00BE18F8">
        <w:rPr>
          <w:rFonts w:ascii="Arial" w:hAnsi="Arial" w:cs="Arial"/>
          <w:sz w:val="22"/>
          <w:szCs w:val="22"/>
          <w:highlight w:val="yellow"/>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ListParagraph"/>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65D9CC3A" w:rsidR="002A572B" w:rsidRPr="00486688" w:rsidRDefault="008B566D" w:rsidP="00486688">
      <w:pPr>
        <w:jc w:val="both"/>
        <w:rPr>
          <w:rFonts w:ascii="Arial" w:hAnsi="Arial" w:cs="Arial"/>
          <w:sz w:val="22"/>
          <w:szCs w:val="22"/>
        </w:rPr>
      </w:pPr>
      <w:r>
        <w:rPr>
          <w:rFonts w:ascii="Arial" w:hAnsi="Arial" w:cs="Arial"/>
          <w:sz w:val="22"/>
          <w:szCs w:val="22"/>
        </w:rPr>
        <w:t xml:space="preserve">In which of the following processes </w:t>
      </w:r>
      <w:r w:rsidR="006C0A29">
        <w:rPr>
          <w:rFonts w:ascii="Arial" w:hAnsi="Arial" w:cs="Arial"/>
          <w:sz w:val="22"/>
          <w:szCs w:val="22"/>
        </w:rPr>
        <w:t>is s</w:t>
      </w:r>
      <w:r>
        <w:rPr>
          <w:rFonts w:ascii="Arial" w:hAnsi="Arial" w:cs="Arial"/>
          <w:sz w:val="22"/>
          <w:szCs w:val="22"/>
        </w:rPr>
        <w:t>ection 29A</w:t>
      </w:r>
      <w:r w:rsidR="00C05E9E">
        <w:rPr>
          <w:rFonts w:ascii="Arial" w:hAnsi="Arial" w:cs="Arial"/>
          <w:sz w:val="22"/>
          <w:szCs w:val="22"/>
        </w:rPr>
        <w:t xml:space="preserve"> of the Insolvency and Bankruptcy Code</w:t>
      </w:r>
      <w:r w:rsidR="006B6675">
        <w:rPr>
          <w:rFonts w:ascii="Arial" w:hAnsi="Arial" w:cs="Arial"/>
          <w:sz w:val="22"/>
          <w:szCs w:val="22"/>
        </w:rPr>
        <w:t xml:space="preserve"> 2016</w:t>
      </w:r>
      <w:r>
        <w:rPr>
          <w:rFonts w:ascii="Arial" w:hAnsi="Arial" w:cs="Arial"/>
          <w:sz w:val="22"/>
          <w:szCs w:val="22"/>
        </w:rPr>
        <w:t xml:space="preserve"> </w:t>
      </w:r>
      <w:r w:rsidRPr="006C0A29">
        <w:rPr>
          <w:rFonts w:ascii="Arial" w:hAnsi="Arial" w:cs="Arial"/>
          <w:b/>
          <w:bCs/>
          <w:sz w:val="22"/>
          <w:szCs w:val="22"/>
          <w:u w:val="single"/>
        </w:rPr>
        <w:t>not applicable</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26D16E0B" w:rsidR="002A572B" w:rsidRPr="00BE18F8" w:rsidRDefault="00B821AB" w:rsidP="000B3CBE">
      <w:pPr>
        <w:pStyle w:val="ListParagraph"/>
        <w:numPr>
          <w:ilvl w:val="0"/>
          <w:numId w:val="20"/>
        </w:numPr>
        <w:ind w:left="426"/>
        <w:jc w:val="both"/>
        <w:rPr>
          <w:rFonts w:ascii="Arial" w:hAnsi="Arial" w:cs="Arial"/>
          <w:sz w:val="22"/>
          <w:szCs w:val="22"/>
          <w:highlight w:val="yellow"/>
        </w:rPr>
      </w:pPr>
      <w:r w:rsidRPr="00BE18F8">
        <w:rPr>
          <w:rFonts w:ascii="Arial" w:hAnsi="Arial" w:cs="Arial"/>
          <w:sz w:val="22"/>
          <w:szCs w:val="22"/>
          <w:highlight w:val="yellow"/>
        </w:rPr>
        <w:t>Corporate insolvency resolution process of an MSME</w:t>
      </w:r>
      <w:r w:rsidR="00BC52FF" w:rsidRPr="00BE18F8">
        <w:rPr>
          <w:rFonts w:ascii="Arial" w:hAnsi="Arial" w:cs="Arial"/>
          <w:sz w:val="22"/>
          <w:szCs w:val="22"/>
          <w:highlight w:val="yellow"/>
        </w:rPr>
        <w:t>.</w:t>
      </w:r>
    </w:p>
    <w:p w14:paraId="656596C8" w14:textId="77777777" w:rsidR="000B3CBE" w:rsidRPr="000B3CBE" w:rsidRDefault="000B3CBE" w:rsidP="000B3CBE">
      <w:pPr>
        <w:ind w:left="66"/>
        <w:jc w:val="both"/>
        <w:rPr>
          <w:rFonts w:ascii="Arial" w:hAnsi="Arial" w:cs="Arial"/>
          <w:sz w:val="22"/>
          <w:szCs w:val="22"/>
        </w:rPr>
      </w:pPr>
    </w:p>
    <w:p w14:paraId="50D09D62" w14:textId="4B7768F2"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Pre-pack insolvency process of an MSME</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3F01FAA9" w:rsidR="002A572B"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Sale of assets of a company in liquidation</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49F9EAB4" w:rsidR="002A572B" w:rsidRPr="00486688" w:rsidRDefault="00B821AB" w:rsidP="000B3CBE">
      <w:pPr>
        <w:pStyle w:val="ListParagraph"/>
        <w:numPr>
          <w:ilvl w:val="0"/>
          <w:numId w:val="20"/>
        </w:numPr>
        <w:ind w:left="426"/>
        <w:jc w:val="both"/>
        <w:rPr>
          <w:rFonts w:ascii="Arial" w:hAnsi="Arial" w:cs="Arial"/>
          <w:sz w:val="22"/>
          <w:szCs w:val="22"/>
        </w:rPr>
      </w:pPr>
      <w:r>
        <w:rPr>
          <w:rFonts w:ascii="Arial" w:hAnsi="Arial" w:cs="Arial"/>
          <w:sz w:val="22"/>
          <w:szCs w:val="22"/>
        </w:rPr>
        <w:t>Sale of assets under voluntary liquidation</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E3C4037"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w:t>
      </w:r>
      <w:r w:rsidR="00D86EB1">
        <w:rPr>
          <w:rFonts w:ascii="Arial" w:hAnsi="Arial" w:cs="Arial"/>
          <w:sz w:val="22"/>
          <w:szCs w:val="22"/>
        </w:rPr>
        <w:t xml:space="preserve">avoidance actions </w:t>
      </w:r>
      <w:r>
        <w:rPr>
          <w:rFonts w:ascii="Arial" w:hAnsi="Arial" w:cs="Arial"/>
          <w:sz w:val="22"/>
          <w:szCs w:val="22"/>
        </w:rPr>
        <w:t xml:space="preserve">is </w:t>
      </w:r>
      <w:r w:rsidR="00D86EB1" w:rsidRPr="006B6675">
        <w:rPr>
          <w:rFonts w:ascii="Arial" w:hAnsi="Arial" w:cs="Arial"/>
          <w:sz w:val="22"/>
          <w:szCs w:val="22"/>
        </w:rPr>
        <w:t>only available</w:t>
      </w:r>
      <w:r>
        <w:rPr>
          <w:rFonts w:ascii="Arial" w:hAnsi="Arial" w:cs="Arial"/>
          <w:sz w:val="22"/>
          <w:szCs w:val="22"/>
        </w:rPr>
        <w:t xml:space="preserve"> during a </w:t>
      </w:r>
      <w:r w:rsidR="00D86EB1">
        <w:rPr>
          <w:rFonts w:ascii="Arial" w:hAnsi="Arial" w:cs="Arial"/>
          <w:sz w:val="22"/>
          <w:szCs w:val="22"/>
        </w:rPr>
        <w:t xml:space="preserve">liquidation </w:t>
      </w:r>
      <w:r>
        <w:rPr>
          <w:rFonts w:ascii="Arial" w:hAnsi="Arial" w:cs="Arial"/>
          <w:sz w:val="22"/>
          <w:szCs w:val="22"/>
        </w:rPr>
        <w:t>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28784F94"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preferential transactions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2A91B330" w:rsidR="002A572B"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undervalued transactions</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32940AC9" w:rsidR="002A572B" w:rsidRPr="00F25169" w:rsidRDefault="00D86EB1" w:rsidP="000B3CBE">
      <w:pPr>
        <w:pStyle w:val="ListParagraph"/>
        <w:numPr>
          <w:ilvl w:val="0"/>
          <w:numId w:val="21"/>
        </w:numPr>
        <w:ind w:left="426"/>
        <w:jc w:val="both"/>
        <w:rPr>
          <w:rFonts w:ascii="Arial" w:hAnsi="Arial" w:cs="Arial"/>
          <w:sz w:val="22"/>
          <w:szCs w:val="22"/>
          <w:highlight w:val="yellow"/>
        </w:rPr>
      </w:pPr>
      <w:r w:rsidRPr="00F25169">
        <w:rPr>
          <w:rFonts w:ascii="Arial" w:hAnsi="Arial" w:cs="Arial"/>
          <w:sz w:val="22"/>
          <w:szCs w:val="22"/>
          <w:highlight w:val="yellow"/>
        </w:rPr>
        <w:t>Disclaimer of onerous property</w:t>
      </w:r>
      <w:r w:rsidR="00173876" w:rsidRPr="00F25169">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746E8C65" w:rsidR="00876F56" w:rsidRPr="00486688" w:rsidRDefault="00D86EB1" w:rsidP="000B3CBE">
      <w:pPr>
        <w:pStyle w:val="ListParagraph"/>
        <w:numPr>
          <w:ilvl w:val="0"/>
          <w:numId w:val="21"/>
        </w:numPr>
        <w:ind w:left="426"/>
        <w:jc w:val="both"/>
        <w:rPr>
          <w:rFonts w:ascii="Arial" w:hAnsi="Arial" w:cs="Arial"/>
          <w:sz w:val="22"/>
          <w:szCs w:val="22"/>
        </w:rPr>
      </w:pPr>
      <w:r>
        <w:rPr>
          <w:rFonts w:ascii="Arial" w:hAnsi="Arial" w:cs="Arial"/>
          <w:sz w:val="22"/>
          <w:szCs w:val="22"/>
        </w:rPr>
        <w:t>Avoidance of transactions defrauding creditors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6B6675">
        <w:rPr>
          <w:rFonts w:ascii="Arial" w:hAnsi="Arial" w:cs="Arial"/>
          <w:b/>
          <w:bCs/>
          <w:sz w:val="22"/>
          <w:szCs w:val="22"/>
          <w:u w:val="single"/>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F25169" w:rsidRDefault="007801A2" w:rsidP="000B3CBE">
      <w:pPr>
        <w:pStyle w:val="ListParagraph"/>
        <w:numPr>
          <w:ilvl w:val="0"/>
          <w:numId w:val="22"/>
        </w:numPr>
        <w:ind w:left="426"/>
        <w:jc w:val="both"/>
        <w:rPr>
          <w:rFonts w:ascii="Arial" w:hAnsi="Arial" w:cs="Arial"/>
          <w:sz w:val="22"/>
          <w:szCs w:val="22"/>
          <w:highlight w:val="yellow"/>
        </w:rPr>
      </w:pPr>
      <w:r w:rsidRPr="00F25169">
        <w:rPr>
          <w:rFonts w:ascii="Arial" w:hAnsi="Arial" w:cs="Arial"/>
          <w:sz w:val="22"/>
          <w:szCs w:val="22"/>
          <w:highlight w:val="yellow"/>
        </w:rPr>
        <w:t>Approval of a resolution plan</w:t>
      </w:r>
      <w:r w:rsidR="00173876" w:rsidRPr="00F25169">
        <w:rPr>
          <w:rFonts w:ascii="Arial" w:hAnsi="Arial" w:cs="Arial"/>
          <w:sz w:val="22"/>
          <w:szCs w:val="22"/>
          <w:highlight w:val="yellow"/>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500CF48E" w:rsidR="002A572B" w:rsidRDefault="004D4AAC" w:rsidP="00486688">
      <w:pPr>
        <w:pStyle w:val="ListParagraph"/>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xml:space="preserve">, </w:t>
      </w:r>
      <w:r w:rsidR="00EB1514">
        <w:rPr>
          <w:rFonts w:ascii="Arial" w:hAnsi="Arial" w:cs="Arial"/>
          <w:sz w:val="22"/>
          <w:szCs w:val="22"/>
          <w:lang w:val="en-GB"/>
        </w:rPr>
        <w:t>briefly describe the difference between the moratorium upon filing of the petition and upon admission of the petition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74F07BBD" w14:textId="493DCD98" w:rsidR="0007655E" w:rsidRPr="00364E23" w:rsidRDefault="009B07AD" w:rsidP="00364E23">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F25169">
        <w:rPr>
          <w:rFonts w:ascii="Arial" w:hAnsi="Arial" w:cs="Arial"/>
          <w:color w:val="7B7B7B" w:themeColor="accent3" w:themeShade="BF"/>
          <w:sz w:val="22"/>
          <w:szCs w:val="22"/>
          <w:lang w:val="en-GB"/>
        </w:rPr>
        <w:t>In the insolvency resolution process for individuals under the Insolvency and Bankruptcy Code 2016, the difference between the morat</w:t>
      </w:r>
      <w:r w:rsidR="00643F15">
        <w:rPr>
          <w:rFonts w:ascii="Arial" w:hAnsi="Arial" w:cs="Arial"/>
          <w:color w:val="7B7B7B" w:themeColor="accent3" w:themeShade="BF"/>
          <w:sz w:val="22"/>
          <w:szCs w:val="22"/>
          <w:lang w:val="en-GB"/>
        </w:rPr>
        <w:t>orium upon filing of the petition and upon admission of the petition is that in the former,</w:t>
      </w:r>
      <w:r w:rsidR="00010B45">
        <w:rPr>
          <w:rFonts w:ascii="Arial" w:hAnsi="Arial" w:cs="Arial"/>
          <w:color w:val="7B7B7B" w:themeColor="accent3" w:themeShade="BF"/>
          <w:sz w:val="22"/>
          <w:szCs w:val="22"/>
          <w:lang w:val="en-GB"/>
        </w:rPr>
        <w:t xml:space="preserve"> that is upon filing such an application or petition,</w:t>
      </w:r>
      <w:r w:rsidR="00643F15">
        <w:rPr>
          <w:rFonts w:ascii="Arial" w:hAnsi="Arial" w:cs="Arial"/>
          <w:color w:val="7B7B7B" w:themeColor="accent3" w:themeShade="BF"/>
          <w:sz w:val="22"/>
          <w:szCs w:val="22"/>
          <w:lang w:val="en-GB"/>
        </w:rPr>
        <w:t xml:space="preserve"> the moratorium is declared in relation to all Creditor actions and continues </w:t>
      </w:r>
      <w:r w:rsidR="00643F15">
        <w:rPr>
          <w:rFonts w:ascii="Arial" w:hAnsi="Arial" w:cs="Arial"/>
          <w:color w:val="7B7B7B" w:themeColor="accent3" w:themeShade="BF"/>
          <w:sz w:val="22"/>
          <w:szCs w:val="22"/>
          <w:lang w:val="en-GB"/>
        </w:rPr>
        <w:lastRenderedPageBreak/>
        <w:t>until the date of the admission of such application.</w:t>
      </w:r>
      <w:r w:rsidR="00643F15">
        <w:rPr>
          <w:rStyle w:val="FootnoteReference"/>
          <w:rFonts w:ascii="Arial" w:hAnsi="Arial" w:cs="Arial"/>
          <w:color w:val="7B7B7B" w:themeColor="accent3" w:themeShade="BF"/>
          <w:sz w:val="22"/>
          <w:szCs w:val="22"/>
          <w:lang w:val="en-GB"/>
        </w:rPr>
        <w:footnoteReference w:id="1"/>
      </w:r>
      <w:r w:rsidR="001D686A">
        <w:rPr>
          <w:rFonts w:ascii="Arial" w:hAnsi="Arial" w:cs="Arial"/>
          <w:color w:val="7B7B7B" w:themeColor="accent3" w:themeShade="BF"/>
          <w:sz w:val="22"/>
          <w:szCs w:val="22"/>
          <w:lang w:val="en-GB"/>
        </w:rPr>
        <w:t xml:space="preserve">  While in the latter</w:t>
      </w:r>
      <w:r w:rsidR="00010B45">
        <w:rPr>
          <w:rFonts w:ascii="Arial" w:hAnsi="Arial" w:cs="Arial"/>
          <w:color w:val="7B7B7B" w:themeColor="accent3" w:themeShade="BF"/>
          <w:sz w:val="22"/>
          <w:szCs w:val="22"/>
          <w:lang w:val="en-GB"/>
        </w:rPr>
        <w:t>, that is upon admission,</w:t>
      </w:r>
      <w:r w:rsidR="001D686A">
        <w:rPr>
          <w:rFonts w:ascii="Arial" w:hAnsi="Arial" w:cs="Arial"/>
          <w:color w:val="7B7B7B" w:themeColor="accent3" w:themeShade="BF"/>
          <w:sz w:val="22"/>
          <w:szCs w:val="22"/>
          <w:lang w:val="en-GB"/>
        </w:rPr>
        <w:t xml:space="preserve"> the Moratorium is declared on all the Creditor actions and disposal of assets by the debtor and continues for a period of six months, beginning on the date of admission of the application</w:t>
      </w:r>
      <w:r w:rsidR="001D686A">
        <w:rPr>
          <w:rStyle w:val="FootnoteReference"/>
          <w:rFonts w:ascii="Arial" w:hAnsi="Arial" w:cs="Arial"/>
          <w:color w:val="7B7B7B" w:themeColor="accent3" w:themeShade="BF"/>
          <w:sz w:val="22"/>
          <w:szCs w:val="22"/>
          <w:lang w:val="en-GB"/>
        </w:rPr>
        <w:footnoteReference w:id="2"/>
      </w:r>
      <w:r w:rsidR="001D686A">
        <w:rPr>
          <w:rFonts w:ascii="Arial" w:hAnsi="Arial" w:cs="Arial"/>
          <w:color w:val="7B7B7B" w:themeColor="accent3" w:themeShade="BF"/>
          <w:sz w:val="22"/>
          <w:szCs w:val="22"/>
          <w:lang w:val="en-GB"/>
        </w:rPr>
        <w:t>.</w:t>
      </w:r>
      <w:r w:rsidRPr="002A37BB">
        <w:rPr>
          <w:rFonts w:ascii="Arial" w:hAnsi="Arial" w:cs="Arial"/>
          <w:color w:val="7B7B7B" w:themeColor="accent3" w:themeShade="BF"/>
          <w:sz w:val="22"/>
          <w:szCs w:val="22"/>
          <w:lang w:val="en-GB"/>
        </w:rPr>
        <w:t>]</w:t>
      </w:r>
    </w:p>
    <w:p w14:paraId="39D465DD" w14:textId="77777777" w:rsidR="0007655E" w:rsidRDefault="0007655E" w:rsidP="00486688">
      <w:pPr>
        <w:jc w:val="both"/>
        <w:rPr>
          <w:rFonts w:ascii="Arial" w:hAnsi="Arial" w:cs="Arial"/>
          <w:sz w:val="22"/>
          <w:szCs w:val="22"/>
        </w:rPr>
      </w:pPr>
    </w:p>
    <w:p w14:paraId="10614297" w14:textId="14D0C54B" w:rsidR="00C72848" w:rsidRPr="002A37BB" w:rsidRDefault="0007655E" w:rsidP="00486688">
      <w:pPr>
        <w:ind w:left="720" w:hanging="720"/>
        <w:jc w:val="both"/>
        <w:rPr>
          <w:rFonts w:ascii="Arial" w:hAnsi="Arial" w:cs="Arial"/>
          <w:sz w:val="22"/>
          <w:szCs w:val="22"/>
        </w:rPr>
      </w:pPr>
      <w:r>
        <w:rPr>
          <w:rFonts w:ascii="Arial" w:hAnsi="Arial" w:cs="Arial"/>
          <w:b/>
          <w:bCs/>
          <w:sz w:val="22"/>
          <w:szCs w:val="22"/>
        </w:rPr>
        <w:t>Q</w:t>
      </w:r>
      <w:r w:rsidR="002C13C8" w:rsidRPr="002A37BB">
        <w:rPr>
          <w:rFonts w:ascii="Arial" w:hAnsi="Arial" w:cs="Arial"/>
          <w:b/>
          <w:bCs/>
          <w:sz w:val="22"/>
          <w:szCs w:val="22"/>
        </w:rPr>
        <w:t xml:space="preserve">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7F7F4E49" w:rsidR="009B07AD" w:rsidRDefault="0007655E" w:rsidP="00486688">
      <w:pPr>
        <w:jc w:val="both"/>
        <w:rPr>
          <w:rFonts w:ascii="Arial" w:hAnsi="Arial" w:cs="Arial"/>
          <w:sz w:val="22"/>
          <w:szCs w:val="22"/>
          <w:lang w:val="en-GB"/>
        </w:rPr>
      </w:pPr>
      <w:r>
        <w:rPr>
          <w:rFonts w:ascii="Arial" w:hAnsi="Arial" w:cs="Arial"/>
          <w:sz w:val="22"/>
          <w:szCs w:val="22"/>
          <w:lang w:val="en-GB"/>
        </w:rPr>
        <w:t>B</w:t>
      </w:r>
      <w:r w:rsidR="00E03592">
        <w:rPr>
          <w:rFonts w:ascii="Arial" w:hAnsi="Arial" w:cs="Arial"/>
          <w:sz w:val="22"/>
          <w:szCs w:val="22"/>
          <w:lang w:val="en-GB"/>
        </w:rPr>
        <w:t xml:space="preserve">riefly </w:t>
      </w:r>
      <w:r w:rsidR="0062425A">
        <w:rPr>
          <w:rFonts w:ascii="Arial" w:hAnsi="Arial" w:cs="Arial"/>
          <w:sz w:val="22"/>
          <w:szCs w:val="22"/>
          <w:lang w:val="en-GB"/>
        </w:rPr>
        <w:t xml:space="preserve">describe </w:t>
      </w:r>
      <w:r w:rsidR="00E03592">
        <w:rPr>
          <w:rFonts w:ascii="Arial" w:hAnsi="Arial" w:cs="Arial"/>
          <w:sz w:val="22"/>
          <w:szCs w:val="22"/>
          <w:lang w:val="en-GB"/>
        </w:rPr>
        <w:t xml:space="preserve">the priority of debts in bankruptcy </w:t>
      </w:r>
      <w:r w:rsidR="00E64142">
        <w:rPr>
          <w:rFonts w:ascii="Arial" w:hAnsi="Arial" w:cs="Arial"/>
          <w:sz w:val="22"/>
          <w:szCs w:val="22"/>
          <w:lang w:val="en-GB"/>
        </w:rPr>
        <w:t xml:space="preserve">under the </w:t>
      </w:r>
      <w:r w:rsidR="00E64142">
        <w:rPr>
          <w:rFonts w:ascii="Arial" w:hAnsi="Arial" w:cs="Arial"/>
          <w:sz w:val="22"/>
          <w:szCs w:val="22"/>
        </w:rPr>
        <w:t>Presidency-Towns Insolvency Act 1909 and the Provincial Insolvency Act 1920</w:t>
      </w:r>
      <w:r w:rsidR="00E64142">
        <w:rPr>
          <w:rFonts w:ascii="Arial" w:hAnsi="Arial" w:cs="Arial"/>
          <w:sz w:val="22"/>
          <w:szCs w:val="22"/>
          <w:lang w:val="en-GB"/>
        </w:rPr>
        <w:t>.</w:t>
      </w:r>
    </w:p>
    <w:p w14:paraId="2CE8E19C" w14:textId="77777777" w:rsidR="00007BF3" w:rsidRPr="002A37BB" w:rsidRDefault="00007BF3" w:rsidP="00486688">
      <w:pPr>
        <w:ind w:left="720" w:hanging="720"/>
        <w:jc w:val="both"/>
        <w:rPr>
          <w:rFonts w:ascii="Arial" w:hAnsi="Arial" w:cs="Arial"/>
          <w:sz w:val="22"/>
          <w:szCs w:val="22"/>
        </w:rPr>
      </w:pPr>
    </w:p>
    <w:p w14:paraId="6948B395" w14:textId="7372F995" w:rsidR="00E90991" w:rsidRPr="002A572B" w:rsidRDefault="009B07AD" w:rsidP="00486688">
      <w:pPr>
        <w:ind w:left="720" w:hanging="720"/>
        <w:jc w:val="both"/>
        <w:rPr>
          <w:rFonts w:ascii="Arial" w:hAnsi="Arial" w:cs="Arial"/>
          <w:sz w:val="22"/>
          <w:szCs w:val="22"/>
        </w:rPr>
      </w:pPr>
      <w:r w:rsidRPr="002A37BB">
        <w:rPr>
          <w:rFonts w:ascii="Arial" w:hAnsi="Arial" w:cs="Arial"/>
          <w:color w:val="7B7B7B" w:themeColor="accent3" w:themeShade="BF"/>
          <w:sz w:val="22"/>
          <w:szCs w:val="22"/>
        </w:rPr>
        <w:t>[</w:t>
      </w:r>
      <w:r w:rsidR="00095841">
        <w:rPr>
          <w:rFonts w:ascii="Arial" w:hAnsi="Arial" w:cs="Arial"/>
          <w:color w:val="7B7B7B" w:themeColor="accent3" w:themeShade="BF"/>
          <w:sz w:val="22"/>
          <w:szCs w:val="22"/>
        </w:rPr>
        <w:t>Priority of debts in bankruptcy under the Presidency-Towns Insolvency Act 1909 and the Provincial Insolvency Act 1920 is set out</w:t>
      </w:r>
      <w:r w:rsidR="00760E7C">
        <w:rPr>
          <w:rFonts w:ascii="Arial" w:hAnsi="Arial" w:cs="Arial"/>
          <w:color w:val="7B7B7B" w:themeColor="accent3" w:themeShade="BF"/>
          <w:sz w:val="22"/>
          <w:szCs w:val="22"/>
        </w:rPr>
        <w:t xml:space="preserve"> in Section 49 of the Presidency-Towns Act and Section 61 of the Provincial Act respectively.</w:t>
      </w:r>
      <w:r w:rsidR="00600C42">
        <w:rPr>
          <w:rFonts w:ascii="Arial" w:hAnsi="Arial" w:cs="Arial"/>
          <w:color w:val="7B7B7B" w:themeColor="accent3" w:themeShade="BF"/>
          <w:sz w:val="22"/>
          <w:szCs w:val="22"/>
        </w:rPr>
        <w:t xml:space="preserve"> Under section 49 of the Presidency-Towns Act applicable in Kolkata, Chennai and Mumbai, the first priority is given to the expenses of administration of the debtor’s estate. Followed by all debts due to the Government or to any local authority</w:t>
      </w:r>
      <w:r w:rsidR="00600C42">
        <w:rPr>
          <w:rStyle w:val="FootnoteReference"/>
          <w:rFonts w:ascii="Arial" w:hAnsi="Arial" w:cs="Arial"/>
          <w:color w:val="7B7B7B" w:themeColor="accent3" w:themeShade="BF"/>
          <w:sz w:val="22"/>
          <w:szCs w:val="22"/>
        </w:rPr>
        <w:footnoteReference w:id="3"/>
      </w:r>
      <w:r w:rsidR="004224ED">
        <w:rPr>
          <w:rFonts w:ascii="Arial" w:hAnsi="Arial" w:cs="Arial"/>
          <w:color w:val="7B7B7B" w:themeColor="accent3" w:themeShade="BF"/>
          <w:sz w:val="22"/>
          <w:szCs w:val="22"/>
        </w:rPr>
        <w:t xml:space="preserve"> and all salaries or wages of any clerk, servant or </w:t>
      </w:r>
      <w:proofErr w:type="spellStart"/>
      <w:r w:rsidR="004224ED">
        <w:rPr>
          <w:rFonts w:ascii="Arial" w:hAnsi="Arial" w:cs="Arial"/>
          <w:color w:val="7B7B7B" w:themeColor="accent3" w:themeShade="BF"/>
          <w:sz w:val="22"/>
          <w:szCs w:val="22"/>
        </w:rPr>
        <w:t>labourer</w:t>
      </w:r>
      <w:proofErr w:type="spellEnd"/>
      <w:r w:rsidR="004224ED">
        <w:rPr>
          <w:rFonts w:ascii="Arial" w:hAnsi="Arial" w:cs="Arial"/>
          <w:color w:val="7B7B7B" w:themeColor="accent3" w:themeShade="BF"/>
          <w:sz w:val="22"/>
          <w:szCs w:val="22"/>
        </w:rPr>
        <w:t xml:space="preserve"> for the period of four months for rendering services to the debtor (not exceeding in the case of Presidency-Towns Act</w:t>
      </w:r>
      <w:r w:rsidR="004224ED">
        <w:rPr>
          <w:rStyle w:val="FootnoteReference"/>
          <w:rFonts w:ascii="Arial" w:hAnsi="Arial" w:cs="Arial"/>
          <w:color w:val="7B7B7B" w:themeColor="accent3" w:themeShade="BF"/>
          <w:sz w:val="22"/>
          <w:szCs w:val="22"/>
        </w:rPr>
        <w:footnoteReference w:id="4"/>
      </w:r>
      <w:r w:rsidR="004224ED">
        <w:rPr>
          <w:rFonts w:ascii="Arial" w:hAnsi="Arial" w:cs="Arial"/>
          <w:color w:val="7B7B7B" w:themeColor="accent3" w:themeShade="BF"/>
          <w:sz w:val="22"/>
          <w:szCs w:val="22"/>
        </w:rPr>
        <w:t xml:space="preserve">, INR 300 for each such clerk and INR 100 for each such servant or </w:t>
      </w:r>
      <w:proofErr w:type="spellStart"/>
      <w:r w:rsidR="004224ED">
        <w:rPr>
          <w:rFonts w:ascii="Arial" w:hAnsi="Arial" w:cs="Arial"/>
          <w:color w:val="7B7B7B" w:themeColor="accent3" w:themeShade="BF"/>
          <w:sz w:val="22"/>
          <w:szCs w:val="22"/>
        </w:rPr>
        <w:t>labourer</w:t>
      </w:r>
      <w:proofErr w:type="spellEnd"/>
      <w:r w:rsidR="004224ED">
        <w:rPr>
          <w:rFonts w:ascii="Arial" w:hAnsi="Arial" w:cs="Arial"/>
          <w:color w:val="7B7B7B" w:themeColor="accent3" w:themeShade="BF"/>
          <w:sz w:val="22"/>
          <w:szCs w:val="22"/>
        </w:rPr>
        <w:t xml:space="preserve"> and in the case of the Provincial Act</w:t>
      </w:r>
      <w:r w:rsidR="004224ED">
        <w:rPr>
          <w:rStyle w:val="FootnoteReference"/>
          <w:rFonts w:ascii="Arial" w:hAnsi="Arial" w:cs="Arial"/>
          <w:color w:val="7B7B7B" w:themeColor="accent3" w:themeShade="BF"/>
          <w:sz w:val="22"/>
          <w:szCs w:val="22"/>
        </w:rPr>
        <w:footnoteReference w:id="5"/>
      </w:r>
      <w:r w:rsidR="004224ED">
        <w:rPr>
          <w:rFonts w:ascii="Arial" w:hAnsi="Arial" w:cs="Arial"/>
          <w:color w:val="7B7B7B" w:themeColor="accent3" w:themeShade="BF"/>
          <w:sz w:val="22"/>
          <w:szCs w:val="22"/>
        </w:rPr>
        <w:t>, not exceeding INR 20 in total)</w:t>
      </w:r>
      <w:r w:rsidR="004224ED">
        <w:rPr>
          <w:rStyle w:val="FootnoteReference"/>
          <w:rFonts w:ascii="Arial" w:hAnsi="Arial" w:cs="Arial"/>
          <w:color w:val="7B7B7B" w:themeColor="accent3" w:themeShade="BF"/>
          <w:sz w:val="22"/>
          <w:szCs w:val="22"/>
        </w:rPr>
        <w:footnoteReference w:id="6"/>
      </w:r>
      <w:r w:rsidR="004224ED">
        <w:rPr>
          <w:rFonts w:ascii="Arial" w:hAnsi="Arial" w:cs="Arial"/>
          <w:color w:val="7B7B7B" w:themeColor="accent3" w:themeShade="BF"/>
          <w:sz w:val="22"/>
          <w:szCs w:val="22"/>
        </w:rPr>
        <w:t>.</w:t>
      </w:r>
      <w:r w:rsidR="00095841">
        <w:rPr>
          <w:rFonts w:ascii="Arial" w:hAnsi="Arial" w:cs="Arial"/>
          <w:color w:val="7B7B7B" w:themeColor="accent3" w:themeShade="BF"/>
          <w:sz w:val="22"/>
          <w:szCs w:val="22"/>
        </w:rPr>
        <w:t xml:space="preserve"> </w:t>
      </w:r>
      <w:r w:rsidR="004224ED">
        <w:rPr>
          <w:rFonts w:ascii="Arial" w:hAnsi="Arial" w:cs="Arial"/>
          <w:color w:val="7B7B7B" w:themeColor="accent3" w:themeShade="BF"/>
          <w:sz w:val="22"/>
          <w:szCs w:val="22"/>
        </w:rPr>
        <w:t>The next on the priority, is “rent due to a landlord from the insolvent not exceeding one month</w:t>
      </w:r>
      <w:r w:rsidR="00E65C92">
        <w:rPr>
          <w:rFonts w:ascii="Arial" w:hAnsi="Arial" w:cs="Arial"/>
          <w:color w:val="7B7B7B" w:themeColor="accent3" w:themeShade="BF"/>
          <w:sz w:val="22"/>
          <w:szCs w:val="22"/>
        </w:rPr>
        <w:t>’s rent of the amount payable</w:t>
      </w:r>
      <w:r w:rsidR="00E65C92">
        <w:rPr>
          <w:rStyle w:val="FootnoteReference"/>
          <w:rFonts w:ascii="Arial" w:hAnsi="Arial" w:cs="Arial"/>
          <w:color w:val="7B7B7B" w:themeColor="accent3" w:themeShade="BF"/>
          <w:sz w:val="22"/>
          <w:szCs w:val="22"/>
        </w:rPr>
        <w:footnoteReference w:id="7"/>
      </w:r>
      <w:r w:rsidR="00E65C92">
        <w:rPr>
          <w:rFonts w:ascii="Arial" w:hAnsi="Arial" w:cs="Arial"/>
          <w:color w:val="7B7B7B" w:themeColor="accent3" w:themeShade="BF"/>
          <w:sz w:val="22"/>
          <w:szCs w:val="22"/>
        </w:rPr>
        <w:t>.</w:t>
      </w:r>
      <w:r w:rsidR="004224ED">
        <w:rPr>
          <w:rFonts w:ascii="Arial" w:hAnsi="Arial" w:cs="Arial"/>
          <w:color w:val="7B7B7B" w:themeColor="accent3" w:themeShade="BF"/>
          <w:sz w:val="22"/>
          <w:szCs w:val="22"/>
        </w:rPr>
        <w:t xml:space="preserve"> </w:t>
      </w:r>
      <w:r w:rsidR="00983AE7">
        <w:rPr>
          <w:rFonts w:ascii="Arial" w:hAnsi="Arial" w:cs="Arial"/>
          <w:color w:val="7B7B7B" w:themeColor="accent3" w:themeShade="BF"/>
          <w:sz w:val="22"/>
          <w:szCs w:val="22"/>
        </w:rPr>
        <w:t>All the above</w:t>
      </w:r>
      <w:r w:rsidR="007F5F63">
        <w:rPr>
          <w:rFonts w:ascii="Arial" w:hAnsi="Arial" w:cs="Arial"/>
          <w:color w:val="7B7B7B" w:themeColor="accent3" w:themeShade="BF"/>
          <w:sz w:val="22"/>
          <w:szCs w:val="22"/>
        </w:rPr>
        <w:t>-</w:t>
      </w:r>
      <w:r w:rsidR="00983AE7">
        <w:rPr>
          <w:rFonts w:ascii="Arial" w:hAnsi="Arial" w:cs="Arial"/>
          <w:color w:val="7B7B7B" w:themeColor="accent3" w:themeShade="BF"/>
          <w:sz w:val="22"/>
          <w:szCs w:val="22"/>
        </w:rPr>
        <w:t>mentioned preferential debts rank equally among themselves and are to be paid in equal proportion among themselves</w:t>
      </w:r>
      <w:r w:rsidR="00983AE7">
        <w:rPr>
          <w:rStyle w:val="FootnoteReference"/>
          <w:rFonts w:ascii="Arial" w:hAnsi="Arial" w:cs="Arial"/>
          <w:color w:val="7B7B7B" w:themeColor="accent3" w:themeShade="BF"/>
          <w:sz w:val="22"/>
          <w:szCs w:val="22"/>
        </w:rPr>
        <w:footnoteReference w:id="8"/>
      </w:r>
      <w:r w:rsidR="008B2A4B">
        <w:rPr>
          <w:rFonts w:ascii="Arial" w:hAnsi="Arial" w:cs="Arial"/>
          <w:color w:val="7B7B7B" w:themeColor="accent3" w:themeShade="BF"/>
          <w:sz w:val="22"/>
          <w:szCs w:val="22"/>
        </w:rPr>
        <w:t xml:space="preserve">. Similarly, upon the payment of all preferential debts in full, all debts of the debtor entered in the scheduled are to be paid </w:t>
      </w:r>
      <w:proofErr w:type="spellStart"/>
      <w:r w:rsidR="008B2A4B">
        <w:rPr>
          <w:rFonts w:ascii="Arial" w:hAnsi="Arial" w:cs="Arial"/>
          <w:color w:val="7B7B7B" w:themeColor="accent3" w:themeShade="BF"/>
          <w:sz w:val="22"/>
          <w:szCs w:val="22"/>
        </w:rPr>
        <w:t>rateably</w:t>
      </w:r>
      <w:proofErr w:type="spellEnd"/>
      <w:r w:rsidR="008B2A4B">
        <w:rPr>
          <w:rFonts w:ascii="Arial" w:hAnsi="Arial" w:cs="Arial"/>
          <w:color w:val="7B7B7B" w:themeColor="accent3" w:themeShade="BF"/>
          <w:sz w:val="22"/>
          <w:szCs w:val="22"/>
        </w:rPr>
        <w:t xml:space="preserve"> from the proceeds of realization of assets without any preference</w:t>
      </w:r>
      <w:r w:rsidR="008B2A4B">
        <w:rPr>
          <w:rStyle w:val="FootnoteReference"/>
          <w:rFonts w:ascii="Arial" w:hAnsi="Arial" w:cs="Arial"/>
          <w:color w:val="7B7B7B" w:themeColor="accent3" w:themeShade="BF"/>
          <w:sz w:val="22"/>
          <w:szCs w:val="22"/>
        </w:rPr>
        <w:footnoteReference w:id="9"/>
      </w:r>
      <w:r w:rsidR="008B2A4B">
        <w:rPr>
          <w:rFonts w:ascii="Arial" w:hAnsi="Arial" w:cs="Arial"/>
          <w:color w:val="7B7B7B" w:themeColor="accent3" w:themeShade="BF"/>
          <w:sz w:val="22"/>
          <w:szCs w:val="22"/>
        </w:rPr>
        <w:t>.</w:t>
      </w:r>
      <w:r w:rsidRPr="002A37BB">
        <w:rPr>
          <w:rFonts w:ascii="Arial" w:hAnsi="Arial" w:cs="Arial"/>
          <w:color w:val="7B7B7B" w:themeColor="accent3" w:themeShade="BF"/>
          <w:sz w:val="22"/>
          <w:szCs w:val="22"/>
        </w:rPr>
        <w:t>]</w:t>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316D4888" w:rsidR="002A572B" w:rsidRPr="00F07372" w:rsidRDefault="004718C0" w:rsidP="00486688">
      <w:pPr>
        <w:pStyle w:val="ListParagraph"/>
        <w:ind w:left="0"/>
        <w:jc w:val="both"/>
        <w:rPr>
          <w:rFonts w:ascii="Arial" w:hAnsi="Arial" w:cs="Arial"/>
          <w:sz w:val="22"/>
          <w:szCs w:val="22"/>
          <w:lang w:val="en-GB"/>
        </w:rPr>
      </w:pPr>
      <w:r>
        <w:rPr>
          <w:rFonts w:ascii="Arial" w:hAnsi="Arial" w:cs="Arial"/>
          <w:sz w:val="22"/>
          <w:szCs w:val="22"/>
          <w:lang w:val="en-GB"/>
        </w:rPr>
        <w:t>I</w:t>
      </w:r>
      <w:r w:rsidR="008978BA">
        <w:rPr>
          <w:rFonts w:ascii="Arial" w:hAnsi="Arial" w:cs="Arial"/>
          <w:sz w:val="22"/>
          <w:szCs w:val="22"/>
          <w:lang w:val="en-GB"/>
        </w:rPr>
        <w:t>ndicate the situations in which an adjudication as a bankrupt may be sought</w:t>
      </w:r>
      <w:r w:rsidR="00C947E0">
        <w:rPr>
          <w:rFonts w:ascii="Arial" w:hAnsi="Arial" w:cs="Arial"/>
          <w:sz w:val="22"/>
          <w:szCs w:val="22"/>
          <w:lang w:val="en-GB"/>
        </w:rPr>
        <w:t xml:space="preserve">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19D1140E" w14:textId="77777777" w:rsidR="00817941" w:rsidRDefault="00C72848" w:rsidP="00486688">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17941">
        <w:rPr>
          <w:rFonts w:ascii="Arial" w:hAnsi="Arial" w:cs="Arial"/>
          <w:color w:val="7B7B7B" w:themeColor="accent3" w:themeShade="BF"/>
          <w:sz w:val="22"/>
          <w:szCs w:val="22"/>
          <w:lang w:val="en-GB"/>
        </w:rPr>
        <w:t>The situations in which an adjudication as a bankrupt may be sought under the Insolvency and Bankruptcy Code 2016 are as follows;</w:t>
      </w:r>
    </w:p>
    <w:p w14:paraId="18808EFA" w14:textId="77777777" w:rsidR="00817941" w:rsidRDefault="00817941" w:rsidP="00817941">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court rejects an Insolvency Resolution process application on the basis of the report of the resolution professional that avers the application was made with the intention to defraud creditors; or</w:t>
      </w:r>
    </w:p>
    <w:p w14:paraId="335943B8" w14:textId="77777777" w:rsidR="00817941" w:rsidRDefault="00817941" w:rsidP="00817941">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court has passed an Order that the approved repayment plan could not be implemented completely; or</w:t>
      </w:r>
    </w:p>
    <w:p w14:paraId="78DB9FD8" w14:textId="44BFB946" w:rsidR="00C72848" w:rsidRPr="00817941" w:rsidRDefault="00817941" w:rsidP="00817941">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court rejects the </w:t>
      </w:r>
      <w:r w:rsidR="00934B24">
        <w:rPr>
          <w:rFonts w:ascii="Arial" w:hAnsi="Arial" w:cs="Arial"/>
          <w:color w:val="7B7B7B" w:themeColor="accent3" w:themeShade="BF"/>
          <w:sz w:val="22"/>
          <w:szCs w:val="22"/>
          <w:lang w:val="en-GB"/>
        </w:rPr>
        <w:t>repayment</w:t>
      </w:r>
      <w:r>
        <w:rPr>
          <w:rFonts w:ascii="Arial" w:hAnsi="Arial" w:cs="Arial"/>
          <w:color w:val="7B7B7B" w:themeColor="accent3" w:themeShade="BF"/>
          <w:sz w:val="22"/>
          <w:szCs w:val="22"/>
          <w:lang w:val="en-GB"/>
        </w:rPr>
        <w:t xml:space="preserve"> plan submitted by the deb</w:t>
      </w:r>
      <w:r w:rsidR="00934B24">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or</w:t>
      </w:r>
      <w:r>
        <w:rPr>
          <w:rStyle w:val="FootnoteReference"/>
          <w:rFonts w:ascii="Arial" w:hAnsi="Arial" w:cs="Arial"/>
          <w:color w:val="7B7B7B" w:themeColor="accent3" w:themeShade="BF"/>
          <w:sz w:val="22"/>
          <w:szCs w:val="22"/>
          <w:lang w:val="en-GB"/>
        </w:rPr>
        <w:footnoteReference w:id="10"/>
      </w:r>
      <w:r w:rsidR="00934B24">
        <w:rPr>
          <w:rFonts w:ascii="Arial" w:hAnsi="Arial" w:cs="Arial"/>
          <w:color w:val="7B7B7B" w:themeColor="accent3" w:themeShade="BF"/>
          <w:sz w:val="22"/>
          <w:szCs w:val="22"/>
          <w:lang w:val="en-GB"/>
        </w:rPr>
        <w:t>.</w:t>
      </w:r>
      <w:r w:rsidR="00C72848" w:rsidRPr="00817941">
        <w:rPr>
          <w:rFonts w:ascii="Arial" w:hAnsi="Arial" w:cs="Arial"/>
          <w:color w:val="7B7B7B" w:themeColor="accent3" w:themeShade="BF"/>
          <w:sz w:val="22"/>
          <w:szCs w:val="22"/>
          <w:lang w:val="en-GB"/>
        </w:rPr>
        <w:t>]</w:t>
      </w:r>
    </w:p>
    <w:p w14:paraId="3A1DD546" w14:textId="003968C1" w:rsidR="002A572B" w:rsidRDefault="002A572B" w:rsidP="00486688">
      <w:pPr>
        <w:ind w:left="720" w:hanging="720"/>
        <w:jc w:val="both"/>
        <w:rPr>
          <w:rFonts w:ascii="Arial" w:hAnsi="Arial" w:cs="Arial"/>
          <w:color w:val="7B7B7B" w:themeColor="accent3" w:themeShade="BF"/>
          <w:sz w:val="22"/>
          <w:szCs w:val="22"/>
          <w:lang w:val="en-GB"/>
        </w:rPr>
      </w:pPr>
    </w:p>
    <w:p w14:paraId="35746724" w14:textId="7C44AF96" w:rsidR="00276997" w:rsidRDefault="00276997" w:rsidP="00486688">
      <w:pPr>
        <w:ind w:left="720" w:hanging="720"/>
        <w:jc w:val="both"/>
        <w:rPr>
          <w:rFonts w:ascii="Arial" w:hAnsi="Arial" w:cs="Arial"/>
          <w:color w:val="7B7B7B" w:themeColor="accent3" w:themeShade="BF"/>
          <w:sz w:val="22"/>
          <w:szCs w:val="22"/>
          <w:lang w:val="en-GB"/>
        </w:rPr>
      </w:pPr>
    </w:p>
    <w:p w14:paraId="7210FBB5" w14:textId="10955674" w:rsidR="008D2449" w:rsidRDefault="008D2449" w:rsidP="00486688">
      <w:pPr>
        <w:ind w:left="720" w:hanging="720"/>
        <w:jc w:val="both"/>
        <w:rPr>
          <w:rFonts w:ascii="Arial" w:hAnsi="Arial" w:cs="Arial"/>
          <w:color w:val="7B7B7B" w:themeColor="accent3" w:themeShade="BF"/>
          <w:sz w:val="22"/>
          <w:szCs w:val="22"/>
          <w:lang w:val="en-GB"/>
        </w:rPr>
      </w:pPr>
    </w:p>
    <w:p w14:paraId="4C2251D1" w14:textId="77777777" w:rsidR="008D2449" w:rsidRDefault="008D2449"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lastRenderedPageBreak/>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25318F69" w:rsidR="002A572B" w:rsidRDefault="004E623A" w:rsidP="00486688">
      <w:pPr>
        <w:pStyle w:val="ListParagraph"/>
        <w:ind w:left="0"/>
        <w:jc w:val="both"/>
        <w:rPr>
          <w:rFonts w:ascii="Arial" w:hAnsi="Arial" w:cs="Arial"/>
          <w:sz w:val="22"/>
          <w:szCs w:val="22"/>
          <w:lang w:val="en-GB"/>
        </w:rPr>
      </w:pPr>
      <w:r>
        <w:rPr>
          <w:rFonts w:ascii="Arial" w:hAnsi="Arial" w:cs="Arial"/>
          <w:sz w:val="22"/>
          <w:szCs w:val="22"/>
        </w:rPr>
        <w:t>What kind of foreign judgements are eligible for enforcement in India</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B554120" w14:textId="77777777" w:rsidR="001406A1" w:rsidRDefault="002A572B" w:rsidP="00486688">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CE015F">
        <w:rPr>
          <w:rFonts w:ascii="Arial" w:hAnsi="Arial" w:cs="Arial"/>
          <w:color w:val="7B7B7B" w:themeColor="accent3" w:themeShade="BF"/>
          <w:sz w:val="22"/>
          <w:szCs w:val="22"/>
          <w:lang w:val="en-GB"/>
        </w:rPr>
        <w:t>The kind of foreign judgements that are eligible for enforcements in India are foreign judgments from courts of reciprocating territories outside India which are not affected or refused on the grounds set out under section 13 of the Civil Procedure Code and are in relation to the payment of a sum of money not being taxes or other charges similar in nature to taxes.</w:t>
      </w:r>
      <w:r w:rsidR="001406A1">
        <w:rPr>
          <w:rFonts w:ascii="Arial" w:hAnsi="Arial" w:cs="Arial"/>
          <w:color w:val="7B7B7B" w:themeColor="accent3" w:themeShade="BF"/>
          <w:sz w:val="22"/>
          <w:szCs w:val="22"/>
          <w:lang w:val="en-GB"/>
        </w:rPr>
        <w:t xml:space="preserve"> The grounds however set out by the Code</w:t>
      </w:r>
      <w:r w:rsidR="001406A1">
        <w:rPr>
          <w:rStyle w:val="FootnoteReference"/>
          <w:rFonts w:ascii="Arial" w:hAnsi="Arial" w:cs="Arial"/>
          <w:color w:val="7B7B7B" w:themeColor="accent3" w:themeShade="BF"/>
          <w:sz w:val="22"/>
          <w:szCs w:val="22"/>
          <w:lang w:val="en-GB"/>
        </w:rPr>
        <w:footnoteReference w:id="11"/>
      </w:r>
      <w:r w:rsidR="001406A1">
        <w:rPr>
          <w:rFonts w:ascii="Arial" w:hAnsi="Arial" w:cs="Arial"/>
          <w:color w:val="7B7B7B" w:themeColor="accent3" w:themeShade="BF"/>
          <w:sz w:val="22"/>
          <w:szCs w:val="22"/>
          <w:lang w:val="en-GB"/>
        </w:rPr>
        <w:t xml:space="preserve"> for the refusal of such foreign judgments are;</w:t>
      </w:r>
    </w:p>
    <w:p w14:paraId="4D639A5B" w14:textId="77777777" w:rsidR="001406A1" w:rsidRPr="001406A1" w:rsidRDefault="001406A1" w:rsidP="001406A1">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If the judgment has been pronounced by a court without jurisdiction;</w:t>
      </w:r>
    </w:p>
    <w:p w14:paraId="0C1ECC12" w14:textId="77777777" w:rsidR="001406A1" w:rsidRPr="001406A1" w:rsidRDefault="001406A1" w:rsidP="001406A1">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If the judgment has not been given on the merits of the case;</w:t>
      </w:r>
    </w:p>
    <w:p w14:paraId="51A7751E" w14:textId="77777777" w:rsidR="001406A1" w:rsidRPr="001406A1" w:rsidRDefault="001406A1" w:rsidP="001406A1">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If it appears on the face of the proceedings to have been founded on an incorrect view of international law or of Indian law, as applicable;</w:t>
      </w:r>
    </w:p>
    <w:p w14:paraId="3D48E04B" w14:textId="77777777" w:rsidR="001406A1" w:rsidRPr="001406A1" w:rsidRDefault="001406A1" w:rsidP="001406A1">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If the proceedings in which the judgment was obtained were opposed to natural justice;</w:t>
      </w:r>
    </w:p>
    <w:p w14:paraId="2FFBDF38" w14:textId="77777777" w:rsidR="001406A1" w:rsidRPr="001406A1" w:rsidRDefault="001406A1" w:rsidP="001406A1">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If the judgment was obtained by fraud;</w:t>
      </w:r>
    </w:p>
    <w:p w14:paraId="4A8F27D5" w14:textId="0232FD87" w:rsidR="002A572B" w:rsidRPr="001406A1" w:rsidRDefault="001406A1" w:rsidP="001406A1">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If the judgment is founded on a breach of Indian law</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w:t>
      </w:r>
      <w:r w:rsidR="002A572B" w:rsidRPr="001406A1">
        <w:rPr>
          <w:rFonts w:ascii="Arial" w:hAnsi="Arial" w:cs="Arial"/>
          <w:color w:val="7B7B7B" w:themeColor="accent3" w:themeShade="BF"/>
          <w:sz w:val="22"/>
          <w:szCs w:val="22"/>
          <w:lang w:val="en-GB"/>
        </w:rPr>
        <w:t>]</w:t>
      </w:r>
    </w:p>
    <w:p w14:paraId="383B5930" w14:textId="65B6F079" w:rsidR="00C550C8" w:rsidRDefault="00C550C8" w:rsidP="00486688">
      <w:pPr>
        <w:jc w:val="both"/>
        <w:rPr>
          <w:rFonts w:ascii="Arial" w:hAnsi="Arial" w:cs="Arial"/>
          <w:bCs/>
          <w:sz w:val="22"/>
          <w:szCs w:val="22"/>
          <w:lang w:val="en-GB"/>
        </w:rPr>
      </w:pP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4A036E5E"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4718C0">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 of a company </w:t>
      </w:r>
      <w:r>
        <w:rPr>
          <w:rFonts w:ascii="Arial" w:hAnsi="Arial" w:cs="Arial"/>
          <w:sz w:val="22"/>
          <w:szCs w:val="22"/>
        </w:rPr>
        <w:t>under the Insolvency and Bankruptcy Code 2016</w:t>
      </w:r>
      <w:r w:rsidR="004718C0">
        <w:rPr>
          <w:rFonts w:ascii="Arial" w:hAnsi="Arial" w:cs="Arial"/>
          <w:sz w:val="22"/>
          <w:szCs w:val="22"/>
        </w:rPr>
        <w:t>,</w:t>
      </w:r>
      <w:r w:rsidR="00EB7CC8">
        <w:rPr>
          <w:rFonts w:ascii="Arial" w:hAnsi="Arial" w:cs="Arial"/>
          <w:sz w:val="22"/>
          <w:szCs w:val="22"/>
        </w:rPr>
        <w:t xml:space="preserve"> focusing on the process of </w:t>
      </w:r>
      <w:r w:rsidR="004718C0">
        <w:rPr>
          <w:rFonts w:ascii="Arial" w:hAnsi="Arial" w:cs="Arial"/>
          <w:sz w:val="22"/>
          <w:szCs w:val="22"/>
        </w:rPr>
        <w:t xml:space="preserve">the </w:t>
      </w:r>
      <w:r w:rsidR="00EB7CC8">
        <w:rPr>
          <w:rFonts w:ascii="Arial" w:hAnsi="Arial" w:cs="Arial"/>
          <w:sz w:val="22"/>
          <w:szCs w:val="22"/>
        </w:rPr>
        <w:t xml:space="preserve">disposal of assets and distribution </w:t>
      </w:r>
      <w:r w:rsidR="0048483E">
        <w:rPr>
          <w:rFonts w:ascii="Arial" w:hAnsi="Arial" w:cs="Arial"/>
          <w:sz w:val="22"/>
          <w:szCs w:val="22"/>
        </w:rPr>
        <w:t xml:space="preserve">of </w:t>
      </w:r>
      <w:r w:rsidR="004718C0">
        <w:rPr>
          <w:rFonts w:ascii="Arial" w:hAnsi="Arial" w:cs="Arial"/>
          <w:sz w:val="22"/>
          <w:szCs w:val="22"/>
        </w:rPr>
        <w:t xml:space="preserve">the </w:t>
      </w:r>
      <w:r w:rsidR="00EB7CC8">
        <w:rPr>
          <w:rFonts w:ascii="Arial" w:hAnsi="Arial" w:cs="Arial"/>
          <w:sz w:val="22"/>
          <w:szCs w:val="22"/>
        </w:rPr>
        <w:t>proceeds</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Your answer should make reference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5832B3DC" w:rsidR="006A13C5"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the v</w:t>
      </w:r>
      <w:r w:rsidR="00EB7CC8">
        <w:rPr>
          <w:rFonts w:ascii="Arial" w:hAnsi="Arial" w:cs="Arial"/>
          <w:sz w:val="22"/>
          <w:szCs w:val="22"/>
          <w:lang w:val="en-GB"/>
        </w:rPr>
        <w:t>arious means of sale of assets available to the liquidat</w:t>
      </w:r>
      <w:r w:rsidR="00902561">
        <w:rPr>
          <w:rFonts w:ascii="Arial" w:hAnsi="Arial" w:cs="Arial"/>
          <w:sz w:val="22"/>
          <w:szCs w:val="22"/>
          <w:lang w:val="en-GB"/>
        </w:rPr>
        <w:t>or</w:t>
      </w:r>
      <w:r w:rsidR="00EB7CC8">
        <w:rPr>
          <w:rFonts w:ascii="Arial" w:hAnsi="Arial" w:cs="Arial"/>
          <w:sz w:val="22"/>
          <w:szCs w:val="22"/>
          <w:lang w:val="en-GB"/>
        </w:rPr>
        <w:t xml:space="preserve"> including the eligibility requirements to purchase assets in liquidation</w:t>
      </w:r>
      <w:r w:rsidR="006A13C5">
        <w:rPr>
          <w:rFonts w:ascii="Arial" w:hAnsi="Arial" w:cs="Arial"/>
          <w:sz w:val="22"/>
          <w:szCs w:val="22"/>
          <w:lang w:val="en-GB"/>
        </w:rPr>
        <w:t>;</w:t>
      </w:r>
    </w:p>
    <w:p w14:paraId="5AB576A6" w14:textId="70BFDDD6" w:rsidR="002A572B" w:rsidRPr="00081E94"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the </w:t>
      </w:r>
      <w:r w:rsidR="00EB7CC8">
        <w:rPr>
          <w:rFonts w:ascii="Arial" w:hAnsi="Arial" w:cs="Arial"/>
          <w:sz w:val="22"/>
          <w:szCs w:val="22"/>
          <w:lang w:val="en-GB"/>
        </w:rPr>
        <w:t>priority of debts in liquidation</w:t>
      </w:r>
      <w:r w:rsidR="002A572B" w:rsidRPr="00081E94">
        <w:rPr>
          <w:rFonts w:ascii="Arial" w:hAnsi="Arial" w:cs="Arial"/>
          <w:sz w:val="22"/>
          <w:szCs w:val="22"/>
          <w:lang w:val="en-GB"/>
        </w:rPr>
        <w:t>; and</w:t>
      </w:r>
    </w:p>
    <w:p w14:paraId="7E95AD6B" w14:textId="61075A4A" w:rsidR="002A572B" w:rsidRPr="00081E94" w:rsidRDefault="00263D1C"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a </w:t>
      </w:r>
      <w:r w:rsidR="00EB7CC8">
        <w:rPr>
          <w:rFonts w:ascii="Arial" w:hAnsi="Arial" w:cs="Arial"/>
          <w:sz w:val="22"/>
          <w:szCs w:val="22"/>
          <w:lang w:val="en-GB"/>
        </w:rPr>
        <w:t xml:space="preserve">timeline for completion of </w:t>
      </w:r>
      <w:r>
        <w:rPr>
          <w:rFonts w:ascii="Arial" w:hAnsi="Arial" w:cs="Arial"/>
          <w:sz w:val="22"/>
          <w:szCs w:val="22"/>
          <w:lang w:val="en-GB"/>
        </w:rPr>
        <w:t xml:space="preserve">the </w:t>
      </w:r>
      <w:r w:rsidR="00EB7CC8">
        <w:rPr>
          <w:rFonts w:ascii="Arial" w:hAnsi="Arial" w:cs="Arial"/>
          <w:sz w:val="22"/>
          <w:szCs w:val="22"/>
          <w:lang w:val="en-GB"/>
        </w:rPr>
        <w:t>liquidation</w:t>
      </w:r>
      <w:r>
        <w:rPr>
          <w:rFonts w:ascii="Arial" w:hAnsi="Arial" w:cs="Arial"/>
          <w:sz w:val="22"/>
          <w:szCs w:val="22"/>
          <w:lang w:val="en-GB"/>
        </w:rPr>
        <w:t xml:space="preserve"> process</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3092A12D" w14:textId="77777777" w:rsidR="0062576E" w:rsidRDefault="00DF75F8" w:rsidP="00486688">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3C209F">
        <w:rPr>
          <w:rFonts w:ascii="Arial" w:hAnsi="Arial" w:cs="Arial"/>
          <w:color w:val="7B7B7B" w:themeColor="accent3" w:themeShade="BF"/>
          <w:sz w:val="22"/>
          <w:szCs w:val="22"/>
          <w:lang w:val="en-GB"/>
        </w:rPr>
        <w:t>Liquidation process of a company under the Insolvency and Bankruptcy Code 2016 is one the two liquidation regimes in India for companies</w:t>
      </w:r>
      <w:r w:rsidR="003C209F">
        <w:rPr>
          <w:rStyle w:val="FootnoteReference"/>
          <w:rFonts w:ascii="Arial" w:hAnsi="Arial" w:cs="Arial"/>
          <w:color w:val="7B7B7B" w:themeColor="accent3" w:themeShade="BF"/>
          <w:sz w:val="22"/>
          <w:szCs w:val="22"/>
          <w:lang w:val="en-GB"/>
        </w:rPr>
        <w:footnoteReference w:id="13"/>
      </w:r>
      <w:r w:rsidR="003C209F">
        <w:rPr>
          <w:rFonts w:ascii="Arial" w:hAnsi="Arial" w:cs="Arial"/>
          <w:color w:val="7B7B7B" w:themeColor="accent3" w:themeShade="BF"/>
          <w:sz w:val="22"/>
          <w:szCs w:val="22"/>
          <w:lang w:val="en-GB"/>
        </w:rPr>
        <w:t xml:space="preserve">. </w:t>
      </w:r>
      <w:r w:rsidR="007C25FF">
        <w:rPr>
          <w:rFonts w:ascii="Arial" w:hAnsi="Arial" w:cs="Arial"/>
          <w:color w:val="7B7B7B" w:themeColor="accent3" w:themeShade="BF"/>
          <w:sz w:val="22"/>
          <w:szCs w:val="22"/>
          <w:lang w:val="en-GB"/>
        </w:rPr>
        <w:t>The emergence of the Code</w:t>
      </w:r>
      <w:r w:rsidR="007C25FF">
        <w:rPr>
          <w:rStyle w:val="FootnoteReference"/>
          <w:rFonts w:ascii="Arial" w:hAnsi="Arial" w:cs="Arial"/>
          <w:color w:val="7B7B7B" w:themeColor="accent3" w:themeShade="BF"/>
          <w:sz w:val="22"/>
          <w:szCs w:val="22"/>
          <w:lang w:val="en-GB"/>
        </w:rPr>
        <w:footnoteReference w:id="14"/>
      </w:r>
      <w:r w:rsidR="007C25FF">
        <w:rPr>
          <w:rFonts w:ascii="Arial" w:hAnsi="Arial" w:cs="Arial"/>
          <w:color w:val="7B7B7B" w:themeColor="accent3" w:themeShade="BF"/>
          <w:sz w:val="22"/>
          <w:szCs w:val="22"/>
          <w:lang w:val="en-GB"/>
        </w:rPr>
        <w:t xml:space="preserve">,removed the inability to pay debts as a ground upon which to wind up a company under the Companies Act 2013 and provided a payment default as the basis of an insolvency resolution application. Furthermore, </w:t>
      </w:r>
      <w:r w:rsidR="00BF32C6">
        <w:rPr>
          <w:rFonts w:ascii="Arial" w:hAnsi="Arial" w:cs="Arial"/>
          <w:color w:val="7B7B7B" w:themeColor="accent3" w:themeShade="BF"/>
          <w:sz w:val="22"/>
          <w:szCs w:val="22"/>
          <w:lang w:val="en-GB"/>
        </w:rPr>
        <w:t>the ability of a creditor to file a winding up petition under the Companies Act was also removed, resulting to the Code becoming the prominent legislation with which to resolve and liquidate companies in India.</w:t>
      </w:r>
    </w:p>
    <w:p w14:paraId="5955CB6C" w14:textId="77777777" w:rsidR="0062576E" w:rsidRDefault="0062576E" w:rsidP="00486688">
      <w:pPr>
        <w:jc w:val="both"/>
        <w:rPr>
          <w:rFonts w:ascii="Arial" w:hAnsi="Arial" w:cs="Arial"/>
          <w:color w:val="7B7B7B" w:themeColor="accent3" w:themeShade="BF"/>
          <w:sz w:val="22"/>
          <w:szCs w:val="22"/>
          <w:lang w:val="en-GB"/>
        </w:rPr>
      </w:pPr>
    </w:p>
    <w:p w14:paraId="22AF8163" w14:textId="77777777" w:rsidR="00D2276C" w:rsidRDefault="0062576E"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of the Code relates to insolvency and liquidation of companies registered under the Companies Act or other legislation, as well as limited liability partnerships and the insolvency resolution and bankruptcy of individuals and partnership firms. However, those parts are not yet in operation except in relation to personal guarantors to corporate debtors.</w:t>
      </w:r>
      <w:r w:rsidR="00596902">
        <w:rPr>
          <w:rStyle w:val="FootnoteReference"/>
          <w:rFonts w:ascii="Arial" w:hAnsi="Arial" w:cs="Arial"/>
          <w:color w:val="7B7B7B" w:themeColor="accent3" w:themeShade="BF"/>
          <w:sz w:val="22"/>
          <w:szCs w:val="22"/>
          <w:lang w:val="en-GB"/>
        </w:rPr>
        <w:footnoteReference w:id="15"/>
      </w:r>
    </w:p>
    <w:p w14:paraId="1CE47085" w14:textId="77777777" w:rsidR="00D2276C" w:rsidRDefault="00D2276C" w:rsidP="00486688">
      <w:pPr>
        <w:jc w:val="both"/>
        <w:rPr>
          <w:rFonts w:ascii="Arial" w:hAnsi="Arial" w:cs="Arial"/>
          <w:color w:val="7B7B7B" w:themeColor="accent3" w:themeShade="BF"/>
          <w:sz w:val="22"/>
          <w:szCs w:val="22"/>
          <w:lang w:val="en-GB"/>
        </w:rPr>
      </w:pPr>
    </w:p>
    <w:p w14:paraId="109B693C" w14:textId="77777777" w:rsidR="00D2276C" w:rsidRDefault="00D2276C"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Code, liquidation process of a company can be entered in two ways;</w:t>
      </w:r>
    </w:p>
    <w:p w14:paraId="209EE8B1" w14:textId="77777777" w:rsidR="00D2276C" w:rsidRPr="00D2276C" w:rsidRDefault="00D2276C" w:rsidP="00D2276C">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Liquidation which follows a Corporate Insolvency Resolution Process (CIRP); and</w:t>
      </w:r>
    </w:p>
    <w:p w14:paraId="58223A67" w14:textId="77777777" w:rsidR="000A61C3" w:rsidRPr="000A61C3" w:rsidRDefault="00D2276C" w:rsidP="000A61C3">
      <w:pPr>
        <w:pStyle w:val="ListParagraph"/>
        <w:numPr>
          <w:ilvl w:val="0"/>
          <w:numId w:val="25"/>
        </w:numPr>
        <w:jc w:val="both"/>
        <w:rPr>
          <w:rFonts w:ascii="Arial" w:hAnsi="Arial" w:cs="Arial"/>
          <w:sz w:val="22"/>
          <w:szCs w:val="22"/>
          <w:lang w:val="en-GB"/>
        </w:rPr>
      </w:pPr>
      <w:r>
        <w:rPr>
          <w:rFonts w:ascii="Arial" w:hAnsi="Arial" w:cs="Arial"/>
          <w:color w:val="7B7B7B" w:themeColor="accent3" w:themeShade="BF"/>
          <w:sz w:val="22"/>
          <w:szCs w:val="22"/>
          <w:lang w:val="en-GB"/>
        </w:rPr>
        <w:t>Voluntary liquidation where the corporate debtor can enter liquidation directly.</w:t>
      </w:r>
      <w:r>
        <w:rPr>
          <w:rStyle w:val="FootnoteReference"/>
          <w:rFonts w:ascii="Arial" w:hAnsi="Arial" w:cs="Arial"/>
          <w:color w:val="7B7B7B" w:themeColor="accent3" w:themeShade="BF"/>
          <w:sz w:val="22"/>
          <w:szCs w:val="22"/>
          <w:lang w:val="en-GB"/>
        </w:rPr>
        <w:footnoteReference w:id="16"/>
      </w:r>
    </w:p>
    <w:p w14:paraId="31D4F97B" w14:textId="77777777" w:rsidR="000A61C3" w:rsidRDefault="000A61C3" w:rsidP="000A61C3">
      <w:pPr>
        <w:jc w:val="both"/>
        <w:rPr>
          <w:rFonts w:ascii="Arial" w:hAnsi="Arial" w:cs="Arial"/>
          <w:color w:val="7B7B7B" w:themeColor="accent3" w:themeShade="BF"/>
          <w:sz w:val="22"/>
          <w:szCs w:val="22"/>
          <w:lang w:val="en-GB"/>
        </w:rPr>
      </w:pPr>
    </w:p>
    <w:p w14:paraId="2465A683" w14:textId="77777777" w:rsidR="008E77B7" w:rsidRDefault="000A61C3" w:rsidP="000A61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liquidation which follows a Corporate Insolvency Resolution Process</w:t>
      </w:r>
      <w:r w:rsidR="0062576E" w:rsidRPr="000A61C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(CIRP) can be initiated by a financial creditor or an operational creditor of the corporate debtor upon the occurrence of a default (for a minimum of INR 10,000,000) by filing an application before the National Company Law Tribunal.</w:t>
      </w:r>
      <w:r w:rsidR="00774902">
        <w:rPr>
          <w:rFonts w:ascii="Arial" w:hAnsi="Arial" w:cs="Arial"/>
          <w:color w:val="7B7B7B" w:themeColor="accent3" w:themeShade="BF"/>
          <w:sz w:val="22"/>
          <w:szCs w:val="22"/>
          <w:lang w:val="en-GB"/>
        </w:rPr>
        <w:t xml:space="preserve"> Upon the occurrence of a default, the corporate debtor itself or a shareholder or partner of the corporate debtor and any other person who has the control and supervision over financial affairs of the corporate debtor, may also apply to the National Company Law Tribunal for initiation of the CIRP, provided such application has been approved by 75% of the shareholders or partners of the corporate debtor.</w:t>
      </w:r>
      <w:r w:rsidR="00CC6599">
        <w:rPr>
          <w:rStyle w:val="FootnoteReference"/>
          <w:rFonts w:ascii="Arial" w:hAnsi="Arial" w:cs="Arial"/>
          <w:color w:val="7B7B7B" w:themeColor="accent3" w:themeShade="BF"/>
          <w:sz w:val="22"/>
          <w:szCs w:val="22"/>
          <w:lang w:val="en-GB"/>
        </w:rPr>
        <w:footnoteReference w:id="17"/>
      </w:r>
      <w:r w:rsidR="007C25FF" w:rsidRPr="000A61C3">
        <w:rPr>
          <w:rFonts w:ascii="Arial" w:hAnsi="Arial" w:cs="Arial"/>
          <w:color w:val="7B7B7B" w:themeColor="accent3" w:themeShade="BF"/>
          <w:sz w:val="22"/>
          <w:szCs w:val="22"/>
          <w:lang w:val="en-GB"/>
        </w:rPr>
        <w:t xml:space="preserve"> </w:t>
      </w:r>
      <w:r w:rsidR="001936AE">
        <w:rPr>
          <w:rFonts w:ascii="Arial" w:hAnsi="Arial" w:cs="Arial"/>
          <w:color w:val="7B7B7B" w:themeColor="accent3" w:themeShade="BF"/>
          <w:sz w:val="22"/>
          <w:szCs w:val="22"/>
          <w:lang w:val="en-GB"/>
        </w:rPr>
        <w:t>The National Company Law Tribunal will, within 14 days of receipt of the CIRP application</w:t>
      </w:r>
      <w:r w:rsidR="009740D1">
        <w:rPr>
          <w:rStyle w:val="FootnoteReference"/>
          <w:rFonts w:ascii="Arial" w:hAnsi="Arial" w:cs="Arial"/>
          <w:color w:val="7B7B7B" w:themeColor="accent3" w:themeShade="BF"/>
          <w:sz w:val="22"/>
          <w:szCs w:val="22"/>
          <w:lang w:val="en-GB"/>
        </w:rPr>
        <w:footnoteReference w:id="18"/>
      </w:r>
      <w:r w:rsidR="001936AE">
        <w:rPr>
          <w:rFonts w:ascii="Arial" w:hAnsi="Arial" w:cs="Arial"/>
          <w:color w:val="7B7B7B" w:themeColor="accent3" w:themeShade="BF"/>
          <w:sz w:val="22"/>
          <w:szCs w:val="22"/>
          <w:lang w:val="en-GB"/>
        </w:rPr>
        <w:t>,</w:t>
      </w:r>
      <w:r w:rsidR="009740D1">
        <w:rPr>
          <w:rFonts w:ascii="Arial" w:hAnsi="Arial" w:cs="Arial"/>
          <w:color w:val="7B7B7B" w:themeColor="accent3" w:themeShade="BF"/>
          <w:sz w:val="22"/>
          <w:szCs w:val="22"/>
          <w:lang w:val="en-GB"/>
        </w:rPr>
        <w:t xml:space="preserve"> </w:t>
      </w:r>
      <w:r w:rsidR="001936AE">
        <w:rPr>
          <w:rFonts w:ascii="Arial" w:hAnsi="Arial" w:cs="Arial"/>
          <w:color w:val="7B7B7B" w:themeColor="accent3" w:themeShade="BF"/>
          <w:sz w:val="22"/>
          <w:szCs w:val="22"/>
          <w:lang w:val="en-GB"/>
        </w:rPr>
        <w:t>admit the application after ascertaining the existence of a default.</w:t>
      </w:r>
      <w:r w:rsidR="006F7688">
        <w:rPr>
          <w:rFonts w:ascii="Arial" w:hAnsi="Arial" w:cs="Arial"/>
          <w:color w:val="7B7B7B" w:themeColor="accent3" w:themeShade="BF"/>
          <w:sz w:val="22"/>
          <w:szCs w:val="22"/>
          <w:lang w:val="en-GB"/>
        </w:rPr>
        <w:t xml:space="preserve"> The Supreme Court has held further, in the context of an application by financial creditors, that if the existence of the debt and a default is prima facie proven, the application will be admitted by the National Company Law Tribunal</w:t>
      </w:r>
      <w:r w:rsidR="006F7688">
        <w:rPr>
          <w:rStyle w:val="FootnoteReference"/>
          <w:rFonts w:ascii="Arial" w:hAnsi="Arial" w:cs="Arial"/>
          <w:color w:val="7B7B7B" w:themeColor="accent3" w:themeShade="BF"/>
          <w:sz w:val="22"/>
          <w:szCs w:val="22"/>
          <w:lang w:val="en-GB"/>
        </w:rPr>
        <w:footnoteReference w:id="19"/>
      </w:r>
      <w:r w:rsidR="006F7688">
        <w:rPr>
          <w:rFonts w:ascii="Arial" w:hAnsi="Arial" w:cs="Arial"/>
          <w:color w:val="7B7B7B" w:themeColor="accent3" w:themeShade="BF"/>
          <w:sz w:val="22"/>
          <w:szCs w:val="22"/>
          <w:lang w:val="en-GB"/>
        </w:rPr>
        <w:t>.</w:t>
      </w:r>
    </w:p>
    <w:p w14:paraId="3C3F6F8C" w14:textId="77777777" w:rsidR="008E77B7" w:rsidRDefault="008E77B7" w:rsidP="000A61C3">
      <w:pPr>
        <w:jc w:val="both"/>
        <w:rPr>
          <w:rFonts w:ascii="Arial" w:hAnsi="Arial" w:cs="Arial"/>
          <w:color w:val="7B7B7B" w:themeColor="accent3" w:themeShade="BF"/>
          <w:sz w:val="22"/>
          <w:szCs w:val="22"/>
          <w:lang w:val="en-GB"/>
        </w:rPr>
      </w:pPr>
    </w:p>
    <w:p w14:paraId="3BB8BF67" w14:textId="77777777" w:rsidR="003C63A5" w:rsidRDefault="008E77B7" w:rsidP="000A61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Due to the </w:t>
      </w:r>
      <w:proofErr w:type="spellStart"/>
      <w:r>
        <w:rPr>
          <w:rFonts w:ascii="Arial" w:hAnsi="Arial" w:cs="Arial"/>
          <w:color w:val="7B7B7B" w:themeColor="accent3" w:themeShade="BF"/>
          <w:sz w:val="22"/>
          <w:szCs w:val="22"/>
          <w:lang w:val="en-GB"/>
        </w:rPr>
        <w:t>Covid</w:t>
      </w:r>
      <w:proofErr w:type="spellEnd"/>
      <w:r>
        <w:rPr>
          <w:rFonts w:ascii="Arial" w:hAnsi="Arial" w:cs="Arial"/>
          <w:color w:val="7B7B7B" w:themeColor="accent3" w:themeShade="BF"/>
          <w:sz w:val="22"/>
          <w:szCs w:val="22"/>
          <w:lang w:val="en-GB"/>
        </w:rPr>
        <w:t xml:space="preserve"> 19 pandemic, the Code has however been amended to insert section 10A to the effect that an application to commence CIRP cannot be filed by any one at any point in time on the basis of a default which has occurred on 25 March, 2020 or thereafter during a specified period subject to a maximum of 12 months.</w:t>
      </w:r>
      <w:r w:rsidR="00C4113B">
        <w:rPr>
          <w:rFonts w:ascii="Arial" w:hAnsi="Arial" w:cs="Arial"/>
          <w:color w:val="7B7B7B" w:themeColor="accent3" w:themeShade="BF"/>
          <w:sz w:val="22"/>
          <w:szCs w:val="22"/>
          <w:lang w:val="en-GB"/>
        </w:rPr>
        <w:t xml:space="preserve"> Currently, this specified period is up to 25 December, 2020.</w:t>
      </w:r>
    </w:p>
    <w:p w14:paraId="700DBF9D" w14:textId="77777777" w:rsidR="003C63A5" w:rsidRDefault="003C63A5" w:rsidP="000A61C3">
      <w:pPr>
        <w:jc w:val="both"/>
        <w:rPr>
          <w:rFonts w:ascii="Arial" w:hAnsi="Arial" w:cs="Arial"/>
          <w:color w:val="7B7B7B" w:themeColor="accent3" w:themeShade="BF"/>
          <w:sz w:val="22"/>
          <w:szCs w:val="22"/>
          <w:lang w:val="en-GB"/>
        </w:rPr>
      </w:pPr>
    </w:p>
    <w:p w14:paraId="3618FFB6" w14:textId="77777777" w:rsidR="00756450" w:rsidRDefault="003C63A5" w:rsidP="000A61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59 of the Code, a company may place itself in voluntary liquidation, provided it has not defaulted in its payment obligations towards creditors.</w:t>
      </w:r>
      <w:r w:rsidR="00063A59">
        <w:rPr>
          <w:rFonts w:ascii="Arial" w:hAnsi="Arial" w:cs="Arial"/>
          <w:color w:val="7B7B7B" w:themeColor="accent3" w:themeShade="BF"/>
          <w:sz w:val="22"/>
          <w:szCs w:val="22"/>
          <w:lang w:val="en-GB"/>
        </w:rPr>
        <w:t xml:space="preserve"> A special resolution (75%) of the shareholders of th company will be required, resolving that it be placed in voluntary liquidation and appointing an Insolvency professional</w:t>
      </w:r>
      <w:r w:rsidR="00447690">
        <w:rPr>
          <w:rFonts w:ascii="Arial" w:hAnsi="Arial" w:cs="Arial"/>
          <w:color w:val="7B7B7B" w:themeColor="accent3" w:themeShade="BF"/>
          <w:sz w:val="22"/>
          <w:szCs w:val="22"/>
          <w:lang w:val="en-GB"/>
        </w:rPr>
        <w:t xml:space="preserve"> to act as the liquidator (who can be replaced by the shareholders with a resolution passed by 75% majority).</w:t>
      </w:r>
      <w:r w:rsidR="000E7014">
        <w:rPr>
          <w:rFonts w:ascii="Arial" w:hAnsi="Arial" w:cs="Arial"/>
          <w:color w:val="7B7B7B" w:themeColor="accent3" w:themeShade="BF"/>
          <w:sz w:val="22"/>
          <w:szCs w:val="22"/>
          <w:lang w:val="en-GB"/>
        </w:rPr>
        <w:t xml:space="preserve"> An ordinary resolution will suffice where the articles of association of the company provide that the company is to be liquidated after a specific period.</w:t>
      </w:r>
      <w:r w:rsidR="00FF42D0">
        <w:rPr>
          <w:rFonts w:ascii="Arial" w:hAnsi="Arial" w:cs="Arial"/>
          <w:color w:val="7B7B7B" w:themeColor="accent3" w:themeShade="BF"/>
          <w:sz w:val="22"/>
          <w:szCs w:val="22"/>
          <w:lang w:val="en-GB"/>
        </w:rPr>
        <w:t xml:space="preserve"> Liquidation commences from the date of the passing of such resolution.</w:t>
      </w:r>
      <w:r w:rsidR="00756450">
        <w:rPr>
          <w:rFonts w:ascii="Arial" w:hAnsi="Arial" w:cs="Arial"/>
          <w:color w:val="7B7B7B" w:themeColor="accent3" w:themeShade="BF"/>
          <w:sz w:val="22"/>
          <w:szCs w:val="22"/>
          <w:lang w:val="en-GB"/>
        </w:rPr>
        <w:t xml:space="preserve"> Upon the passing of the resolution, the company is required to notify the Registrar of companies and the Insolvency and Bankruptcy Board of India</w:t>
      </w:r>
      <w:r w:rsidR="00756450">
        <w:rPr>
          <w:rStyle w:val="FootnoteReference"/>
          <w:rFonts w:ascii="Arial" w:hAnsi="Arial" w:cs="Arial"/>
          <w:color w:val="7B7B7B" w:themeColor="accent3" w:themeShade="BF"/>
          <w:sz w:val="22"/>
          <w:szCs w:val="22"/>
          <w:lang w:val="en-GB"/>
        </w:rPr>
        <w:footnoteReference w:id="20"/>
      </w:r>
    </w:p>
    <w:p w14:paraId="1BB52904" w14:textId="77777777" w:rsidR="00756450" w:rsidRDefault="00756450" w:rsidP="000A61C3">
      <w:pPr>
        <w:jc w:val="both"/>
        <w:rPr>
          <w:rFonts w:ascii="Arial" w:hAnsi="Arial" w:cs="Arial"/>
          <w:color w:val="7B7B7B" w:themeColor="accent3" w:themeShade="BF"/>
          <w:sz w:val="22"/>
          <w:szCs w:val="22"/>
          <w:lang w:val="en-GB"/>
        </w:rPr>
      </w:pPr>
    </w:p>
    <w:p w14:paraId="25E4BD77" w14:textId="26141EEE" w:rsidR="00A02377" w:rsidRDefault="00FE5D34" w:rsidP="000A61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various means of sale of assets available to the Liquidator including the eligibility requirements to purchase assets in liquidation, the Liquidation Regulations 2016 requires the Liquidator to make efforts to propose a scheme of arrangement / compromise under the Companies Act within the first 90 days from the date of commencement of liquidation.</w:t>
      </w:r>
      <w:r w:rsidR="00B17BCA">
        <w:rPr>
          <w:rFonts w:ascii="Arial" w:hAnsi="Arial" w:cs="Arial"/>
          <w:color w:val="7B7B7B" w:themeColor="accent3" w:themeShade="BF"/>
          <w:sz w:val="22"/>
          <w:szCs w:val="22"/>
          <w:lang w:val="en-GB"/>
        </w:rPr>
        <w:t xml:space="preserve"> The time taken for such compromise or arrangement not exceeding 90 days is not included in the liquidation period</w:t>
      </w:r>
      <w:r w:rsidR="00B17BCA">
        <w:rPr>
          <w:rStyle w:val="FootnoteReference"/>
          <w:rFonts w:ascii="Arial" w:hAnsi="Arial" w:cs="Arial"/>
          <w:color w:val="7B7B7B" w:themeColor="accent3" w:themeShade="BF"/>
          <w:sz w:val="22"/>
          <w:szCs w:val="22"/>
          <w:lang w:val="en-GB"/>
        </w:rPr>
        <w:footnoteReference w:id="21"/>
      </w:r>
      <w:r w:rsidR="00B17BCA">
        <w:rPr>
          <w:rFonts w:ascii="Arial" w:hAnsi="Arial" w:cs="Arial"/>
          <w:color w:val="7B7B7B" w:themeColor="accent3" w:themeShade="BF"/>
          <w:sz w:val="22"/>
          <w:szCs w:val="22"/>
          <w:lang w:val="en-GB"/>
        </w:rPr>
        <w:t>.</w:t>
      </w:r>
      <w:r w:rsidR="007C6D51">
        <w:rPr>
          <w:rFonts w:ascii="Arial" w:hAnsi="Arial" w:cs="Arial"/>
          <w:color w:val="7B7B7B" w:themeColor="accent3" w:themeShade="BF"/>
          <w:sz w:val="22"/>
          <w:szCs w:val="22"/>
          <w:lang w:val="en-GB"/>
        </w:rPr>
        <w:t xml:space="preserve"> If, however, during the CIRP the committee of creditors have recommended the sale of the corporate debtor as a going concern, the Liquidator is first required to endeavour to attempt selling the corporate debtor as a going concern</w:t>
      </w:r>
      <w:r w:rsidR="007C6D51">
        <w:rPr>
          <w:rStyle w:val="FootnoteReference"/>
          <w:rFonts w:ascii="Arial" w:hAnsi="Arial" w:cs="Arial"/>
          <w:color w:val="7B7B7B" w:themeColor="accent3" w:themeShade="BF"/>
          <w:sz w:val="22"/>
          <w:szCs w:val="22"/>
          <w:lang w:val="en-GB"/>
        </w:rPr>
        <w:footnoteReference w:id="22"/>
      </w:r>
      <w:r w:rsidR="007C6D51">
        <w:rPr>
          <w:rFonts w:ascii="Arial" w:hAnsi="Arial" w:cs="Arial"/>
          <w:color w:val="7B7B7B" w:themeColor="accent3" w:themeShade="BF"/>
          <w:sz w:val="22"/>
          <w:szCs w:val="22"/>
          <w:lang w:val="en-GB"/>
        </w:rPr>
        <w:t>.</w:t>
      </w:r>
      <w:r w:rsidR="00B61B54">
        <w:rPr>
          <w:rFonts w:ascii="Arial" w:hAnsi="Arial" w:cs="Arial"/>
          <w:color w:val="7B7B7B" w:themeColor="accent3" w:themeShade="BF"/>
          <w:sz w:val="22"/>
          <w:szCs w:val="22"/>
          <w:lang w:val="en-GB"/>
        </w:rPr>
        <w:t xml:space="preserve"> To this extent, the committee of creditors may identify assets and liabilities which may be sold as a going concern, absent which the Liquidator can decide which assets and liabilities should be sold together as a going concern.</w:t>
      </w:r>
      <w:r w:rsidR="00C84B6B">
        <w:rPr>
          <w:rFonts w:ascii="Arial" w:hAnsi="Arial" w:cs="Arial"/>
          <w:color w:val="7B7B7B" w:themeColor="accent3" w:themeShade="BF"/>
          <w:sz w:val="22"/>
          <w:szCs w:val="22"/>
          <w:lang w:val="en-GB"/>
        </w:rPr>
        <w:t xml:space="preserve"> If such sale as a going concern has not occurred within 90 days from the liquidation commencement date, the Liquidator must then sell the assets on a </w:t>
      </w:r>
      <w:r w:rsidR="00C84B6B">
        <w:rPr>
          <w:rFonts w:ascii="Arial" w:hAnsi="Arial" w:cs="Arial"/>
          <w:color w:val="7B7B7B" w:themeColor="accent3" w:themeShade="BF"/>
          <w:sz w:val="22"/>
          <w:szCs w:val="22"/>
          <w:lang w:val="en-GB"/>
        </w:rPr>
        <w:lastRenderedPageBreak/>
        <w:t>standalone basis, in parcels or collectively</w:t>
      </w:r>
      <w:r w:rsidR="00C84B6B">
        <w:rPr>
          <w:rStyle w:val="FootnoteReference"/>
          <w:rFonts w:ascii="Arial" w:hAnsi="Arial" w:cs="Arial"/>
          <w:color w:val="7B7B7B" w:themeColor="accent3" w:themeShade="BF"/>
          <w:sz w:val="22"/>
          <w:szCs w:val="22"/>
          <w:lang w:val="en-GB"/>
        </w:rPr>
        <w:footnoteReference w:id="23"/>
      </w:r>
      <w:r w:rsidR="00C84B6B">
        <w:rPr>
          <w:rFonts w:ascii="Arial" w:hAnsi="Arial" w:cs="Arial"/>
          <w:color w:val="7B7B7B" w:themeColor="accent3" w:themeShade="BF"/>
          <w:sz w:val="22"/>
          <w:szCs w:val="22"/>
          <w:lang w:val="en-GB"/>
        </w:rPr>
        <w:t>. Furthermore, the Liquidator is ordinarily</w:t>
      </w:r>
      <w:r w:rsidR="00EA7B9D">
        <w:rPr>
          <w:rFonts w:ascii="Arial" w:hAnsi="Arial" w:cs="Arial"/>
          <w:color w:val="7B7B7B" w:themeColor="accent3" w:themeShade="BF"/>
          <w:sz w:val="22"/>
          <w:szCs w:val="22"/>
          <w:lang w:val="en-GB"/>
        </w:rPr>
        <w:t xml:space="preserve"> required by the Regulation to sell the assets by way of public auction. How</w:t>
      </w:r>
      <w:r w:rsidR="00A02377">
        <w:rPr>
          <w:rFonts w:ascii="Arial" w:hAnsi="Arial" w:cs="Arial"/>
          <w:color w:val="7B7B7B" w:themeColor="accent3" w:themeShade="BF"/>
          <w:sz w:val="22"/>
          <w:szCs w:val="22"/>
          <w:lang w:val="en-GB"/>
        </w:rPr>
        <w:t>e</w:t>
      </w:r>
      <w:r w:rsidR="00EA7B9D">
        <w:rPr>
          <w:rFonts w:ascii="Arial" w:hAnsi="Arial" w:cs="Arial"/>
          <w:color w:val="7B7B7B" w:themeColor="accent3" w:themeShade="BF"/>
          <w:sz w:val="22"/>
          <w:szCs w:val="22"/>
          <w:lang w:val="en-GB"/>
        </w:rPr>
        <w:t>ver</w:t>
      </w:r>
      <w:r w:rsidR="00A02377">
        <w:rPr>
          <w:rFonts w:ascii="Arial" w:hAnsi="Arial" w:cs="Arial"/>
          <w:color w:val="7B7B7B" w:themeColor="accent3" w:themeShade="BF"/>
          <w:sz w:val="22"/>
          <w:szCs w:val="22"/>
          <w:lang w:val="en-GB"/>
        </w:rPr>
        <w:t>,</w:t>
      </w:r>
      <w:r w:rsidR="00EA7B9D">
        <w:rPr>
          <w:rFonts w:ascii="Arial" w:hAnsi="Arial" w:cs="Arial"/>
          <w:color w:val="7B7B7B" w:themeColor="accent3" w:themeShade="BF"/>
          <w:sz w:val="22"/>
          <w:szCs w:val="22"/>
          <w:lang w:val="en-GB"/>
        </w:rPr>
        <w:t xml:space="preserve"> if</w:t>
      </w:r>
      <w:r w:rsidR="00A02377">
        <w:rPr>
          <w:rFonts w:ascii="Arial" w:hAnsi="Arial" w:cs="Arial"/>
          <w:color w:val="7B7B7B" w:themeColor="accent3" w:themeShade="BF"/>
          <w:sz w:val="22"/>
          <w:szCs w:val="22"/>
          <w:lang w:val="en-GB"/>
        </w:rPr>
        <w:t>:</w:t>
      </w:r>
    </w:p>
    <w:p w14:paraId="6CF34D4D" w14:textId="030C2204" w:rsidR="00A02377" w:rsidRDefault="00A02377" w:rsidP="00A02377">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are perishable;</w:t>
      </w:r>
    </w:p>
    <w:p w14:paraId="0381B565" w14:textId="443842F7" w:rsidR="00A02377" w:rsidRDefault="00A02377" w:rsidP="00A02377">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are likely to deteriorate in value significantly if not, sold immediately;</w:t>
      </w:r>
    </w:p>
    <w:p w14:paraId="3D6DDC97" w14:textId="0E2AA2E1" w:rsidR="00A02377" w:rsidRDefault="00A02377" w:rsidP="00A02377">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are sold at a price higher than the reserve price of a failed auction; or</w:t>
      </w:r>
    </w:p>
    <w:p w14:paraId="14B74A16" w14:textId="5C1A5686" w:rsidR="00A02377" w:rsidRDefault="00A02377" w:rsidP="00A02377">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permission of the National Company Law Tribunal has been obtained for such sale,</w:t>
      </w:r>
    </w:p>
    <w:p w14:paraId="797632BC" w14:textId="39ABADE2" w:rsidR="00A02377" w:rsidRDefault="00A02377" w:rsidP="00A023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assets can be sold by way of a private sale</w:t>
      </w:r>
      <w:r>
        <w:rPr>
          <w:rStyle w:val="FootnoteReference"/>
          <w:rFonts w:ascii="Arial" w:hAnsi="Arial" w:cs="Arial"/>
          <w:color w:val="7B7B7B" w:themeColor="accent3" w:themeShade="BF"/>
          <w:sz w:val="22"/>
          <w:szCs w:val="22"/>
          <w:lang w:val="en-GB"/>
        </w:rPr>
        <w:footnoteReference w:id="24"/>
      </w:r>
      <w:r>
        <w:rPr>
          <w:rFonts w:ascii="Arial" w:hAnsi="Arial" w:cs="Arial"/>
          <w:color w:val="7B7B7B" w:themeColor="accent3" w:themeShade="BF"/>
          <w:sz w:val="22"/>
          <w:szCs w:val="22"/>
          <w:lang w:val="en-GB"/>
        </w:rPr>
        <w:t>.</w:t>
      </w:r>
    </w:p>
    <w:p w14:paraId="0A3A8DF2" w14:textId="03644466" w:rsidR="00A02377" w:rsidRDefault="00A02377" w:rsidP="00A02377">
      <w:pPr>
        <w:jc w:val="both"/>
        <w:rPr>
          <w:rFonts w:ascii="Arial" w:hAnsi="Arial" w:cs="Arial"/>
          <w:color w:val="7B7B7B" w:themeColor="accent3" w:themeShade="BF"/>
          <w:sz w:val="22"/>
          <w:szCs w:val="22"/>
          <w:lang w:val="en-GB"/>
        </w:rPr>
      </w:pPr>
    </w:p>
    <w:p w14:paraId="38A0BB79" w14:textId="28809EB4" w:rsidR="00A02377" w:rsidRDefault="00A02377" w:rsidP="00A023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regards to the eligibility requirement to purchase assets in Liquidation, the Liquidator cannot sell any assets to his own (or the corporate debtor’s) related parties, or any </w:t>
      </w:r>
      <w:r w:rsidR="00BE3419">
        <w:rPr>
          <w:rFonts w:ascii="Arial" w:hAnsi="Arial" w:cs="Arial"/>
          <w:color w:val="7B7B7B" w:themeColor="accent3" w:themeShade="BF"/>
          <w:sz w:val="22"/>
          <w:szCs w:val="22"/>
          <w:lang w:val="en-GB"/>
        </w:rPr>
        <w:t>professional appointed by him, without approval of the Adjudicating Authority</w:t>
      </w:r>
      <w:r w:rsidR="00BE3419">
        <w:rPr>
          <w:rStyle w:val="FootnoteReference"/>
          <w:rFonts w:ascii="Arial" w:hAnsi="Arial" w:cs="Arial"/>
          <w:color w:val="7B7B7B" w:themeColor="accent3" w:themeShade="BF"/>
          <w:sz w:val="22"/>
          <w:szCs w:val="22"/>
          <w:lang w:val="en-GB"/>
        </w:rPr>
        <w:footnoteReference w:id="25"/>
      </w:r>
      <w:r w:rsidR="00BE341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5B2F32">
        <w:rPr>
          <w:rFonts w:ascii="Arial" w:hAnsi="Arial" w:cs="Arial"/>
          <w:color w:val="7B7B7B" w:themeColor="accent3" w:themeShade="BF"/>
          <w:sz w:val="22"/>
          <w:szCs w:val="22"/>
          <w:lang w:val="en-GB"/>
        </w:rPr>
        <w:t>The Liquidator also cannot sell the assets to any person who was ineligible to submit a resolution plan for the corporate debtor under Section 29A of the Code</w:t>
      </w:r>
      <w:r w:rsidR="005B2F32">
        <w:rPr>
          <w:rStyle w:val="FootnoteReference"/>
          <w:rFonts w:ascii="Arial" w:hAnsi="Arial" w:cs="Arial"/>
          <w:color w:val="7B7B7B" w:themeColor="accent3" w:themeShade="BF"/>
          <w:sz w:val="22"/>
          <w:szCs w:val="22"/>
          <w:lang w:val="en-GB"/>
        </w:rPr>
        <w:footnoteReference w:id="26"/>
      </w:r>
      <w:r w:rsidR="005B2F32">
        <w:rPr>
          <w:rFonts w:ascii="Arial" w:hAnsi="Arial" w:cs="Arial"/>
          <w:color w:val="7B7B7B" w:themeColor="accent3" w:themeShade="BF"/>
          <w:sz w:val="22"/>
          <w:szCs w:val="22"/>
          <w:lang w:val="en-GB"/>
        </w:rPr>
        <w:t>.</w:t>
      </w:r>
    </w:p>
    <w:p w14:paraId="695531BC" w14:textId="0461EB0B" w:rsidR="00E7741F" w:rsidRDefault="00E7741F" w:rsidP="00A02377">
      <w:pPr>
        <w:jc w:val="both"/>
        <w:rPr>
          <w:rFonts w:ascii="Arial" w:hAnsi="Arial" w:cs="Arial"/>
          <w:color w:val="7B7B7B" w:themeColor="accent3" w:themeShade="BF"/>
          <w:sz w:val="22"/>
          <w:szCs w:val="22"/>
          <w:lang w:val="en-GB"/>
        </w:rPr>
      </w:pPr>
    </w:p>
    <w:p w14:paraId="3B82AE22" w14:textId="0F71A47E" w:rsidR="00E7741F" w:rsidRDefault="00E7741F" w:rsidP="00A0237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priority of debts in liquidation, Section 53(1) provided for the following;</w:t>
      </w:r>
    </w:p>
    <w:p w14:paraId="15C027C1" w14:textId="14AF02D2" w:rsidR="00E7741F" w:rsidRDefault="00E7741F" w:rsidP="00E7741F">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resolution process costs</w:t>
      </w:r>
      <w:r>
        <w:rPr>
          <w:rStyle w:val="FootnoteReference"/>
          <w:rFonts w:ascii="Arial" w:hAnsi="Arial" w:cs="Arial"/>
          <w:color w:val="7B7B7B" w:themeColor="accent3" w:themeShade="BF"/>
          <w:sz w:val="22"/>
          <w:szCs w:val="22"/>
          <w:lang w:val="en-GB"/>
        </w:rPr>
        <w:footnoteReference w:id="27"/>
      </w:r>
      <w:r w:rsidR="0040781C">
        <w:rPr>
          <w:rFonts w:ascii="Arial" w:hAnsi="Arial" w:cs="Arial"/>
          <w:color w:val="7B7B7B" w:themeColor="accent3" w:themeShade="BF"/>
          <w:sz w:val="22"/>
          <w:szCs w:val="22"/>
          <w:lang w:val="en-GB"/>
        </w:rPr>
        <w:t>and the liquidation cost</w:t>
      </w:r>
      <w:r w:rsidR="0040781C">
        <w:rPr>
          <w:rStyle w:val="FootnoteReference"/>
          <w:rFonts w:ascii="Arial" w:hAnsi="Arial" w:cs="Arial"/>
          <w:color w:val="7B7B7B" w:themeColor="accent3" w:themeShade="BF"/>
          <w:sz w:val="22"/>
          <w:szCs w:val="22"/>
          <w:lang w:val="en-GB"/>
        </w:rPr>
        <w:footnoteReference w:id="28"/>
      </w:r>
      <w:r w:rsidR="0040781C">
        <w:rPr>
          <w:rFonts w:ascii="Arial" w:hAnsi="Arial" w:cs="Arial"/>
          <w:color w:val="7B7B7B" w:themeColor="accent3" w:themeShade="BF"/>
          <w:sz w:val="22"/>
          <w:szCs w:val="22"/>
          <w:lang w:val="en-GB"/>
        </w:rPr>
        <w:t>, paid in full;</w:t>
      </w:r>
    </w:p>
    <w:p w14:paraId="190C0098" w14:textId="682DE53A" w:rsidR="00F31CCD" w:rsidRDefault="00F31CCD" w:rsidP="00E7741F">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debts, which rank equally between and among the following:</w:t>
      </w:r>
    </w:p>
    <w:p w14:paraId="310E7BAD" w14:textId="77777777" w:rsidR="004D5940" w:rsidRDefault="00F31CCD" w:rsidP="00F31CCD">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Workmen’s dues for the period of 24 months preceding the liquidation commencement date, that is</w:t>
      </w:r>
      <w:r w:rsidR="004D5940">
        <w:rPr>
          <w:rFonts w:ascii="Arial" w:hAnsi="Arial" w:cs="Arial"/>
          <w:color w:val="7B7B7B" w:themeColor="accent3" w:themeShade="BF"/>
          <w:sz w:val="22"/>
          <w:szCs w:val="22"/>
          <w:lang w:val="en-GB"/>
        </w:rPr>
        <w:t>, the date on which the proceedings for liquidation commenced; and</w:t>
      </w:r>
    </w:p>
    <w:p w14:paraId="298AD570" w14:textId="112EFB7D" w:rsidR="004D5940" w:rsidRDefault="004D5940" w:rsidP="00F31CCD">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Debts owed to a secured </w:t>
      </w:r>
      <w:proofErr w:type="gramStart"/>
      <w:r>
        <w:rPr>
          <w:rFonts w:ascii="Arial" w:hAnsi="Arial" w:cs="Arial"/>
          <w:color w:val="7B7B7B" w:themeColor="accent3" w:themeShade="BF"/>
          <w:sz w:val="22"/>
          <w:szCs w:val="22"/>
          <w:lang w:val="en-GB"/>
        </w:rPr>
        <w:t>creditor,</w:t>
      </w:r>
      <w:proofErr w:type="gramEnd"/>
      <w:r>
        <w:rPr>
          <w:rFonts w:ascii="Arial" w:hAnsi="Arial" w:cs="Arial"/>
          <w:color w:val="7B7B7B" w:themeColor="accent3" w:themeShade="BF"/>
          <w:sz w:val="22"/>
          <w:szCs w:val="22"/>
          <w:lang w:val="en-GB"/>
        </w:rPr>
        <w:t xml:space="preserve"> in the event such secured creditor has relinquished its security to the liquidation estate;</w:t>
      </w:r>
    </w:p>
    <w:p w14:paraId="5748A072" w14:textId="77777777" w:rsidR="004D5940" w:rsidRDefault="004D5940" w:rsidP="004D594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Wages and any unpaid dues owed to employees (other than workmen) for the period of 12 months preceding the liquidation commencement date;</w:t>
      </w:r>
    </w:p>
    <w:p w14:paraId="4CD72EF5" w14:textId="77777777" w:rsidR="004D5940" w:rsidRDefault="004D5940" w:rsidP="004D594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Financial debts owed to unsecured creditors;</w:t>
      </w:r>
    </w:p>
    <w:p w14:paraId="687D3B2E" w14:textId="77777777" w:rsidR="00C64816" w:rsidRDefault="00C64816" w:rsidP="004D594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dues rank equally between and among the following: </w:t>
      </w:r>
    </w:p>
    <w:p w14:paraId="1A6CB04A" w14:textId="77777777" w:rsidR="00602FB6" w:rsidRDefault="00C64816" w:rsidP="00C64816">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 due to the Central Government and the State Government including the amount to be received on account of the Consolidated Fund of India and the Consolidated Fund of a State, if any, in respect of the whole or any part of the period of two years preceding the liquidation commencement date;</w:t>
      </w:r>
    </w:p>
    <w:p w14:paraId="62D7497D" w14:textId="77777777" w:rsidR="007206F1" w:rsidRDefault="00602FB6" w:rsidP="00C64816">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Debts owed to a secured creditor for any amount unpaid </w:t>
      </w:r>
      <w:r w:rsidR="001841E7">
        <w:rPr>
          <w:rFonts w:ascii="Arial" w:hAnsi="Arial" w:cs="Arial"/>
          <w:color w:val="7B7B7B" w:themeColor="accent3" w:themeShade="BF"/>
          <w:sz w:val="22"/>
          <w:szCs w:val="22"/>
          <w:lang w:val="en-GB"/>
        </w:rPr>
        <w:t>following the enforcement of its security interest.</w:t>
      </w:r>
    </w:p>
    <w:p w14:paraId="7EB14230" w14:textId="77777777" w:rsidR="007206F1" w:rsidRDefault="007206F1" w:rsidP="007206F1">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remaining debts and dues;</w:t>
      </w:r>
    </w:p>
    <w:p w14:paraId="0C52B992" w14:textId="77777777" w:rsidR="007206F1" w:rsidRDefault="007206F1" w:rsidP="007206F1">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 shareholders, if any; and</w:t>
      </w:r>
    </w:p>
    <w:p w14:paraId="29667C00" w14:textId="565BD6EB" w:rsidR="00B42FD6" w:rsidRDefault="007206F1" w:rsidP="007206F1">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Equity shareholders or partners, as the case maybe.</w:t>
      </w:r>
    </w:p>
    <w:p w14:paraId="1C50E1A5" w14:textId="77777777" w:rsidR="00B42FD6" w:rsidRDefault="00B42FD6" w:rsidP="00B42FD6">
      <w:pPr>
        <w:pStyle w:val="ListParagraph"/>
        <w:jc w:val="both"/>
        <w:rPr>
          <w:rFonts w:ascii="Arial" w:hAnsi="Arial" w:cs="Arial"/>
          <w:color w:val="7B7B7B" w:themeColor="accent3" w:themeShade="BF"/>
          <w:sz w:val="22"/>
          <w:szCs w:val="22"/>
          <w:lang w:val="en-GB"/>
        </w:rPr>
      </w:pPr>
    </w:p>
    <w:p w14:paraId="6D345D17" w14:textId="77777777" w:rsidR="005A0E6B" w:rsidRDefault="00B42FD6" w:rsidP="00B42FD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Any contractual arrangement between stakeholders with the same ranking, if disrupting the liquidation waterfall, will be disregard</w:t>
      </w:r>
      <w:r w:rsidR="004928B3">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by the Liquidator</w:t>
      </w:r>
      <w:r w:rsidR="00D23261">
        <w:rPr>
          <w:rStyle w:val="FootnoteReference"/>
          <w:rFonts w:ascii="Arial" w:hAnsi="Arial" w:cs="Arial"/>
          <w:color w:val="7B7B7B" w:themeColor="accent3" w:themeShade="BF"/>
          <w:sz w:val="22"/>
          <w:szCs w:val="22"/>
          <w:lang w:val="en-GB"/>
        </w:rPr>
        <w:footnoteReference w:id="29"/>
      </w:r>
      <w:r>
        <w:rPr>
          <w:rFonts w:ascii="Arial" w:hAnsi="Arial" w:cs="Arial"/>
          <w:color w:val="7B7B7B" w:themeColor="accent3" w:themeShade="BF"/>
          <w:sz w:val="22"/>
          <w:szCs w:val="22"/>
          <w:lang w:val="en-GB"/>
        </w:rPr>
        <w:t>.</w:t>
      </w:r>
    </w:p>
    <w:p w14:paraId="2AED4D5A" w14:textId="77777777" w:rsidR="005A0E6B" w:rsidRDefault="005A0E6B" w:rsidP="00B42FD6">
      <w:pPr>
        <w:ind w:left="360"/>
        <w:jc w:val="both"/>
        <w:rPr>
          <w:rFonts w:ascii="Arial" w:hAnsi="Arial" w:cs="Arial"/>
          <w:color w:val="7B7B7B" w:themeColor="accent3" w:themeShade="BF"/>
          <w:sz w:val="22"/>
          <w:szCs w:val="22"/>
          <w:lang w:val="en-GB"/>
        </w:rPr>
      </w:pPr>
    </w:p>
    <w:p w14:paraId="7940D274" w14:textId="08A930E6" w:rsidR="00DF75F8" w:rsidRPr="00B509F6" w:rsidRDefault="005A0E6B" w:rsidP="00B509F6">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the timeline for completion of the Liquidation process, the Liquidator is required to complete the liquidation within one year (an additional 90 days is allowed if a sale as a going concern is being attempted ) and if he does not do so, he is required to make an application to the National</w:t>
      </w:r>
      <w:r w:rsidR="00FE29C9">
        <w:rPr>
          <w:rFonts w:ascii="Arial" w:hAnsi="Arial" w:cs="Arial"/>
          <w:color w:val="7B7B7B" w:themeColor="accent3" w:themeShade="BF"/>
          <w:sz w:val="22"/>
          <w:szCs w:val="22"/>
          <w:lang w:val="en-GB"/>
        </w:rPr>
        <w:t xml:space="preserve"> Company Law Tribunal explaining why the liquidation could not be completed within the one year period and specify the additional time needed</w:t>
      </w:r>
      <w:r w:rsidR="00FE29C9">
        <w:rPr>
          <w:rStyle w:val="FootnoteReference"/>
          <w:rFonts w:ascii="Arial" w:hAnsi="Arial" w:cs="Arial"/>
          <w:color w:val="7B7B7B" w:themeColor="accent3" w:themeShade="BF"/>
          <w:sz w:val="22"/>
          <w:szCs w:val="22"/>
          <w:lang w:val="en-GB"/>
        </w:rPr>
        <w:footnoteReference w:id="30"/>
      </w:r>
      <w:r w:rsidR="00FE29C9">
        <w:rPr>
          <w:rFonts w:ascii="Arial" w:hAnsi="Arial" w:cs="Arial"/>
          <w:color w:val="7B7B7B" w:themeColor="accent3" w:themeShade="BF"/>
          <w:sz w:val="22"/>
          <w:szCs w:val="22"/>
          <w:lang w:val="en-GB"/>
        </w:rPr>
        <w:t>.</w:t>
      </w:r>
      <w:r w:rsidR="00DE4BC1">
        <w:rPr>
          <w:rFonts w:ascii="Arial" w:hAnsi="Arial" w:cs="Arial"/>
          <w:color w:val="7B7B7B" w:themeColor="accent3" w:themeShade="BF"/>
          <w:sz w:val="22"/>
          <w:szCs w:val="22"/>
          <w:lang w:val="en-GB"/>
        </w:rPr>
        <w:t xml:space="preserve"> If at any time after preparation of the preliminary report it appears to the Liquidator that the realisable property of the Corporate debtor will be insufficient to cover the cost of the liquidation process, and the affairs of the corporate debtor do not require any further investigation, the Liquidator may apply to the National Company Law Tribunal for the early dissolution of the corporate debtor</w:t>
      </w:r>
      <w:r w:rsidR="00DE4BC1">
        <w:rPr>
          <w:rStyle w:val="FootnoteReference"/>
          <w:rFonts w:ascii="Arial" w:hAnsi="Arial" w:cs="Arial"/>
          <w:color w:val="7B7B7B" w:themeColor="accent3" w:themeShade="BF"/>
          <w:sz w:val="22"/>
          <w:szCs w:val="22"/>
          <w:lang w:val="en-GB"/>
        </w:rPr>
        <w:footnoteReference w:id="31"/>
      </w:r>
      <w:r w:rsidR="00DE4BC1">
        <w:rPr>
          <w:rFonts w:ascii="Arial" w:hAnsi="Arial" w:cs="Arial"/>
          <w:color w:val="7B7B7B" w:themeColor="accent3" w:themeShade="BF"/>
          <w:sz w:val="22"/>
          <w:szCs w:val="22"/>
          <w:lang w:val="en-GB"/>
        </w:rPr>
        <w:t>.</w:t>
      </w:r>
      <w:r w:rsidR="00DF75F8" w:rsidRPr="000A61C3">
        <w:rPr>
          <w:rFonts w:ascii="Arial" w:hAnsi="Arial" w:cs="Arial"/>
          <w:color w:val="7B7B7B" w:themeColor="accent3" w:themeShade="BF"/>
          <w:sz w:val="22"/>
          <w:szCs w:val="22"/>
          <w:lang w:val="en-GB"/>
        </w:rPr>
        <w:t>]</w:t>
      </w:r>
    </w:p>
    <w:p w14:paraId="3DAA6780" w14:textId="657CEFE1" w:rsidR="00962045" w:rsidRPr="002A37BB" w:rsidRDefault="00962045" w:rsidP="00486688">
      <w:pPr>
        <w:jc w:val="both"/>
        <w:rPr>
          <w:rFonts w:ascii="Arial" w:hAnsi="Arial" w:cs="Arial"/>
          <w:sz w:val="22"/>
          <w:szCs w:val="22"/>
          <w:shd w:val="clear" w:color="auto" w:fill="FFFFFF"/>
        </w:rPr>
      </w:pPr>
    </w:p>
    <w:p w14:paraId="0335EF39" w14:textId="77777777" w:rsidR="00081E94" w:rsidRPr="002A37BB" w:rsidRDefault="00081E94" w:rsidP="00486688">
      <w:pPr>
        <w:jc w:val="both"/>
        <w:rPr>
          <w:rFonts w:ascii="Arial" w:hAnsi="Arial" w:cs="Arial"/>
          <w:sz w:val="22"/>
          <w:szCs w:val="22"/>
          <w:shd w:val="clear" w:color="auto" w:fill="FFFFFF"/>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440FBF22" w:rsidR="00081E94" w:rsidRDefault="00F47593" w:rsidP="00486688">
      <w:pPr>
        <w:ind w:hanging="11"/>
        <w:jc w:val="both"/>
        <w:rPr>
          <w:rFonts w:ascii="Arial" w:hAnsi="Arial" w:cs="Arial"/>
          <w:sz w:val="22"/>
          <w:szCs w:val="22"/>
          <w:lang w:val="en-GB"/>
        </w:rPr>
      </w:pPr>
      <w:r>
        <w:rPr>
          <w:rFonts w:ascii="Arial" w:hAnsi="Arial" w:cs="Arial"/>
          <w:sz w:val="22"/>
          <w:szCs w:val="22"/>
          <w:lang w:val="en-GB"/>
        </w:rPr>
        <w:t>Fours and Sixes Limited</w:t>
      </w:r>
      <w:r w:rsidR="00081E94">
        <w:rPr>
          <w:rFonts w:ascii="Arial" w:hAnsi="Arial" w:cs="Arial"/>
          <w:sz w:val="22"/>
          <w:szCs w:val="22"/>
          <w:lang w:val="en-GB"/>
        </w:rPr>
        <w:t xml:space="preserve"> (</w:t>
      </w:r>
      <w:r w:rsidR="00263D1C">
        <w:rPr>
          <w:rFonts w:ascii="Arial" w:hAnsi="Arial" w:cs="Arial"/>
          <w:sz w:val="22"/>
          <w:szCs w:val="22"/>
          <w:lang w:val="en-GB"/>
        </w:rPr>
        <w:t xml:space="preserve">the </w:t>
      </w:r>
      <w:r>
        <w:rPr>
          <w:rFonts w:ascii="Arial" w:hAnsi="Arial" w:cs="Arial"/>
          <w:sz w:val="22"/>
          <w:szCs w:val="22"/>
          <w:lang w:val="en-GB"/>
        </w:rPr>
        <w:t>Company</w:t>
      </w:r>
      <w:r w:rsidR="00081E94">
        <w:rPr>
          <w:rFonts w:ascii="Arial" w:hAnsi="Arial" w:cs="Arial"/>
          <w:sz w:val="22"/>
          <w:szCs w:val="22"/>
          <w:lang w:val="en-GB"/>
        </w:rPr>
        <w:t xml:space="preserve">) </w:t>
      </w:r>
      <w:r>
        <w:rPr>
          <w:rFonts w:ascii="Arial" w:hAnsi="Arial" w:cs="Arial"/>
          <w:sz w:val="22"/>
          <w:szCs w:val="22"/>
          <w:lang w:val="en-GB"/>
        </w:rPr>
        <w:t>own</w:t>
      </w:r>
      <w:r w:rsidR="004472B2">
        <w:rPr>
          <w:rFonts w:ascii="Arial" w:hAnsi="Arial" w:cs="Arial"/>
          <w:sz w:val="22"/>
          <w:szCs w:val="22"/>
          <w:lang w:val="en-GB"/>
        </w:rPr>
        <w:t>s</w:t>
      </w:r>
      <w:r>
        <w:rPr>
          <w:rFonts w:ascii="Arial" w:hAnsi="Arial" w:cs="Arial"/>
          <w:sz w:val="22"/>
          <w:szCs w:val="22"/>
          <w:lang w:val="en-GB"/>
        </w:rPr>
        <w:t xml:space="preserve"> a cricket stadium </w:t>
      </w:r>
      <w:r w:rsidR="00880368">
        <w:rPr>
          <w:rFonts w:ascii="Arial" w:hAnsi="Arial" w:cs="Arial"/>
          <w:sz w:val="22"/>
          <w:szCs w:val="22"/>
          <w:lang w:val="en-GB"/>
        </w:rPr>
        <w:t>in India</w:t>
      </w:r>
      <w:r w:rsidR="00081E94">
        <w:rPr>
          <w:rFonts w:ascii="Arial" w:hAnsi="Arial" w:cs="Arial"/>
          <w:sz w:val="22"/>
          <w:szCs w:val="22"/>
          <w:lang w:val="en-GB"/>
        </w:rPr>
        <w:t>.</w:t>
      </w:r>
      <w:r w:rsidR="00466FAD">
        <w:rPr>
          <w:rFonts w:ascii="Arial" w:hAnsi="Arial" w:cs="Arial"/>
          <w:sz w:val="22"/>
          <w:szCs w:val="22"/>
          <w:lang w:val="en-GB"/>
        </w:rPr>
        <w:t xml:space="preserve"> </w:t>
      </w:r>
      <w:r>
        <w:rPr>
          <w:rFonts w:ascii="Arial" w:hAnsi="Arial" w:cs="Arial"/>
          <w:sz w:val="22"/>
          <w:szCs w:val="22"/>
          <w:lang w:val="en-GB"/>
        </w:rPr>
        <w:t>D</w:t>
      </w:r>
      <w:r w:rsidR="00466FAD">
        <w:rPr>
          <w:rFonts w:ascii="Arial" w:hAnsi="Arial" w:cs="Arial"/>
          <w:sz w:val="22"/>
          <w:szCs w:val="22"/>
          <w:lang w:val="en-GB"/>
        </w:rPr>
        <w:t xml:space="preserve">ue to the COVID-19 pandemic, </w:t>
      </w:r>
      <w:r>
        <w:rPr>
          <w:rFonts w:ascii="Arial" w:hAnsi="Arial" w:cs="Arial"/>
          <w:sz w:val="22"/>
          <w:szCs w:val="22"/>
          <w:lang w:val="en-GB"/>
        </w:rPr>
        <w:t xml:space="preserve">there were no </w:t>
      </w:r>
      <w:r w:rsidR="0048483E">
        <w:rPr>
          <w:rFonts w:ascii="Arial" w:hAnsi="Arial" w:cs="Arial"/>
          <w:sz w:val="22"/>
          <w:szCs w:val="22"/>
          <w:lang w:val="en-GB"/>
        </w:rPr>
        <w:t>games played</w:t>
      </w:r>
      <w:r>
        <w:rPr>
          <w:rFonts w:ascii="Arial" w:hAnsi="Arial" w:cs="Arial"/>
          <w:sz w:val="22"/>
          <w:szCs w:val="22"/>
          <w:lang w:val="en-GB"/>
        </w:rPr>
        <w:t xml:space="preserve"> in the stadium and the revenue was negligible</w:t>
      </w:r>
      <w:r w:rsidR="00466FAD">
        <w:rPr>
          <w:rFonts w:ascii="Arial" w:hAnsi="Arial" w:cs="Arial"/>
          <w:sz w:val="22"/>
          <w:szCs w:val="22"/>
          <w:lang w:val="en-GB"/>
        </w:rPr>
        <w:t>.</w:t>
      </w:r>
      <w:r w:rsidR="00F52F30">
        <w:rPr>
          <w:rFonts w:ascii="Arial" w:hAnsi="Arial" w:cs="Arial"/>
          <w:sz w:val="22"/>
          <w:szCs w:val="22"/>
          <w:lang w:val="en-GB"/>
        </w:rPr>
        <w:t xml:space="preserve"> </w:t>
      </w:r>
      <w:r>
        <w:rPr>
          <w:rFonts w:ascii="Arial" w:hAnsi="Arial" w:cs="Arial"/>
          <w:sz w:val="22"/>
          <w:szCs w:val="22"/>
          <w:lang w:val="en-GB"/>
        </w:rPr>
        <w:t>In the latest meeting of the Board of Directors</w:t>
      </w:r>
      <w:r w:rsidR="0048483E">
        <w:rPr>
          <w:rFonts w:ascii="Arial" w:hAnsi="Arial" w:cs="Arial"/>
          <w:sz w:val="22"/>
          <w:szCs w:val="22"/>
          <w:lang w:val="en-GB"/>
        </w:rPr>
        <w:t xml:space="preserve"> of the Company</w:t>
      </w:r>
      <w:r>
        <w:rPr>
          <w:rFonts w:ascii="Arial" w:hAnsi="Arial" w:cs="Arial"/>
          <w:sz w:val="22"/>
          <w:szCs w:val="22"/>
          <w:lang w:val="en-GB"/>
        </w:rPr>
        <w:t xml:space="preserve">, it was noticed that the financial performance of the Company has not improved materially and that the Company is likely to default on </w:t>
      </w:r>
      <w:r w:rsidR="004472B2">
        <w:rPr>
          <w:rFonts w:ascii="Arial" w:hAnsi="Arial" w:cs="Arial"/>
          <w:sz w:val="22"/>
          <w:szCs w:val="22"/>
          <w:lang w:val="en-GB"/>
        </w:rPr>
        <w:t xml:space="preserve">an </w:t>
      </w:r>
      <w:r>
        <w:rPr>
          <w:rFonts w:ascii="Arial" w:hAnsi="Arial" w:cs="Arial"/>
          <w:sz w:val="22"/>
          <w:szCs w:val="22"/>
          <w:lang w:val="en-GB"/>
        </w:rPr>
        <w:t xml:space="preserve">upcoming payment instalment </w:t>
      </w:r>
      <w:r w:rsidR="0048483E">
        <w:rPr>
          <w:rFonts w:ascii="Arial" w:hAnsi="Arial" w:cs="Arial"/>
          <w:sz w:val="22"/>
          <w:szCs w:val="22"/>
          <w:lang w:val="en-GB"/>
        </w:rPr>
        <w:t xml:space="preserve">to its creditors </w:t>
      </w:r>
      <w:r>
        <w:rPr>
          <w:rFonts w:ascii="Arial" w:hAnsi="Arial" w:cs="Arial"/>
          <w:sz w:val="22"/>
          <w:szCs w:val="22"/>
          <w:lang w:val="en-GB"/>
        </w:rPr>
        <w:t>in June 2022</w:t>
      </w:r>
      <w:r w:rsidR="00880368">
        <w:rPr>
          <w:rFonts w:ascii="Arial" w:hAnsi="Arial" w:cs="Arial"/>
          <w:sz w:val="22"/>
          <w:szCs w:val="22"/>
          <w:lang w:val="en-GB"/>
        </w:rPr>
        <w:t>.</w:t>
      </w:r>
      <w:r>
        <w:rPr>
          <w:rFonts w:ascii="Arial" w:hAnsi="Arial" w:cs="Arial"/>
          <w:sz w:val="22"/>
          <w:szCs w:val="22"/>
          <w:lang w:val="en-GB"/>
        </w:rPr>
        <w:t xml:space="preserve"> The lenders of the Company are primarily Indian banks</w:t>
      </w:r>
      <w:r w:rsidR="004472B2">
        <w:rPr>
          <w:rFonts w:ascii="Arial" w:hAnsi="Arial" w:cs="Arial"/>
          <w:sz w:val="22"/>
          <w:szCs w:val="22"/>
          <w:lang w:val="en-GB"/>
        </w:rPr>
        <w:t>.</w:t>
      </w:r>
    </w:p>
    <w:p w14:paraId="5D2C8BBA" w14:textId="10F94753" w:rsidR="00F52F30" w:rsidRDefault="00F52F30" w:rsidP="00486688">
      <w:pPr>
        <w:ind w:hanging="11"/>
        <w:jc w:val="both"/>
        <w:rPr>
          <w:rFonts w:ascii="Arial" w:hAnsi="Arial" w:cs="Arial"/>
          <w:sz w:val="22"/>
          <w:szCs w:val="22"/>
          <w:lang w:val="en-GB"/>
        </w:rPr>
      </w:pPr>
    </w:p>
    <w:p w14:paraId="428679F5" w14:textId="1E90774B" w:rsidR="00081E94" w:rsidRDefault="00F47593" w:rsidP="00486688">
      <w:pPr>
        <w:ind w:hanging="11"/>
        <w:jc w:val="both"/>
        <w:rPr>
          <w:rFonts w:ascii="Arial" w:hAnsi="Arial" w:cs="Arial"/>
          <w:sz w:val="22"/>
          <w:szCs w:val="22"/>
          <w:lang w:val="en-GB"/>
        </w:rPr>
      </w:pPr>
      <w:r>
        <w:rPr>
          <w:rFonts w:ascii="Arial" w:hAnsi="Arial" w:cs="Arial"/>
          <w:sz w:val="22"/>
          <w:szCs w:val="22"/>
          <w:lang w:val="en-GB"/>
        </w:rPr>
        <w:t>The Board of the Directors of the Company</w:t>
      </w:r>
      <w:r w:rsidR="00880368">
        <w:rPr>
          <w:rFonts w:ascii="Arial" w:hAnsi="Arial" w:cs="Arial"/>
          <w:sz w:val="22"/>
          <w:szCs w:val="22"/>
          <w:lang w:val="en-GB"/>
        </w:rPr>
        <w:t xml:space="preserve">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them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options available to them and key considerations</w:t>
      </w:r>
      <w:r w:rsidR="00081E94">
        <w:rPr>
          <w:rFonts w:ascii="Arial" w:hAnsi="Arial" w:cs="Arial"/>
          <w:sz w:val="22"/>
          <w:szCs w:val="22"/>
          <w:lang w:val="en-GB"/>
        </w:rPr>
        <w:t>.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0"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2B24557E" w:rsidR="00081E94" w:rsidRDefault="00081E94" w:rsidP="00486688">
      <w:pPr>
        <w:jc w:val="both"/>
        <w:rPr>
          <w:rFonts w:ascii="Arial" w:hAnsi="Arial" w:cs="Arial"/>
          <w:b/>
          <w:bCs/>
          <w:sz w:val="22"/>
          <w:szCs w:val="22"/>
          <w:lang w:val="en-GB"/>
        </w:rPr>
      </w:pPr>
    </w:p>
    <w:p w14:paraId="21056E5F" w14:textId="77777777" w:rsidR="004472B2" w:rsidRDefault="004472B2"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15E03A06"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Prepare a note for </w:t>
      </w:r>
      <w:r w:rsidR="004472B2">
        <w:rPr>
          <w:rFonts w:ascii="Arial" w:hAnsi="Arial" w:cs="Arial"/>
          <w:sz w:val="22"/>
          <w:szCs w:val="22"/>
          <w:lang w:val="en-GB"/>
        </w:rPr>
        <w:t xml:space="preserve">the </w:t>
      </w:r>
      <w:r w:rsidR="00A57F97">
        <w:rPr>
          <w:rFonts w:ascii="Arial" w:hAnsi="Arial" w:cs="Arial"/>
          <w:sz w:val="22"/>
          <w:szCs w:val="22"/>
          <w:lang w:val="en-GB"/>
        </w:rPr>
        <w:t>Board on the</w:t>
      </w:r>
      <w:r w:rsidR="0048483E">
        <w:rPr>
          <w:rFonts w:ascii="Arial" w:hAnsi="Arial" w:cs="Arial"/>
          <w:sz w:val="22"/>
          <w:szCs w:val="22"/>
          <w:lang w:val="en-GB"/>
        </w:rPr>
        <w:t xml:space="preserve"> legal</w:t>
      </w:r>
      <w:r w:rsidR="00A57F97">
        <w:rPr>
          <w:rFonts w:ascii="Arial" w:hAnsi="Arial" w:cs="Arial"/>
          <w:sz w:val="22"/>
          <w:szCs w:val="22"/>
          <w:lang w:val="en-GB"/>
        </w:rPr>
        <w:t xml:space="preserve"> regime for an out</w:t>
      </w:r>
      <w:r w:rsidR="004472B2">
        <w:rPr>
          <w:rFonts w:ascii="Arial" w:hAnsi="Arial" w:cs="Arial"/>
          <w:sz w:val="22"/>
          <w:szCs w:val="22"/>
          <w:lang w:val="en-GB"/>
        </w:rPr>
        <w:t>-</w:t>
      </w:r>
      <w:r w:rsidR="00A57F97">
        <w:rPr>
          <w:rFonts w:ascii="Arial" w:hAnsi="Arial" w:cs="Arial"/>
          <w:sz w:val="22"/>
          <w:szCs w:val="22"/>
          <w:lang w:val="en-GB"/>
        </w:rPr>
        <w:t>of</w:t>
      </w:r>
      <w:r w:rsidR="004472B2">
        <w:rPr>
          <w:rFonts w:ascii="Arial" w:hAnsi="Arial" w:cs="Arial"/>
          <w:sz w:val="22"/>
          <w:szCs w:val="22"/>
          <w:lang w:val="en-GB"/>
        </w:rPr>
        <w:t>-</w:t>
      </w:r>
      <w:r w:rsidR="00A57F97">
        <w:rPr>
          <w:rFonts w:ascii="Arial" w:hAnsi="Arial" w:cs="Arial"/>
          <w:sz w:val="22"/>
          <w:szCs w:val="22"/>
          <w:lang w:val="en-GB"/>
        </w:rPr>
        <w:t>court debt restructuring for the Company</w:t>
      </w:r>
      <w:r>
        <w:rPr>
          <w:rFonts w:ascii="Arial" w:hAnsi="Arial" w:cs="Arial"/>
          <w:sz w:val="22"/>
          <w:szCs w:val="22"/>
          <w:lang w:val="en-GB"/>
        </w:rPr>
        <w:t>.</w:t>
      </w:r>
    </w:p>
    <w:p w14:paraId="1F56EC6A" w14:textId="64B86FF4" w:rsidR="001A007A" w:rsidRDefault="001A007A" w:rsidP="00486688">
      <w:pPr>
        <w:jc w:val="both"/>
        <w:rPr>
          <w:rFonts w:ascii="Arial" w:hAnsi="Arial" w:cs="Arial"/>
          <w:sz w:val="22"/>
          <w:szCs w:val="22"/>
          <w:lang w:val="en-GB"/>
        </w:rPr>
      </w:pPr>
    </w:p>
    <w:p w14:paraId="407EC726" w14:textId="77777777" w:rsidR="002D2991" w:rsidRDefault="001A007A" w:rsidP="00486688">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53261">
        <w:rPr>
          <w:rFonts w:ascii="Arial" w:hAnsi="Arial" w:cs="Arial"/>
          <w:color w:val="7B7B7B" w:themeColor="accent3" w:themeShade="BF"/>
          <w:sz w:val="22"/>
          <w:szCs w:val="22"/>
          <w:lang w:val="en-GB"/>
        </w:rPr>
        <w:t>In India, the Sick Industrial Companies Act (SICA) used to occupy the field with respect to rehabilitation of companies including an out- of-court debt restructuring for the company.</w:t>
      </w:r>
      <w:r w:rsidR="00833E80">
        <w:rPr>
          <w:rFonts w:ascii="Arial" w:hAnsi="Arial" w:cs="Arial"/>
          <w:color w:val="7B7B7B" w:themeColor="accent3" w:themeShade="BF"/>
          <w:sz w:val="22"/>
          <w:szCs w:val="22"/>
          <w:lang w:val="en-GB"/>
        </w:rPr>
        <w:t xml:space="preserve"> However, Banks in India have followed the guidelines recently</w:t>
      </w:r>
      <w:r w:rsidR="00053A46">
        <w:rPr>
          <w:rStyle w:val="FootnoteReference"/>
          <w:rFonts w:ascii="Arial" w:hAnsi="Arial" w:cs="Arial"/>
          <w:color w:val="7B7B7B" w:themeColor="accent3" w:themeShade="BF"/>
          <w:sz w:val="22"/>
          <w:szCs w:val="22"/>
          <w:lang w:val="en-GB"/>
        </w:rPr>
        <w:footnoteReference w:id="32"/>
      </w:r>
      <w:r w:rsidR="00833E80">
        <w:rPr>
          <w:rFonts w:ascii="Arial" w:hAnsi="Arial" w:cs="Arial"/>
          <w:color w:val="7B7B7B" w:themeColor="accent3" w:themeShade="BF"/>
          <w:sz w:val="22"/>
          <w:szCs w:val="22"/>
          <w:lang w:val="en-GB"/>
        </w:rPr>
        <w:t xml:space="preserve"> issued by the Reserve Bank of India (RBI) with regard to out-of-court workouts.</w:t>
      </w:r>
      <w:r w:rsidR="00A34131">
        <w:rPr>
          <w:rFonts w:ascii="Arial" w:hAnsi="Arial" w:cs="Arial"/>
          <w:color w:val="7B7B7B" w:themeColor="accent3" w:themeShade="BF"/>
          <w:sz w:val="22"/>
          <w:szCs w:val="22"/>
          <w:lang w:val="en-GB"/>
        </w:rPr>
        <w:t xml:space="preserve"> Majority of these guidelines were based on international principles such as the Statement of Principles for a Global Approach to Multi-Creditor workouts, issued by INSOL International</w:t>
      </w:r>
      <w:r w:rsidR="00AC7C67">
        <w:rPr>
          <w:rStyle w:val="FootnoteReference"/>
          <w:rFonts w:ascii="Arial" w:hAnsi="Arial" w:cs="Arial"/>
          <w:color w:val="7B7B7B" w:themeColor="accent3" w:themeShade="BF"/>
          <w:sz w:val="22"/>
          <w:szCs w:val="22"/>
          <w:lang w:val="en-GB"/>
        </w:rPr>
        <w:footnoteReference w:id="33"/>
      </w:r>
      <w:r w:rsidR="00A34131">
        <w:rPr>
          <w:rFonts w:ascii="Arial" w:hAnsi="Arial" w:cs="Arial"/>
          <w:color w:val="7B7B7B" w:themeColor="accent3" w:themeShade="BF"/>
          <w:sz w:val="22"/>
          <w:szCs w:val="22"/>
          <w:lang w:val="en-GB"/>
        </w:rPr>
        <w:t>. The revised guidelines of RBI of 7 June, 2019 with respect to out-of-court debt restructuring did away with all previous guidelines relating to out-of-court restructuring in India</w:t>
      </w:r>
      <w:r w:rsidR="00AC7C67">
        <w:rPr>
          <w:rStyle w:val="FootnoteReference"/>
          <w:rFonts w:ascii="Arial" w:hAnsi="Arial" w:cs="Arial"/>
          <w:color w:val="7B7B7B" w:themeColor="accent3" w:themeShade="BF"/>
          <w:sz w:val="22"/>
          <w:szCs w:val="22"/>
          <w:lang w:val="en-GB"/>
        </w:rPr>
        <w:footnoteReference w:id="34"/>
      </w:r>
      <w:r w:rsidR="006E286A">
        <w:rPr>
          <w:rFonts w:ascii="Arial" w:hAnsi="Arial" w:cs="Arial"/>
          <w:color w:val="7B7B7B" w:themeColor="accent3" w:themeShade="BF"/>
          <w:sz w:val="22"/>
          <w:szCs w:val="22"/>
          <w:lang w:val="en-GB"/>
        </w:rPr>
        <w:t>. The guidelines require India banks and financial Institutions to review the financial situation of the debtor for the first 30 days after default and decide whether they would like to restructure the debt of the debtor.</w:t>
      </w:r>
      <w:r w:rsidR="00913975">
        <w:rPr>
          <w:rFonts w:ascii="Arial" w:hAnsi="Arial" w:cs="Arial"/>
          <w:color w:val="7B7B7B" w:themeColor="accent3" w:themeShade="BF"/>
          <w:sz w:val="22"/>
          <w:szCs w:val="22"/>
          <w:lang w:val="en-GB"/>
        </w:rPr>
        <w:t xml:space="preserve"> If the creditors so decide, they are required to enter into an inter-creditor agreement which provides for a stand-still and the mechanics for arriving at an out-of-court resolution plan.</w:t>
      </w:r>
      <w:r w:rsidR="00DD7CEA">
        <w:rPr>
          <w:rFonts w:ascii="Arial" w:hAnsi="Arial" w:cs="Arial"/>
          <w:color w:val="7B7B7B" w:themeColor="accent3" w:themeShade="BF"/>
          <w:sz w:val="22"/>
          <w:szCs w:val="22"/>
          <w:lang w:val="en-GB"/>
        </w:rPr>
        <w:t xml:space="preserve"> If no such plan has been agreed and implemented by the creditors within 180 days of default, the creditors are required to make </w:t>
      </w:r>
      <w:r w:rsidR="00DD7CEA">
        <w:rPr>
          <w:rFonts w:ascii="Arial" w:hAnsi="Arial" w:cs="Arial"/>
          <w:color w:val="7B7B7B" w:themeColor="accent3" w:themeShade="BF"/>
          <w:sz w:val="22"/>
          <w:szCs w:val="22"/>
          <w:lang w:val="en-GB"/>
        </w:rPr>
        <w:lastRenderedPageBreak/>
        <w:t>additional provisioning (20% from the 181</w:t>
      </w:r>
      <w:r w:rsidR="00DD7CEA" w:rsidRPr="00DD7CEA">
        <w:rPr>
          <w:rFonts w:ascii="Arial" w:hAnsi="Arial" w:cs="Arial"/>
          <w:color w:val="7B7B7B" w:themeColor="accent3" w:themeShade="BF"/>
          <w:sz w:val="22"/>
          <w:szCs w:val="22"/>
          <w:vertAlign w:val="superscript"/>
          <w:lang w:val="en-GB"/>
        </w:rPr>
        <w:t>st</w:t>
      </w:r>
      <w:r w:rsidR="00DD7CEA">
        <w:rPr>
          <w:rFonts w:ascii="Arial" w:hAnsi="Arial" w:cs="Arial"/>
          <w:color w:val="7B7B7B" w:themeColor="accent3" w:themeShade="BF"/>
          <w:sz w:val="22"/>
          <w:szCs w:val="22"/>
          <w:lang w:val="en-GB"/>
        </w:rPr>
        <w:t xml:space="preserve"> day and another 15% from 366</w:t>
      </w:r>
      <w:r w:rsidR="00DD7CEA" w:rsidRPr="00DD7CEA">
        <w:rPr>
          <w:rFonts w:ascii="Arial" w:hAnsi="Arial" w:cs="Arial"/>
          <w:color w:val="7B7B7B" w:themeColor="accent3" w:themeShade="BF"/>
          <w:sz w:val="22"/>
          <w:szCs w:val="22"/>
          <w:vertAlign w:val="superscript"/>
          <w:lang w:val="en-GB"/>
        </w:rPr>
        <w:t>th</w:t>
      </w:r>
      <w:r w:rsidR="00DD7CEA">
        <w:rPr>
          <w:rFonts w:ascii="Arial" w:hAnsi="Arial" w:cs="Arial"/>
          <w:color w:val="7B7B7B" w:themeColor="accent3" w:themeShade="BF"/>
          <w:sz w:val="22"/>
          <w:szCs w:val="22"/>
          <w:lang w:val="en-GB"/>
        </w:rPr>
        <w:t xml:space="preserve"> day) over and above the usual provisioning for non-performing loans which may be reversed in half when creditors file to initiate Insolvency proceedings for the debtor under the Code and the rest when such petition</w:t>
      </w:r>
      <w:r w:rsidR="00C30E35">
        <w:rPr>
          <w:rFonts w:ascii="Arial" w:hAnsi="Arial" w:cs="Arial"/>
          <w:color w:val="7B7B7B" w:themeColor="accent3" w:themeShade="BF"/>
          <w:sz w:val="22"/>
          <w:szCs w:val="22"/>
          <w:lang w:val="en-GB"/>
        </w:rPr>
        <w:t xml:space="preserve"> is accepted</w:t>
      </w:r>
      <w:r w:rsidR="000B00EC">
        <w:rPr>
          <w:rStyle w:val="FootnoteReference"/>
          <w:rFonts w:ascii="Arial" w:hAnsi="Arial" w:cs="Arial"/>
          <w:color w:val="7B7B7B" w:themeColor="accent3" w:themeShade="BF"/>
          <w:sz w:val="22"/>
          <w:szCs w:val="22"/>
          <w:lang w:val="en-GB"/>
        </w:rPr>
        <w:footnoteReference w:id="35"/>
      </w:r>
      <w:r w:rsidR="00C30E35">
        <w:rPr>
          <w:rFonts w:ascii="Arial" w:hAnsi="Arial" w:cs="Arial"/>
          <w:color w:val="7B7B7B" w:themeColor="accent3" w:themeShade="BF"/>
          <w:sz w:val="22"/>
          <w:szCs w:val="22"/>
          <w:lang w:val="en-GB"/>
        </w:rPr>
        <w:t>.</w:t>
      </w:r>
    </w:p>
    <w:p w14:paraId="6869390F" w14:textId="77777777" w:rsidR="002D2991" w:rsidRDefault="002D2991" w:rsidP="00486688">
      <w:pPr>
        <w:autoSpaceDE w:val="0"/>
        <w:autoSpaceDN w:val="0"/>
        <w:adjustRightInd w:val="0"/>
        <w:jc w:val="both"/>
        <w:rPr>
          <w:rFonts w:ascii="Arial" w:hAnsi="Arial" w:cs="Arial"/>
          <w:color w:val="7B7B7B" w:themeColor="accent3" w:themeShade="BF"/>
          <w:sz w:val="22"/>
          <w:szCs w:val="22"/>
          <w:lang w:val="en-GB"/>
        </w:rPr>
      </w:pPr>
    </w:p>
    <w:p w14:paraId="3C9C2508" w14:textId="2D70A3C7" w:rsidR="001A007A" w:rsidRPr="002A37BB" w:rsidRDefault="002D2991" w:rsidP="00486688">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In</w:t>
      </w:r>
      <w:r w:rsidR="00A5326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relation to the available facts, the company may adopt the option provided in the reversed guidelines for out-of-court debt restructuring process issued on 7 June 2019 by the Reserve Bank of India in the event the company defaulted in the upcoming payment instalment to its creditors in June 2022. 30 days after the default, the India banks may approach the Board of the company for the review of the financial situation of the company and decide whether, they would like to restructure the debt of the company.</w:t>
      </w:r>
      <w:r w:rsidR="0071240A">
        <w:rPr>
          <w:rFonts w:ascii="Arial" w:hAnsi="Arial" w:cs="Arial"/>
          <w:color w:val="7B7B7B" w:themeColor="accent3" w:themeShade="BF"/>
          <w:sz w:val="22"/>
          <w:szCs w:val="22"/>
          <w:lang w:val="en-GB"/>
        </w:rPr>
        <w:t xml:space="preserve"> Where the banks so decide, they are required to enter into an inter-bank agreement which will provide for a stand-still and the mechanics for arriving at an </w:t>
      </w:r>
      <w:r w:rsidR="0040591F">
        <w:rPr>
          <w:rFonts w:ascii="Arial" w:hAnsi="Arial" w:cs="Arial"/>
          <w:color w:val="7B7B7B" w:themeColor="accent3" w:themeShade="BF"/>
          <w:sz w:val="22"/>
          <w:szCs w:val="22"/>
          <w:lang w:val="en-GB"/>
        </w:rPr>
        <w:t>out-of-court resolution plan.</w:t>
      </w:r>
      <w:r w:rsidR="006B5520">
        <w:rPr>
          <w:rFonts w:ascii="Arial" w:hAnsi="Arial" w:cs="Arial"/>
          <w:color w:val="7B7B7B" w:themeColor="accent3" w:themeShade="BF"/>
          <w:sz w:val="22"/>
          <w:szCs w:val="22"/>
          <w:lang w:val="en-GB"/>
        </w:rPr>
        <w:t xml:space="preserve"> If no such plan has  been agreed and implemented by the banks within 180 days of default, the banks are required to make additional provisioning (20% from the 181</w:t>
      </w:r>
      <w:r w:rsidR="006B5520" w:rsidRPr="006B5520">
        <w:rPr>
          <w:rFonts w:ascii="Arial" w:hAnsi="Arial" w:cs="Arial"/>
          <w:color w:val="7B7B7B" w:themeColor="accent3" w:themeShade="BF"/>
          <w:sz w:val="22"/>
          <w:szCs w:val="22"/>
          <w:vertAlign w:val="superscript"/>
          <w:lang w:val="en-GB"/>
        </w:rPr>
        <w:t>st</w:t>
      </w:r>
      <w:r w:rsidR="006B5520">
        <w:rPr>
          <w:rFonts w:ascii="Arial" w:hAnsi="Arial" w:cs="Arial"/>
          <w:color w:val="7B7B7B" w:themeColor="accent3" w:themeShade="BF"/>
          <w:sz w:val="22"/>
          <w:szCs w:val="22"/>
          <w:lang w:val="en-GB"/>
        </w:rPr>
        <w:t xml:space="preserve"> day and another 15% from 366</w:t>
      </w:r>
      <w:r w:rsidR="006B5520" w:rsidRPr="006B5520">
        <w:rPr>
          <w:rFonts w:ascii="Arial" w:hAnsi="Arial" w:cs="Arial"/>
          <w:color w:val="7B7B7B" w:themeColor="accent3" w:themeShade="BF"/>
          <w:sz w:val="22"/>
          <w:szCs w:val="22"/>
          <w:vertAlign w:val="superscript"/>
          <w:lang w:val="en-GB"/>
        </w:rPr>
        <w:t>th</w:t>
      </w:r>
      <w:r w:rsidR="006B5520">
        <w:rPr>
          <w:rFonts w:ascii="Arial" w:hAnsi="Arial" w:cs="Arial"/>
          <w:color w:val="7B7B7B" w:themeColor="accent3" w:themeShade="BF"/>
          <w:sz w:val="22"/>
          <w:szCs w:val="22"/>
          <w:lang w:val="en-GB"/>
        </w:rPr>
        <w:t xml:space="preserve"> day) over and above the usual provisioning for non-performing loans, which may be reversed in half when the banks file to initiate Insolvency proceedings for the company under the Code and the rest when such petition is accepted.</w:t>
      </w:r>
      <w:r w:rsidR="001A007A" w:rsidRPr="002A37BB">
        <w:rPr>
          <w:rFonts w:ascii="Arial" w:hAnsi="Arial" w:cs="Arial"/>
          <w:color w:val="7B7B7B" w:themeColor="accent3" w:themeShade="BF"/>
          <w:sz w:val="22"/>
          <w:szCs w:val="22"/>
          <w:lang w:val="en-GB"/>
        </w:rPr>
        <w:t>]</w:t>
      </w:r>
    </w:p>
    <w:p w14:paraId="36C13234" w14:textId="53AA2571" w:rsidR="007F659B" w:rsidRDefault="007F659B" w:rsidP="00486688">
      <w:pPr>
        <w:jc w:val="both"/>
        <w:rPr>
          <w:rFonts w:ascii="Arial" w:hAnsi="Arial" w:cs="Arial"/>
          <w:sz w:val="22"/>
          <w:szCs w:val="22"/>
          <w:lang w:val="en-GB"/>
        </w:rPr>
      </w:pP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42D20DC" w:rsidR="002B705A" w:rsidRPr="002A37BB" w:rsidRDefault="004472B2" w:rsidP="002B705A">
      <w:pPr>
        <w:jc w:val="both"/>
        <w:rPr>
          <w:rFonts w:ascii="Arial" w:hAnsi="Arial" w:cs="Arial"/>
          <w:b/>
          <w:bCs/>
          <w:sz w:val="22"/>
          <w:szCs w:val="22"/>
          <w:lang w:val="en-GB"/>
        </w:rPr>
      </w:pPr>
      <w:r>
        <w:rPr>
          <w:rFonts w:ascii="Arial" w:hAnsi="Arial" w:cs="Arial"/>
          <w:sz w:val="22"/>
          <w:szCs w:val="22"/>
          <w:lang w:val="en-GB"/>
        </w:rPr>
        <w:t>P</w:t>
      </w:r>
      <w:r w:rsidR="002B705A">
        <w:rPr>
          <w:rFonts w:ascii="Arial" w:hAnsi="Arial" w:cs="Arial"/>
          <w:sz w:val="22"/>
          <w:szCs w:val="22"/>
          <w:lang w:val="en-GB"/>
        </w:rPr>
        <w:t xml:space="preserve">repare a note for </w:t>
      </w:r>
      <w:r w:rsidR="00A57F97">
        <w:rPr>
          <w:rFonts w:ascii="Arial" w:hAnsi="Arial" w:cs="Arial"/>
          <w:sz w:val="22"/>
          <w:szCs w:val="22"/>
          <w:lang w:val="en-GB"/>
        </w:rPr>
        <w:t xml:space="preserve">the Board describing their </w:t>
      </w:r>
      <w:r w:rsidR="0048483E">
        <w:rPr>
          <w:rFonts w:ascii="Arial" w:hAnsi="Arial" w:cs="Arial"/>
          <w:sz w:val="22"/>
          <w:szCs w:val="22"/>
          <w:lang w:val="en-GB"/>
        </w:rPr>
        <w:t xml:space="preserve">powers and </w:t>
      </w:r>
      <w:r w:rsidR="00A57F97">
        <w:rPr>
          <w:rFonts w:ascii="Arial" w:hAnsi="Arial" w:cs="Arial"/>
          <w:sz w:val="22"/>
          <w:szCs w:val="22"/>
          <w:lang w:val="en-GB"/>
        </w:rPr>
        <w:t>duties during a corporate insolvency resolution process</w:t>
      </w:r>
      <w:r w:rsidR="0048483E">
        <w:rPr>
          <w:rFonts w:ascii="Arial" w:hAnsi="Arial" w:cs="Arial"/>
          <w:sz w:val="22"/>
          <w:szCs w:val="22"/>
          <w:lang w:val="en-GB"/>
        </w:rPr>
        <w:t xml:space="preserve"> of the Company</w:t>
      </w:r>
      <w:r w:rsidR="002B705A">
        <w:rPr>
          <w:rFonts w:ascii="Arial" w:hAnsi="Arial" w:cs="Arial"/>
          <w:sz w:val="22"/>
          <w:szCs w:val="22"/>
          <w:lang w:val="en-GB"/>
        </w:rPr>
        <w:t>.</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p w14:paraId="1B3F9757" w14:textId="3A2B9D53" w:rsidR="00E125E1" w:rsidRDefault="002D3473" w:rsidP="00486688">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E159B8">
        <w:rPr>
          <w:rFonts w:ascii="Arial" w:hAnsi="Arial" w:cs="Arial"/>
          <w:color w:val="7B7B7B" w:themeColor="accent3" w:themeShade="BF"/>
          <w:sz w:val="22"/>
          <w:szCs w:val="22"/>
          <w:lang w:val="en-GB"/>
        </w:rPr>
        <w:t xml:space="preserve">The powers and duties of the </w:t>
      </w:r>
      <w:r w:rsidR="00CE0368">
        <w:rPr>
          <w:rFonts w:ascii="Arial" w:hAnsi="Arial" w:cs="Arial"/>
          <w:color w:val="7B7B7B" w:themeColor="accent3" w:themeShade="BF"/>
          <w:sz w:val="22"/>
          <w:szCs w:val="22"/>
          <w:lang w:val="en-GB"/>
        </w:rPr>
        <w:t>Board during a Corporate Insolvency Resolution Process of the company are usually vested in the interim resolution professional (IRP) who will manage affairs of the corporate debtor on a going concern basis until the resolution professional (RP) is appointed.</w:t>
      </w:r>
      <w:r w:rsidR="00461D1B">
        <w:rPr>
          <w:rFonts w:ascii="Arial" w:hAnsi="Arial" w:cs="Arial"/>
          <w:color w:val="7B7B7B" w:themeColor="accent3" w:themeShade="BF"/>
          <w:sz w:val="22"/>
          <w:szCs w:val="22"/>
          <w:lang w:val="en-GB"/>
        </w:rPr>
        <w:t xml:space="preserve"> The powers of the board of directors, or other governing body Corporate debtor, is suspended</w:t>
      </w:r>
      <w:r w:rsidR="00461D1B">
        <w:rPr>
          <w:rStyle w:val="FootnoteReference"/>
          <w:rFonts w:ascii="Arial" w:hAnsi="Arial" w:cs="Arial"/>
          <w:color w:val="7B7B7B" w:themeColor="accent3" w:themeShade="BF"/>
          <w:sz w:val="22"/>
          <w:szCs w:val="22"/>
          <w:lang w:val="en-GB"/>
        </w:rPr>
        <w:footnoteReference w:id="36"/>
      </w:r>
      <w:r w:rsidR="00461D1B">
        <w:rPr>
          <w:rFonts w:ascii="Arial" w:hAnsi="Arial" w:cs="Arial"/>
          <w:color w:val="7B7B7B" w:themeColor="accent3" w:themeShade="BF"/>
          <w:sz w:val="22"/>
          <w:szCs w:val="22"/>
          <w:lang w:val="en-GB"/>
        </w:rPr>
        <w:t xml:space="preserve"> and</w:t>
      </w:r>
      <w:r w:rsidR="00475B4D">
        <w:rPr>
          <w:rFonts w:ascii="Arial" w:hAnsi="Arial" w:cs="Arial"/>
          <w:color w:val="7B7B7B" w:themeColor="accent3" w:themeShade="BF"/>
          <w:sz w:val="22"/>
          <w:szCs w:val="22"/>
          <w:lang w:val="en-GB"/>
        </w:rPr>
        <w:t xml:space="preserve"> the management of the affairs of the company shall vest in the interim resolution professional</w:t>
      </w:r>
      <w:r w:rsidR="00475B4D">
        <w:rPr>
          <w:rStyle w:val="FootnoteReference"/>
          <w:rFonts w:ascii="Arial" w:hAnsi="Arial" w:cs="Arial"/>
          <w:color w:val="7B7B7B" w:themeColor="accent3" w:themeShade="BF"/>
          <w:sz w:val="22"/>
          <w:szCs w:val="22"/>
          <w:lang w:val="en-GB"/>
        </w:rPr>
        <w:footnoteReference w:id="37"/>
      </w:r>
      <w:r w:rsidR="00475B4D">
        <w:rPr>
          <w:rFonts w:ascii="Arial" w:hAnsi="Arial" w:cs="Arial"/>
          <w:color w:val="7B7B7B" w:themeColor="accent3" w:themeShade="BF"/>
          <w:sz w:val="22"/>
          <w:szCs w:val="22"/>
          <w:lang w:val="en-GB"/>
        </w:rPr>
        <w:t>.</w:t>
      </w:r>
      <w:r w:rsidR="00BB0C7F">
        <w:rPr>
          <w:rFonts w:ascii="Arial" w:hAnsi="Arial" w:cs="Arial"/>
          <w:color w:val="7B7B7B" w:themeColor="accent3" w:themeShade="BF"/>
          <w:sz w:val="22"/>
          <w:szCs w:val="22"/>
          <w:lang w:val="en-GB"/>
        </w:rPr>
        <w:t xml:space="preserve"> Furthermore, the officers and managers of the company shall report</w:t>
      </w:r>
      <w:r w:rsidR="00695326">
        <w:rPr>
          <w:rFonts w:ascii="Arial" w:hAnsi="Arial" w:cs="Arial"/>
          <w:color w:val="7B7B7B" w:themeColor="accent3" w:themeShade="BF"/>
          <w:sz w:val="22"/>
          <w:szCs w:val="22"/>
          <w:lang w:val="en-GB"/>
        </w:rPr>
        <w:t xml:space="preserve"> to the interim resolution professional and provide access to such documents and records of the company as may be required by the interim resolution professional</w:t>
      </w:r>
      <w:r w:rsidR="00695326">
        <w:rPr>
          <w:rStyle w:val="FootnoteReference"/>
          <w:rFonts w:ascii="Arial" w:hAnsi="Arial" w:cs="Arial"/>
          <w:color w:val="7B7B7B" w:themeColor="accent3" w:themeShade="BF"/>
          <w:sz w:val="22"/>
          <w:szCs w:val="22"/>
          <w:lang w:val="en-GB"/>
        </w:rPr>
        <w:footnoteReference w:id="38"/>
      </w:r>
      <w:r w:rsidR="00964E42">
        <w:rPr>
          <w:rFonts w:ascii="Arial" w:hAnsi="Arial" w:cs="Arial"/>
          <w:color w:val="7B7B7B" w:themeColor="accent3" w:themeShade="BF"/>
          <w:sz w:val="22"/>
          <w:szCs w:val="22"/>
          <w:lang w:val="en-GB"/>
        </w:rPr>
        <w:t xml:space="preserve"> and every other assistance required by the interim professional from the board must be availed to him</w:t>
      </w:r>
      <w:r w:rsidR="007B6D53">
        <w:rPr>
          <w:rFonts w:ascii="Arial" w:hAnsi="Arial" w:cs="Arial"/>
          <w:color w:val="7B7B7B" w:themeColor="accent3" w:themeShade="BF"/>
          <w:sz w:val="22"/>
          <w:szCs w:val="22"/>
          <w:lang w:val="en-GB"/>
        </w:rPr>
        <w:t>. The Interim resolution professional</w:t>
      </w:r>
      <w:r w:rsidR="00880AEC">
        <w:rPr>
          <w:rFonts w:ascii="Arial" w:hAnsi="Arial" w:cs="Arial"/>
          <w:color w:val="7B7B7B" w:themeColor="accent3" w:themeShade="BF"/>
          <w:sz w:val="22"/>
          <w:szCs w:val="22"/>
          <w:lang w:val="en-GB"/>
        </w:rPr>
        <w:t xml:space="preserve"> now</w:t>
      </w:r>
      <w:r w:rsidR="007B6D53">
        <w:rPr>
          <w:rFonts w:ascii="Arial" w:hAnsi="Arial" w:cs="Arial"/>
          <w:color w:val="7B7B7B" w:themeColor="accent3" w:themeShade="BF"/>
          <w:sz w:val="22"/>
          <w:szCs w:val="22"/>
          <w:lang w:val="en-GB"/>
        </w:rPr>
        <w:t xml:space="preserve"> vested with the powers of management of board shall perform the following key powers;</w:t>
      </w:r>
    </w:p>
    <w:p w14:paraId="2193E16B" w14:textId="77777777" w:rsidR="00E125E1" w:rsidRPr="00E125E1" w:rsidRDefault="00E125E1" w:rsidP="00E125E1">
      <w:pPr>
        <w:pStyle w:val="ListParagraph"/>
        <w:numPr>
          <w:ilvl w:val="0"/>
          <w:numId w:val="30"/>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To act and execute in the name and on behalf of the company all deeds, receipts, and other documents, if any;</w:t>
      </w:r>
    </w:p>
    <w:p w14:paraId="1A9776E3" w14:textId="77777777" w:rsidR="00E125E1" w:rsidRPr="00E125E1" w:rsidRDefault="00E125E1" w:rsidP="00E125E1">
      <w:pPr>
        <w:pStyle w:val="ListParagraph"/>
        <w:numPr>
          <w:ilvl w:val="0"/>
          <w:numId w:val="30"/>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authority to access the books of accounts, records and other relevant documents of the company available with government authorities, statutory auditors, accountants and such other persons as may be specified; and </w:t>
      </w:r>
    </w:p>
    <w:p w14:paraId="59D2E438" w14:textId="77777777" w:rsidR="00880AEC" w:rsidRPr="00880AEC" w:rsidRDefault="00E125E1" w:rsidP="00880AEC">
      <w:pPr>
        <w:pStyle w:val="ListParagraph"/>
        <w:numPr>
          <w:ilvl w:val="0"/>
          <w:numId w:val="30"/>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Comply with the requirements under any law for the time being in force on behalf of the corporate debtor</w:t>
      </w:r>
      <w:r>
        <w:rPr>
          <w:rStyle w:val="FootnoteReference"/>
          <w:rFonts w:ascii="Arial" w:hAnsi="Arial" w:cs="Arial"/>
          <w:color w:val="7B7B7B" w:themeColor="accent3" w:themeShade="BF"/>
          <w:sz w:val="22"/>
          <w:szCs w:val="22"/>
          <w:lang w:val="en-GB"/>
        </w:rPr>
        <w:footnoteReference w:id="39"/>
      </w:r>
      <w:r>
        <w:rPr>
          <w:rFonts w:ascii="Arial" w:hAnsi="Arial" w:cs="Arial"/>
          <w:color w:val="7B7B7B" w:themeColor="accent3" w:themeShade="BF"/>
          <w:sz w:val="22"/>
          <w:szCs w:val="22"/>
          <w:lang w:val="en-GB"/>
        </w:rPr>
        <w:t>.</w:t>
      </w:r>
      <w:r w:rsidR="00E159B8" w:rsidRPr="00E125E1">
        <w:rPr>
          <w:rFonts w:ascii="Arial" w:hAnsi="Arial" w:cs="Arial"/>
          <w:color w:val="7B7B7B" w:themeColor="accent3" w:themeShade="BF"/>
          <w:sz w:val="22"/>
          <w:szCs w:val="22"/>
          <w:lang w:val="en-GB"/>
        </w:rPr>
        <w:t xml:space="preserve"> </w:t>
      </w:r>
    </w:p>
    <w:p w14:paraId="40782376" w14:textId="77777777" w:rsidR="00880AEC" w:rsidRDefault="00880AEC" w:rsidP="00880AEC">
      <w:pPr>
        <w:autoSpaceDE w:val="0"/>
        <w:autoSpaceDN w:val="0"/>
        <w:adjustRightInd w:val="0"/>
        <w:jc w:val="both"/>
        <w:rPr>
          <w:rFonts w:ascii="Arial" w:hAnsi="Arial" w:cs="Arial"/>
          <w:color w:val="7B7B7B" w:themeColor="accent3" w:themeShade="BF"/>
          <w:sz w:val="22"/>
          <w:szCs w:val="22"/>
          <w:lang w:val="en-GB"/>
        </w:rPr>
      </w:pPr>
    </w:p>
    <w:p w14:paraId="54C7C34B" w14:textId="77777777" w:rsidR="00880AEC" w:rsidRDefault="00880AEC" w:rsidP="00880AE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Key duties now required to be performed by the Insolvency resolution professional include the following;</w:t>
      </w:r>
    </w:p>
    <w:p w14:paraId="503161DF" w14:textId="2B312616" w:rsidR="00880AEC" w:rsidRPr="00880AEC" w:rsidRDefault="00880AEC" w:rsidP="00880AEC">
      <w:pPr>
        <w:pStyle w:val="ListParagraph"/>
        <w:numPr>
          <w:ilvl w:val="0"/>
          <w:numId w:val="31"/>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Collect all information relating to the assets, finances and operations of the company for determining its financial position (including business operations and financial and </w:t>
      </w:r>
      <w:r>
        <w:rPr>
          <w:rFonts w:ascii="Arial" w:hAnsi="Arial" w:cs="Arial"/>
          <w:color w:val="7B7B7B" w:themeColor="accent3" w:themeShade="BF"/>
          <w:sz w:val="22"/>
          <w:szCs w:val="22"/>
          <w:lang w:val="en-GB"/>
        </w:rPr>
        <w:lastRenderedPageBreak/>
        <w:t>operational payments for the previous two years) and draft a list of assets and liabilities as of the insolvency commencement date;</w:t>
      </w:r>
    </w:p>
    <w:p w14:paraId="4A685008" w14:textId="77777777" w:rsidR="00880AEC" w:rsidRPr="00880AEC" w:rsidRDefault="00880AEC" w:rsidP="00880AEC">
      <w:pPr>
        <w:pStyle w:val="ListParagraph"/>
        <w:numPr>
          <w:ilvl w:val="0"/>
          <w:numId w:val="31"/>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Constitute a committee of creditors;</w:t>
      </w:r>
    </w:p>
    <w:p w14:paraId="2BBEF13B" w14:textId="77777777" w:rsidR="00880AEC" w:rsidRPr="00880AEC" w:rsidRDefault="00880AEC" w:rsidP="00880AEC">
      <w:pPr>
        <w:pStyle w:val="ListParagraph"/>
        <w:numPr>
          <w:ilvl w:val="0"/>
          <w:numId w:val="31"/>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Monitor the assets of the corporate debtor and manage its operations until a resolution professional is appointed by the committee of creditors;</w:t>
      </w:r>
    </w:p>
    <w:p w14:paraId="5EDD0A33" w14:textId="2214FAF2" w:rsidR="000C2C74" w:rsidRPr="000C2C74" w:rsidRDefault="00880AEC" w:rsidP="00880AEC">
      <w:pPr>
        <w:pStyle w:val="ListParagraph"/>
        <w:numPr>
          <w:ilvl w:val="0"/>
          <w:numId w:val="31"/>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Take custody and control of any asset over which the corporate debtor has ownership rights as recorded in the balance sheet</w:t>
      </w:r>
      <w:r w:rsidR="000A2D79">
        <w:rPr>
          <w:rFonts w:ascii="Arial" w:hAnsi="Arial" w:cs="Arial"/>
          <w:color w:val="7B7B7B" w:themeColor="accent3" w:themeShade="BF"/>
          <w:sz w:val="22"/>
          <w:szCs w:val="22"/>
          <w:lang w:val="en-GB"/>
        </w:rPr>
        <w:t xml:space="preserve"> of the company, including assets in a foreign country, assets that may not be in the possession of the corporate debtor, securities (including any shares in a subsidiary) and all tangible and intangible assets</w:t>
      </w:r>
      <w:r w:rsidR="000C2C74">
        <w:rPr>
          <w:rFonts w:ascii="Arial" w:hAnsi="Arial" w:cs="Arial"/>
          <w:color w:val="7B7B7B" w:themeColor="accent3" w:themeShade="BF"/>
          <w:sz w:val="22"/>
          <w:szCs w:val="22"/>
          <w:lang w:val="en-GB"/>
        </w:rPr>
        <w:t>;</w:t>
      </w:r>
    </w:p>
    <w:p w14:paraId="3A730EC0" w14:textId="77777777" w:rsidR="009F289E" w:rsidRPr="009F289E" w:rsidRDefault="00D62A48" w:rsidP="00880AEC">
      <w:pPr>
        <w:pStyle w:val="ListParagraph"/>
        <w:numPr>
          <w:ilvl w:val="0"/>
          <w:numId w:val="31"/>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Make every endeavour to protect and preserve the assets of the company and manage the operations of the company as a going concern, for which purpose the IRP may appoint advisors, enter into contracts on behalf of the company and issue instructions to the personnel of the company</w:t>
      </w:r>
      <w:r w:rsidR="0069260F">
        <w:rPr>
          <w:rStyle w:val="FootnoteReference"/>
          <w:rFonts w:ascii="Arial" w:hAnsi="Arial" w:cs="Arial"/>
          <w:color w:val="7B7B7B" w:themeColor="accent3" w:themeShade="BF"/>
          <w:sz w:val="22"/>
          <w:szCs w:val="22"/>
          <w:lang w:val="en-GB"/>
        </w:rPr>
        <w:footnoteReference w:id="40"/>
      </w:r>
      <w:r>
        <w:rPr>
          <w:rFonts w:ascii="Arial" w:hAnsi="Arial" w:cs="Arial"/>
          <w:color w:val="7B7B7B" w:themeColor="accent3" w:themeShade="BF"/>
          <w:sz w:val="22"/>
          <w:szCs w:val="22"/>
          <w:lang w:val="en-GB"/>
        </w:rPr>
        <w:t>.</w:t>
      </w:r>
      <w:r w:rsidR="00880AEC" w:rsidRPr="00880AEC">
        <w:rPr>
          <w:rFonts w:ascii="Arial" w:hAnsi="Arial" w:cs="Arial"/>
          <w:color w:val="7B7B7B" w:themeColor="accent3" w:themeShade="BF"/>
          <w:sz w:val="22"/>
          <w:szCs w:val="22"/>
          <w:lang w:val="en-GB"/>
        </w:rPr>
        <w:t xml:space="preserve"> </w:t>
      </w:r>
      <w:r w:rsidR="00E159B8" w:rsidRPr="00880AEC">
        <w:rPr>
          <w:rFonts w:ascii="Arial" w:hAnsi="Arial" w:cs="Arial"/>
          <w:color w:val="7B7B7B" w:themeColor="accent3" w:themeShade="BF"/>
          <w:sz w:val="22"/>
          <w:szCs w:val="22"/>
          <w:lang w:val="en-GB"/>
        </w:rPr>
        <w:t xml:space="preserve"> </w:t>
      </w:r>
    </w:p>
    <w:p w14:paraId="7176F094" w14:textId="3BC8C77B" w:rsidR="00D46083" w:rsidRPr="00D46083" w:rsidRDefault="009F289E" w:rsidP="00880AEC">
      <w:pPr>
        <w:pStyle w:val="ListParagraph"/>
        <w:numPr>
          <w:ilvl w:val="0"/>
          <w:numId w:val="31"/>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For the purposes of preserving and protecting the assets of the company and managing its operations on a going concern basis, the IRP is permitted </w:t>
      </w:r>
      <w:r w:rsidR="0067756C">
        <w:rPr>
          <w:rFonts w:ascii="Arial" w:hAnsi="Arial" w:cs="Arial"/>
          <w:color w:val="7B7B7B" w:themeColor="accent3" w:themeShade="BF"/>
          <w:sz w:val="22"/>
          <w:szCs w:val="22"/>
          <w:lang w:val="en-GB"/>
        </w:rPr>
        <w:t>to raise finance (referred to as interim finance) and provide security over any asset of the company for such interim finance without obtaining the prior consent of any lender to whom such asset is already charged, provided the value of such asset is more than twice the debt of such creditor</w:t>
      </w:r>
      <w:r w:rsidR="00E903CB">
        <w:rPr>
          <w:rStyle w:val="FootnoteReference"/>
          <w:rFonts w:ascii="Arial" w:hAnsi="Arial" w:cs="Arial"/>
          <w:color w:val="7B7B7B" w:themeColor="accent3" w:themeShade="BF"/>
          <w:sz w:val="22"/>
          <w:szCs w:val="22"/>
          <w:lang w:val="en-GB"/>
        </w:rPr>
        <w:footnoteReference w:id="41"/>
      </w:r>
      <w:r w:rsidR="0067756C">
        <w:rPr>
          <w:rFonts w:ascii="Arial" w:hAnsi="Arial" w:cs="Arial"/>
          <w:color w:val="7B7B7B" w:themeColor="accent3" w:themeShade="BF"/>
          <w:sz w:val="22"/>
          <w:szCs w:val="22"/>
          <w:lang w:val="en-GB"/>
        </w:rPr>
        <w:t>.</w:t>
      </w:r>
      <w:r w:rsidR="00D46083">
        <w:rPr>
          <w:rFonts w:ascii="Arial" w:hAnsi="Arial" w:cs="Arial"/>
          <w:color w:val="7B7B7B" w:themeColor="accent3" w:themeShade="BF"/>
          <w:sz w:val="22"/>
          <w:szCs w:val="22"/>
          <w:lang w:val="en-GB"/>
        </w:rPr>
        <w:t xml:space="preserve"> </w:t>
      </w:r>
    </w:p>
    <w:p w14:paraId="20999134" w14:textId="77777777" w:rsidR="00D46083" w:rsidRPr="00D46083" w:rsidRDefault="00D46083" w:rsidP="00D46083">
      <w:pPr>
        <w:pStyle w:val="ListParagraph"/>
        <w:autoSpaceDE w:val="0"/>
        <w:autoSpaceDN w:val="0"/>
        <w:adjustRightInd w:val="0"/>
        <w:jc w:val="both"/>
        <w:rPr>
          <w:rFonts w:ascii="Arial" w:hAnsi="Arial" w:cs="Arial"/>
          <w:sz w:val="22"/>
          <w:szCs w:val="22"/>
          <w:lang w:val="en-GB"/>
        </w:rPr>
      </w:pPr>
    </w:p>
    <w:p w14:paraId="35D8F287" w14:textId="5319A3A1" w:rsidR="0077498C" w:rsidRPr="00D46083" w:rsidRDefault="00D46083" w:rsidP="00D46083">
      <w:pPr>
        <w:autoSpaceDE w:val="0"/>
        <w:autoSpaceDN w:val="0"/>
        <w:adjustRightInd w:val="0"/>
        <w:ind w:left="360"/>
        <w:jc w:val="both"/>
        <w:rPr>
          <w:rFonts w:ascii="Arial" w:hAnsi="Arial" w:cs="Arial"/>
          <w:sz w:val="22"/>
          <w:szCs w:val="22"/>
          <w:lang w:val="en-GB"/>
        </w:rPr>
      </w:pPr>
      <w:r>
        <w:rPr>
          <w:rFonts w:ascii="Arial" w:hAnsi="Arial" w:cs="Arial"/>
          <w:color w:val="7B7B7B" w:themeColor="accent3" w:themeShade="BF"/>
          <w:sz w:val="22"/>
          <w:szCs w:val="22"/>
          <w:lang w:val="en-GB"/>
        </w:rPr>
        <w:t xml:space="preserve">Nevertheless, the directors have powers to attend the meeting of the creditors’ committee without the right to vote. They can also provide comments and </w:t>
      </w:r>
      <w:bookmarkEnd w:id="0"/>
      <w:r>
        <w:rPr>
          <w:rFonts w:ascii="Arial" w:hAnsi="Arial" w:cs="Arial"/>
          <w:color w:val="7B7B7B" w:themeColor="accent3" w:themeShade="BF"/>
          <w:sz w:val="22"/>
          <w:szCs w:val="22"/>
          <w:lang w:val="en-GB"/>
        </w:rPr>
        <w:t>suggestions on proposed resolution plan</w:t>
      </w:r>
      <w:r w:rsidR="00A80105">
        <w:rPr>
          <w:rFonts w:ascii="Arial" w:hAnsi="Arial" w:cs="Arial"/>
          <w:color w:val="7B7B7B" w:themeColor="accent3" w:themeShade="BF"/>
          <w:sz w:val="22"/>
          <w:szCs w:val="22"/>
          <w:lang w:val="en-GB"/>
        </w:rPr>
        <w:t xml:space="preserve"> without more</w:t>
      </w:r>
      <w:r>
        <w:rPr>
          <w:rFonts w:ascii="Arial" w:hAnsi="Arial" w:cs="Arial"/>
          <w:color w:val="7B7B7B" w:themeColor="accent3" w:themeShade="BF"/>
          <w:sz w:val="22"/>
          <w:szCs w:val="22"/>
          <w:lang w:val="en-GB"/>
        </w:rPr>
        <w:t>.]</w:t>
      </w: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47B01" w14:textId="77777777" w:rsidR="00AA70BF" w:rsidRDefault="00AA70BF" w:rsidP="00241B44">
      <w:r>
        <w:separator/>
      </w:r>
    </w:p>
  </w:endnote>
  <w:endnote w:type="continuationSeparator" w:id="0">
    <w:p w14:paraId="53E69848" w14:textId="77777777" w:rsidR="00AA70BF" w:rsidRDefault="00AA70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81E94">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052A9578" w:rsidR="00241FA3" w:rsidRPr="009B4976" w:rsidRDefault="00E0587A" w:rsidP="009B4976">
    <w:pPr>
      <w:pStyle w:val="Footer"/>
      <w:ind w:right="360"/>
      <w:rPr>
        <w:rFonts w:ascii="Arial" w:hAnsi="Arial" w:cs="Arial"/>
        <w:sz w:val="18"/>
        <w:szCs w:val="18"/>
        <w:lang w:val="en-GB"/>
      </w:rPr>
    </w:pPr>
    <w:r>
      <w:rPr>
        <w:rFonts w:ascii="Arial" w:hAnsi="Arial" w:cs="Arial"/>
        <w:sz w:val="18"/>
        <w:szCs w:val="18"/>
        <w:lang w:val="en-GB"/>
      </w:rPr>
      <w:t>202122-365</w:t>
    </w:r>
    <w:r w:rsidR="0073158B" w:rsidRPr="009B4976">
      <w:rPr>
        <w:rFonts w:ascii="Arial" w:hAnsi="Arial" w:cs="Arial"/>
        <w:sz w:val="18"/>
        <w:szCs w:val="18"/>
        <w:lang w:val="en-GB"/>
      </w:rPr>
      <w:t>.assessment</w:t>
    </w:r>
    <w:r w:rsidR="006A0A1C">
      <w:rPr>
        <w:rFonts w:ascii="Arial" w:hAnsi="Arial" w:cs="Arial"/>
        <w:sz w:val="18"/>
        <w:szCs w:val="18"/>
        <w:lang w:val="en-GB"/>
      </w:rPr>
      <w:t>8D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00650" w14:textId="77777777" w:rsidR="00AA70BF" w:rsidRDefault="00AA70BF" w:rsidP="00241B44">
      <w:r>
        <w:separator/>
      </w:r>
    </w:p>
  </w:footnote>
  <w:footnote w:type="continuationSeparator" w:id="0">
    <w:p w14:paraId="128E1753" w14:textId="77777777" w:rsidR="00AA70BF" w:rsidRDefault="00AA70BF" w:rsidP="00241B44">
      <w:r>
        <w:continuationSeparator/>
      </w:r>
    </w:p>
  </w:footnote>
  <w:footnote w:id="1">
    <w:p w14:paraId="3C80CC59" w14:textId="2D72D979" w:rsidR="00643F15" w:rsidRPr="00643F15" w:rsidRDefault="00643F15">
      <w:pPr>
        <w:pStyle w:val="FootnoteText"/>
        <w:rPr>
          <w:lang w:val="en-GB"/>
        </w:rPr>
      </w:pPr>
      <w:r>
        <w:rPr>
          <w:rStyle w:val="FootnoteReference"/>
        </w:rPr>
        <w:footnoteRef/>
      </w:r>
      <w:r>
        <w:t xml:space="preserve"> </w:t>
      </w:r>
      <w:r>
        <w:rPr>
          <w:lang w:val="en-GB"/>
        </w:rPr>
        <w:t xml:space="preserve">See, Insolvency and Bankruptcy Code 2016, s 96(1). See also, Module 8D Guidance Text p 29. </w:t>
      </w:r>
    </w:p>
  </w:footnote>
  <w:footnote w:id="2">
    <w:p w14:paraId="6A87543D" w14:textId="2858D7A3" w:rsidR="001D686A" w:rsidRPr="001D686A" w:rsidRDefault="001D686A">
      <w:pPr>
        <w:pStyle w:val="FootnoteText"/>
        <w:rPr>
          <w:lang w:val="en-GB"/>
        </w:rPr>
      </w:pPr>
      <w:r>
        <w:rPr>
          <w:rStyle w:val="FootnoteReference"/>
        </w:rPr>
        <w:footnoteRef/>
      </w:r>
      <w:r>
        <w:t xml:space="preserve"> </w:t>
      </w:r>
      <w:r>
        <w:rPr>
          <w:lang w:val="en-GB"/>
        </w:rPr>
        <w:t>See idem</w:t>
      </w:r>
      <w:r w:rsidR="00050907">
        <w:rPr>
          <w:lang w:val="en-GB"/>
        </w:rPr>
        <w:t>, s 101. See also Idem.</w:t>
      </w:r>
    </w:p>
  </w:footnote>
  <w:footnote w:id="3">
    <w:p w14:paraId="44614F4C" w14:textId="08EFFD3E" w:rsidR="00600C42" w:rsidRPr="00600C42" w:rsidRDefault="00600C42">
      <w:pPr>
        <w:pStyle w:val="FootnoteText"/>
        <w:rPr>
          <w:lang w:val="en-GB"/>
        </w:rPr>
      </w:pPr>
      <w:r>
        <w:rPr>
          <w:rStyle w:val="FootnoteReference"/>
        </w:rPr>
        <w:footnoteRef/>
      </w:r>
      <w:r>
        <w:t xml:space="preserve"> </w:t>
      </w:r>
      <w:r>
        <w:rPr>
          <w:lang w:val="en-GB"/>
        </w:rPr>
        <w:t>See, Presidency-Towns Act, s 48(1)(a). This is the same under Provincial Act, s 61(1)(a).</w:t>
      </w:r>
    </w:p>
  </w:footnote>
  <w:footnote w:id="4">
    <w:p w14:paraId="7B16F497" w14:textId="00002B69" w:rsidR="004224ED" w:rsidRPr="004224ED" w:rsidRDefault="004224ED">
      <w:pPr>
        <w:pStyle w:val="FootnoteText"/>
        <w:rPr>
          <w:lang w:val="en-GB"/>
        </w:rPr>
      </w:pPr>
      <w:r>
        <w:rPr>
          <w:rStyle w:val="FootnoteReference"/>
        </w:rPr>
        <w:footnoteRef/>
      </w:r>
      <w:r>
        <w:t xml:space="preserve"> </w:t>
      </w:r>
      <w:r>
        <w:rPr>
          <w:lang w:val="en-GB"/>
        </w:rPr>
        <w:t>Idem, s 49(1)(b).</w:t>
      </w:r>
    </w:p>
  </w:footnote>
  <w:footnote w:id="5">
    <w:p w14:paraId="3B33EE2E" w14:textId="54873262" w:rsidR="004224ED" w:rsidRPr="004224ED" w:rsidRDefault="004224ED">
      <w:pPr>
        <w:pStyle w:val="FootnoteText"/>
        <w:rPr>
          <w:lang w:val="en-GB"/>
        </w:rPr>
      </w:pPr>
      <w:r>
        <w:rPr>
          <w:rStyle w:val="FootnoteReference"/>
        </w:rPr>
        <w:footnoteRef/>
      </w:r>
      <w:r>
        <w:t xml:space="preserve"> </w:t>
      </w:r>
      <w:r>
        <w:rPr>
          <w:lang w:val="en-GB"/>
        </w:rPr>
        <w:t>Ibid, s 61(1)(b)</w:t>
      </w:r>
    </w:p>
  </w:footnote>
  <w:footnote w:id="6">
    <w:p w14:paraId="649D2E3F" w14:textId="49291EF7" w:rsidR="004224ED" w:rsidRPr="004224ED" w:rsidRDefault="004224ED">
      <w:pPr>
        <w:pStyle w:val="FootnoteText"/>
        <w:rPr>
          <w:lang w:val="en-GB"/>
        </w:rPr>
      </w:pPr>
      <w:r>
        <w:rPr>
          <w:rStyle w:val="FootnoteReference"/>
        </w:rPr>
        <w:footnoteRef/>
      </w:r>
      <w:r>
        <w:t xml:space="preserve"> </w:t>
      </w:r>
      <w:r>
        <w:rPr>
          <w:lang w:val="en-GB"/>
        </w:rPr>
        <w:t>See ibid, Guidance Text, p 23.</w:t>
      </w:r>
    </w:p>
  </w:footnote>
  <w:footnote w:id="7">
    <w:p w14:paraId="56C75E87" w14:textId="50113912" w:rsidR="00E65C92" w:rsidRPr="00E65C92" w:rsidRDefault="00E65C92">
      <w:pPr>
        <w:pStyle w:val="FootnoteText"/>
        <w:rPr>
          <w:lang w:val="en-GB"/>
        </w:rPr>
      </w:pPr>
      <w:r>
        <w:rPr>
          <w:rStyle w:val="FootnoteReference"/>
        </w:rPr>
        <w:footnoteRef/>
      </w:r>
      <w:r>
        <w:t xml:space="preserve"> </w:t>
      </w:r>
      <w:r>
        <w:rPr>
          <w:lang w:val="en-GB"/>
        </w:rPr>
        <w:t xml:space="preserve">See ibid, s 49(1)(c). </w:t>
      </w:r>
    </w:p>
  </w:footnote>
  <w:footnote w:id="8">
    <w:p w14:paraId="2C861CEC" w14:textId="34C3C7D9" w:rsidR="00983AE7" w:rsidRPr="00983AE7" w:rsidRDefault="00983AE7">
      <w:pPr>
        <w:pStyle w:val="FootnoteText"/>
        <w:rPr>
          <w:lang w:val="en-GB"/>
        </w:rPr>
      </w:pPr>
      <w:r>
        <w:rPr>
          <w:rStyle w:val="FootnoteReference"/>
        </w:rPr>
        <w:footnoteRef/>
      </w:r>
      <w:r>
        <w:t xml:space="preserve"> </w:t>
      </w:r>
      <w:r>
        <w:rPr>
          <w:lang w:val="en-GB"/>
        </w:rPr>
        <w:t>Idem, s 49(2). See also Provincial Act, s 61(2): Guidance Text, p 24.</w:t>
      </w:r>
    </w:p>
  </w:footnote>
  <w:footnote w:id="9">
    <w:p w14:paraId="3309B8A7" w14:textId="5E05D183" w:rsidR="008B2A4B" w:rsidRPr="008B2A4B" w:rsidRDefault="008B2A4B">
      <w:pPr>
        <w:pStyle w:val="FootnoteText"/>
        <w:rPr>
          <w:lang w:val="en-GB"/>
        </w:rPr>
      </w:pPr>
      <w:r>
        <w:rPr>
          <w:rStyle w:val="FootnoteReference"/>
        </w:rPr>
        <w:footnoteRef/>
      </w:r>
      <w:r>
        <w:t xml:space="preserve"> </w:t>
      </w:r>
      <w:r>
        <w:rPr>
          <w:lang w:val="en-GB"/>
        </w:rPr>
        <w:t>See Guidance Text, idem.</w:t>
      </w:r>
    </w:p>
  </w:footnote>
  <w:footnote w:id="10">
    <w:p w14:paraId="23D58509" w14:textId="5A6203FA" w:rsidR="00817941" w:rsidRPr="00817941" w:rsidRDefault="00817941">
      <w:pPr>
        <w:pStyle w:val="FootnoteText"/>
        <w:rPr>
          <w:lang w:val="en-GB"/>
        </w:rPr>
      </w:pPr>
      <w:r>
        <w:rPr>
          <w:rStyle w:val="FootnoteReference"/>
        </w:rPr>
        <w:footnoteRef/>
      </w:r>
      <w:r>
        <w:t xml:space="preserve"> </w:t>
      </w:r>
      <w:r>
        <w:rPr>
          <w:lang w:val="en-GB"/>
        </w:rPr>
        <w:t>See IBC, s 121(1). See</w:t>
      </w:r>
      <w:r w:rsidR="00E25EE6">
        <w:rPr>
          <w:lang w:val="en-GB"/>
        </w:rPr>
        <w:t xml:space="preserve"> also idem, p 30</w:t>
      </w:r>
      <w:r w:rsidR="00934B24">
        <w:rPr>
          <w:lang w:val="en-GB"/>
        </w:rPr>
        <w:t>.</w:t>
      </w:r>
    </w:p>
  </w:footnote>
  <w:footnote w:id="11">
    <w:p w14:paraId="5D666835" w14:textId="2181CC72" w:rsidR="001406A1" w:rsidRPr="001406A1" w:rsidRDefault="001406A1">
      <w:pPr>
        <w:pStyle w:val="FootnoteText"/>
        <w:rPr>
          <w:lang w:val="en-GB"/>
        </w:rPr>
      </w:pPr>
      <w:r>
        <w:rPr>
          <w:rStyle w:val="FootnoteReference"/>
        </w:rPr>
        <w:footnoteRef/>
      </w:r>
      <w:r>
        <w:t xml:space="preserve"> </w:t>
      </w:r>
      <w:r>
        <w:rPr>
          <w:lang w:val="en-GB"/>
        </w:rPr>
        <w:t>Civil Procedure Code, s 13.</w:t>
      </w:r>
    </w:p>
  </w:footnote>
  <w:footnote w:id="12">
    <w:p w14:paraId="0F60D1F3" w14:textId="3556807A" w:rsidR="001406A1" w:rsidRPr="001406A1" w:rsidRDefault="001406A1">
      <w:pPr>
        <w:pStyle w:val="FootnoteText"/>
        <w:rPr>
          <w:lang w:val="en-GB"/>
        </w:rPr>
      </w:pPr>
      <w:r>
        <w:rPr>
          <w:rStyle w:val="FootnoteReference"/>
        </w:rPr>
        <w:footnoteRef/>
      </w:r>
      <w:r>
        <w:t xml:space="preserve"> </w:t>
      </w:r>
      <w:r>
        <w:rPr>
          <w:lang w:val="en-GB"/>
        </w:rPr>
        <w:t>Ibid, p 73.</w:t>
      </w:r>
    </w:p>
  </w:footnote>
  <w:footnote w:id="13">
    <w:p w14:paraId="628CC69D" w14:textId="544D3DEB" w:rsidR="003C209F" w:rsidRPr="003C209F" w:rsidRDefault="003C209F">
      <w:pPr>
        <w:pStyle w:val="FootnoteText"/>
        <w:rPr>
          <w:lang w:val="en-GB"/>
        </w:rPr>
      </w:pPr>
      <w:r>
        <w:rPr>
          <w:rStyle w:val="FootnoteReference"/>
        </w:rPr>
        <w:footnoteRef/>
      </w:r>
      <w:r>
        <w:t xml:space="preserve"> </w:t>
      </w:r>
      <w:r>
        <w:rPr>
          <w:lang w:val="en-GB"/>
        </w:rPr>
        <w:t>The other liquidation regime for companies is the liquidation process under the companies Act 2013.</w:t>
      </w:r>
    </w:p>
  </w:footnote>
  <w:footnote w:id="14">
    <w:p w14:paraId="17E2A2E9" w14:textId="04560F35" w:rsidR="007C25FF" w:rsidRPr="007C25FF" w:rsidRDefault="007C25FF">
      <w:pPr>
        <w:pStyle w:val="FootnoteText"/>
        <w:rPr>
          <w:lang w:val="en-GB"/>
        </w:rPr>
      </w:pPr>
      <w:r>
        <w:rPr>
          <w:rStyle w:val="FootnoteReference"/>
        </w:rPr>
        <w:footnoteRef/>
      </w:r>
      <w:r>
        <w:t xml:space="preserve"> </w:t>
      </w:r>
      <w:r>
        <w:rPr>
          <w:lang w:val="en-GB"/>
        </w:rPr>
        <w:t>IBC 2016.</w:t>
      </w:r>
    </w:p>
  </w:footnote>
  <w:footnote w:id="15">
    <w:p w14:paraId="3AC9A212" w14:textId="54F9D7D7" w:rsidR="00596902" w:rsidRPr="00596902" w:rsidRDefault="00596902">
      <w:pPr>
        <w:pStyle w:val="FootnoteText"/>
        <w:rPr>
          <w:lang w:val="en-GB"/>
        </w:rPr>
      </w:pPr>
      <w:r>
        <w:rPr>
          <w:rStyle w:val="FootnoteReference"/>
        </w:rPr>
        <w:footnoteRef/>
      </w:r>
      <w:r>
        <w:t xml:space="preserve"> </w:t>
      </w:r>
      <w:r>
        <w:rPr>
          <w:lang w:val="en-GB"/>
        </w:rPr>
        <w:t>See ibid, p 33.</w:t>
      </w:r>
    </w:p>
  </w:footnote>
  <w:footnote w:id="16">
    <w:p w14:paraId="035DEE2F" w14:textId="448413CF" w:rsidR="00D2276C" w:rsidRPr="00D2276C" w:rsidRDefault="00D2276C">
      <w:pPr>
        <w:pStyle w:val="FootnoteText"/>
        <w:rPr>
          <w:lang w:val="en-GB"/>
        </w:rPr>
      </w:pPr>
      <w:r>
        <w:rPr>
          <w:rStyle w:val="FootnoteReference"/>
        </w:rPr>
        <w:footnoteRef/>
      </w:r>
      <w:r>
        <w:t xml:space="preserve"> </w:t>
      </w:r>
      <w:r>
        <w:rPr>
          <w:lang w:val="en-GB"/>
        </w:rPr>
        <w:t>Idem.</w:t>
      </w:r>
    </w:p>
  </w:footnote>
  <w:footnote w:id="17">
    <w:p w14:paraId="1C6D4560" w14:textId="4FDAA2E3" w:rsidR="00CC6599" w:rsidRPr="00CC6599" w:rsidRDefault="00CC6599">
      <w:pPr>
        <w:pStyle w:val="FootnoteText"/>
        <w:rPr>
          <w:lang w:val="en-GB"/>
        </w:rPr>
      </w:pPr>
      <w:r>
        <w:rPr>
          <w:rStyle w:val="FootnoteReference"/>
        </w:rPr>
        <w:footnoteRef/>
      </w:r>
      <w:r>
        <w:t xml:space="preserve">See ibid, IBC s 10. </w:t>
      </w:r>
    </w:p>
  </w:footnote>
  <w:footnote w:id="18">
    <w:p w14:paraId="12611650" w14:textId="30C59024" w:rsidR="009740D1" w:rsidRPr="009740D1" w:rsidRDefault="009740D1">
      <w:pPr>
        <w:pStyle w:val="FootnoteText"/>
        <w:rPr>
          <w:lang w:val="en-GB"/>
        </w:rPr>
      </w:pPr>
      <w:r>
        <w:rPr>
          <w:rStyle w:val="FootnoteReference"/>
        </w:rPr>
        <w:footnoteRef/>
      </w:r>
      <w:r>
        <w:t xml:space="preserve"> </w:t>
      </w:r>
      <w:r>
        <w:rPr>
          <w:lang w:val="en-GB"/>
        </w:rPr>
        <w:t>The Supreme Court has held</w:t>
      </w:r>
      <w:r w:rsidR="00E525E3">
        <w:rPr>
          <w:lang w:val="en-GB"/>
        </w:rPr>
        <w:t xml:space="preserve"> that this 14-day period is not mandatory. It is only directory and starts from the date</w:t>
      </w:r>
      <w:r w:rsidR="00787089">
        <w:rPr>
          <w:lang w:val="en-GB"/>
        </w:rPr>
        <w:t xml:space="preserve"> the application is first listed for admission.</w:t>
      </w:r>
      <w:r w:rsidR="00F610D0">
        <w:rPr>
          <w:lang w:val="en-GB"/>
        </w:rPr>
        <w:t xml:space="preserve"> See, Surendra Trading Company v </w:t>
      </w:r>
      <w:proofErr w:type="spellStart"/>
      <w:r w:rsidR="00F610D0">
        <w:rPr>
          <w:lang w:val="en-GB"/>
        </w:rPr>
        <w:t>Juggilal</w:t>
      </w:r>
      <w:proofErr w:type="spellEnd"/>
      <w:r w:rsidR="00F610D0">
        <w:rPr>
          <w:lang w:val="en-GB"/>
        </w:rPr>
        <w:t xml:space="preserve"> </w:t>
      </w:r>
      <w:proofErr w:type="spellStart"/>
      <w:r w:rsidR="00F610D0">
        <w:rPr>
          <w:lang w:val="en-GB"/>
        </w:rPr>
        <w:t>Kamlapat</w:t>
      </w:r>
      <w:proofErr w:type="spellEnd"/>
      <w:r w:rsidR="00F610D0">
        <w:rPr>
          <w:lang w:val="en-GB"/>
        </w:rPr>
        <w:t xml:space="preserve"> Jute Mills Company Limited, Judgment dated Sept. 19, 2017 in CA N0 8400 of 2017 and CA Nos 15091</w:t>
      </w:r>
      <w:r w:rsidR="00AC1185">
        <w:rPr>
          <w:lang w:val="en-GB"/>
        </w:rPr>
        <w:t>-15091 of 2017.</w:t>
      </w:r>
      <w:r w:rsidR="00406316">
        <w:rPr>
          <w:lang w:val="en-GB"/>
        </w:rPr>
        <w:t xml:space="preserve"> However, due to an amendment to the Code in August, 2019, the National Company Law Tribunal is now required to record reasons for delay in admission</w:t>
      </w:r>
      <w:r w:rsidR="00F3497C">
        <w:rPr>
          <w:lang w:val="en-GB"/>
        </w:rPr>
        <w:t xml:space="preserve"> of petitions beyond the 14 days period. See also Ibid</w:t>
      </w:r>
      <w:r w:rsidR="001E2979">
        <w:rPr>
          <w:lang w:val="en-GB"/>
        </w:rPr>
        <w:t>, p 51.</w:t>
      </w:r>
      <w:r w:rsidR="00406316">
        <w:rPr>
          <w:lang w:val="en-GB"/>
        </w:rPr>
        <w:t xml:space="preserve"> </w:t>
      </w:r>
      <w:r w:rsidR="00E525E3">
        <w:rPr>
          <w:lang w:val="en-GB"/>
        </w:rPr>
        <w:t xml:space="preserve">  </w:t>
      </w:r>
    </w:p>
  </w:footnote>
  <w:footnote w:id="19">
    <w:p w14:paraId="60603E1F" w14:textId="205E5E82" w:rsidR="006F7688" w:rsidRPr="006F7688" w:rsidRDefault="006F7688">
      <w:pPr>
        <w:pStyle w:val="FootnoteText"/>
        <w:rPr>
          <w:lang w:val="en-GB"/>
        </w:rPr>
      </w:pPr>
      <w:r>
        <w:rPr>
          <w:rStyle w:val="FootnoteReference"/>
        </w:rPr>
        <w:footnoteRef/>
      </w:r>
      <w:r>
        <w:t xml:space="preserve"> </w:t>
      </w:r>
      <w:r>
        <w:rPr>
          <w:lang w:val="en-GB"/>
        </w:rPr>
        <w:t xml:space="preserve">See, </w:t>
      </w:r>
      <w:proofErr w:type="spellStart"/>
      <w:r>
        <w:rPr>
          <w:lang w:val="en-GB"/>
        </w:rPr>
        <w:t>Innoventive</w:t>
      </w:r>
      <w:proofErr w:type="spellEnd"/>
      <w:r>
        <w:rPr>
          <w:lang w:val="en-GB"/>
        </w:rPr>
        <w:t xml:space="preserve"> Industries Ltd v ICICI Bank and Another (2018) 1 SCC 407.</w:t>
      </w:r>
    </w:p>
  </w:footnote>
  <w:footnote w:id="20">
    <w:p w14:paraId="494019D9" w14:textId="372C221B" w:rsidR="00756450" w:rsidRPr="00756450" w:rsidRDefault="00756450">
      <w:pPr>
        <w:pStyle w:val="FootnoteText"/>
        <w:rPr>
          <w:lang w:val="en-GB"/>
        </w:rPr>
      </w:pPr>
      <w:r>
        <w:rPr>
          <w:rStyle w:val="FootnoteReference"/>
        </w:rPr>
        <w:footnoteRef/>
      </w:r>
      <w:r>
        <w:t xml:space="preserve"> </w:t>
      </w:r>
      <w:r>
        <w:rPr>
          <w:lang w:val="en-GB"/>
        </w:rPr>
        <w:t>See ibid, p 42; the governing regulations are the Insolvency and Bankruptcy Board of India (Voluntary Liquidation Process) Regulations, 2017 (Voluntary Liquidation Regulations).</w:t>
      </w:r>
    </w:p>
  </w:footnote>
  <w:footnote w:id="21">
    <w:p w14:paraId="3C28EBAD" w14:textId="24F7A9F6" w:rsidR="00B17BCA" w:rsidRPr="00B17BCA" w:rsidRDefault="00B17BCA">
      <w:pPr>
        <w:pStyle w:val="FootnoteText"/>
        <w:rPr>
          <w:lang w:val="en-GB"/>
        </w:rPr>
      </w:pPr>
      <w:r>
        <w:rPr>
          <w:rStyle w:val="FootnoteReference"/>
        </w:rPr>
        <w:footnoteRef/>
      </w:r>
      <w:r>
        <w:t xml:space="preserve"> </w:t>
      </w:r>
      <w:r>
        <w:rPr>
          <w:lang w:val="en-GB"/>
        </w:rPr>
        <w:t>See ibid, p 38.</w:t>
      </w:r>
    </w:p>
  </w:footnote>
  <w:footnote w:id="22">
    <w:p w14:paraId="453DE791" w14:textId="7085651B" w:rsidR="007C6D51" w:rsidRPr="007C6D51" w:rsidRDefault="007C6D51">
      <w:pPr>
        <w:pStyle w:val="FootnoteText"/>
        <w:rPr>
          <w:lang w:val="en-GB"/>
        </w:rPr>
      </w:pPr>
      <w:r>
        <w:rPr>
          <w:rStyle w:val="FootnoteReference"/>
        </w:rPr>
        <w:footnoteRef/>
      </w:r>
      <w:r>
        <w:t xml:space="preserve"> </w:t>
      </w:r>
      <w:r>
        <w:rPr>
          <w:lang w:val="en-GB"/>
        </w:rPr>
        <w:t>Idem.</w:t>
      </w:r>
    </w:p>
  </w:footnote>
  <w:footnote w:id="23">
    <w:p w14:paraId="48B42B63" w14:textId="4586BB77" w:rsidR="00C84B6B" w:rsidRPr="00C84B6B" w:rsidRDefault="00C84B6B">
      <w:pPr>
        <w:pStyle w:val="FootnoteText"/>
        <w:rPr>
          <w:lang w:val="en-GB"/>
        </w:rPr>
      </w:pPr>
      <w:r>
        <w:rPr>
          <w:rStyle w:val="FootnoteReference"/>
        </w:rPr>
        <w:footnoteRef/>
      </w:r>
      <w:r>
        <w:t xml:space="preserve"> </w:t>
      </w:r>
      <w:r>
        <w:rPr>
          <w:lang w:val="en-GB"/>
        </w:rPr>
        <w:t>Idem. See also ibid, Reg. 34A.</w:t>
      </w:r>
    </w:p>
  </w:footnote>
  <w:footnote w:id="24">
    <w:p w14:paraId="264E0FDF" w14:textId="54075DF0" w:rsidR="00A02377" w:rsidRPr="00A02377" w:rsidRDefault="00A02377">
      <w:pPr>
        <w:pStyle w:val="FootnoteText"/>
        <w:rPr>
          <w:lang w:val="en-GB"/>
        </w:rPr>
      </w:pPr>
      <w:r>
        <w:rPr>
          <w:rStyle w:val="FootnoteReference"/>
        </w:rPr>
        <w:footnoteRef/>
      </w:r>
      <w:r>
        <w:t xml:space="preserve"> </w:t>
      </w:r>
      <w:r>
        <w:rPr>
          <w:lang w:val="en-GB"/>
        </w:rPr>
        <w:t>Idem. See also idem, Reg 33.</w:t>
      </w:r>
    </w:p>
  </w:footnote>
  <w:footnote w:id="25">
    <w:p w14:paraId="1D0C7A82" w14:textId="1739ADA4" w:rsidR="00BE3419" w:rsidRPr="00BE3419" w:rsidRDefault="00BE3419">
      <w:pPr>
        <w:pStyle w:val="FootnoteText"/>
        <w:rPr>
          <w:lang w:val="en-GB"/>
        </w:rPr>
      </w:pPr>
      <w:r>
        <w:rPr>
          <w:rStyle w:val="FootnoteReference"/>
        </w:rPr>
        <w:footnoteRef/>
      </w:r>
      <w:r>
        <w:t xml:space="preserve"> </w:t>
      </w:r>
      <w:r>
        <w:rPr>
          <w:lang w:val="en-GB"/>
        </w:rPr>
        <w:t>Idem.</w:t>
      </w:r>
    </w:p>
  </w:footnote>
  <w:footnote w:id="26">
    <w:p w14:paraId="29447ADA" w14:textId="346A364A" w:rsidR="005B2F32" w:rsidRPr="005B2F32" w:rsidRDefault="005B2F32">
      <w:pPr>
        <w:pStyle w:val="FootnoteText"/>
        <w:rPr>
          <w:lang w:val="en-GB"/>
        </w:rPr>
      </w:pPr>
      <w:r>
        <w:rPr>
          <w:rStyle w:val="FootnoteReference"/>
        </w:rPr>
        <w:footnoteRef/>
      </w:r>
      <w:r>
        <w:t xml:space="preserve"> </w:t>
      </w:r>
      <w:r>
        <w:rPr>
          <w:lang w:val="en-GB"/>
        </w:rPr>
        <w:t>Idem. Section 29A stipulates the criteria for a resolution applicant to be eligible to present a resolution plan for a corporate debtor under the Code. See idem, p 58.</w:t>
      </w:r>
    </w:p>
  </w:footnote>
  <w:footnote w:id="27">
    <w:p w14:paraId="7619B164" w14:textId="6C0353E3" w:rsidR="00E7741F" w:rsidRPr="00E7741F" w:rsidRDefault="00E7741F">
      <w:pPr>
        <w:pStyle w:val="FootnoteText"/>
        <w:rPr>
          <w:lang w:val="en-GB"/>
        </w:rPr>
      </w:pPr>
      <w:r>
        <w:rPr>
          <w:rStyle w:val="FootnoteReference"/>
        </w:rPr>
        <w:footnoteRef/>
      </w:r>
      <w:r>
        <w:t xml:space="preserve"> </w:t>
      </w:r>
      <w:r>
        <w:rPr>
          <w:lang w:val="en-GB"/>
        </w:rPr>
        <w:t xml:space="preserve">By s 5(13) of the IBC, “Insolvency resolution Process cost” means (a) the amount of any interim finance and the costs incurred in raising such finance; (b) the fees payable to any person acting as a resolution professional; </w:t>
      </w:r>
      <w:r w:rsidR="0067383D">
        <w:rPr>
          <w:lang w:val="en-GB"/>
        </w:rPr>
        <w:t>(c) any cost incurred by the resolution professional in running the business of the corporate debtor as a going concern; (d) any costs incurred at the expenses of the Government to facilitate the insolvency resolution process; and € any other costs as may be specified by the Insolvency and Bankruptcy Board of India.</w:t>
      </w:r>
      <w:r w:rsidR="0018318F">
        <w:rPr>
          <w:lang w:val="en-GB"/>
        </w:rPr>
        <w:t xml:space="preserve"> See ibid, p 40, n 119.</w:t>
      </w:r>
    </w:p>
  </w:footnote>
  <w:footnote w:id="28">
    <w:p w14:paraId="161541A9" w14:textId="4897DB00" w:rsidR="0040781C" w:rsidRPr="0040781C" w:rsidRDefault="0040781C">
      <w:pPr>
        <w:pStyle w:val="FootnoteText"/>
        <w:rPr>
          <w:lang w:val="en-GB"/>
        </w:rPr>
      </w:pPr>
      <w:r>
        <w:rPr>
          <w:rStyle w:val="FootnoteReference"/>
        </w:rPr>
        <w:footnoteRef/>
      </w:r>
      <w:r>
        <w:t xml:space="preserve"> </w:t>
      </w:r>
      <w:r>
        <w:rPr>
          <w:lang w:val="en-GB"/>
        </w:rPr>
        <w:t>By s 5(16) of the IBC, “Liquidation cost” means any cost incurred by the Liquidator during the period of liquidation, subject to such regulations as may be specified by the Insolvency and Bankruptcy Board of India. See, idem.</w:t>
      </w:r>
    </w:p>
  </w:footnote>
  <w:footnote w:id="29">
    <w:p w14:paraId="71BEC0DB" w14:textId="0B577B5A" w:rsidR="00D23261" w:rsidRPr="00D23261" w:rsidRDefault="00D23261">
      <w:pPr>
        <w:pStyle w:val="FootnoteText"/>
        <w:rPr>
          <w:lang w:val="en-GB"/>
        </w:rPr>
      </w:pPr>
      <w:r>
        <w:rPr>
          <w:rStyle w:val="FootnoteReference"/>
        </w:rPr>
        <w:footnoteRef/>
      </w:r>
      <w:r>
        <w:t xml:space="preserve"> </w:t>
      </w:r>
      <w:r>
        <w:rPr>
          <w:lang w:val="en-GB"/>
        </w:rPr>
        <w:t>Ibid, p 40.</w:t>
      </w:r>
    </w:p>
  </w:footnote>
  <w:footnote w:id="30">
    <w:p w14:paraId="2F3368CF" w14:textId="08E90880" w:rsidR="00FE29C9" w:rsidRPr="00FE29C9" w:rsidRDefault="00FE29C9">
      <w:pPr>
        <w:pStyle w:val="FootnoteText"/>
        <w:rPr>
          <w:lang w:val="en-GB"/>
        </w:rPr>
      </w:pPr>
      <w:r>
        <w:rPr>
          <w:rStyle w:val="FootnoteReference"/>
        </w:rPr>
        <w:footnoteRef/>
      </w:r>
      <w:r>
        <w:t xml:space="preserve"> </w:t>
      </w:r>
      <w:r>
        <w:rPr>
          <w:lang w:val="en-GB"/>
        </w:rPr>
        <w:t>Idem, p 41. See also ibid, Reg 44.</w:t>
      </w:r>
    </w:p>
  </w:footnote>
  <w:footnote w:id="31">
    <w:p w14:paraId="105324B9" w14:textId="32330D45" w:rsidR="00DE4BC1" w:rsidRPr="00DE4BC1" w:rsidRDefault="00DE4BC1">
      <w:pPr>
        <w:pStyle w:val="FootnoteText"/>
        <w:rPr>
          <w:lang w:val="en-GB"/>
        </w:rPr>
      </w:pPr>
      <w:r>
        <w:rPr>
          <w:rStyle w:val="FootnoteReference"/>
        </w:rPr>
        <w:footnoteRef/>
      </w:r>
      <w:r>
        <w:t xml:space="preserve"> </w:t>
      </w:r>
      <w:r>
        <w:rPr>
          <w:lang w:val="en-GB"/>
        </w:rPr>
        <w:t>Idem. See also Idem, Reg 14.</w:t>
      </w:r>
    </w:p>
  </w:footnote>
  <w:footnote w:id="32">
    <w:p w14:paraId="39332D18" w14:textId="2AECE19E" w:rsidR="00053A46" w:rsidRPr="00053A46" w:rsidRDefault="00053A46">
      <w:pPr>
        <w:pStyle w:val="FootnoteText"/>
        <w:rPr>
          <w:lang w:val="en-GB"/>
        </w:rPr>
      </w:pPr>
      <w:r>
        <w:rPr>
          <w:rStyle w:val="FootnoteReference"/>
        </w:rPr>
        <w:footnoteRef/>
      </w:r>
      <w:r>
        <w:t xml:space="preserve"> </w:t>
      </w:r>
      <w:r>
        <w:rPr>
          <w:lang w:val="en-GB"/>
        </w:rPr>
        <w:t>Reserve Bank of India (RBI) dated 7 June, 2019.</w:t>
      </w:r>
    </w:p>
  </w:footnote>
  <w:footnote w:id="33">
    <w:p w14:paraId="78006DAE" w14:textId="10D2A96C" w:rsidR="00AC7C67" w:rsidRPr="00AC7C67" w:rsidRDefault="00AC7C67">
      <w:pPr>
        <w:pStyle w:val="FootnoteText"/>
        <w:rPr>
          <w:lang w:val="en-GB"/>
        </w:rPr>
      </w:pPr>
      <w:r>
        <w:rPr>
          <w:rStyle w:val="FootnoteReference"/>
        </w:rPr>
        <w:footnoteRef/>
      </w:r>
      <w:r>
        <w:t xml:space="preserve"> </w:t>
      </w:r>
      <w:r>
        <w:rPr>
          <w:lang w:val="en-GB"/>
        </w:rPr>
        <w:t>See ibid, p 49.</w:t>
      </w:r>
    </w:p>
  </w:footnote>
  <w:footnote w:id="34">
    <w:p w14:paraId="130FEF44" w14:textId="2D6DCBDC" w:rsidR="00AC7C67" w:rsidRPr="00AC7C67" w:rsidRDefault="00AC7C67">
      <w:pPr>
        <w:pStyle w:val="FootnoteText"/>
        <w:rPr>
          <w:lang w:val="en-GB"/>
        </w:rPr>
      </w:pPr>
      <w:r>
        <w:rPr>
          <w:rStyle w:val="FootnoteReference"/>
        </w:rPr>
        <w:footnoteRef/>
      </w:r>
      <w:r>
        <w:t xml:space="preserve"> </w:t>
      </w:r>
      <w:r>
        <w:rPr>
          <w:lang w:val="en-GB"/>
        </w:rPr>
        <w:t>Idem, n 135.</w:t>
      </w:r>
    </w:p>
  </w:footnote>
  <w:footnote w:id="35">
    <w:p w14:paraId="1C0CDE73" w14:textId="1F907EE2" w:rsidR="000B00EC" w:rsidRPr="000B00EC" w:rsidRDefault="000B00EC">
      <w:pPr>
        <w:pStyle w:val="FootnoteText"/>
        <w:rPr>
          <w:lang w:val="en-GB"/>
        </w:rPr>
      </w:pPr>
      <w:r>
        <w:rPr>
          <w:rStyle w:val="FootnoteReference"/>
        </w:rPr>
        <w:footnoteRef/>
      </w:r>
      <w:r>
        <w:t xml:space="preserve"> </w:t>
      </w:r>
      <w:r>
        <w:rPr>
          <w:lang w:val="en-GB"/>
        </w:rPr>
        <w:t>Idem.</w:t>
      </w:r>
    </w:p>
  </w:footnote>
  <w:footnote w:id="36">
    <w:p w14:paraId="533B883F" w14:textId="39005747" w:rsidR="00461D1B" w:rsidRPr="00461D1B" w:rsidRDefault="00461D1B">
      <w:pPr>
        <w:pStyle w:val="FootnoteText"/>
        <w:rPr>
          <w:lang w:val="en-GB"/>
        </w:rPr>
      </w:pPr>
      <w:r>
        <w:rPr>
          <w:rStyle w:val="FootnoteReference"/>
        </w:rPr>
        <w:footnoteRef/>
      </w:r>
      <w:r>
        <w:t xml:space="preserve"> </w:t>
      </w:r>
      <w:r>
        <w:rPr>
          <w:lang w:val="en-GB"/>
        </w:rPr>
        <w:t>See IBC s 17(1)(b).</w:t>
      </w:r>
    </w:p>
  </w:footnote>
  <w:footnote w:id="37">
    <w:p w14:paraId="3B7D7E5F" w14:textId="14DDF9BA" w:rsidR="00475B4D" w:rsidRPr="00475B4D" w:rsidRDefault="00475B4D">
      <w:pPr>
        <w:pStyle w:val="FootnoteText"/>
        <w:rPr>
          <w:lang w:val="en-GB"/>
        </w:rPr>
      </w:pPr>
      <w:r>
        <w:rPr>
          <w:rStyle w:val="FootnoteReference"/>
        </w:rPr>
        <w:footnoteRef/>
      </w:r>
      <w:r>
        <w:t xml:space="preserve"> </w:t>
      </w:r>
      <w:r>
        <w:rPr>
          <w:lang w:val="en-GB"/>
        </w:rPr>
        <w:t>See Idem, s 17(1)(a).</w:t>
      </w:r>
    </w:p>
  </w:footnote>
  <w:footnote w:id="38">
    <w:p w14:paraId="28CFA762" w14:textId="076DBBEC" w:rsidR="00695326" w:rsidRPr="00695326" w:rsidRDefault="00695326">
      <w:pPr>
        <w:pStyle w:val="FootnoteText"/>
        <w:rPr>
          <w:lang w:val="en-GB"/>
        </w:rPr>
      </w:pPr>
      <w:r>
        <w:rPr>
          <w:rStyle w:val="FootnoteReference"/>
        </w:rPr>
        <w:footnoteRef/>
      </w:r>
      <w:r>
        <w:t xml:space="preserve"> </w:t>
      </w:r>
      <w:r>
        <w:rPr>
          <w:lang w:val="en-GB"/>
        </w:rPr>
        <w:t>Idem, s 17(1)(c).</w:t>
      </w:r>
    </w:p>
  </w:footnote>
  <w:footnote w:id="39">
    <w:p w14:paraId="3E091762" w14:textId="799FA969" w:rsidR="00E125E1" w:rsidRPr="00E125E1" w:rsidRDefault="00E125E1">
      <w:pPr>
        <w:pStyle w:val="FootnoteText"/>
        <w:rPr>
          <w:lang w:val="en-GB"/>
        </w:rPr>
      </w:pPr>
      <w:r>
        <w:rPr>
          <w:rStyle w:val="FootnoteReference"/>
        </w:rPr>
        <w:footnoteRef/>
      </w:r>
      <w:r>
        <w:t xml:space="preserve"> </w:t>
      </w:r>
      <w:r>
        <w:rPr>
          <w:lang w:val="en-GB"/>
        </w:rPr>
        <w:t>Idem, s 17(d). See also ibid, p 55.</w:t>
      </w:r>
    </w:p>
  </w:footnote>
  <w:footnote w:id="40">
    <w:p w14:paraId="4DE4EA53" w14:textId="6868B44F" w:rsidR="0069260F" w:rsidRPr="0069260F" w:rsidRDefault="0069260F">
      <w:pPr>
        <w:pStyle w:val="FootnoteText"/>
        <w:rPr>
          <w:lang w:val="en-GB"/>
        </w:rPr>
      </w:pPr>
      <w:r>
        <w:rPr>
          <w:rStyle w:val="FootnoteReference"/>
        </w:rPr>
        <w:footnoteRef/>
      </w:r>
      <w:r>
        <w:t xml:space="preserve"> </w:t>
      </w:r>
      <w:r>
        <w:rPr>
          <w:lang w:val="en-GB"/>
        </w:rPr>
        <w:t>Idem, s 18 to s 20. See ibid, p 56.</w:t>
      </w:r>
    </w:p>
  </w:footnote>
  <w:footnote w:id="41">
    <w:p w14:paraId="559C244A" w14:textId="11D94D4E" w:rsidR="00E903CB" w:rsidRPr="00E903CB" w:rsidRDefault="00E903CB">
      <w:pPr>
        <w:pStyle w:val="FootnoteText"/>
        <w:rPr>
          <w:lang w:val="en-GB"/>
        </w:rPr>
      </w:pPr>
      <w:r>
        <w:rPr>
          <w:rStyle w:val="FootnoteReference"/>
        </w:rPr>
        <w:footnoteRef/>
      </w:r>
      <w:r>
        <w:t xml:space="preserve"> </w:t>
      </w:r>
      <w:r>
        <w:rPr>
          <w:lang w:val="en-GB"/>
        </w:rPr>
        <w:t>See idem, p 56</w:t>
      </w:r>
      <w:r w:rsidR="00F77D17">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32D99"/>
    <w:multiLevelType w:val="hybridMultilevel"/>
    <w:tmpl w:val="480ED792"/>
    <w:lvl w:ilvl="0" w:tplc="DD7C68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250B78"/>
    <w:multiLevelType w:val="hybridMultilevel"/>
    <w:tmpl w:val="0D722498"/>
    <w:lvl w:ilvl="0" w:tplc="7FC2DA6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B1E04"/>
    <w:multiLevelType w:val="hybridMultilevel"/>
    <w:tmpl w:val="E2C434FA"/>
    <w:lvl w:ilvl="0" w:tplc="CA802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DBB7239"/>
    <w:multiLevelType w:val="hybridMultilevel"/>
    <w:tmpl w:val="1960D6FA"/>
    <w:lvl w:ilvl="0" w:tplc="D5B8A1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F6ADA"/>
    <w:multiLevelType w:val="hybridMultilevel"/>
    <w:tmpl w:val="25CA1962"/>
    <w:lvl w:ilvl="0" w:tplc="54B285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8"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AC2D47"/>
    <w:multiLevelType w:val="hybridMultilevel"/>
    <w:tmpl w:val="08F4C0B4"/>
    <w:lvl w:ilvl="0" w:tplc="2832841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5" w15:restartNumberingAfterBreak="0">
    <w:nsid w:val="6913491C"/>
    <w:multiLevelType w:val="hybridMultilevel"/>
    <w:tmpl w:val="F14A5E74"/>
    <w:lvl w:ilvl="0" w:tplc="1C0682F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11B27"/>
    <w:multiLevelType w:val="hybridMultilevel"/>
    <w:tmpl w:val="39B0A88A"/>
    <w:lvl w:ilvl="0" w:tplc="9312975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53425B"/>
    <w:multiLevelType w:val="hybridMultilevel"/>
    <w:tmpl w:val="E2207D76"/>
    <w:lvl w:ilvl="0" w:tplc="218A1D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7"/>
  </w:num>
  <w:num w:numId="2">
    <w:abstractNumId w:val="5"/>
  </w:num>
  <w:num w:numId="3">
    <w:abstractNumId w:val="23"/>
  </w:num>
  <w:num w:numId="4">
    <w:abstractNumId w:val="10"/>
  </w:num>
  <w:num w:numId="5">
    <w:abstractNumId w:val="1"/>
  </w:num>
  <w:num w:numId="6">
    <w:abstractNumId w:val="6"/>
  </w:num>
  <w:num w:numId="7">
    <w:abstractNumId w:val="16"/>
  </w:num>
  <w:num w:numId="8">
    <w:abstractNumId w:val="14"/>
  </w:num>
  <w:num w:numId="9">
    <w:abstractNumId w:val="0"/>
  </w:num>
  <w:num w:numId="10">
    <w:abstractNumId w:val="18"/>
  </w:num>
  <w:num w:numId="11">
    <w:abstractNumId w:val="17"/>
  </w:num>
  <w:num w:numId="12">
    <w:abstractNumId w:val="24"/>
  </w:num>
  <w:num w:numId="13">
    <w:abstractNumId w:val="7"/>
  </w:num>
  <w:num w:numId="14">
    <w:abstractNumId w:val="20"/>
  </w:num>
  <w:num w:numId="15">
    <w:abstractNumId w:val="22"/>
  </w:num>
  <w:num w:numId="16">
    <w:abstractNumId w:val="15"/>
  </w:num>
  <w:num w:numId="17">
    <w:abstractNumId w:val="30"/>
  </w:num>
  <w:num w:numId="18">
    <w:abstractNumId w:val="13"/>
  </w:num>
  <w:num w:numId="19">
    <w:abstractNumId w:val="8"/>
  </w:num>
  <w:num w:numId="20">
    <w:abstractNumId w:val="9"/>
  </w:num>
  <w:num w:numId="21">
    <w:abstractNumId w:val="21"/>
  </w:num>
  <w:num w:numId="22">
    <w:abstractNumId w:val="29"/>
  </w:num>
  <w:num w:numId="23">
    <w:abstractNumId w:val="4"/>
  </w:num>
  <w:num w:numId="24">
    <w:abstractNumId w:val="26"/>
  </w:num>
  <w:num w:numId="25">
    <w:abstractNumId w:val="3"/>
  </w:num>
  <w:num w:numId="26">
    <w:abstractNumId w:val="12"/>
  </w:num>
  <w:num w:numId="27">
    <w:abstractNumId w:val="11"/>
  </w:num>
  <w:num w:numId="28">
    <w:abstractNumId w:val="2"/>
  </w:num>
  <w:num w:numId="29">
    <w:abstractNumId w:val="28"/>
  </w:num>
  <w:num w:numId="30">
    <w:abstractNumId w:val="19"/>
  </w:num>
  <w:num w:numId="3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1EF"/>
    <w:rsid w:val="00007BF3"/>
    <w:rsid w:val="00010B45"/>
    <w:rsid w:val="00010BA0"/>
    <w:rsid w:val="00020557"/>
    <w:rsid w:val="00021FC2"/>
    <w:rsid w:val="000250C7"/>
    <w:rsid w:val="00026F16"/>
    <w:rsid w:val="00037621"/>
    <w:rsid w:val="0004272D"/>
    <w:rsid w:val="00044D46"/>
    <w:rsid w:val="00045088"/>
    <w:rsid w:val="00045904"/>
    <w:rsid w:val="000502FD"/>
    <w:rsid w:val="00050907"/>
    <w:rsid w:val="00053A46"/>
    <w:rsid w:val="00063A59"/>
    <w:rsid w:val="00065166"/>
    <w:rsid w:val="00065D6B"/>
    <w:rsid w:val="0007655E"/>
    <w:rsid w:val="00081E94"/>
    <w:rsid w:val="00082609"/>
    <w:rsid w:val="000848E7"/>
    <w:rsid w:val="000851CC"/>
    <w:rsid w:val="00087F21"/>
    <w:rsid w:val="00092E4B"/>
    <w:rsid w:val="00093BE8"/>
    <w:rsid w:val="00095841"/>
    <w:rsid w:val="000A2D79"/>
    <w:rsid w:val="000A407B"/>
    <w:rsid w:val="000A61C3"/>
    <w:rsid w:val="000A68ED"/>
    <w:rsid w:val="000B00EC"/>
    <w:rsid w:val="000B3CBE"/>
    <w:rsid w:val="000B5FF1"/>
    <w:rsid w:val="000B609F"/>
    <w:rsid w:val="000C2C74"/>
    <w:rsid w:val="000D55A8"/>
    <w:rsid w:val="000E4841"/>
    <w:rsid w:val="000E7014"/>
    <w:rsid w:val="000F1677"/>
    <w:rsid w:val="000F3D6C"/>
    <w:rsid w:val="000F4043"/>
    <w:rsid w:val="00101707"/>
    <w:rsid w:val="00102CC9"/>
    <w:rsid w:val="0010593A"/>
    <w:rsid w:val="0011473D"/>
    <w:rsid w:val="00115C85"/>
    <w:rsid w:val="001232AE"/>
    <w:rsid w:val="00123855"/>
    <w:rsid w:val="00126A4D"/>
    <w:rsid w:val="001406A1"/>
    <w:rsid w:val="0014171F"/>
    <w:rsid w:val="0014622C"/>
    <w:rsid w:val="00152348"/>
    <w:rsid w:val="0015456D"/>
    <w:rsid w:val="00155FA2"/>
    <w:rsid w:val="00161F1B"/>
    <w:rsid w:val="00162829"/>
    <w:rsid w:val="00165E1F"/>
    <w:rsid w:val="00173876"/>
    <w:rsid w:val="00180548"/>
    <w:rsid w:val="00180AC4"/>
    <w:rsid w:val="00180CCE"/>
    <w:rsid w:val="0018267A"/>
    <w:rsid w:val="00182779"/>
    <w:rsid w:val="001830DF"/>
    <w:rsid w:val="0018318F"/>
    <w:rsid w:val="00183C9D"/>
    <w:rsid w:val="001841E7"/>
    <w:rsid w:val="001936AE"/>
    <w:rsid w:val="001966D9"/>
    <w:rsid w:val="001A007A"/>
    <w:rsid w:val="001A4551"/>
    <w:rsid w:val="001A7E9A"/>
    <w:rsid w:val="001B0F70"/>
    <w:rsid w:val="001B2FEC"/>
    <w:rsid w:val="001B5016"/>
    <w:rsid w:val="001C45FC"/>
    <w:rsid w:val="001D0469"/>
    <w:rsid w:val="001D29C0"/>
    <w:rsid w:val="001D4862"/>
    <w:rsid w:val="001D686A"/>
    <w:rsid w:val="001E25B9"/>
    <w:rsid w:val="001E2979"/>
    <w:rsid w:val="001E49E0"/>
    <w:rsid w:val="001E7B5A"/>
    <w:rsid w:val="001F4657"/>
    <w:rsid w:val="001F7412"/>
    <w:rsid w:val="0020090A"/>
    <w:rsid w:val="00202DFE"/>
    <w:rsid w:val="0020725B"/>
    <w:rsid w:val="002110F1"/>
    <w:rsid w:val="00214BD2"/>
    <w:rsid w:val="002356EA"/>
    <w:rsid w:val="0024116D"/>
    <w:rsid w:val="0024175C"/>
    <w:rsid w:val="00241B44"/>
    <w:rsid w:val="00241FA3"/>
    <w:rsid w:val="00245EFB"/>
    <w:rsid w:val="0024693A"/>
    <w:rsid w:val="0025386E"/>
    <w:rsid w:val="002638B0"/>
    <w:rsid w:val="00263D1C"/>
    <w:rsid w:val="0026647A"/>
    <w:rsid w:val="002668D3"/>
    <w:rsid w:val="0027299F"/>
    <w:rsid w:val="00276997"/>
    <w:rsid w:val="00282B36"/>
    <w:rsid w:val="00284EBE"/>
    <w:rsid w:val="00286BEC"/>
    <w:rsid w:val="002903A7"/>
    <w:rsid w:val="00290448"/>
    <w:rsid w:val="002935B3"/>
    <w:rsid w:val="00293A15"/>
    <w:rsid w:val="0029433F"/>
    <w:rsid w:val="00294829"/>
    <w:rsid w:val="0029690F"/>
    <w:rsid w:val="00297C8A"/>
    <w:rsid w:val="002A2A60"/>
    <w:rsid w:val="002A37BB"/>
    <w:rsid w:val="002A572B"/>
    <w:rsid w:val="002B1C45"/>
    <w:rsid w:val="002B705A"/>
    <w:rsid w:val="002C13C8"/>
    <w:rsid w:val="002C3547"/>
    <w:rsid w:val="002C61D3"/>
    <w:rsid w:val="002C77F0"/>
    <w:rsid w:val="002D0021"/>
    <w:rsid w:val="002D2991"/>
    <w:rsid w:val="002D299D"/>
    <w:rsid w:val="002D3473"/>
    <w:rsid w:val="002E43BB"/>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61A0A"/>
    <w:rsid w:val="00364836"/>
    <w:rsid w:val="00364E23"/>
    <w:rsid w:val="0036565C"/>
    <w:rsid w:val="0036625E"/>
    <w:rsid w:val="0037465A"/>
    <w:rsid w:val="00382C98"/>
    <w:rsid w:val="0038533C"/>
    <w:rsid w:val="00386568"/>
    <w:rsid w:val="00386791"/>
    <w:rsid w:val="00390B57"/>
    <w:rsid w:val="003948D5"/>
    <w:rsid w:val="00396821"/>
    <w:rsid w:val="0039698C"/>
    <w:rsid w:val="00397D3A"/>
    <w:rsid w:val="003A007E"/>
    <w:rsid w:val="003A051E"/>
    <w:rsid w:val="003B170F"/>
    <w:rsid w:val="003B3C5F"/>
    <w:rsid w:val="003B44CC"/>
    <w:rsid w:val="003C05FB"/>
    <w:rsid w:val="003C209F"/>
    <w:rsid w:val="003C4471"/>
    <w:rsid w:val="003C63A5"/>
    <w:rsid w:val="003D0A6D"/>
    <w:rsid w:val="003E0B16"/>
    <w:rsid w:val="003E67D1"/>
    <w:rsid w:val="00404329"/>
    <w:rsid w:val="0040591F"/>
    <w:rsid w:val="00405DC1"/>
    <w:rsid w:val="00406316"/>
    <w:rsid w:val="0040781C"/>
    <w:rsid w:val="00415F1F"/>
    <w:rsid w:val="0042108F"/>
    <w:rsid w:val="004224ED"/>
    <w:rsid w:val="00430FED"/>
    <w:rsid w:val="00434A8C"/>
    <w:rsid w:val="00437297"/>
    <w:rsid w:val="00444284"/>
    <w:rsid w:val="00445CE6"/>
    <w:rsid w:val="004472B2"/>
    <w:rsid w:val="00447690"/>
    <w:rsid w:val="004534C2"/>
    <w:rsid w:val="0045446F"/>
    <w:rsid w:val="0045683E"/>
    <w:rsid w:val="00461D1B"/>
    <w:rsid w:val="00466FAD"/>
    <w:rsid w:val="004718C0"/>
    <w:rsid w:val="00475B4D"/>
    <w:rsid w:val="00477C72"/>
    <w:rsid w:val="0048483E"/>
    <w:rsid w:val="00486688"/>
    <w:rsid w:val="00491675"/>
    <w:rsid w:val="004928B3"/>
    <w:rsid w:val="00493855"/>
    <w:rsid w:val="00495E79"/>
    <w:rsid w:val="004969AA"/>
    <w:rsid w:val="004A2D83"/>
    <w:rsid w:val="004A57DD"/>
    <w:rsid w:val="004A7B51"/>
    <w:rsid w:val="004A7D71"/>
    <w:rsid w:val="004A7EF3"/>
    <w:rsid w:val="004B11FD"/>
    <w:rsid w:val="004B23A2"/>
    <w:rsid w:val="004B6F41"/>
    <w:rsid w:val="004D1A5A"/>
    <w:rsid w:val="004D2FFF"/>
    <w:rsid w:val="004D3721"/>
    <w:rsid w:val="004D48DD"/>
    <w:rsid w:val="004D4AAC"/>
    <w:rsid w:val="004D5940"/>
    <w:rsid w:val="004D64F9"/>
    <w:rsid w:val="004E347B"/>
    <w:rsid w:val="004E3A6B"/>
    <w:rsid w:val="004E622C"/>
    <w:rsid w:val="004E623A"/>
    <w:rsid w:val="004F3C81"/>
    <w:rsid w:val="004F54E4"/>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2E67"/>
    <w:rsid w:val="005833D0"/>
    <w:rsid w:val="005846F3"/>
    <w:rsid w:val="0058622F"/>
    <w:rsid w:val="00592F82"/>
    <w:rsid w:val="00596902"/>
    <w:rsid w:val="005A0CCA"/>
    <w:rsid w:val="005A0E6B"/>
    <w:rsid w:val="005A6FF2"/>
    <w:rsid w:val="005A726D"/>
    <w:rsid w:val="005B2F32"/>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00C42"/>
    <w:rsid w:val="00602FB6"/>
    <w:rsid w:val="00610388"/>
    <w:rsid w:val="00610AC7"/>
    <w:rsid w:val="00612CA5"/>
    <w:rsid w:val="006153EC"/>
    <w:rsid w:val="00617360"/>
    <w:rsid w:val="00621A17"/>
    <w:rsid w:val="00622987"/>
    <w:rsid w:val="00622F1D"/>
    <w:rsid w:val="0062425A"/>
    <w:rsid w:val="0062576E"/>
    <w:rsid w:val="00627CC9"/>
    <w:rsid w:val="00627E7B"/>
    <w:rsid w:val="00630542"/>
    <w:rsid w:val="00632E44"/>
    <w:rsid w:val="00634622"/>
    <w:rsid w:val="00636808"/>
    <w:rsid w:val="00641515"/>
    <w:rsid w:val="00643F15"/>
    <w:rsid w:val="00654C2F"/>
    <w:rsid w:val="00657087"/>
    <w:rsid w:val="006608D5"/>
    <w:rsid w:val="006639DB"/>
    <w:rsid w:val="006661EF"/>
    <w:rsid w:val="0067383D"/>
    <w:rsid w:val="0067756C"/>
    <w:rsid w:val="00677AEB"/>
    <w:rsid w:val="00680EF2"/>
    <w:rsid w:val="006835E2"/>
    <w:rsid w:val="00687A1D"/>
    <w:rsid w:val="0069260F"/>
    <w:rsid w:val="00695326"/>
    <w:rsid w:val="00697EA1"/>
    <w:rsid w:val="006A0A1C"/>
    <w:rsid w:val="006A13C5"/>
    <w:rsid w:val="006A2646"/>
    <w:rsid w:val="006A2EB8"/>
    <w:rsid w:val="006A6530"/>
    <w:rsid w:val="006B435A"/>
    <w:rsid w:val="006B4C64"/>
    <w:rsid w:val="006B5520"/>
    <w:rsid w:val="006B6675"/>
    <w:rsid w:val="006C0A29"/>
    <w:rsid w:val="006D6BD5"/>
    <w:rsid w:val="006E286A"/>
    <w:rsid w:val="006E481A"/>
    <w:rsid w:val="006E5298"/>
    <w:rsid w:val="006F2E8D"/>
    <w:rsid w:val="006F4A78"/>
    <w:rsid w:val="006F734A"/>
    <w:rsid w:val="006F7688"/>
    <w:rsid w:val="00700D83"/>
    <w:rsid w:val="00704852"/>
    <w:rsid w:val="007074E9"/>
    <w:rsid w:val="0071240A"/>
    <w:rsid w:val="00713DA4"/>
    <w:rsid w:val="00714BF1"/>
    <w:rsid w:val="007206F1"/>
    <w:rsid w:val="00721383"/>
    <w:rsid w:val="0073158B"/>
    <w:rsid w:val="007333CC"/>
    <w:rsid w:val="0073399A"/>
    <w:rsid w:val="00740DAD"/>
    <w:rsid w:val="00756450"/>
    <w:rsid w:val="007603F5"/>
    <w:rsid w:val="00760E7C"/>
    <w:rsid w:val="00763516"/>
    <w:rsid w:val="00764DB0"/>
    <w:rsid w:val="0076764D"/>
    <w:rsid w:val="00774902"/>
    <w:rsid w:val="0077498C"/>
    <w:rsid w:val="007801A2"/>
    <w:rsid w:val="007809BC"/>
    <w:rsid w:val="00781E65"/>
    <w:rsid w:val="00784128"/>
    <w:rsid w:val="00787089"/>
    <w:rsid w:val="00787BCC"/>
    <w:rsid w:val="00793173"/>
    <w:rsid w:val="007A2A33"/>
    <w:rsid w:val="007B5C89"/>
    <w:rsid w:val="007B6D53"/>
    <w:rsid w:val="007C1FCC"/>
    <w:rsid w:val="007C2524"/>
    <w:rsid w:val="007C25FF"/>
    <w:rsid w:val="007C6201"/>
    <w:rsid w:val="007C6D51"/>
    <w:rsid w:val="007D7C92"/>
    <w:rsid w:val="007E1154"/>
    <w:rsid w:val="007E6BA4"/>
    <w:rsid w:val="007E6C2E"/>
    <w:rsid w:val="007F41F8"/>
    <w:rsid w:val="007F5F63"/>
    <w:rsid w:val="007F659B"/>
    <w:rsid w:val="0080454E"/>
    <w:rsid w:val="00804C32"/>
    <w:rsid w:val="00806302"/>
    <w:rsid w:val="00807119"/>
    <w:rsid w:val="00817941"/>
    <w:rsid w:val="0082483F"/>
    <w:rsid w:val="008279C0"/>
    <w:rsid w:val="00833E80"/>
    <w:rsid w:val="0085522B"/>
    <w:rsid w:val="008604EC"/>
    <w:rsid w:val="00861CA0"/>
    <w:rsid w:val="00867701"/>
    <w:rsid w:val="008723F3"/>
    <w:rsid w:val="00876F56"/>
    <w:rsid w:val="00880368"/>
    <w:rsid w:val="00880AEC"/>
    <w:rsid w:val="00881DE6"/>
    <w:rsid w:val="008837A6"/>
    <w:rsid w:val="0089145D"/>
    <w:rsid w:val="008978BA"/>
    <w:rsid w:val="008A12B9"/>
    <w:rsid w:val="008A49B7"/>
    <w:rsid w:val="008A4DF2"/>
    <w:rsid w:val="008A6CFE"/>
    <w:rsid w:val="008B2A4B"/>
    <w:rsid w:val="008B5333"/>
    <w:rsid w:val="008B566D"/>
    <w:rsid w:val="008B6223"/>
    <w:rsid w:val="008B6A01"/>
    <w:rsid w:val="008C66E0"/>
    <w:rsid w:val="008D2449"/>
    <w:rsid w:val="008D748E"/>
    <w:rsid w:val="008E3339"/>
    <w:rsid w:val="008E77B7"/>
    <w:rsid w:val="008F20FC"/>
    <w:rsid w:val="008F5FFE"/>
    <w:rsid w:val="008F7B4D"/>
    <w:rsid w:val="00902561"/>
    <w:rsid w:val="00905A43"/>
    <w:rsid w:val="00912C79"/>
    <w:rsid w:val="00913975"/>
    <w:rsid w:val="00921B8C"/>
    <w:rsid w:val="00934B24"/>
    <w:rsid w:val="00942123"/>
    <w:rsid w:val="00950DF9"/>
    <w:rsid w:val="0095207B"/>
    <w:rsid w:val="009562A4"/>
    <w:rsid w:val="00962045"/>
    <w:rsid w:val="00964E42"/>
    <w:rsid w:val="009740D1"/>
    <w:rsid w:val="00980E61"/>
    <w:rsid w:val="00983AE7"/>
    <w:rsid w:val="00991277"/>
    <w:rsid w:val="00991428"/>
    <w:rsid w:val="00992676"/>
    <w:rsid w:val="00994C37"/>
    <w:rsid w:val="009954B2"/>
    <w:rsid w:val="00996691"/>
    <w:rsid w:val="009A3AB7"/>
    <w:rsid w:val="009A5A44"/>
    <w:rsid w:val="009B0723"/>
    <w:rsid w:val="009B07AD"/>
    <w:rsid w:val="009B0883"/>
    <w:rsid w:val="009B15E2"/>
    <w:rsid w:val="009B4976"/>
    <w:rsid w:val="009C0B8E"/>
    <w:rsid w:val="009C1BC8"/>
    <w:rsid w:val="009C2442"/>
    <w:rsid w:val="009C6329"/>
    <w:rsid w:val="009D0811"/>
    <w:rsid w:val="009D0EE1"/>
    <w:rsid w:val="009E2AEB"/>
    <w:rsid w:val="009E2E27"/>
    <w:rsid w:val="009E45DF"/>
    <w:rsid w:val="009E4DE3"/>
    <w:rsid w:val="009F0D79"/>
    <w:rsid w:val="009F103F"/>
    <w:rsid w:val="009F275E"/>
    <w:rsid w:val="009F289E"/>
    <w:rsid w:val="009F2CD2"/>
    <w:rsid w:val="00A02377"/>
    <w:rsid w:val="00A03EEC"/>
    <w:rsid w:val="00A047EE"/>
    <w:rsid w:val="00A066BB"/>
    <w:rsid w:val="00A068B4"/>
    <w:rsid w:val="00A11FFA"/>
    <w:rsid w:val="00A16B68"/>
    <w:rsid w:val="00A2274A"/>
    <w:rsid w:val="00A235B7"/>
    <w:rsid w:val="00A27A7A"/>
    <w:rsid w:val="00A34131"/>
    <w:rsid w:val="00A34ABE"/>
    <w:rsid w:val="00A407EF"/>
    <w:rsid w:val="00A46B4C"/>
    <w:rsid w:val="00A5117B"/>
    <w:rsid w:val="00A53261"/>
    <w:rsid w:val="00A55676"/>
    <w:rsid w:val="00A56380"/>
    <w:rsid w:val="00A56D34"/>
    <w:rsid w:val="00A57F97"/>
    <w:rsid w:val="00A60074"/>
    <w:rsid w:val="00A6627C"/>
    <w:rsid w:val="00A71019"/>
    <w:rsid w:val="00A80105"/>
    <w:rsid w:val="00A81029"/>
    <w:rsid w:val="00A845F5"/>
    <w:rsid w:val="00A85CBA"/>
    <w:rsid w:val="00A909CB"/>
    <w:rsid w:val="00A96489"/>
    <w:rsid w:val="00AA70BF"/>
    <w:rsid w:val="00AB2425"/>
    <w:rsid w:val="00AB685C"/>
    <w:rsid w:val="00AB6C2D"/>
    <w:rsid w:val="00AC08F7"/>
    <w:rsid w:val="00AC1185"/>
    <w:rsid w:val="00AC3839"/>
    <w:rsid w:val="00AC7082"/>
    <w:rsid w:val="00AC7C67"/>
    <w:rsid w:val="00AD001A"/>
    <w:rsid w:val="00AD4BE8"/>
    <w:rsid w:val="00AF228E"/>
    <w:rsid w:val="00B00593"/>
    <w:rsid w:val="00B016A8"/>
    <w:rsid w:val="00B14819"/>
    <w:rsid w:val="00B15E2F"/>
    <w:rsid w:val="00B17AA9"/>
    <w:rsid w:val="00B17BCA"/>
    <w:rsid w:val="00B347FD"/>
    <w:rsid w:val="00B37275"/>
    <w:rsid w:val="00B40954"/>
    <w:rsid w:val="00B42FD6"/>
    <w:rsid w:val="00B44713"/>
    <w:rsid w:val="00B509F6"/>
    <w:rsid w:val="00B51B95"/>
    <w:rsid w:val="00B52289"/>
    <w:rsid w:val="00B56103"/>
    <w:rsid w:val="00B61A87"/>
    <w:rsid w:val="00B61B54"/>
    <w:rsid w:val="00B64929"/>
    <w:rsid w:val="00B736DF"/>
    <w:rsid w:val="00B743D6"/>
    <w:rsid w:val="00B74FBD"/>
    <w:rsid w:val="00B77F46"/>
    <w:rsid w:val="00B821AB"/>
    <w:rsid w:val="00B82586"/>
    <w:rsid w:val="00B829A3"/>
    <w:rsid w:val="00B86DB1"/>
    <w:rsid w:val="00B87869"/>
    <w:rsid w:val="00B92BA1"/>
    <w:rsid w:val="00B960BA"/>
    <w:rsid w:val="00B9639B"/>
    <w:rsid w:val="00BA6A8B"/>
    <w:rsid w:val="00BB0C7F"/>
    <w:rsid w:val="00BB0F2B"/>
    <w:rsid w:val="00BB26B2"/>
    <w:rsid w:val="00BC52FF"/>
    <w:rsid w:val="00BE18F8"/>
    <w:rsid w:val="00BE1FAE"/>
    <w:rsid w:val="00BE3419"/>
    <w:rsid w:val="00BE4FF3"/>
    <w:rsid w:val="00BF32C6"/>
    <w:rsid w:val="00BF50F7"/>
    <w:rsid w:val="00C02F29"/>
    <w:rsid w:val="00C05E9E"/>
    <w:rsid w:val="00C130A5"/>
    <w:rsid w:val="00C17718"/>
    <w:rsid w:val="00C20AFE"/>
    <w:rsid w:val="00C22A25"/>
    <w:rsid w:val="00C30E35"/>
    <w:rsid w:val="00C35671"/>
    <w:rsid w:val="00C35B77"/>
    <w:rsid w:val="00C376EB"/>
    <w:rsid w:val="00C4113B"/>
    <w:rsid w:val="00C46A92"/>
    <w:rsid w:val="00C46EC1"/>
    <w:rsid w:val="00C52796"/>
    <w:rsid w:val="00C53E2C"/>
    <w:rsid w:val="00C550C8"/>
    <w:rsid w:val="00C55824"/>
    <w:rsid w:val="00C56B61"/>
    <w:rsid w:val="00C606C3"/>
    <w:rsid w:val="00C620F4"/>
    <w:rsid w:val="00C64816"/>
    <w:rsid w:val="00C72848"/>
    <w:rsid w:val="00C754D5"/>
    <w:rsid w:val="00C7736C"/>
    <w:rsid w:val="00C82D87"/>
    <w:rsid w:val="00C84B6B"/>
    <w:rsid w:val="00C8712A"/>
    <w:rsid w:val="00C902C8"/>
    <w:rsid w:val="00C919D1"/>
    <w:rsid w:val="00C947E0"/>
    <w:rsid w:val="00C963D3"/>
    <w:rsid w:val="00CA7FBD"/>
    <w:rsid w:val="00CB1983"/>
    <w:rsid w:val="00CB2CBB"/>
    <w:rsid w:val="00CB7CAC"/>
    <w:rsid w:val="00CC2B78"/>
    <w:rsid w:val="00CC5335"/>
    <w:rsid w:val="00CC5BA4"/>
    <w:rsid w:val="00CC6599"/>
    <w:rsid w:val="00CD4998"/>
    <w:rsid w:val="00CD5CCF"/>
    <w:rsid w:val="00CE015F"/>
    <w:rsid w:val="00CE0368"/>
    <w:rsid w:val="00CE1035"/>
    <w:rsid w:val="00CE6E50"/>
    <w:rsid w:val="00CF2593"/>
    <w:rsid w:val="00CF2819"/>
    <w:rsid w:val="00CF4F9D"/>
    <w:rsid w:val="00CF70DC"/>
    <w:rsid w:val="00D0665F"/>
    <w:rsid w:val="00D12888"/>
    <w:rsid w:val="00D148DC"/>
    <w:rsid w:val="00D15AB6"/>
    <w:rsid w:val="00D17FDC"/>
    <w:rsid w:val="00D21D8C"/>
    <w:rsid w:val="00D2276C"/>
    <w:rsid w:val="00D23261"/>
    <w:rsid w:val="00D421FD"/>
    <w:rsid w:val="00D46083"/>
    <w:rsid w:val="00D53719"/>
    <w:rsid w:val="00D62A48"/>
    <w:rsid w:val="00D63EFD"/>
    <w:rsid w:val="00D84752"/>
    <w:rsid w:val="00D86B3B"/>
    <w:rsid w:val="00D86EB1"/>
    <w:rsid w:val="00D8748A"/>
    <w:rsid w:val="00D93196"/>
    <w:rsid w:val="00DA0DC0"/>
    <w:rsid w:val="00DB243C"/>
    <w:rsid w:val="00DB482A"/>
    <w:rsid w:val="00DB4EF2"/>
    <w:rsid w:val="00DB50FB"/>
    <w:rsid w:val="00DB56F2"/>
    <w:rsid w:val="00DB6EF5"/>
    <w:rsid w:val="00DC3089"/>
    <w:rsid w:val="00DC4420"/>
    <w:rsid w:val="00DD0802"/>
    <w:rsid w:val="00DD2E11"/>
    <w:rsid w:val="00DD7CEA"/>
    <w:rsid w:val="00DE03AF"/>
    <w:rsid w:val="00DE121C"/>
    <w:rsid w:val="00DE4BC1"/>
    <w:rsid w:val="00DE6633"/>
    <w:rsid w:val="00DF75F8"/>
    <w:rsid w:val="00DF7A3A"/>
    <w:rsid w:val="00E00C00"/>
    <w:rsid w:val="00E03592"/>
    <w:rsid w:val="00E0587A"/>
    <w:rsid w:val="00E07C5A"/>
    <w:rsid w:val="00E125E1"/>
    <w:rsid w:val="00E159B8"/>
    <w:rsid w:val="00E15BA9"/>
    <w:rsid w:val="00E25EE6"/>
    <w:rsid w:val="00E26E19"/>
    <w:rsid w:val="00E31DF3"/>
    <w:rsid w:val="00E35863"/>
    <w:rsid w:val="00E36E39"/>
    <w:rsid w:val="00E450A4"/>
    <w:rsid w:val="00E506BE"/>
    <w:rsid w:val="00E525E3"/>
    <w:rsid w:val="00E537CD"/>
    <w:rsid w:val="00E55547"/>
    <w:rsid w:val="00E622BB"/>
    <w:rsid w:val="00E6302B"/>
    <w:rsid w:val="00E64142"/>
    <w:rsid w:val="00E6452F"/>
    <w:rsid w:val="00E64F45"/>
    <w:rsid w:val="00E65C92"/>
    <w:rsid w:val="00E6742D"/>
    <w:rsid w:val="00E71CB0"/>
    <w:rsid w:val="00E7741F"/>
    <w:rsid w:val="00E77C3D"/>
    <w:rsid w:val="00E8319C"/>
    <w:rsid w:val="00E903CB"/>
    <w:rsid w:val="00E90991"/>
    <w:rsid w:val="00E909F0"/>
    <w:rsid w:val="00E90D47"/>
    <w:rsid w:val="00E93993"/>
    <w:rsid w:val="00E9597C"/>
    <w:rsid w:val="00EA0913"/>
    <w:rsid w:val="00EA5B00"/>
    <w:rsid w:val="00EA7B9D"/>
    <w:rsid w:val="00EB146B"/>
    <w:rsid w:val="00EB1514"/>
    <w:rsid w:val="00EB2C05"/>
    <w:rsid w:val="00EB45AC"/>
    <w:rsid w:val="00EB542E"/>
    <w:rsid w:val="00EB7CC8"/>
    <w:rsid w:val="00EC441F"/>
    <w:rsid w:val="00EC4755"/>
    <w:rsid w:val="00EC7B03"/>
    <w:rsid w:val="00ED0BC4"/>
    <w:rsid w:val="00ED447D"/>
    <w:rsid w:val="00EE4971"/>
    <w:rsid w:val="00EE6CB0"/>
    <w:rsid w:val="00EF090E"/>
    <w:rsid w:val="00EF5572"/>
    <w:rsid w:val="00EF5D89"/>
    <w:rsid w:val="00F033DA"/>
    <w:rsid w:val="00F13691"/>
    <w:rsid w:val="00F13E9D"/>
    <w:rsid w:val="00F13FB1"/>
    <w:rsid w:val="00F2100B"/>
    <w:rsid w:val="00F24067"/>
    <w:rsid w:val="00F25169"/>
    <w:rsid w:val="00F27CD8"/>
    <w:rsid w:val="00F30351"/>
    <w:rsid w:val="00F31CCD"/>
    <w:rsid w:val="00F325F3"/>
    <w:rsid w:val="00F3323E"/>
    <w:rsid w:val="00F341F4"/>
    <w:rsid w:val="00F3497C"/>
    <w:rsid w:val="00F34F9D"/>
    <w:rsid w:val="00F35CCE"/>
    <w:rsid w:val="00F36F33"/>
    <w:rsid w:val="00F43CB5"/>
    <w:rsid w:val="00F47593"/>
    <w:rsid w:val="00F52F30"/>
    <w:rsid w:val="00F5524B"/>
    <w:rsid w:val="00F60538"/>
    <w:rsid w:val="00F610D0"/>
    <w:rsid w:val="00F61DD2"/>
    <w:rsid w:val="00F66AFF"/>
    <w:rsid w:val="00F71433"/>
    <w:rsid w:val="00F77D17"/>
    <w:rsid w:val="00F86A3D"/>
    <w:rsid w:val="00F97C5B"/>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9C9"/>
    <w:rsid w:val="00FE2A86"/>
    <w:rsid w:val="00FE2DE2"/>
    <w:rsid w:val="00FE5D34"/>
    <w:rsid w:val="00FF296F"/>
    <w:rsid w:val="00FF42D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03A1-69AF-4D76-9287-66A313B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BENSON TEGU</cp:lastModifiedBy>
  <cp:revision>99</cp:revision>
  <cp:lastPrinted>2019-08-27T05:42:00Z</cp:lastPrinted>
  <dcterms:created xsi:type="dcterms:W3CDTF">2022-03-21T14:45:00Z</dcterms:created>
  <dcterms:modified xsi:type="dcterms:W3CDTF">2022-06-18T20:10:00Z</dcterms:modified>
</cp:coreProperties>
</file>