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E5985" w14:textId="77777777" w:rsidR="004B1559" w:rsidRDefault="000E6C37">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19D441F" wp14:editId="394B587E">
            <wp:extent cx="1733550" cy="2265680"/>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676D168F" w14:textId="77777777" w:rsidR="004B1559" w:rsidRDefault="004B1559">
      <w:pPr>
        <w:jc w:val="center"/>
        <w:rPr>
          <w:rFonts w:ascii="Arial" w:hAnsi="Arial" w:cs="Arial"/>
          <w:b/>
          <w:sz w:val="22"/>
          <w:szCs w:val="22"/>
          <w:lang w:val="en-GB"/>
        </w:rPr>
      </w:pPr>
    </w:p>
    <w:p w14:paraId="5F076495" w14:textId="77777777" w:rsidR="004B1559" w:rsidRDefault="004B1559">
      <w:pPr>
        <w:jc w:val="center"/>
        <w:rPr>
          <w:rFonts w:ascii="Arial" w:hAnsi="Arial" w:cs="Arial"/>
          <w:b/>
          <w:sz w:val="22"/>
          <w:szCs w:val="22"/>
          <w:lang w:val="en-GB"/>
        </w:rPr>
      </w:pPr>
    </w:p>
    <w:p w14:paraId="39AA92E7" w14:textId="77777777" w:rsidR="004B1559" w:rsidRDefault="004B1559">
      <w:pPr>
        <w:jc w:val="center"/>
        <w:rPr>
          <w:rFonts w:ascii="Arial" w:hAnsi="Arial" w:cs="Arial"/>
          <w:b/>
          <w:sz w:val="22"/>
          <w:szCs w:val="22"/>
          <w:lang w:val="en-GB"/>
        </w:rPr>
      </w:pPr>
    </w:p>
    <w:p w14:paraId="5FD27B89" w14:textId="77777777" w:rsidR="004B1559" w:rsidRDefault="004B1559">
      <w:pPr>
        <w:jc w:val="center"/>
        <w:rPr>
          <w:rFonts w:ascii="Arial" w:hAnsi="Arial" w:cs="Arial"/>
          <w:b/>
          <w:sz w:val="22"/>
          <w:szCs w:val="22"/>
          <w:lang w:val="en-GB"/>
        </w:rPr>
      </w:pPr>
    </w:p>
    <w:p w14:paraId="28DA2BE2" w14:textId="77777777" w:rsidR="004B1559" w:rsidRDefault="004B1559">
      <w:pPr>
        <w:jc w:val="center"/>
        <w:rPr>
          <w:rFonts w:ascii="Arial" w:hAnsi="Arial" w:cs="Arial"/>
          <w:b/>
          <w:sz w:val="22"/>
          <w:szCs w:val="22"/>
          <w:lang w:val="en-GB"/>
        </w:rPr>
      </w:pPr>
    </w:p>
    <w:p w14:paraId="54D25345" w14:textId="77777777" w:rsidR="004B1559" w:rsidRDefault="004B1559">
      <w:pPr>
        <w:jc w:val="center"/>
        <w:rPr>
          <w:rFonts w:ascii="Arial" w:hAnsi="Arial" w:cs="Arial"/>
          <w:b/>
          <w:sz w:val="22"/>
          <w:szCs w:val="22"/>
          <w:lang w:val="en-GB"/>
        </w:rPr>
      </w:pPr>
    </w:p>
    <w:p w14:paraId="23D15390" w14:textId="77777777" w:rsidR="004B1559" w:rsidRDefault="004B1559">
      <w:pPr>
        <w:jc w:val="center"/>
        <w:rPr>
          <w:rFonts w:ascii="Arial" w:hAnsi="Arial" w:cs="Arial"/>
          <w:b/>
          <w:sz w:val="22"/>
          <w:szCs w:val="22"/>
          <w:lang w:val="en-GB"/>
        </w:rPr>
      </w:pPr>
    </w:p>
    <w:p w14:paraId="307F7875" w14:textId="77777777" w:rsidR="004B1559" w:rsidRDefault="004B155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53CDC60" w14:textId="77777777" w:rsidR="004B1559" w:rsidRDefault="000E6C3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SUMMATIVE (FORMAL) ASSESSMENT: MODULE 7B</w:t>
      </w:r>
    </w:p>
    <w:p w14:paraId="2ADF075F" w14:textId="77777777" w:rsidR="004B1559" w:rsidRDefault="004B155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492A9FB4" w14:textId="77777777" w:rsidR="004B1559" w:rsidRDefault="000E6C3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KENYA</w:t>
      </w:r>
    </w:p>
    <w:p w14:paraId="033D8E37" w14:textId="77777777" w:rsidR="004B1559" w:rsidRDefault="004B155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B8594F1" w14:textId="77777777" w:rsidR="004B1559" w:rsidRDefault="004B1559">
      <w:pPr>
        <w:jc w:val="center"/>
        <w:rPr>
          <w:rFonts w:ascii="Arial" w:hAnsi="Arial" w:cs="Arial"/>
          <w:b/>
          <w:sz w:val="22"/>
          <w:szCs w:val="22"/>
          <w:lang w:val="en-GB"/>
        </w:rPr>
      </w:pPr>
    </w:p>
    <w:p w14:paraId="7EAFCDE5" w14:textId="77777777" w:rsidR="004B1559" w:rsidRDefault="004B1559">
      <w:pPr>
        <w:jc w:val="center"/>
        <w:rPr>
          <w:rFonts w:ascii="Arial" w:hAnsi="Arial" w:cs="Arial"/>
          <w:b/>
          <w:sz w:val="22"/>
          <w:szCs w:val="22"/>
          <w:lang w:val="en-GB"/>
        </w:rPr>
      </w:pPr>
    </w:p>
    <w:p w14:paraId="397AD423" w14:textId="77777777" w:rsidR="004B1559" w:rsidRDefault="004B1559">
      <w:pPr>
        <w:jc w:val="center"/>
        <w:rPr>
          <w:rFonts w:ascii="Arial" w:hAnsi="Arial" w:cs="Arial"/>
          <w:b/>
          <w:sz w:val="22"/>
          <w:szCs w:val="22"/>
          <w:lang w:val="en-GB"/>
        </w:rPr>
      </w:pPr>
    </w:p>
    <w:p w14:paraId="382905A0" w14:textId="77777777" w:rsidR="004B1559" w:rsidRDefault="004B1559">
      <w:pPr>
        <w:jc w:val="center"/>
        <w:rPr>
          <w:rFonts w:ascii="Arial" w:hAnsi="Arial" w:cs="Arial"/>
          <w:b/>
          <w:sz w:val="22"/>
          <w:szCs w:val="22"/>
          <w:lang w:val="en-GB"/>
        </w:rPr>
      </w:pPr>
    </w:p>
    <w:p w14:paraId="18C9ACD6" w14:textId="77777777" w:rsidR="004B1559" w:rsidRDefault="004B1559">
      <w:pPr>
        <w:jc w:val="center"/>
        <w:rPr>
          <w:rFonts w:ascii="Arial" w:hAnsi="Arial" w:cs="Arial"/>
          <w:b/>
          <w:sz w:val="22"/>
          <w:szCs w:val="22"/>
          <w:lang w:val="en-GB"/>
        </w:rPr>
      </w:pPr>
    </w:p>
    <w:p w14:paraId="0BF83BD4" w14:textId="77777777" w:rsidR="004B1559" w:rsidRDefault="004B1559">
      <w:pPr>
        <w:jc w:val="center"/>
        <w:rPr>
          <w:rFonts w:ascii="Arial" w:hAnsi="Arial" w:cs="Arial"/>
          <w:b/>
          <w:sz w:val="22"/>
          <w:szCs w:val="22"/>
          <w:lang w:val="en-GB"/>
        </w:rPr>
      </w:pPr>
    </w:p>
    <w:p w14:paraId="4D1BDC54" w14:textId="77777777" w:rsidR="004B1559" w:rsidRDefault="004B1559">
      <w:pPr>
        <w:jc w:val="center"/>
        <w:rPr>
          <w:rFonts w:ascii="Arial" w:hAnsi="Arial" w:cs="Arial"/>
          <w:b/>
          <w:sz w:val="22"/>
          <w:szCs w:val="22"/>
          <w:lang w:val="en-GB"/>
        </w:rPr>
      </w:pPr>
    </w:p>
    <w:p w14:paraId="40E051B7" w14:textId="77777777" w:rsidR="004B1559" w:rsidRDefault="004B1559">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8ABB317" w14:textId="77777777" w:rsidR="004B1559" w:rsidRDefault="000E6C37">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This is the </w:t>
      </w:r>
      <w:r>
        <w:rPr>
          <w:rFonts w:ascii="Arial" w:hAnsi="Arial" w:cs="Arial"/>
          <w:b/>
          <w:color w:val="767171" w:themeColor="background2" w:themeShade="80"/>
          <w:sz w:val="22"/>
          <w:szCs w:val="22"/>
          <w:lang w:val="en-GB"/>
        </w:rPr>
        <w:t>summative (formal) assessment</w:t>
      </w:r>
      <w:r>
        <w:rPr>
          <w:rFonts w:ascii="Arial" w:hAnsi="Arial" w:cs="Arial"/>
          <w:bCs/>
          <w:color w:val="767171" w:themeColor="background2" w:themeShade="80"/>
          <w:sz w:val="22"/>
          <w:szCs w:val="22"/>
          <w:lang w:val="en-GB"/>
        </w:rPr>
        <w:t xml:space="preserve"> for </w:t>
      </w:r>
      <w:r>
        <w:rPr>
          <w:rFonts w:ascii="Arial" w:hAnsi="Arial" w:cs="Arial"/>
          <w:b/>
          <w:color w:val="767171" w:themeColor="background2" w:themeShade="80"/>
          <w:sz w:val="22"/>
          <w:szCs w:val="22"/>
          <w:lang w:val="en-GB"/>
        </w:rPr>
        <w:t>Module 7B</w:t>
      </w:r>
      <w:r>
        <w:rPr>
          <w:rFonts w:ascii="Arial" w:hAnsi="Arial" w:cs="Arial"/>
          <w:bCs/>
          <w:color w:val="767171" w:themeColor="background2" w:themeShade="80"/>
          <w:sz w:val="22"/>
          <w:szCs w:val="22"/>
          <w:lang w:val="en-GB"/>
        </w:rPr>
        <w:t xml:space="preserve"> of this course and must be submitted by all candidates who </w:t>
      </w:r>
      <w:r>
        <w:rPr>
          <w:rFonts w:ascii="Arial" w:hAnsi="Arial" w:cs="Arial"/>
          <w:b/>
          <w:color w:val="767171" w:themeColor="background2" w:themeShade="80"/>
          <w:sz w:val="22"/>
          <w:szCs w:val="22"/>
          <w:lang w:val="en-GB"/>
        </w:rPr>
        <w:t>selected this module as one of their elective modules</w:t>
      </w:r>
      <w:r>
        <w:rPr>
          <w:rFonts w:ascii="Arial" w:hAnsi="Arial" w:cs="Arial"/>
          <w:bCs/>
          <w:color w:val="767171" w:themeColor="background2" w:themeShade="80"/>
          <w:sz w:val="22"/>
          <w:szCs w:val="22"/>
          <w:lang w:val="en-GB"/>
        </w:rPr>
        <w:t>.</w:t>
      </w:r>
    </w:p>
    <w:p w14:paraId="6E0282D9" w14:textId="77777777" w:rsidR="004B1559" w:rsidRDefault="004B1559">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162A4A8" w14:textId="77777777" w:rsidR="004B1559" w:rsidRDefault="004B1559">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053BB89" w14:textId="77777777" w:rsidR="004B1559" w:rsidRDefault="000E6C37">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Pr>
          <w:rFonts w:ascii="Arial" w:hAnsi="Arial" w:cs="Arial"/>
          <w:b/>
          <w:color w:val="767171" w:themeColor="background2" w:themeShade="80"/>
          <w:sz w:val="22"/>
          <w:szCs w:val="22"/>
          <w:lang w:val="en-GB"/>
        </w:rPr>
        <w:t>The mark awarded for this assessment will determine your final mark for Module 7B</w:t>
      </w:r>
      <w:r>
        <w:rPr>
          <w:rFonts w:ascii="Arial" w:hAnsi="Arial" w:cs="Arial"/>
          <w:bCs/>
          <w:color w:val="767171" w:themeColor="background2" w:themeShade="80"/>
          <w:sz w:val="22"/>
          <w:szCs w:val="22"/>
          <w:lang w:val="en-GB"/>
        </w:rPr>
        <w:t>. In order to pass this module, you need to obtain a mark of 50% or more for this assessment.</w:t>
      </w:r>
    </w:p>
    <w:p w14:paraId="574E765F" w14:textId="77777777" w:rsidR="004B1559" w:rsidRDefault="004B1559">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820013C" w14:textId="77777777" w:rsidR="004B1559" w:rsidRDefault="004B1559">
      <w:pPr>
        <w:jc w:val="both"/>
        <w:rPr>
          <w:rFonts w:ascii="Arial" w:hAnsi="Arial" w:cs="Arial"/>
          <w:b/>
          <w:sz w:val="22"/>
          <w:szCs w:val="22"/>
          <w:lang w:val="en-GB"/>
        </w:rPr>
      </w:pPr>
    </w:p>
    <w:p w14:paraId="7EDC5C1F" w14:textId="77777777" w:rsidR="004B1559" w:rsidRDefault="004B1559">
      <w:pPr>
        <w:jc w:val="both"/>
        <w:rPr>
          <w:rFonts w:ascii="Arial" w:hAnsi="Arial" w:cs="Arial"/>
          <w:b/>
          <w:sz w:val="22"/>
          <w:szCs w:val="22"/>
          <w:lang w:val="en-GB"/>
        </w:rPr>
      </w:pPr>
    </w:p>
    <w:p w14:paraId="66C6FEE1" w14:textId="77777777" w:rsidR="004B1559" w:rsidRDefault="004B1559">
      <w:pPr>
        <w:jc w:val="both"/>
        <w:rPr>
          <w:rFonts w:ascii="Arial" w:hAnsi="Arial" w:cs="Arial"/>
          <w:b/>
          <w:sz w:val="22"/>
          <w:szCs w:val="22"/>
          <w:lang w:val="en-GB"/>
        </w:rPr>
      </w:pPr>
    </w:p>
    <w:p w14:paraId="7B2CF40C" w14:textId="77777777" w:rsidR="004B1559" w:rsidRDefault="004B1559">
      <w:pPr>
        <w:jc w:val="both"/>
        <w:rPr>
          <w:rFonts w:ascii="Arial" w:hAnsi="Arial" w:cs="Arial"/>
          <w:b/>
          <w:sz w:val="22"/>
          <w:szCs w:val="22"/>
          <w:lang w:val="en-GB"/>
        </w:rPr>
      </w:pPr>
    </w:p>
    <w:p w14:paraId="069B694C" w14:textId="77777777" w:rsidR="004B1559" w:rsidRDefault="004B1559">
      <w:pPr>
        <w:jc w:val="both"/>
        <w:rPr>
          <w:rFonts w:ascii="Arial" w:hAnsi="Arial" w:cs="Arial"/>
          <w:b/>
          <w:sz w:val="22"/>
          <w:szCs w:val="22"/>
          <w:lang w:val="en-GB"/>
        </w:rPr>
      </w:pPr>
    </w:p>
    <w:p w14:paraId="132342AF" w14:textId="77777777" w:rsidR="004B1559" w:rsidRDefault="004B1559">
      <w:pPr>
        <w:jc w:val="both"/>
        <w:rPr>
          <w:rFonts w:ascii="Arial" w:hAnsi="Arial" w:cs="Arial"/>
          <w:b/>
          <w:sz w:val="22"/>
          <w:szCs w:val="22"/>
          <w:lang w:val="en-GB"/>
        </w:rPr>
      </w:pPr>
    </w:p>
    <w:p w14:paraId="4AC1DE48" w14:textId="77777777" w:rsidR="004B1559" w:rsidRDefault="004B1559">
      <w:pPr>
        <w:jc w:val="both"/>
        <w:rPr>
          <w:rFonts w:ascii="Arial" w:hAnsi="Arial" w:cs="Arial"/>
          <w:b/>
          <w:sz w:val="22"/>
          <w:szCs w:val="22"/>
          <w:lang w:val="en-GB"/>
        </w:rPr>
      </w:pPr>
    </w:p>
    <w:p w14:paraId="0A795E87" w14:textId="77777777" w:rsidR="004B1559" w:rsidRDefault="004B1559">
      <w:pPr>
        <w:jc w:val="both"/>
        <w:rPr>
          <w:rFonts w:ascii="Arial" w:hAnsi="Arial" w:cs="Arial"/>
          <w:b/>
          <w:sz w:val="22"/>
          <w:szCs w:val="22"/>
          <w:lang w:val="en-GB"/>
        </w:rPr>
      </w:pPr>
    </w:p>
    <w:p w14:paraId="6D2C29DF" w14:textId="77777777" w:rsidR="004B1559" w:rsidRDefault="004B1559">
      <w:pPr>
        <w:jc w:val="both"/>
        <w:rPr>
          <w:rFonts w:ascii="Arial" w:hAnsi="Arial" w:cs="Arial"/>
          <w:b/>
          <w:sz w:val="22"/>
          <w:szCs w:val="22"/>
          <w:lang w:val="en-GB"/>
        </w:rPr>
      </w:pPr>
    </w:p>
    <w:p w14:paraId="524F3F21" w14:textId="77777777" w:rsidR="004B1559" w:rsidRDefault="000E6C37">
      <w:pPr>
        <w:rPr>
          <w:rFonts w:ascii="Arial" w:hAnsi="Arial" w:cs="Arial"/>
          <w:b/>
          <w:sz w:val="22"/>
          <w:szCs w:val="22"/>
          <w:u w:val="single"/>
          <w:lang w:val="en-GB"/>
        </w:rPr>
      </w:pPr>
      <w:r>
        <w:rPr>
          <w:rFonts w:ascii="Arial" w:hAnsi="Arial" w:cs="Arial"/>
          <w:b/>
          <w:sz w:val="22"/>
          <w:szCs w:val="22"/>
          <w:u w:val="single"/>
          <w:lang w:val="en-GB"/>
        </w:rPr>
        <w:br w:type="page"/>
      </w:r>
    </w:p>
    <w:p w14:paraId="4535BD37" w14:textId="77777777" w:rsidR="004B1559" w:rsidRDefault="004B1559">
      <w:pPr>
        <w:jc w:val="center"/>
        <w:rPr>
          <w:rFonts w:ascii="Arial" w:hAnsi="Arial" w:cs="Arial"/>
          <w:b/>
          <w:sz w:val="22"/>
          <w:szCs w:val="22"/>
          <w:u w:val="single"/>
          <w:lang w:val="en-GB"/>
        </w:rPr>
      </w:pPr>
    </w:p>
    <w:p w14:paraId="39A8B3DC" w14:textId="77777777" w:rsidR="004B1559" w:rsidRDefault="004B1559">
      <w:pPr>
        <w:jc w:val="center"/>
        <w:rPr>
          <w:rFonts w:ascii="Arial" w:hAnsi="Arial" w:cs="Arial"/>
          <w:b/>
          <w:sz w:val="22"/>
          <w:szCs w:val="22"/>
          <w:u w:val="single"/>
          <w:lang w:val="en-GB"/>
        </w:rPr>
      </w:pPr>
    </w:p>
    <w:p w14:paraId="1808C056" w14:textId="77777777" w:rsidR="004B1559" w:rsidRDefault="004B1559">
      <w:pPr>
        <w:jc w:val="center"/>
        <w:rPr>
          <w:rFonts w:ascii="Arial" w:hAnsi="Arial" w:cs="Arial"/>
          <w:b/>
          <w:sz w:val="22"/>
          <w:szCs w:val="22"/>
          <w:u w:val="single"/>
          <w:lang w:val="en-GB"/>
        </w:rPr>
      </w:pPr>
    </w:p>
    <w:p w14:paraId="22C76CAD" w14:textId="77777777" w:rsidR="004B1559" w:rsidRDefault="000E6C37">
      <w:pPr>
        <w:jc w:val="center"/>
        <w:rPr>
          <w:rFonts w:ascii="Arial" w:hAnsi="Arial" w:cs="Arial"/>
          <w:b/>
          <w:sz w:val="22"/>
          <w:szCs w:val="22"/>
          <w:u w:val="single"/>
          <w:lang w:val="en-GB"/>
        </w:rPr>
      </w:pPr>
      <w:r>
        <w:rPr>
          <w:rFonts w:ascii="Arial" w:hAnsi="Arial" w:cs="Arial"/>
          <w:b/>
          <w:sz w:val="22"/>
          <w:szCs w:val="22"/>
          <w:u w:val="single"/>
          <w:lang w:val="en-GB"/>
        </w:rPr>
        <w:t>INSTRUCTIONS FOR COMPLETION AND SUBMISSION OF ASSESSMENT</w:t>
      </w:r>
    </w:p>
    <w:p w14:paraId="57A0DC9F" w14:textId="77777777" w:rsidR="004B1559" w:rsidRDefault="004B1559">
      <w:pPr>
        <w:jc w:val="both"/>
        <w:rPr>
          <w:rFonts w:ascii="Arial" w:hAnsi="Arial" w:cs="Arial"/>
          <w:sz w:val="22"/>
          <w:szCs w:val="22"/>
          <w:lang w:val="en-GB"/>
        </w:rPr>
      </w:pPr>
    </w:p>
    <w:p w14:paraId="513CAD4E" w14:textId="77777777" w:rsidR="004B1559" w:rsidRDefault="004B1559">
      <w:pPr>
        <w:jc w:val="both"/>
        <w:rPr>
          <w:rFonts w:ascii="Arial" w:hAnsi="Arial" w:cs="Arial"/>
          <w:b/>
          <w:sz w:val="22"/>
          <w:szCs w:val="22"/>
          <w:lang w:val="en-GB"/>
        </w:rPr>
      </w:pPr>
    </w:p>
    <w:p w14:paraId="1FD1789B" w14:textId="77777777" w:rsidR="004B1559" w:rsidRDefault="000E6C37">
      <w:pPr>
        <w:jc w:val="both"/>
        <w:rPr>
          <w:rFonts w:ascii="Arial" w:hAnsi="Arial" w:cs="Arial"/>
          <w:b/>
          <w:sz w:val="22"/>
          <w:szCs w:val="22"/>
          <w:lang w:val="en-GB"/>
        </w:rPr>
      </w:pPr>
      <w:r>
        <w:rPr>
          <w:rFonts w:ascii="Arial" w:hAnsi="Arial" w:cs="Arial"/>
          <w:b/>
          <w:sz w:val="22"/>
          <w:szCs w:val="22"/>
          <w:lang w:val="en-GB"/>
        </w:rPr>
        <w:t>Please read the following instructions very carefully before submitting / uploading your assessment on the Foundation Certificate web pages.</w:t>
      </w:r>
    </w:p>
    <w:p w14:paraId="420CA208" w14:textId="77777777" w:rsidR="004B1559" w:rsidRDefault="004B1559">
      <w:pPr>
        <w:jc w:val="both"/>
        <w:rPr>
          <w:rFonts w:ascii="Arial" w:hAnsi="Arial" w:cs="Arial"/>
          <w:b/>
          <w:sz w:val="22"/>
          <w:szCs w:val="22"/>
          <w:lang w:val="en-GB"/>
        </w:rPr>
      </w:pPr>
    </w:p>
    <w:p w14:paraId="79B0F0EF" w14:textId="77777777" w:rsidR="004B1559" w:rsidRDefault="004B1559">
      <w:pPr>
        <w:jc w:val="both"/>
        <w:rPr>
          <w:rFonts w:ascii="Arial" w:hAnsi="Arial" w:cs="Arial"/>
          <w:sz w:val="22"/>
          <w:szCs w:val="22"/>
          <w:lang w:val="en-GB"/>
        </w:rPr>
      </w:pPr>
    </w:p>
    <w:p w14:paraId="1417ED79" w14:textId="77777777" w:rsidR="004B1559" w:rsidRDefault="000E6C37">
      <w:pPr>
        <w:ind w:left="720" w:hanging="720"/>
        <w:jc w:val="both"/>
        <w:rPr>
          <w:rFonts w:ascii="Arial" w:hAnsi="Arial" w:cs="Arial"/>
          <w:sz w:val="22"/>
          <w:szCs w:val="22"/>
          <w:lang w:val="en-GB"/>
        </w:rPr>
      </w:pPr>
      <w:r>
        <w:rPr>
          <w:rFonts w:ascii="Arial" w:hAnsi="Arial" w:cs="Arial"/>
          <w:bCs/>
          <w:sz w:val="22"/>
          <w:szCs w:val="22"/>
          <w:lang w:val="en-GB"/>
        </w:rPr>
        <w:t>1.</w:t>
      </w:r>
      <w:r>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74FDFD1E" w14:textId="77777777" w:rsidR="004B1559" w:rsidRDefault="004B1559">
      <w:pPr>
        <w:ind w:left="720" w:hanging="720"/>
        <w:jc w:val="both"/>
        <w:rPr>
          <w:rFonts w:ascii="Arial" w:hAnsi="Arial" w:cs="Arial"/>
          <w:sz w:val="22"/>
          <w:szCs w:val="22"/>
          <w:lang w:val="en-GB"/>
        </w:rPr>
      </w:pPr>
    </w:p>
    <w:p w14:paraId="4EE450A6" w14:textId="77777777" w:rsidR="004B1559" w:rsidRDefault="000E6C37">
      <w:pPr>
        <w:ind w:left="720" w:hanging="720"/>
        <w:jc w:val="both"/>
        <w:rPr>
          <w:rFonts w:ascii="Arial" w:hAnsi="Arial" w:cs="Arial"/>
          <w:sz w:val="22"/>
          <w:szCs w:val="22"/>
          <w:lang w:val="en-GB"/>
        </w:rPr>
      </w:pPr>
      <w:r>
        <w:rPr>
          <w:rFonts w:ascii="Arial" w:hAnsi="Arial" w:cs="Arial"/>
          <w:bCs/>
          <w:sz w:val="22"/>
          <w:szCs w:val="22"/>
          <w:lang w:val="en-GB"/>
        </w:rPr>
        <w:t>2.</w:t>
      </w:r>
      <w:r>
        <w:rPr>
          <w:rFonts w:ascii="Arial" w:hAnsi="Arial" w:cs="Arial"/>
          <w:sz w:val="22"/>
          <w:szCs w:val="22"/>
          <w:lang w:val="en-GB"/>
        </w:rPr>
        <w:tab/>
        <w:t xml:space="preserve">All assessments must be submitted electronically in </w:t>
      </w:r>
      <w:r>
        <w:rPr>
          <w:rFonts w:ascii="Arial" w:hAnsi="Arial" w:cs="Arial"/>
          <w:b/>
          <w:bCs/>
          <w:sz w:val="22"/>
          <w:szCs w:val="22"/>
          <w:lang w:val="en-GB"/>
        </w:rPr>
        <w:t>Microsoft Word format</w:t>
      </w:r>
      <w:r>
        <w:rPr>
          <w:rFonts w:ascii="Arial" w:hAnsi="Arial" w:cs="Arial"/>
          <w:sz w:val="22"/>
          <w:szCs w:val="22"/>
          <w:lang w:val="en-GB"/>
        </w:rPr>
        <w:t xml:space="preserve">, using a standard A4 size page and an 11-point Arial font. This document has been set up with these parameters – </w:t>
      </w:r>
      <w:r>
        <w:rPr>
          <w:rFonts w:ascii="Arial" w:hAnsi="Arial" w:cs="Arial"/>
          <w:b/>
          <w:bCs/>
          <w:sz w:val="22"/>
          <w:szCs w:val="22"/>
          <w:lang w:val="en-GB"/>
        </w:rPr>
        <w:t>please do not change the document settings in any way</w:t>
      </w:r>
      <w:r>
        <w:rPr>
          <w:rFonts w:ascii="Arial" w:hAnsi="Arial" w:cs="Arial"/>
          <w:sz w:val="22"/>
          <w:szCs w:val="22"/>
          <w:lang w:val="en-GB"/>
        </w:rPr>
        <w:t xml:space="preserve">. </w:t>
      </w:r>
      <w:r>
        <w:rPr>
          <w:rFonts w:ascii="Arial" w:hAnsi="Arial" w:cs="Arial"/>
          <w:b/>
          <w:sz w:val="22"/>
          <w:szCs w:val="22"/>
          <w:lang w:val="en-GB"/>
        </w:rPr>
        <w:t>DO NOT</w:t>
      </w:r>
      <w:r>
        <w:rPr>
          <w:rFonts w:ascii="Arial" w:hAnsi="Arial" w:cs="Arial"/>
          <w:sz w:val="22"/>
          <w:szCs w:val="22"/>
          <w:lang w:val="en-GB"/>
        </w:rPr>
        <w:t xml:space="preserve"> submit your assessment in PDF format as it will be returned to you unmarked.</w:t>
      </w:r>
    </w:p>
    <w:p w14:paraId="27F6C7BF" w14:textId="77777777" w:rsidR="004B1559" w:rsidRDefault="004B1559">
      <w:pPr>
        <w:ind w:left="720" w:hanging="720"/>
        <w:jc w:val="both"/>
        <w:rPr>
          <w:rFonts w:ascii="Arial" w:hAnsi="Arial" w:cs="Arial"/>
          <w:sz w:val="22"/>
          <w:szCs w:val="22"/>
          <w:lang w:val="en-GB"/>
        </w:rPr>
      </w:pPr>
    </w:p>
    <w:p w14:paraId="4159C340" w14:textId="77777777" w:rsidR="004B1559" w:rsidRDefault="000E6C37">
      <w:pPr>
        <w:ind w:left="720" w:hanging="720"/>
        <w:jc w:val="both"/>
        <w:rPr>
          <w:rFonts w:ascii="Arial" w:hAnsi="Arial" w:cs="Arial"/>
          <w:sz w:val="22"/>
          <w:szCs w:val="22"/>
          <w:lang w:val="en-GB"/>
        </w:rPr>
      </w:pPr>
      <w:r>
        <w:rPr>
          <w:rFonts w:ascii="Arial" w:hAnsi="Arial" w:cs="Arial"/>
          <w:sz w:val="22"/>
          <w:szCs w:val="22"/>
          <w:lang w:val="en-GB"/>
        </w:rPr>
        <w:t>3.</w:t>
      </w:r>
      <w:r>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BA4586D" w14:textId="77777777" w:rsidR="004B1559" w:rsidRDefault="004B1559">
      <w:pPr>
        <w:ind w:left="720" w:hanging="720"/>
        <w:jc w:val="both"/>
        <w:rPr>
          <w:rFonts w:ascii="Arial" w:hAnsi="Arial" w:cs="Arial"/>
          <w:sz w:val="22"/>
          <w:szCs w:val="22"/>
          <w:lang w:val="en-GB"/>
        </w:rPr>
      </w:pPr>
    </w:p>
    <w:p w14:paraId="5AE10FD5" w14:textId="77777777" w:rsidR="004B1559" w:rsidRDefault="000E6C37">
      <w:pPr>
        <w:ind w:left="720" w:hanging="720"/>
        <w:jc w:val="both"/>
        <w:rPr>
          <w:rFonts w:ascii="Arial" w:hAnsi="Arial" w:cs="Arial"/>
          <w:sz w:val="22"/>
          <w:szCs w:val="22"/>
          <w:lang w:val="en-GB"/>
        </w:rPr>
      </w:pPr>
      <w:r>
        <w:rPr>
          <w:rFonts w:ascii="Arial" w:hAnsi="Arial" w:cs="Arial"/>
          <w:bCs/>
          <w:sz w:val="22"/>
          <w:szCs w:val="22"/>
          <w:lang w:val="en-GB"/>
        </w:rPr>
        <w:t>4.</w:t>
      </w:r>
      <w:r>
        <w:rPr>
          <w:rFonts w:ascii="Arial" w:hAnsi="Arial" w:cs="Arial"/>
          <w:sz w:val="22"/>
          <w:szCs w:val="22"/>
          <w:lang w:val="en-GB"/>
        </w:rPr>
        <w:tab/>
        <w:t xml:space="preserve">You must save this document using the following format: </w:t>
      </w:r>
      <w:r>
        <w:rPr>
          <w:rFonts w:ascii="Arial" w:hAnsi="Arial" w:cs="Arial"/>
          <w:b/>
          <w:bCs/>
          <w:sz w:val="22"/>
          <w:szCs w:val="22"/>
          <w:lang w:val="en-GB" w:eastAsia="en-GB"/>
        </w:rPr>
        <w:t>[studentID.assessment7B]</w:t>
      </w:r>
      <w:r>
        <w:rPr>
          <w:rFonts w:ascii="Arial" w:hAnsi="Arial" w:cs="Arial"/>
          <w:sz w:val="22"/>
          <w:szCs w:val="22"/>
          <w:lang w:val="en-GB" w:eastAsia="en-GB"/>
        </w:rPr>
        <w:t>. An example would be something along the following lines: 202122-336.assessment7B</w:t>
      </w:r>
      <w:r>
        <w:rPr>
          <w:rFonts w:ascii="Arial" w:hAnsi="Arial" w:cs="Arial"/>
          <w:sz w:val="22"/>
          <w:szCs w:val="22"/>
          <w:lang w:val="en-GB"/>
        </w:rPr>
        <w:t xml:space="preserve">. </w:t>
      </w:r>
      <w:r>
        <w:rPr>
          <w:rFonts w:ascii="Arial" w:hAnsi="Arial" w:cs="Arial"/>
          <w:b/>
          <w:sz w:val="22"/>
          <w:szCs w:val="22"/>
          <w:lang w:val="en-GB"/>
        </w:rPr>
        <w:t>Please also include the filename as a footer to each page of the assessment</w:t>
      </w:r>
      <w:r>
        <w:rPr>
          <w:rFonts w:ascii="Arial" w:hAnsi="Arial" w:cs="Arial"/>
          <w:bCs/>
          <w:sz w:val="22"/>
          <w:szCs w:val="22"/>
          <w:lang w:val="en-GB"/>
        </w:rPr>
        <w:t xml:space="preserve"> (this has been pre-populated for you, merely replace the words “</w:t>
      </w:r>
      <w:proofErr w:type="spellStart"/>
      <w:r>
        <w:rPr>
          <w:rFonts w:ascii="Arial" w:hAnsi="Arial" w:cs="Arial"/>
          <w:bCs/>
          <w:sz w:val="22"/>
          <w:szCs w:val="22"/>
          <w:lang w:val="en-GB"/>
        </w:rPr>
        <w:t>studentID</w:t>
      </w:r>
      <w:proofErr w:type="spellEnd"/>
      <w:r>
        <w:rPr>
          <w:rFonts w:ascii="Arial" w:hAnsi="Arial" w:cs="Arial"/>
          <w:bCs/>
          <w:sz w:val="22"/>
          <w:szCs w:val="22"/>
          <w:lang w:val="en-GB"/>
        </w:rPr>
        <w:t>” with the student number allocated to you)</w:t>
      </w:r>
      <w:r>
        <w:rPr>
          <w:rFonts w:ascii="Arial" w:hAnsi="Arial" w:cs="Arial"/>
          <w:sz w:val="22"/>
          <w:szCs w:val="22"/>
          <w:lang w:val="en-GB"/>
        </w:rPr>
        <w:t xml:space="preserve">. Do not include your name or any other identifying words in your file name. </w:t>
      </w:r>
      <w:r>
        <w:rPr>
          <w:rFonts w:ascii="Arial" w:hAnsi="Arial" w:cs="Arial"/>
          <w:b/>
          <w:bCs/>
          <w:sz w:val="22"/>
          <w:szCs w:val="22"/>
          <w:lang w:val="en-GB"/>
        </w:rPr>
        <w:t>Assessments that do not comply with this instruction will be returned to candidates unmarked</w:t>
      </w:r>
      <w:r>
        <w:rPr>
          <w:rFonts w:ascii="Arial" w:hAnsi="Arial" w:cs="Arial"/>
          <w:sz w:val="22"/>
          <w:szCs w:val="22"/>
          <w:lang w:val="en-GB"/>
        </w:rPr>
        <w:t>.</w:t>
      </w:r>
    </w:p>
    <w:p w14:paraId="07294E1A" w14:textId="77777777" w:rsidR="004B1559" w:rsidRDefault="004B1559">
      <w:pPr>
        <w:ind w:left="720" w:hanging="720"/>
        <w:jc w:val="both"/>
        <w:rPr>
          <w:rFonts w:ascii="Arial" w:hAnsi="Arial" w:cs="Arial"/>
          <w:sz w:val="22"/>
          <w:szCs w:val="22"/>
          <w:lang w:val="en-GB"/>
        </w:rPr>
      </w:pPr>
    </w:p>
    <w:p w14:paraId="56A5E840" w14:textId="77777777" w:rsidR="004B1559" w:rsidRDefault="000E6C37">
      <w:pPr>
        <w:ind w:left="720" w:hanging="720"/>
        <w:jc w:val="both"/>
        <w:rPr>
          <w:rFonts w:ascii="Arial" w:hAnsi="Arial" w:cs="Arial"/>
          <w:sz w:val="22"/>
          <w:szCs w:val="22"/>
          <w:lang w:val="en-GB"/>
        </w:rPr>
      </w:pPr>
      <w:r>
        <w:rPr>
          <w:rFonts w:ascii="Arial" w:hAnsi="Arial" w:cs="Arial"/>
          <w:bCs/>
          <w:sz w:val="22"/>
          <w:szCs w:val="22"/>
          <w:lang w:val="en-GB"/>
        </w:rPr>
        <w:t>5.</w:t>
      </w:r>
      <w:r>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Pr>
          <w:rFonts w:ascii="Arial" w:hAnsi="Arial" w:cs="Arial"/>
          <w:sz w:val="22"/>
          <w:szCs w:val="22"/>
          <w:lang w:val="en-GB"/>
        </w:rPr>
        <w:t>.</w:t>
      </w:r>
    </w:p>
    <w:p w14:paraId="35CBD0EB" w14:textId="77777777" w:rsidR="004B1559" w:rsidRDefault="004B1559">
      <w:pPr>
        <w:ind w:left="720" w:hanging="720"/>
        <w:jc w:val="both"/>
        <w:rPr>
          <w:rFonts w:ascii="Arial" w:hAnsi="Arial" w:cs="Arial"/>
          <w:sz w:val="22"/>
          <w:szCs w:val="22"/>
          <w:lang w:val="en-GB"/>
        </w:rPr>
      </w:pPr>
    </w:p>
    <w:p w14:paraId="671A8FE6" w14:textId="77777777" w:rsidR="004B1559" w:rsidRDefault="000E6C37">
      <w:pPr>
        <w:ind w:left="720" w:hanging="720"/>
        <w:jc w:val="both"/>
        <w:rPr>
          <w:rFonts w:ascii="Arial" w:hAnsi="Arial" w:cs="Arial"/>
          <w:sz w:val="22"/>
          <w:szCs w:val="22"/>
          <w:lang w:val="en-GB"/>
        </w:rPr>
      </w:pPr>
      <w:r>
        <w:rPr>
          <w:rFonts w:ascii="Arial" w:hAnsi="Arial" w:cs="Arial"/>
          <w:bCs/>
          <w:sz w:val="22"/>
          <w:szCs w:val="22"/>
          <w:lang w:val="en-GB"/>
        </w:rPr>
        <w:t>6.</w:t>
      </w:r>
      <w:r>
        <w:rPr>
          <w:rFonts w:ascii="Arial" w:hAnsi="Arial" w:cs="Arial"/>
          <w:b/>
          <w:sz w:val="22"/>
          <w:szCs w:val="22"/>
          <w:lang w:val="en-GB"/>
        </w:rPr>
        <w:tab/>
      </w:r>
      <w:r>
        <w:rPr>
          <w:rFonts w:ascii="Arial" w:hAnsi="Arial" w:cs="Arial"/>
          <w:sz w:val="22"/>
          <w:szCs w:val="22"/>
          <w:lang w:val="en-GB"/>
        </w:rPr>
        <w:t xml:space="preserve">The final submission date for this assessment is </w:t>
      </w:r>
      <w:r>
        <w:rPr>
          <w:rFonts w:ascii="Arial" w:hAnsi="Arial" w:cs="Arial"/>
          <w:b/>
          <w:bCs/>
          <w:sz w:val="22"/>
          <w:szCs w:val="22"/>
          <w:lang w:val="en-GB"/>
        </w:rPr>
        <w:t>31 July 2022</w:t>
      </w:r>
      <w:r>
        <w:rPr>
          <w:rFonts w:ascii="Arial" w:hAnsi="Arial" w:cs="Arial"/>
          <w:sz w:val="22"/>
          <w:szCs w:val="22"/>
          <w:lang w:val="en-GB"/>
        </w:rPr>
        <w:t xml:space="preserve">. The assessment submission portal will close at </w:t>
      </w:r>
      <w:r>
        <w:rPr>
          <w:rFonts w:ascii="Arial" w:hAnsi="Arial" w:cs="Arial"/>
          <w:b/>
          <w:sz w:val="22"/>
          <w:szCs w:val="22"/>
          <w:lang w:val="en-GB"/>
        </w:rPr>
        <w:t>23:00 (11 pm) BST (GMT +1) on 31 July 2022</w:t>
      </w:r>
      <w:r>
        <w:rPr>
          <w:rFonts w:ascii="Arial" w:hAnsi="Arial" w:cs="Arial"/>
          <w:sz w:val="22"/>
          <w:szCs w:val="22"/>
          <w:lang w:val="en-GB"/>
        </w:rPr>
        <w:t>. No submissions can be made after the portal has closed and no further uploading of documents will be allowed, no matter the circumstances.</w:t>
      </w:r>
    </w:p>
    <w:p w14:paraId="010F642B" w14:textId="77777777" w:rsidR="004B1559" w:rsidRDefault="004B1559">
      <w:pPr>
        <w:ind w:left="720" w:hanging="720"/>
        <w:jc w:val="both"/>
        <w:rPr>
          <w:rFonts w:ascii="Arial" w:hAnsi="Arial" w:cs="Arial"/>
          <w:sz w:val="22"/>
          <w:szCs w:val="22"/>
          <w:lang w:val="en-GB"/>
        </w:rPr>
      </w:pPr>
    </w:p>
    <w:p w14:paraId="46827187" w14:textId="77777777" w:rsidR="004B1559" w:rsidRDefault="000E6C37">
      <w:pPr>
        <w:ind w:left="720" w:hanging="720"/>
        <w:jc w:val="both"/>
        <w:rPr>
          <w:rFonts w:ascii="Arial" w:hAnsi="Arial" w:cs="Arial"/>
          <w:sz w:val="22"/>
          <w:szCs w:val="22"/>
          <w:lang w:val="en-GB"/>
        </w:rPr>
      </w:pPr>
      <w:r>
        <w:rPr>
          <w:rFonts w:ascii="Arial" w:hAnsi="Arial" w:cs="Arial"/>
          <w:sz w:val="22"/>
          <w:szCs w:val="22"/>
          <w:lang w:val="en-GB"/>
        </w:rPr>
        <w:t>7.</w:t>
      </w:r>
      <w:r>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 pages</w:t>
      </w:r>
      <w:r>
        <w:rPr>
          <w:rFonts w:ascii="Arial" w:hAnsi="Arial" w:cs="Arial"/>
          <w:sz w:val="22"/>
          <w:szCs w:val="22"/>
          <w:lang w:val="en-GB"/>
        </w:rPr>
        <w:t>.</w:t>
      </w:r>
    </w:p>
    <w:p w14:paraId="154A32D2" w14:textId="77777777" w:rsidR="004B1559" w:rsidRDefault="004B1559">
      <w:pPr>
        <w:ind w:left="720" w:hanging="720"/>
        <w:jc w:val="both"/>
        <w:rPr>
          <w:rFonts w:ascii="Arial" w:hAnsi="Arial" w:cs="Arial"/>
          <w:sz w:val="22"/>
          <w:szCs w:val="22"/>
          <w:lang w:val="en-GB"/>
        </w:rPr>
      </w:pPr>
    </w:p>
    <w:p w14:paraId="5A8C5B02" w14:textId="77777777" w:rsidR="004B1559" w:rsidRDefault="004B1559">
      <w:pPr>
        <w:ind w:left="720" w:hanging="720"/>
        <w:jc w:val="both"/>
        <w:rPr>
          <w:rFonts w:ascii="Arial" w:hAnsi="Arial" w:cs="Arial"/>
          <w:sz w:val="22"/>
          <w:szCs w:val="22"/>
          <w:lang w:val="en-GB"/>
        </w:rPr>
      </w:pPr>
    </w:p>
    <w:p w14:paraId="558C48D2" w14:textId="77777777" w:rsidR="004B1559" w:rsidRDefault="000E6C37">
      <w:pPr>
        <w:rPr>
          <w:rFonts w:ascii="Arial" w:hAnsi="Arial" w:cs="Arial"/>
          <w:b/>
          <w:sz w:val="22"/>
          <w:szCs w:val="22"/>
          <w:u w:val="single"/>
          <w:lang w:val="en-GB"/>
        </w:rPr>
      </w:pPr>
      <w:r>
        <w:rPr>
          <w:rFonts w:ascii="Arial" w:hAnsi="Arial" w:cs="Arial"/>
          <w:b/>
          <w:sz w:val="22"/>
          <w:szCs w:val="22"/>
          <w:u w:val="single"/>
          <w:lang w:val="en-GB"/>
        </w:rPr>
        <w:br w:type="page"/>
      </w:r>
    </w:p>
    <w:p w14:paraId="01D28C1D" w14:textId="77777777" w:rsidR="004B1559" w:rsidRDefault="000E6C37">
      <w:pPr>
        <w:jc w:val="both"/>
        <w:rPr>
          <w:rFonts w:ascii="Arial" w:hAnsi="Arial" w:cs="Arial"/>
          <w:sz w:val="22"/>
          <w:szCs w:val="22"/>
          <w:lang w:val="en-GB"/>
        </w:rPr>
      </w:pPr>
      <w:r>
        <w:rPr>
          <w:rFonts w:ascii="Arial" w:hAnsi="Arial" w:cs="Arial"/>
          <w:b/>
          <w:sz w:val="22"/>
          <w:szCs w:val="22"/>
          <w:u w:val="single"/>
          <w:lang w:val="en-GB"/>
        </w:rPr>
        <w:lastRenderedPageBreak/>
        <w:t>ANSWER ALL THE QUESTIONS</w:t>
      </w:r>
    </w:p>
    <w:p w14:paraId="0555F6A0" w14:textId="77777777" w:rsidR="004B1559" w:rsidRDefault="004B1559">
      <w:pPr>
        <w:ind w:left="720" w:hanging="720"/>
        <w:jc w:val="both"/>
        <w:rPr>
          <w:rFonts w:ascii="Arial" w:hAnsi="Arial" w:cs="Arial"/>
          <w:sz w:val="22"/>
          <w:szCs w:val="22"/>
          <w:lang w:val="en-GB"/>
        </w:rPr>
      </w:pPr>
    </w:p>
    <w:p w14:paraId="4DE3138C" w14:textId="77777777" w:rsidR="004B1559" w:rsidRDefault="000E6C37">
      <w:pPr>
        <w:jc w:val="both"/>
        <w:rPr>
          <w:rFonts w:ascii="Arial" w:hAnsi="Arial" w:cs="Arial"/>
          <w:b/>
          <w:sz w:val="22"/>
          <w:szCs w:val="22"/>
          <w:lang w:val="en-GB"/>
        </w:rPr>
      </w:pPr>
      <w:r>
        <w:rPr>
          <w:rFonts w:ascii="Arial" w:hAnsi="Arial" w:cs="Arial"/>
          <w:b/>
          <w:sz w:val="22"/>
          <w:szCs w:val="22"/>
          <w:lang w:val="en-GB"/>
        </w:rPr>
        <w:t>QUESTION 1 (multiple-choice questions) [10 marks in total]</w:t>
      </w:r>
    </w:p>
    <w:p w14:paraId="1B71ADE8" w14:textId="77777777" w:rsidR="004B1559" w:rsidRDefault="004B1559">
      <w:pPr>
        <w:ind w:left="720" w:hanging="720"/>
        <w:jc w:val="both"/>
        <w:rPr>
          <w:rFonts w:ascii="Arial" w:hAnsi="Arial" w:cs="Arial"/>
          <w:sz w:val="22"/>
          <w:szCs w:val="22"/>
          <w:lang w:val="en-GB"/>
        </w:rPr>
      </w:pPr>
    </w:p>
    <w:p w14:paraId="73294F7B" w14:textId="77777777" w:rsidR="004B1559" w:rsidRDefault="000E6C37">
      <w:pPr>
        <w:jc w:val="both"/>
        <w:rPr>
          <w:rFonts w:ascii="Arial" w:hAnsi="Arial" w:cs="Arial"/>
          <w:sz w:val="22"/>
          <w:szCs w:val="22"/>
          <w:lang w:val="en-GB"/>
        </w:rPr>
      </w:pPr>
      <w:r>
        <w:rPr>
          <w:rFonts w:ascii="Arial" w:hAnsi="Arial"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Pr>
          <w:rFonts w:ascii="Arial" w:hAnsi="Arial" w:cs="Arial"/>
          <w:sz w:val="22"/>
          <w:szCs w:val="22"/>
          <w:highlight w:val="yellow"/>
          <w:lang w:val="en-GB"/>
        </w:rPr>
        <w:t xml:space="preserve">mark your selection on the answer sheet by highlighting the relevant paragraph </w:t>
      </w:r>
      <w:r>
        <w:rPr>
          <w:rFonts w:ascii="Arial" w:hAnsi="Arial" w:cs="Arial"/>
          <w:b/>
          <w:bCs/>
          <w:sz w:val="22"/>
          <w:szCs w:val="22"/>
          <w:highlight w:val="yellow"/>
          <w:lang w:val="en-GB"/>
        </w:rPr>
        <w:t>in yellow</w:t>
      </w:r>
      <w:r>
        <w:rPr>
          <w:rFonts w:ascii="Arial" w:hAnsi="Arial" w:cs="Arial"/>
          <w:sz w:val="22"/>
          <w:szCs w:val="22"/>
          <w:lang w:val="en-GB"/>
        </w:rPr>
        <w:t xml:space="preserve">. Select only </w:t>
      </w:r>
      <w:r>
        <w:rPr>
          <w:rFonts w:ascii="Arial" w:hAnsi="Arial" w:cs="Arial"/>
          <w:b/>
          <w:bCs/>
          <w:sz w:val="22"/>
          <w:szCs w:val="22"/>
          <w:lang w:val="en-GB"/>
        </w:rPr>
        <w:t>ONE</w:t>
      </w:r>
      <w:r>
        <w:rPr>
          <w:rFonts w:ascii="Arial" w:hAnsi="Arial" w:cs="Arial"/>
          <w:sz w:val="22"/>
          <w:szCs w:val="22"/>
          <w:lang w:val="en-GB"/>
        </w:rPr>
        <w:t xml:space="preserve"> answer. Candidates who select more than one answer will receive no mark for that specific question.</w:t>
      </w:r>
    </w:p>
    <w:p w14:paraId="12DB165A" w14:textId="77777777" w:rsidR="004B1559" w:rsidRDefault="004B1559">
      <w:pPr>
        <w:autoSpaceDE w:val="0"/>
        <w:autoSpaceDN w:val="0"/>
        <w:adjustRightInd w:val="0"/>
        <w:jc w:val="both"/>
        <w:rPr>
          <w:rFonts w:ascii="Arial" w:hAnsi="Arial" w:cs="Arial"/>
          <w:sz w:val="22"/>
          <w:szCs w:val="22"/>
        </w:rPr>
      </w:pPr>
    </w:p>
    <w:p w14:paraId="79F52720" w14:textId="77777777" w:rsidR="004B1559" w:rsidRDefault="000E6C37">
      <w:pPr>
        <w:jc w:val="both"/>
        <w:rPr>
          <w:rFonts w:ascii="Arial" w:hAnsi="Arial" w:cs="Arial"/>
          <w:sz w:val="22"/>
          <w:szCs w:val="22"/>
        </w:rPr>
      </w:pPr>
      <w:r>
        <w:rPr>
          <w:rFonts w:ascii="Arial" w:hAnsi="Arial" w:cs="Arial"/>
          <w:b/>
          <w:bCs/>
          <w:sz w:val="22"/>
          <w:szCs w:val="22"/>
        </w:rPr>
        <w:t>Question 1.1</w:t>
      </w:r>
      <w:r>
        <w:rPr>
          <w:rFonts w:ascii="Arial" w:hAnsi="Arial" w:cs="Arial"/>
          <w:sz w:val="22"/>
          <w:szCs w:val="22"/>
        </w:rPr>
        <w:t xml:space="preserve"> </w:t>
      </w:r>
    </w:p>
    <w:p w14:paraId="4CEAEBD0" w14:textId="77777777" w:rsidR="004B1559" w:rsidRDefault="004B1559">
      <w:pPr>
        <w:jc w:val="both"/>
        <w:rPr>
          <w:rFonts w:ascii="Arial" w:hAnsi="Arial" w:cs="Arial"/>
          <w:sz w:val="22"/>
          <w:szCs w:val="22"/>
        </w:rPr>
      </w:pPr>
    </w:p>
    <w:p w14:paraId="6B6567B2" w14:textId="77777777" w:rsidR="004B1559" w:rsidRDefault="000E6C37">
      <w:pPr>
        <w:jc w:val="both"/>
        <w:rPr>
          <w:rFonts w:ascii="Arial" w:hAnsi="Arial" w:cs="Arial"/>
          <w:sz w:val="22"/>
          <w:szCs w:val="22"/>
        </w:rPr>
      </w:pPr>
      <w:r>
        <w:rPr>
          <w:rFonts w:ascii="Arial" w:hAnsi="Arial" w:cs="Arial"/>
          <w:sz w:val="22"/>
          <w:szCs w:val="22"/>
        </w:rPr>
        <w:t xml:space="preserve">Which one of the following </w:t>
      </w:r>
      <w:r>
        <w:rPr>
          <w:rFonts w:ascii="Arial" w:hAnsi="Arial" w:cs="Arial"/>
          <w:b/>
          <w:bCs/>
          <w:sz w:val="22"/>
          <w:szCs w:val="22"/>
          <w:u w:val="single"/>
        </w:rPr>
        <w:t>may not</w:t>
      </w:r>
      <w:r>
        <w:rPr>
          <w:rFonts w:ascii="Arial" w:hAnsi="Arial" w:cs="Arial"/>
          <w:sz w:val="22"/>
          <w:szCs w:val="22"/>
        </w:rPr>
        <w:t xml:space="preserve"> make an application for bankruptcy on an individual?</w:t>
      </w:r>
    </w:p>
    <w:p w14:paraId="2C480F67" w14:textId="77777777" w:rsidR="004B1559" w:rsidRDefault="004B1559">
      <w:pPr>
        <w:ind w:left="426" w:hanging="284"/>
        <w:jc w:val="both"/>
        <w:rPr>
          <w:rFonts w:ascii="Arial" w:hAnsi="Arial" w:cs="Arial"/>
          <w:sz w:val="22"/>
          <w:szCs w:val="22"/>
        </w:rPr>
      </w:pPr>
    </w:p>
    <w:p w14:paraId="6383A015" w14:textId="77777777" w:rsidR="004B1559" w:rsidRDefault="000E6C37">
      <w:pPr>
        <w:pStyle w:val="ListParagraph"/>
        <w:numPr>
          <w:ilvl w:val="0"/>
          <w:numId w:val="1"/>
        </w:numPr>
        <w:ind w:left="426"/>
        <w:jc w:val="both"/>
        <w:rPr>
          <w:rFonts w:ascii="Arial" w:hAnsi="Arial" w:cs="Arial"/>
          <w:sz w:val="22"/>
          <w:szCs w:val="22"/>
        </w:rPr>
      </w:pPr>
      <w:r>
        <w:rPr>
          <w:rFonts w:ascii="Arial" w:hAnsi="Arial" w:cs="Arial"/>
          <w:sz w:val="22"/>
          <w:szCs w:val="22"/>
        </w:rPr>
        <w:t>A creditor.</w:t>
      </w:r>
    </w:p>
    <w:p w14:paraId="4BA13246" w14:textId="77777777" w:rsidR="004B1559" w:rsidRDefault="004B1559">
      <w:pPr>
        <w:ind w:left="66"/>
        <w:jc w:val="both"/>
        <w:rPr>
          <w:rFonts w:ascii="Arial" w:hAnsi="Arial" w:cs="Arial"/>
          <w:sz w:val="22"/>
          <w:szCs w:val="22"/>
        </w:rPr>
      </w:pPr>
    </w:p>
    <w:p w14:paraId="02128FCF" w14:textId="77777777" w:rsidR="004B1559" w:rsidRDefault="000E6C37">
      <w:pPr>
        <w:pStyle w:val="ListParagraph"/>
        <w:numPr>
          <w:ilvl w:val="0"/>
          <w:numId w:val="1"/>
        </w:numPr>
        <w:ind w:left="426"/>
        <w:jc w:val="both"/>
        <w:rPr>
          <w:rFonts w:ascii="Arial" w:hAnsi="Arial" w:cs="Arial"/>
          <w:sz w:val="22"/>
          <w:szCs w:val="22"/>
        </w:rPr>
      </w:pPr>
      <w:r>
        <w:rPr>
          <w:rFonts w:ascii="Arial" w:hAnsi="Arial" w:cs="Arial"/>
          <w:sz w:val="22"/>
          <w:szCs w:val="22"/>
        </w:rPr>
        <w:t>A combination of creditors.</w:t>
      </w:r>
    </w:p>
    <w:p w14:paraId="1D23ACA7" w14:textId="77777777" w:rsidR="004B1559" w:rsidRDefault="004B1559">
      <w:pPr>
        <w:ind w:left="66"/>
        <w:jc w:val="both"/>
        <w:rPr>
          <w:rFonts w:ascii="Arial" w:hAnsi="Arial" w:cs="Arial"/>
          <w:sz w:val="22"/>
          <w:szCs w:val="22"/>
        </w:rPr>
      </w:pPr>
    </w:p>
    <w:p w14:paraId="7CA33BD6" w14:textId="77777777" w:rsidR="004B1559" w:rsidRDefault="000E6C37">
      <w:pPr>
        <w:pStyle w:val="ListParagraph"/>
        <w:numPr>
          <w:ilvl w:val="0"/>
          <w:numId w:val="1"/>
        </w:numPr>
        <w:ind w:left="426"/>
        <w:jc w:val="both"/>
        <w:rPr>
          <w:rFonts w:ascii="Arial" w:hAnsi="Arial" w:cs="Arial"/>
          <w:sz w:val="22"/>
          <w:szCs w:val="22"/>
        </w:rPr>
      </w:pPr>
      <w:r>
        <w:rPr>
          <w:rFonts w:ascii="Arial" w:hAnsi="Arial" w:cs="Arial"/>
          <w:sz w:val="22"/>
          <w:szCs w:val="22"/>
        </w:rPr>
        <w:t>A supervisor of an individual voluntary arrangement.</w:t>
      </w:r>
    </w:p>
    <w:p w14:paraId="1D3B884A" w14:textId="77777777" w:rsidR="004B1559" w:rsidRDefault="004B1559">
      <w:pPr>
        <w:ind w:left="66"/>
        <w:jc w:val="both"/>
        <w:rPr>
          <w:rFonts w:ascii="Arial" w:hAnsi="Arial" w:cs="Arial"/>
          <w:sz w:val="22"/>
          <w:szCs w:val="22"/>
        </w:rPr>
      </w:pPr>
    </w:p>
    <w:p w14:paraId="0FE848FD" w14:textId="77777777" w:rsidR="004B1559" w:rsidRDefault="000E6C37">
      <w:pPr>
        <w:pStyle w:val="ListParagraph"/>
        <w:numPr>
          <w:ilvl w:val="0"/>
          <w:numId w:val="1"/>
        </w:numPr>
        <w:ind w:left="426"/>
        <w:jc w:val="both"/>
        <w:rPr>
          <w:rFonts w:ascii="Arial" w:hAnsi="Arial" w:cs="Arial"/>
          <w:sz w:val="22"/>
          <w:szCs w:val="22"/>
        </w:rPr>
      </w:pPr>
      <w:r>
        <w:rPr>
          <w:rFonts w:ascii="Arial" w:hAnsi="Arial" w:cs="Arial"/>
          <w:sz w:val="22"/>
          <w:szCs w:val="22"/>
        </w:rPr>
        <w:t>The debtor.</w:t>
      </w:r>
    </w:p>
    <w:p w14:paraId="5D44DE09" w14:textId="77777777" w:rsidR="004B1559" w:rsidRDefault="004B1559">
      <w:pPr>
        <w:ind w:left="66"/>
        <w:jc w:val="both"/>
        <w:rPr>
          <w:rFonts w:ascii="Arial" w:hAnsi="Arial" w:cs="Arial"/>
          <w:sz w:val="22"/>
          <w:szCs w:val="22"/>
        </w:rPr>
      </w:pPr>
    </w:p>
    <w:p w14:paraId="3606EE17" w14:textId="77777777" w:rsidR="004B1559" w:rsidRDefault="000E6C37">
      <w:pPr>
        <w:pStyle w:val="ListParagraph"/>
        <w:numPr>
          <w:ilvl w:val="0"/>
          <w:numId w:val="1"/>
        </w:numPr>
        <w:ind w:left="426"/>
        <w:jc w:val="both"/>
        <w:rPr>
          <w:rFonts w:ascii="Arial" w:hAnsi="Arial" w:cs="Arial"/>
          <w:sz w:val="22"/>
          <w:szCs w:val="22"/>
        </w:rPr>
      </w:pPr>
      <w:r w:rsidRPr="005D5EE0">
        <w:rPr>
          <w:rFonts w:ascii="Arial" w:hAnsi="Arial" w:cs="Arial"/>
          <w:sz w:val="22"/>
          <w:szCs w:val="22"/>
          <w:highlight w:val="yellow"/>
        </w:rPr>
        <w:t>The official receiver</w:t>
      </w:r>
      <w:r>
        <w:rPr>
          <w:rFonts w:ascii="Arial" w:hAnsi="Arial" w:cs="Arial"/>
          <w:sz w:val="22"/>
          <w:szCs w:val="22"/>
        </w:rPr>
        <w:t>.</w:t>
      </w:r>
    </w:p>
    <w:p w14:paraId="42E8B4A2" w14:textId="77777777" w:rsidR="004B1559" w:rsidRDefault="004B1559">
      <w:pPr>
        <w:jc w:val="both"/>
        <w:rPr>
          <w:rFonts w:ascii="Arial" w:hAnsi="Arial" w:cs="Arial"/>
          <w:sz w:val="22"/>
          <w:szCs w:val="22"/>
        </w:rPr>
      </w:pPr>
    </w:p>
    <w:p w14:paraId="7466813E" w14:textId="77777777" w:rsidR="004B1559" w:rsidRDefault="000E6C37">
      <w:pPr>
        <w:jc w:val="both"/>
        <w:rPr>
          <w:rFonts w:ascii="Arial" w:hAnsi="Arial" w:cs="Arial"/>
          <w:b/>
          <w:bCs/>
          <w:sz w:val="22"/>
          <w:szCs w:val="22"/>
        </w:rPr>
      </w:pPr>
      <w:r>
        <w:rPr>
          <w:rFonts w:ascii="Arial" w:hAnsi="Arial" w:cs="Arial"/>
          <w:b/>
          <w:bCs/>
          <w:sz w:val="22"/>
          <w:szCs w:val="22"/>
        </w:rPr>
        <w:t>Question 1.2</w:t>
      </w:r>
    </w:p>
    <w:p w14:paraId="1B7911ED" w14:textId="77777777" w:rsidR="004B1559" w:rsidRDefault="004B1559">
      <w:pPr>
        <w:jc w:val="both"/>
        <w:rPr>
          <w:rFonts w:ascii="Arial" w:hAnsi="Arial" w:cs="Arial"/>
          <w:sz w:val="22"/>
          <w:szCs w:val="22"/>
        </w:rPr>
      </w:pPr>
    </w:p>
    <w:p w14:paraId="0EB161E1" w14:textId="77777777" w:rsidR="004B1559" w:rsidRDefault="000E6C37">
      <w:pPr>
        <w:jc w:val="both"/>
        <w:rPr>
          <w:rFonts w:ascii="Arial" w:hAnsi="Arial" w:cs="Arial"/>
          <w:sz w:val="22"/>
          <w:szCs w:val="22"/>
        </w:rPr>
      </w:pPr>
      <w:r>
        <w:rPr>
          <w:rFonts w:ascii="Arial" w:hAnsi="Arial" w:cs="Arial"/>
          <w:sz w:val="22"/>
          <w:szCs w:val="22"/>
        </w:rPr>
        <w:t xml:space="preserve">Which of the following is </w:t>
      </w:r>
      <w:r>
        <w:rPr>
          <w:rFonts w:ascii="Arial" w:hAnsi="Arial" w:cs="Arial"/>
          <w:b/>
          <w:bCs/>
          <w:sz w:val="22"/>
          <w:szCs w:val="22"/>
          <w:u w:val="single"/>
        </w:rPr>
        <w:t>not correct</w:t>
      </w:r>
      <w:r>
        <w:rPr>
          <w:rFonts w:ascii="Arial" w:hAnsi="Arial" w:cs="Arial"/>
          <w:sz w:val="22"/>
          <w:szCs w:val="22"/>
        </w:rPr>
        <w:t>?</w:t>
      </w:r>
    </w:p>
    <w:p w14:paraId="4604B1BB" w14:textId="77777777" w:rsidR="004B1559" w:rsidRDefault="004B1559">
      <w:pPr>
        <w:jc w:val="both"/>
        <w:rPr>
          <w:rFonts w:ascii="Arial" w:hAnsi="Arial" w:cs="Arial"/>
          <w:sz w:val="22"/>
          <w:szCs w:val="22"/>
        </w:rPr>
      </w:pPr>
    </w:p>
    <w:p w14:paraId="3D23273A" w14:textId="77777777" w:rsidR="004B1559" w:rsidRDefault="000E6C37">
      <w:pPr>
        <w:jc w:val="both"/>
        <w:rPr>
          <w:rFonts w:ascii="Arial" w:hAnsi="Arial" w:cs="Arial"/>
          <w:sz w:val="22"/>
          <w:szCs w:val="22"/>
        </w:rPr>
      </w:pPr>
      <w:r>
        <w:rPr>
          <w:rFonts w:ascii="Arial" w:hAnsi="Arial" w:cs="Arial"/>
          <w:sz w:val="22"/>
          <w:szCs w:val="22"/>
        </w:rPr>
        <w:t>A bankruptcy trustee may not cancel a charge created by a bankrupt if:</w:t>
      </w:r>
    </w:p>
    <w:p w14:paraId="08A4C32D" w14:textId="77777777" w:rsidR="004B1559" w:rsidRDefault="004B1559">
      <w:pPr>
        <w:jc w:val="both"/>
        <w:rPr>
          <w:rFonts w:ascii="Arial" w:hAnsi="Arial" w:cs="Arial"/>
          <w:sz w:val="22"/>
          <w:szCs w:val="22"/>
        </w:rPr>
      </w:pPr>
    </w:p>
    <w:p w14:paraId="33E0466D" w14:textId="77777777" w:rsidR="004B1559" w:rsidRDefault="000E6C37">
      <w:pPr>
        <w:pStyle w:val="ListParagraph"/>
        <w:numPr>
          <w:ilvl w:val="0"/>
          <w:numId w:val="2"/>
        </w:numPr>
        <w:ind w:left="426"/>
        <w:jc w:val="both"/>
        <w:rPr>
          <w:rFonts w:ascii="Arial" w:hAnsi="Arial" w:cs="Arial"/>
          <w:sz w:val="22"/>
          <w:szCs w:val="22"/>
        </w:rPr>
      </w:pPr>
      <w:r>
        <w:rPr>
          <w:rFonts w:ascii="Arial" w:hAnsi="Arial" w:cs="Arial"/>
          <w:sz w:val="22"/>
          <w:szCs w:val="22"/>
        </w:rPr>
        <w:t>money was actually advanced or paid in good faith.</w:t>
      </w:r>
    </w:p>
    <w:p w14:paraId="3DFA9C77" w14:textId="77777777" w:rsidR="004B1559" w:rsidRDefault="004B1559">
      <w:pPr>
        <w:ind w:left="66"/>
        <w:jc w:val="both"/>
        <w:rPr>
          <w:rFonts w:ascii="Arial" w:hAnsi="Arial" w:cs="Arial"/>
          <w:sz w:val="22"/>
          <w:szCs w:val="22"/>
        </w:rPr>
      </w:pPr>
    </w:p>
    <w:p w14:paraId="5251450A" w14:textId="77777777" w:rsidR="004B1559" w:rsidRDefault="000E6C37">
      <w:pPr>
        <w:pStyle w:val="ListParagraph"/>
        <w:numPr>
          <w:ilvl w:val="0"/>
          <w:numId w:val="2"/>
        </w:numPr>
        <w:ind w:left="426"/>
        <w:jc w:val="both"/>
        <w:rPr>
          <w:rFonts w:ascii="Arial" w:hAnsi="Arial" w:cs="Arial"/>
          <w:sz w:val="22"/>
          <w:szCs w:val="22"/>
        </w:rPr>
      </w:pPr>
      <w:r>
        <w:rPr>
          <w:rFonts w:ascii="Arial" w:hAnsi="Arial" w:cs="Arial"/>
          <w:sz w:val="22"/>
          <w:szCs w:val="22"/>
        </w:rPr>
        <w:t>the actual price or value of property sold or transferred was paid.</w:t>
      </w:r>
    </w:p>
    <w:p w14:paraId="12D2793C" w14:textId="77777777" w:rsidR="004B1559" w:rsidRDefault="004B1559">
      <w:pPr>
        <w:ind w:left="66"/>
        <w:jc w:val="both"/>
        <w:rPr>
          <w:rFonts w:ascii="Arial" w:hAnsi="Arial" w:cs="Arial"/>
          <w:sz w:val="22"/>
          <w:szCs w:val="22"/>
        </w:rPr>
      </w:pPr>
    </w:p>
    <w:p w14:paraId="2F81BC27" w14:textId="77777777" w:rsidR="004B1559" w:rsidRDefault="000E6C37">
      <w:pPr>
        <w:pStyle w:val="ListParagraph"/>
        <w:numPr>
          <w:ilvl w:val="0"/>
          <w:numId w:val="2"/>
        </w:numPr>
        <w:ind w:left="426"/>
        <w:jc w:val="both"/>
        <w:rPr>
          <w:rFonts w:ascii="Arial" w:hAnsi="Arial" w:cs="Arial"/>
          <w:sz w:val="22"/>
          <w:szCs w:val="22"/>
        </w:rPr>
      </w:pPr>
      <w:r>
        <w:rPr>
          <w:rFonts w:ascii="Arial" w:hAnsi="Arial" w:cs="Arial"/>
          <w:sz w:val="22"/>
          <w:szCs w:val="22"/>
        </w:rPr>
        <w:t>there was any other valuable consideration given for the charge.</w:t>
      </w:r>
    </w:p>
    <w:p w14:paraId="1F1BF757" w14:textId="77777777" w:rsidR="004B1559" w:rsidRDefault="004B1559">
      <w:pPr>
        <w:ind w:left="66"/>
        <w:jc w:val="both"/>
        <w:rPr>
          <w:rFonts w:ascii="Arial" w:hAnsi="Arial" w:cs="Arial"/>
          <w:sz w:val="22"/>
          <w:szCs w:val="22"/>
        </w:rPr>
      </w:pPr>
    </w:p>
    <w:p w14:paraId="0EEC8FE9" w14:textId="77777777" w:rsidR="004B1559" w:rsidRPr="001879CA" w:rsidRDefault="000E6C37">
      <w:pPr>
        <w:pStyle w:val="ListParagraph"/>
        <w:numPr>
          <w:ilvl w:val="0"/>
          <w:numId w:val="2"/>
        </w:numPr>
        <w:ind w:left="426"/>
        <w:jc w:val="both"/>
        <w:rPr>
          <w:rFonts w:ascii="Arial" w:hAnsi="Arial" w:cs="Arial"/>
          <w:sz w:val="22"/>
          <w:szCs w:val="22"/>
          <w:highlight w:val="yellow"/>
        </w:rPr>
      </w:pPr>
      <w:r w:rsidRPr="001879CA">
        <w:rPr>
          <w:rFonts w:ascii="Arial" w:hAnsi="Arial" w:cs="Arial"/>
          <w:sz w:val="22"/>
          <w:szCs w:val="22"/>
          <w:highlight w:val="yellow"/>
        </w:rPr>
        <w:t>the official receiver deems it fit to cancel the charge.</w:t>
      </w:r>
    </w:p>
    <w:p w14:paraId="2459A62D" w14:textId="77777777" w:rsidR="004B1559" w:rsidRDefault="004B1559">
      <w:pPr>
        <w:ind w:left="66"/>
        <w:jc w:val="both"/>
        <w:rPr>
          <w:rFonts w:ascii="Arial" w:hAnsi="Arial" w:cs="Arial"/>
          <w:iCs/>
          <w:sz w:val="22"/>
          <w:szCs w:val="22"/>
          <w:lang w:val="en-GB"/>
        </w:rPr>
      </w:pPr>
    </w:p>
    <w:p w14:paraId="1E48DF98" w14:textId="77777777" w:rsidR="004B1559" w:rsidRDefault="000E6C37">
      <w:pPr>
        <w:jc w:val="both"/>
        <w:rPr>
          <w:rFonts w:ascii="Arial" w:hAnsi="Arial" w:cs="Arial"/>
          <w:b/>
          <w:bCs/>
          <w:sz w:val="22"/>
          <w:szCs w:val="22"/>
        </w:rPr>
      </w:pPr>
      <w:r>
        <w:rPr>
          <w:rFonts w:ascii="Arial" w:hAnsi="Arial" w:cs="Arial"/>
          <w:b/>
          <w:bCs/>
          <w:sz w:val="22"/>
          <w:szCs w:val="22"/>
        </w:rPr>
        <w:t>Question 1.3</w:t>
      </w:r>
    </w:p>
    <w:p w14:paraId="6CB69C7D" w14:textId="77777777" w:rsidR="004B1559" w:rsidRDefault="004B1559">
      <w:pPr>
        <w:jc w:val="both"/>
        <w:rPr>
          <w:rFonts w:ascii="Arial" w:hAnsi="Arial" w:cs="Arial"/>
          <w:sz w:val="22"/>
          <w:szCs w:val="22"/>
        </w:rPr>
      </w:pPr>
    </w:p>
    <w:p w14:paraId="349E522F" w14:textId="77777777" w:rsidR="004B1559" w:rsidRDefault="000E6C37">
      <w:pPr>
        <w:jc w:val="both"/>
        <w:rPr>
          <w:rFonts w:ascii="Arial" w:hAnsi="Arial" w:cs="Arial"/>
          <w:sz w:val="22"/>
          <w:szCs w:val="22"/>
        </w:rPr>
      </w:pPr>
      <w:r>
        <w:rPr>
          <w:rFonts w:ascii="Arial" w:hAnsi="Arial" w:cs="Arial"/>
          <w:b/>
          <w:bCs/>
          <w:sz w:val="22"/>
          <w:szCs w:val="22"/>
          <w:u w:val="single"/>
        </w:rPr>
        <w:t>When</w:t>
      </w:r>
      <w:r>
        <w:rPr>
          <w:rFonts w:ascii="Arial" w:hAnsi="Arial" w:cs="Arial"/>
          <w:sz w:val="22"/>
          <w:szCs w:val="22"/>
        </w:rPr>
        <w:t xml:space="preserve"> should the liquidator of a company convene a creditors’ meeting after appointment?</w:t>
      </w:r>
    </w:p>
    <w:p w14:paraId="38C3A8C5" w14:textId="77777777" w:rsidR="004B1559" w:rsidRDefault="004B1559">
      <w:pPr>
        <w:ind w:left="426" w:hanging="284"/>
        <w:jc w:val="both"/>
        <w:rPr>
          <w:rFonts w:ascii="Arial" w:hAnsi="Arial" w:cs="Arial"/>
          <w:sz w:val="22"/>
          <w:szCs w:val="22"/>
        </w:rPr>
      </w:pPr>
    </w:p>
    <w:p w14:paraId="452E6349" w14:textId="77777777" w:rsidR="004B1559" w:rsidRPr="0063545A" w:rsidRDefault="000E6C37">
      <w:pPr>
        <w:pStyle w:val="ListParagraph"/>
        <w:numPr>
          <w:ilvl w:val="0"/>
          <w:numId w:val="3"/>
        </w:numPr>
        <w:ind w:left="426"/>
        <w:jc w:val="both"/>
        <w:rPr>
          <w:rFonts w:ascii="Arial" w:hAnsi="Arial" w:cs="Arial"/>
          <w:sz w:val="22"/>
          <w:szCs w:val="22"/>
          <w:highlight w:val="yellow"/>
        </w:rPr>
      </w:pPr>
      <w:r w:rsidRPr="0063545A">
        <w:rPr>
          <w:rFonts w:ascii="Arial" w:hAnsi="Arial" w:cs="Arial"/>
          <w:sz w:val="22"/>
          <w:szCs w:val="22"/>
          <w:highlight w:val="yellow"/>
        </w:rPr>
        <w:t>Within 30 days.</w:t>
      </w:r>
    </w:p>
    <w:p w14:paraId="1FA3B991" w14:textId="77777777" w:rsidR="004B1559" w:rsidRDefault="004B1559">
      <w:pPr>
        <w:ind w:left="66"/>
        <w:jc w:val="both"/>
        <w:rPr>
          <w:rFonts w:ascii="Arial" w:hAnsi="Arial" w:cs="Arial"/>
          <w:sz w:val="22"/>
          <w:szCs w:val="22"/>
        </w:rPr>
      </w:pPr>
    </w:p>
    <w:p w14:paraId="6712C58B" w14:textId="77777777" w:rsidR="004B1559" w:rsidRDefault="000E6C37">
      <w:pPr>
        <w:pStyle w:val="ListParagraph"/>
        <w:numPr>
          <w:ilvl w:val="0"/>
          <w:numId w:val="3"/>
        </w:numPr>
        <w:ind w:left="426"/>
        <w:jc w:val="both"/>
        <w:rPr>
          <w:rFonts w:ascii="Arial" w:hAnsi="Arial" w:cs="Arial"/>
          <w:sz w:val="22"/>
          <w:szCs w:val="22"/>
        </w:rPr>
      </w:pPr>
      <w:r>
        <w:rPr>
          <w:rFonts w:ascii="Arial" w:hAnsi="Arial" w:cs="Arial"/>
          <w:sz w:val="22"/>
          <w:szCs w:val="22"/>
        </w:rPr>
        <w:t>Within 28 days.</w:t>
      </w:r>
    </w:p>
    <w:p w14:paraId="5631457A" w14:textId="77777777" w:rsidR="004B1559" w:rsidRDefault="004B1559">
      <w:pPr>
        <w:ind w:left="66"/>
        <w:jc w:val="both"/>
        <w:rPr>
          <w:rFonts w:ascii="Arial" w:hAnsi="Arial" w:cs="Arial"/>
          <w:sz w:val="22"/>
          <w:szCs w:val="22"/>
        </w:rPr>
      </w:pPr>
    </w:p>
    <w:p w14:paraId="3B434D4F" w14:textId="77777777" w:rsidR="004B1559" w:rsidRDefault="000E6C37">
      <w:pPr>
        <w:pStyle w:val="ListParagraph"/>
        <w:numPr>
          <w:ilvl w:val="0"/>
          <w:numId w:val="3"/>
        </w:numPr>
        <w:ind w:left="426"/>
        <w:jc w:val="both"/>
        <w:rPr>
          <w:rFonts w:ascii="Arial" w:hAnsi="Arial" w:cs="Arial"/>
          <w:sz w:val="22"/>
          <w:szCs w:val="22"/>
        </w:rPr>
      </w:pPr>
      <w:r>
        <w:rPr>
          <w:rFonts w:ascii="Arial" w:hAnsi="Arial" w:cs="Arial"/>
          <w:sz w:val="22"/>
          <w:szCs w:val="22"/>
        </w:rPr>
        <w:t>Within 21 days.</w:t>
      </w:r>
    </w:p>
    <w:p w14:paraId="1FF9B06F" w14:textId="77777777" w:rsidR="004B1559" w:rsidRDefault="004B1559">
      <w:pPr>
        <w:ind w:left="66"/>
        <w:jc w:val="both"/>
        <w:rPr>
          <w:rFonts w:ascii="Arial" w:hAnsi="Arial" w:cs="Arial"/>
          <w:sz w:val="22"/>
          <w:szCs w:val="22"/>
        </w:rPr>
      </w:pPr>
    </w:p>
    <w:p w14:paraId="48F258E8" w14:textId="77777777" w:rsidR="004B1559" w:rsidRDefault="000E6C37">
      <w:pPr>
        <w:pStyle w:val="ListParagraph"/>
        <w:numPr>
          <w:ilvl w:val="0"/>
          <w:numId w:val="3"/>
        </w:numPr>
        <w:ind w:left="426"/>
        <w:jc w:val="both"/>
        <w:rPr>
          <w:rFonts w:ascii="Arial" w:hAnsi="Arial" w:cs="Arial"/>
          <w:sz w:val="22"/>
          <w:szCs w:val="22"/>
        </w:rPr>
      </w:pPr>
      <w:r>
        <w:rPr>
          <w:rFonts w:ascii="Arial" w:hAnsi="Arial" w:cs="Arial"/>
          <w:sz w:val="22"/>
          <w:szCs w:val="22"/>
        </w:rPr>
        <w:t>Within 14 days.</w:t>
      </w:r>
    </w:p>
    <w:p w14:paraId="14499A2B" w14:textId="77777777" w:rsidR="004B1559" w:rsidRDefault="004B1559">
      <w:pPr>
        <w:jc w:val="both"/>
        <w:rPr>
          <w:rFonts w:ascii="Arial" w:hAnsi="Arial" w:cs="Arial"/>
          <w:sz w:val="22"/>
          <w:szCs w:val="22"/>
        </w:rPr>
      </w:pPr>
    </w:p>
    <w:p w14:paraId="66AC2DF3" w14:textId="77777777" w:rsidR="004B1559" w:rsidRDefault="004B1559">
      <w:pPr>
        <w:jc w:val="both"/>
        <w:rPr>
          <w:rFonts w:ascii="Arial" w:hAnsi="Arial" w:cs="Arial"/>
          <w:sz w:val="22"/>
          <w:szCs w:val="22"/>
        </w:rPr>
      </w:pPr>
    </w:p>
    <w:p w14:paraId="766BA44E" w14:textId="77777777" w:rsidR="004B1559" w:rsidRDefault="004B1559">
      <w:pPr>
        <w:jc w:val="both"/>
        <w:rPr>
          <w:rFonts w:ascii="Arial" w:hAnsi="Arial" w:cs="Arial"/>
          <w:sz w:val="22"/>
          <w:szCs w:val="22"/>
        </w:rPr>
      </w:pPr>
    </w:p>
    <w:p w14:paraId="1A8B4D28" w14:textId="77777777" w:rsidR="004B1559" w:rsidRDefault="004B1559">
      <w:pPr>
        <w:jc w:val="both"/>
        <w:rPr>
          <w:rFonts w:ascii="Arial" w:hAnsi="Arial" w:cs="Arial"/>
          <w:sz w:val="22"/>
          <w:szCs w:val="22"/>
        </w:rPr>
      </w:pPr>
    </w:p>
    <w:p w14:paraId="6D1BC514" w14:textId="77777777" w:rsidR="004B1559" w:rsidRDefault="000E6C37">
      <w:pPr>
        <w:jc w:val="both"/>
        <w:rPr>
          <w:rFonts w:ascii="Arial" w:hAnsi="Arial" w:cs="Arial"/>
          <w:sz w:val="22"/>
          <w:szCs w:val="22"/>
        </w:rPr>
      </w:pPr>
      <w:r>
        <w:rPr>
          <w:rFonts w:ascii="Arial" w:hAnsi="Arial" w:cs="Arial"/>
          <w:b/>
          <w:bCs/>
          <w:sz w:val="22"/>
          <w:szCs w:val="22"/>
        </w:rPr>
        <w:lastRenderedPageBreak/>
        <w:t>Question 1.4</w:t>
      </w:r>
      <w:r>
        <w:rPr>
          <w:rFonts w:ascii="Arial" w:hAnsi="Arial" w:cs="Arial"/>
          <w:sz w:val="22"/>
          <w:szCs w:val="22"/>
        </w:rPr>
        <w:t xml:space="preserve"> </w:t>
      </w:r>
    </w:p>
    <w:p w14:paraId="5D649064" w14:textId="77777777" w:rsidR="004B1559" w:rsidRDefault="004B1559">
      <w:pPr>
        <w:jc w:val="both"/>
        <w:rPr>
          <w:rFonts w:ascii="Arial" w:hAnsi="Arial" w:cs="Arial"/>
          <w:sz w:val="22"/>
          <w:szCs w:val="22"/>
        </w:rPr>
      </w:pPr>
    </w:p>
    <w:p w14:paraId="76043D8B" w14:textId="77777777" w:rsidR="004B1559" w:rsidRDefault="000E6C37">
      <w:pPr>
        <w:jc w:val="both"/>
        <w:rPr>
          <w:rFonts w:ascii="Arial" w:hAnsi="Arial" w:cs="Arial"/>
          <w:sz w:val="22"/>
          <w:szCs w:val="22"/>
        </w:rPr>
      </w:pPr>
      <w:r>
        <w:rPr>
          <w:rFonts w:ascii="Arial" w:hAnsi="Arial" w:cs="Arial"/>
          <w:sz w:val="22"/>
          <w:szCs w:val="22"/>
        </w:rPr>
        <w:t xml:space="preserve">Which of the following officeholders </w:t>
      </w:r>
      <w:r>
        <w:rPr>
          <w:rFonts w:ascii="Arial" w:hAnsi="Arial" w:cs="Arial"/>
          <w:b/>
          <w:bCs/>
          <w:sz w:val="22"/>
          <w:szCs w:val="22"/>
          <w:u w:val="single"/>
        </w:rPr>
        <w:t>has no power</w:t>
      </w:r>
      <w:r>
        <w:rPr>
          <w:rFonts w:ascii="Arial" w:hAnsi="Arial" w:cs="Arial"/>
          <w:sz w:val="22"/>
          <w:szCs w:val="22"/>
        </w:rPr>
        <w:t xml:space="preserve"> to challenge a transaction at an undervalue under section 682 of the Insolvency Act?</w:t>
      </w:r>
    </w:p>
    <w:p w14:paraId="1BB9E8F2" w14:textId="77777777" w:rsidR="004B1559" w:rsidRDefault="004B1559">
      <w:pPr>
        <w:jc w:val="both"/>
        <w:rPr>
          <w:rFonts w:ascii="Arial" w:hAnsi="Arial" w:cs="Arial"/>
          <w:sz w:val="22"/>
          <w:szCs w:val="22"/>
        </w:rPr>
      </w:pPr>
    </w:p>
    <w:p w14:paraId="462A51AC" w14:textId="77777777" w:rsidR="004B1559" w:rsidRDefault="000E6C37">
      <w:pPr>
        <w:pStyle w:val="ListParagraph"/>
        <w:numPr>
          <w:ilvl w:val="0"/>
          <w:numId w:val="4"/>
        </w:numPr>
        <w:ind w:left="426"/>
        <w:jc w:val="both"/>
        <w:rPr>
          <w:rFonts w:ascii="Arial" w:hAnsi="Arial" w:cs="Arial"/>
          <w:sz w:val="22"/>
          <w:szCs w:val="22"/>
        </w:rPr>
      </w:pPr>
      <w:r>
        <w:rPr>
          <w:rFonts w:ascii="Arial" w:hAnsi="Arial" w:cs="Arial"/>
          <w:sz w:val="22"/>
          <w:szCs w:val="22"/>
        </w:rPr>
        <w:t>An administrator.</w:t>
      </w:r>
    </w:p>
    <w:p w14:paraId="608C1171" w14:textId="77777777" w:rsidR="004B1559" w:rsidRDefault="004B1559">
      <w:pPr>
        <w:ind w:left="66"/>
        <w:jc w:val="both"/>
        <w:rPr>
          <w:rFonts w:ascii="Arial" w:hAnsi="Arial" w:cs="Arial"/>
          <w:sz w:val="22"/>
          <w:szCs w:val="22"/>
        </w:rPr>
      </w:pPr>
    </w:p>
    <w:p w14:paraId="788613B5" w14:textId="77777777" w:rsidR="004B1559" w:rsidRPr="001879CA" w:rsidRDefault="000E6C37">
      <w:pPr>
        <w:pStyle w:val="ListParagraph"/>
        <w:numPr>
          <w:ilvl w:val="0"/>
          <w:numId w:val="4"/>
        </w:numPr>
        <w:ind w:left="426"/>
        <w:jc w:val="both"/>
        <w:rPr>
          <w:rFonts w:ascii="Arial" w:hAnsi="Arial" w:cs="Arial"/>
          <w:sz w:val="22"/>
          <w:szCs w:val="22"/>
          <w:highlight w:val="yellow"/>
        </w:rPr>
      </w:pPr>
      <w:r w:rsidRPr="001879CA">
        <w:rPr>
          <w:rFonts w:ascii="Arial" w:hAnsi="Arial" w:cs="Arial"/>
          <w:sz w:val="22"/>
          <w:szCs w:val="22"/>
          <w:highlight w:val="yellow"/>
        </w:rPr>
        <w:t>A liquidator in a creditors’ voluntary liquidation.</w:t>
      </w:r>
    </w:p>
    <w:p w14:paraId="4AAF0A07" w14:textId="77777777" w:rsidR="004B1559" w:rsidRDefault="004B1559">
      <w:pPr>
        <w:ind w:left="66"/>
        <w:jc w:val="both"/>
        <w:rPr>
          <w:rFonts w:ascii="Arial" w:hAnsi="Arial" w:cs="Arial"/>
          <w:sz w:val="22"/>
          <w:szCs w:val="22"/>
        </w:rPr>
      </w:pPr>
    </w:p>
    <w:p w14:paraId="38209160" w14:textId="77777777" w:rsidR="004B1559" w:rsidRDefault="000E6C37">
      <w:pPr>
        <w:pStyle w:val="ListParagraph"/>
        <w:numPr>
          <w:ilvl w:val="0"/>
          <w:numId w:val="4"/>
        </w:numPr>
        <w:ind w:left="426"/>
        <w:jc w:val="both"/>
        <w:rPr>
          <w:rFonts w:ascii="Arial" w:hAnsi="Arial" w:cs="Arial"/>
          <w:sz w:val="22"/>
          <w:szCs w:val="22"/>
        </w:rPr>
      </w:pPr>
      <w:r>
        <w:rPr>
          <w:rFonts w:ascii="Arial" w:hAnsi="Arial" w:cs="Arial"/>
          <w:sz w:val="22"/>
          <w:szCs w:val="22"/>
        </w:rPr>
        <w:t>A liquidator in a compulsory liquidation.</w:t>
      </w:r>
    </w:p>
    <w:p w14:paraId="5475D9C1" w14:textId="77777777" w:rsidR="004B1559" w:rsidRDefault="004B1559">
      <w:pPr>
        <w:ind w:left="66"/>
        <w:jc w:val="both"/>
        <w:rPr>
          <w:rFonts w:ascii="Arial" w:hAnsi="Arial" w:cs="Arial"/>
          <w:sz w:val="22"/>
          <w:szCs w:val="22"/>
        </w:rPr>
      </w:pPr>
    </w:p>
    <w:p w14:paraId="482F9EB3" w14:textId="77777777" w:rsidR="004B1559" w:rsidRDefault="000E6C37">
      <w:pPr>
        <w:pStyle w:val="ListParagraph"/>
        <w:numPr>
          <w:ilvl w:val="0"/>
          <w:numId w:val="4"/>
        </w:numPr>
        <w:ind w:left="426"/>
        <w:jc w:val="both"/>
        <w:rPr>
          <w:rFonts w:ascii="Arial" w:hAnsi="Arial" w:cs="Arial"/>
          <w:sz w:val="22"/>
          <w:szCs w:val="22"/>
        </w:rPr>
      </w:pPr>
      <w:r>
        <w:rPr>
          <w:rFonts w:ascii="Arial" w:hAnsi="Arial" w:cs="Arial"/>
          <w:sz w:val="22"/>
          <w:szCs w:val="22"/>
        </w:rPr>
        <w:t>An administrative receiver.</w:t>
      </w:r>
    </w:p>
    <w:p w14:paraId="65E80DD8" w14:textId="77777777" w:rsidR="004B1559" w:rsidRDefault="004B1559">
      <w:pPr>
        <w:jc w:val="both"/>
        <w:rPr>
          <w:rFonts w:ascii="Arial" w:hAnsi="Arial" w:cs="Arial"/>
          <w:sz w:val="22"/>
          <w:szCs w:val="22"/>
        </w:rPr>
      </w:pPr>
    </w:p>
    <w:p w14:paraId="126808FD" w14:textId="77777777" w:rsidR="004B1559" w:rsidRDefault="000E6C37">
      <w:pPr>
        <w:keepNext/>
        <w:jc w:val="both"/>
        <w:rPr>
          <w:rFonts w:ascii="Arial" w:hAnsi="Arial" w:cs="Arial"/>
          <w:b/>
          <w:bCs/>
          <w:sz w:val="22"/>
          <w:szCs w:val="22"/>
        </w:rPr>
      </w:pPr>
      <w:r>
        <w:rPr>
          <w:rFonts w:ascii="Arial" w:hAnsi="Arial" w:cs="Arial"/>
          <w:b/>
          <w:bCs/>
          <w:sz w:val="22"/>
          <w:szCs w:val="22"/>
        </w:rPr>
        <w:t xml:space="preserve">Question 1.5 </w:t>
      </w:r>
    </w:p>
    <w:p w14:paraId="3C2D8C81" w14:textId="77777777" w:rsidR="004B1559" w:rsidRDefault="004B1559">
      <w:pPr>
        <w:keepNext/>
        <w:jc w:val="both"/>
        <w:rPr>
          <w:rFonts w:ascii="Arial" w:hAnsi="Arial" w:cs="Arial"/>
          <w:b/>
          <w:bCs/>
          <w:sz w:val="22"/>
          <w:szCs w:val="22"/>
        </w:rPr>
      </w:pPr>
    </w:p>
    <w:p w14:paraId="3A740C5A" w14:textId="77777777" w:rsidR="004B1559" w:rsidRDefault="000E6C37">
      <w:pPr>
        <w:autoSpaceDE w:val="0"/>
        <w:autoSpaceDN w:val="0"/>
        <w:adjustRightInd w:val="0"/>
        <w:jc w:val="both"/>
        <w:rPr>
          <w:rFonts w:ascii="Arial" w:hAnsi="Arial" w:cs="Arial"/>
          <w:sz w:val="22"/>
          <w:szCs w:val="22"/>
        </w:rPr>
      </w:pPr>
      <w:r>
        <w:rPr>
          <w:rFonts w:ascii="Arial" w:hAnsi="Arial" w:cs="Arial"/>
          <w:sz w:val="22"/>
          <w:szCs w:val="22"/>
        </w:rPr>
        <w:t xml:space="preserve">Which one of the following </w:t>
      </w:r>
      <w:r>
        <w:rPr>
          <w:rFonts w:ascii="Arial" w:hAnsi="Arial" w:cs="Arial"/>
          <w:b/>
          <w:bCs/>
          <w:sz w:val="22"/>
          <w:szCs w:val="22"/>
          <w:u w:val="single"/>
        </w:rPr>
        <w:t>may not</w:t>
      </w:r>
      <w:r>
        <w:rPr>
          <w:rFonts w:ascii="Arial" w:hAnsi="Arial" w:cs="Arial"/>
          <w:sz w:val="22"/>
          <w:szCs w:val="22"/>
        </w:rPr>
        <w:t xml:space="preserve"> appoint or make an application for the appointment of an administrator?</w:t>
      </w:r>
    </w:p>
    <w:p w14:paraId="110AAA38" w14:textId="77777777" w:rsidR="004B1559" w:rsidRDefault="004B1559">
      <w:pPr>
        <w:autoSpaceDE w:val="0"/>
        <w:autoSpaceDN w:val="0"/>
        <w:adjustRightInd w:val="0"/>
        <w:jc w:val="both"/>
        <w:rPr>
          <w:rFonts w:ascii="Arial" w:hAnsi="Arial" w:cs="Arial"/>
          <w:sz w:val="22"/>
          <w:szCs w:val="22"/>
        </w:rPr>
      </w:pPr>
    </w:p>
    <w:p w14:paraId="6130F1CB" w14:textId="77777777" w:rsidR="004B1559" w:rsidRPr="001879CA" w:rsidRDefault="000E6C37">
      <w:pPr>
        <w:pStyle w:val="ListParagraph"/>
        <w:numPr>
          <w:ilvl w:val="0"/>
          <w:numId w:val="5"/>
        </w:numPr>
        <w:autoSpaceDE w:val="0"/>
        <w:autoSpaceDN w:val="0"/>
        <w:adjustRightInd w:val="0"/>
        <w:ind w:left="426"/>
        <w:jc w:val="both"/>
        <w:rPr>
          <w:rFonts w:ascii="Arial" w:hAnsi="Arial" w:cs="Arial"/>
          <w:sz w:val="22"/>
          <w:szCs w:val="22"/>
          <w:highlight w:val="yellow"/>
        </w:rPr>
      </w:pPr>
      <w:r w:rsidRPr="001879CA">
        <w:rPr>
          <w:rFonts w:ascii="Arial" w:hAnsi="Arial" w:cs="Arial"/>
          <w:sz w:val="22"/>
          <w:szCs w:val="22"/>
          <w:highlight w:val="yellow"/>
        </w:rPr>
        <w:t>A creditor.</w:t>
      </w:r>
    </w:p>
    <w:p w14:paraId="2DB8F594" w14:textId="77777777" w:rsidR="004B1559" w:rsidRDefault="004B1559">
      <w:pPr>
        <w:autoSpaceDE w:val="0"/>
        <w:autoSpaceDN w:val="0"/>
        <w:adjustRightInd w:val="0"/>
        <w:ind w:left="66"/>
        <w:jc w:val="both"/>
        <w:rPr>
          <w:rFonts w:ascii="Arial" w:hAnsi="Arial" w:cs="Arial"/>
          <w:sz w:val="22"/>
          <w:szCs w:val="22"/>
        </w:rPr>
      </w:pPr>
    </w:p>
    <w:p w14:paraId="2BB1F9C5" w14:textId="77777777" w:rsidR="004B1559" w:rsidRDefault="000E6C37">
      <w:pPr>
        <w:pStyle w:val="ListParagraph"/>
        <w:numPr>
          <w:ilvl w:val="0"/>
          <w:numId w:val="5"/>
        </w:numPr>
        <w:autoSpaceDE w:val="0"/>
        <w:autoSpaceDN w:val="0"/>
        <w:adjustRightInd w:val="0"/>
        <w:ind w:left="426"/>
        <w:jc w:val="both"/>
        <w:rPr>
          <w:rFonts w:ascii="Arial" w:hAnsi="Arial" w:cs="Arial"/>
          <w:sz w:val="22"/>
          <w:szCs w:val="22"/>
        </w:rPr>
      </w:pPr>
      <w:r>
        <w:rPr>
          <w:rFonts w:ascii="Arial" w:hAnsi="Arial" w:cs="Arial"/>
          <w:sz w:val="22"/>
          <w:szCs w:val="22"/>
        </w:rPr>
        <w:t>The Official Receiver.</w:t>
      </w:r>
    </w:p>
    <w:p w14:paraId="65C7CD96" w14:textId="77777777" w:rsidR="004B1559" w:rsidRDefault="004B1559">
      <w:pPr>
        <w:autoSpaceDE w:val="0"/>
        <w:autoSpaceDN w:val="0"/>
        <w:adjustRightInd w:val="0"/>
        <w:ind w:left="66"/>
        <w:jc w:val="both"/>
        <w:rPr>
          <w:rFonts w:ascii="Arial" w:hAnsi="Arial" w:cs="Arial"/>
          <w:sz w:val="22"/>
          <w:szCs w:val="22"/>
        </w:rPr>
      </w:pPr>
    </w:p>
    <w:p w14:paraId="3D26D739" w14:textId="77777777" w:rsidR="004B1559" w:rsidRDefault="000E6C37">
      <w:pPr>
        <w:pStyle w:val="ListParagraph"/>
        <w:numPr>
          <w:ilvl w:val="0"/>
          <w:numId w:val="5"/>
        </w:numPr>
        <w:autoSpaceDE w:val="0"/>
        <w:autoSpaceDN w:val="0"/>
        <w:adjustRightInd w:val="0"/>
        <w:ind w:left="426"/>
        <w:jc w:val="both"/>
        <w:rPr>
          <w:rFonts w:ascii="Arial" w:hAnsi="Arial" w:cs="Arial"/>
          <w:sz w:val="22"/>
          <w:szCs w:val="22"/>
        </w:rPr>
      </w:pPr>
      <w:r>
        <w:rPr>
          <w:rFonts w:ascii="Arial" w:hAnsi="Arial" w:cs="Arial"/>
          <w:sz w:val="22"/>
          <w:szCs w:val="22"/>
        </w:rPr>
        <w:t>Directors.</w:t>
      </w:r>
    </w:p>
    <w:p w14:paraId="161B767C" w14:textId="77777777" w:rsidR="004B1559" w:rsidRDefault="004B1559">
      <w:pPr>
        <w:autoSpaceDE w:val="0"/>
        <w:autoSpaceDN w:val="0"/>
        <w:adjustRightInd w:val="0"/>
        <w:ind w:left="66"/>
        <w:jc w:val="both"/>
        <w:rPr>
          <w:rFonts w:ascii="Arial" w:hAnsi="Arial" w:cs="Arial"/>
          <w:sz w:val="22"/>
          <w:szCs w:val="22"/>
        </w:rPr>
      </w:pPr>
    </w:p>
    <w:p w14:paraId="369D1F2E" w14:textId="77777777" w:rsidR="004B1559" w:rsidRDefault="000E6C37">
      <w:pPr>
        <w:pStyle w:val="ListParagraph"/>
        <w:numPr>
          <w:ilvl w:val="0"/>
          <w:numId w:val="5"/>
        </w:numPr>
        <w:autoSpaceDE w:val="0"/>
        <w:autoSpaceDN w:val="0"/>
        <w:adjustRightInd w:val="0"/>
        <w:ind w:left="426"/>
        <w:jc w:val="both"/>
        <w:rPr>
          <w:rFonts w:ascii="Arial" w:hAnsi="Arial" w:cs="Arial"/>
          <w:sz w:val="22"/>
          <w:szCs w:val="22"/>
        </w:rPr>
      </w:pPr>
      <w:r>
        <w:rPr>
          <w:rFonts w:ascii="Arial" w:hAnsi="Arial" w:cs="Arial"/>
          <w:sz w:val="22"/>
          <w:szCs w:val="22"/>
        </w:rPr>
        <w:t>A qualifying floating charge holder.</w:t>
      </w:r>
    </w:p>
    <w:p w14:paraId="44C20107" w14:textId="77777777" w:rsidR="004B1559" w:rsidRDefault="004B1559">
      <w:pPr>
        <w:autoSpaceDE w:val="0"/>
        <w:autoSpaceDN w:val="0"/>
        <w:adjustRightInd w:val="0"/>
        <w:jc w:val="both"/>
        <w:rPr>
          <w:rFonts w:ascii="Arial" w:hAnsi="Arial" w:cs="Arial"/>
          <w:sz w:val="22"/>
          <w:szCs w:val="22"/>
        </w:rPr>
      </w:pPr>
    </w:p>
    <w:p w14:paraId="61AE30CC" w14:textId="77777777" w:rsidR="004B1559" w:rsidRDefault="000E6C37">
      <w:pPr>
        <w:autoSpaceDE w:val="0"/>
        <w:autoSpaceDN w:val="0"/>
        <w:adjustRightInd w:val="0"/>
        <w:jc w:val="both"/>
        <w:rPr>
          <w:rFonts w:ascii="Arial" w:hAnsi="Arial" w:cs="Arial"/>
          <w:sz w:val="22"/>
          <w:szCs w:val="22"/>
        </w:rPr>
      </w:pPr>
      <w:r>
        <w:rPr>
          <w:rFonts w:ascii="Arial" w:hAnsi="Arial" w:cs="Arial"/>
          <w:b/>
          <w:bCs/>
          <w:sz w:val="22"/>
          <w:szCs w:val="22"/>
        </w:rPr>
        <w:t>Question 1.6</w:t>
      </w:r>
      <w:r>
        <w:rPr>
          <w:rFonts w:ascii="Arial" w:hAnsi="Arial" w:cs="Arial"/>
          <w:sz w:val="22"/>
          <w:szCs w:val="22"/>
        </w:rPr>
        <w:t xml:space="preserve"> </w:t>
      </w:r>
    </w:p>
    <w:p w14:paraId="7292F858" w14:textId="77777777" w:rsidR="004B1559" w:rsidRDefault="004B1559">
      <w:pPr>
        <w:autoSpaceDE w:val="0"/>
        <w:autoSpaceDN w:val="0"/>
        <w:adjustRightInd w:val="0"/>
        <w:jc w:val="both"/>
        <w:rPr>
          <w:rFonts w:ascii="Arial" w:hAnsi="Arial" w:cs="Arial"/>
          <w:sz w:val="22"/>
          <w:szCs w:val="22"/>
        </w:rPr>
      </w:pPr>
    </w:p>
    <w:p w14:paraId="0B4E39F0" w14:textId="77777777" w:rsidR="004B1559" w:rsidRDefault="000E6C37">
      <w:pPr>
        <w:autoSpaceDE w:val="0"/>
        <w:autoSpaceDN w:val="0"/>
        <w:adjustRightInd w:val="0"/>
        <w:jc w:val="both"/>
        <w:rPr>
          <w:rFonts w:ascii="Arial" w:hAnsi="Arial" w:cs="Arial"/>
          <w:sz w:val="22"/>
          <w:szCs w:val="22"/>
        </w:rPr>
      </w:pPr>
      <w:r>
        <w:rPr>
          <w:rFonts w:ascii="Arial" w:hAnsi="Arial" w:cs="Arial"/>
          <w:sz w:val="22"/>
          <w:szCs w:val="22"/>
        </w:rPr>
        <w:t xml:space="preserve">Which one of the following powers / functions </w:t>
      </w:r>
      <w:r>
        <w:rPr>
          <w:rFonts w:ascii="Arial" w:hAnsi="Arial" w:cs="Arial"/>
          <w:b/>
          <w:bCs/>
          <w:sz w:val="22"/>
          <w:szCs w:val="22"/>
          <w:u w:val="single"/>
        </w:rPr>
        <w:t>are not</w:t>
      </w:r>
      <w:r>
        <w:rPr>
          <w:rFonts w:ascii="Arial" w:hAnsi="Arial" w:cs="Arial"/>
          <w:sz w:val="22"/>
          <w:szCs w:val="22"/>
        </w:rPr>
        <w:t xml:space="preserve"> bestowed on an administrator?</w:t>
      </w:r>
    </w:p>
    <w:p w14:paraId="53116A4D" w14:textId="77777777" w:rsidR="004B1559" w:rsidRDefault="004B1559">
      <w:pPr>
        <w:autoSpaceDE w:val="0"/>
        <w:autoSpaceDN w:val="0"/>
        <w:adjustRightInd w:val="0"/>
        <w:jc w:val="both"/>
        <w:rPr>
          <w:rFonts w:ascii="Arial" w:hAnsi="Arial" w:cs="Arial"/>
          <w:sz w:val="22"/>
          <w:szCs w:val="22"/>
        </w:rPr>
      </w:pPr>
    </w:p>
    <w:p w14:paraId="5E27FC10" w14:textId="77777777" w:rsidR="004B1559" w:rsidRDefault="000E6C37">
      <w:pPr>
        <w:pStyle w:val="ListParagraph"/>
        <w:numPr>
          <w:ilvl w:val="0"/>
          <w:numId w:val="6"/>
        </w:numPr>
        <w:autoSpaceDE w:val="0"/>
        <w:autoSpaceDN w:val="0"/>
        <w:adjustRightInd w:val="0"/>
        <w:ind w:left="426"/>
        <w:jc w:val="both"/>
        <w:rPr>
          <w:rFonts w:ascii="Arial" w:hAnsi="Arial" w:cs="Arial"/>
          <w:sz w:val="22"/>
          <w:szCs w:val="22"/>
        </w:rPr>
      </w:pPr>
      <w:r>
        <w:rPr>
          <w:rFonts w:ascii="Arial" w:hAnsi="Arial" w:cs="Arial"/>
          <w:sz w:val="22"/>
          <w:szCs w:val="22"/>
        </w:rPr>
        <w:t>Power to sell charged assets.</w:t>
      </w:r>
    </w:p>
    <w:p w14:paraId="3EFDE7D3" w14:textId="77777777" w:rsidR="004B1559" w:rsidRDefault="004B1559">
      <w:pPr>
        <w:autoSpaceDE w:val="0"/>
        <w:autoSpaceDN w:val="0"/>
        <w:adjustRightInd w:val="0"/>
        <w:ind w:left="66"/>
        <w:jc w:val="both"/>
        <w:rPr>
          <w:rFonts w:ascii="Arial" w:hAnsi="Arial" w:cs="Arial"/>
          <w:sz w:val="22"/>
          <w:szCs w:val="22"/>
        </w:rPr>
      </w:pPr>
    </w:p>
    <w:p w14:paraId="2DB366B7" w14:textId="77777777" w:rsidR="004B1559" w:rsidRDefault="000E6C37">
      <w:pPr>
        <w:pStyle w:val="ListParagraph"/>
        <w:numPr>
          <w:ilvl w:val="0"/>
          <w:numId w:val="6"/>
        </w:numPr>
        <w:autoSpaceDE w:val="0"/>
        <w:autoSpaceDN w:val="0"/>
        <w:adjustRightInd w:val="0"/>
        <w:ind w:left="426"/>
        <w:jc w:val="both"/>
        <w:rPr>
          <w:rFonts w:ascii="Arial" w:hAnsi="Arial" w:cs="Arial"/>
          <w:sz w:val="22"/>
          <w:szCs w:val="22"/>
        </w:rPr>
      </w:pPr>
      <w:r>
        <w:rPr>
          <w:rFonts w:ascii="Arial" w:hAnsi="Arial" w:cs="Arial"/>
          <w:sz w:val="22"/>
          <w:szCs w:val="22"/>
        </w:rPr>
        <w:t>Power to borrow money.</w:t>
      </w:r>
    </w:p>
    <w:p w14:paraId="567844E2" w14:textId="77777777" w:rsidR="004B1559" w:rsidRDefault="004B1559">
      <w:pPr>
        <w:autoSpaceDE w:val="0"/>
        <w:autoSpaceDN w:val="0"/>
        <w:adjustRightInd w:val="0"/>
        <w:ind w:left="66"/>
        <w:jc w:val="both"/>
        <w:rPr>
          <w:rFonts w:ascii="Arial" w:hAnsi="Arial" w:cs="Arial"/>
          <w:sz w:val="22"/>
          <w:szCs w:val="22"/>
        </w:rPr>
      </w:pPr>
    </w:p>
    <w:p w14:paraId="5EF77A1A" w14:textId="77777777" w:rsidR="004B1559" w:rsidRDefault="000E6C37">
      <w:pPr>
        <w:pStyle w:val="ListParagraph"/>
        <w:numPr>
          <w:ilvl w:val="0"/>
          <w:numId w:val="6"/>
        </w:numPr>
        <w:autoSpaceDE w:val="0"/>
        <w:autoSpaceDN w:val="0"/>
        <w:adjustRightInd w:val="0"/>
        <w:ind w:left="426"/>
        <w:jc w:val="both"/>
        <w:rPr>
          <w:rFonts w:ascii="Arial" w:hAnsi="Arial" w:cs="Arial"/>
          <w:sz w:val="22"/>
          <w:szCs w:val="22"/>
        </w:rPr>
      </w:pPr>
      <w:r>
        <w:rPr>
          <w:rFonts w:ascii="Arial" w:hAnsi="Arial" w:cs="Arial"/>
          <w:sz w:val="22"/>
          <w:szCs w:val="22"/>
        </w:rPr>
        <w:t>Power to hire or fire directors.</w:t>
      </w:r>
    </w:p>
    <w:p w14:paraId="571415C7" w14:textId="77777777" w:rsidR="004B1559" w:rsidRDefault="004B1559">
      <w:pPr>
        <w:autoSpaceDE w:val="0"/>
        <w:autoSpaceDN w:val="0"/>
        <w:adjustRightInd w:val="0"/>
        <w:ind w:left="66"/>
        <w:jc w:val="both"/>
        <w:rPr>
          <w:rFonts w:ascii="Arial" w:hAnsi="Arial" w:cs="Arial"/>
          <w:sz w:val="22"/>
          <w:szCs w:val="22"/>
        </w:rPr>
      </w:pPr>
    </w:p>
    <w:p w14:paraId="3894676F" w14:textId="77777777" w:rsidR="004B1559" w:rsidRPr="001879CA" w:rsidRDefault="000E6C37">
      <w:pPr>
        <w:pStyle w:val="ListParagraph"/>
        <w:numPr>
          <w:ilvl w:val="0"/>
          <w:numId w:val="6"/>
        </w:numPr>
        <w:autoSpaceDE w:val="0"/>
        <w:autoSpaceDN w:val="0"/>
        <w:adjustRightInd w:val="0"/>
        <w:ind w:left="426"/>
        <w:jc w:val="both"/>
        <w:rPr>
          <w:rFonts w:ascii="Arial" w:hAnsi="Arial" w:cs="Arial"/>
          <w:sz w:val="22"/>
          <w:szCs w:val="22"/>
          <w:highlight w:val="yellow"/>
        </w:rPr>
      </w:pPr>
      <w:r w:rsidRPr="001879CA">
        <w:rPr>
          <w:rFonts w:ascii="Arial" w:hAnsi="Arial" w:cs="Arial"/>
          <w:sz w:val="22"/>
          <w:szCs w:val="22"/>
          <w:highlight w:val="yellow"/>
        </w:rPr>
        <w:t>Power to disclaim onerous contracts.</w:t>
      </w:r>
    </w:p>
    <w:p w14:paraId="3050D5A2" w14:textId="77777777" w:rsidR="004B1559" w:rsidRDefault="004B1559">
      <w:pPr>
        <w:jc w:val="both"/>
        <w:rPr>
          <w:rFonts w:ascii="Arial" w:hAnsi="Arial" w:cs="Arial"/>
          <w:sz w:val="22"/>
          <w:szCs w:val="22"/>
        </w:rPr>
      </w:pPr>
    </w:p>
    <w:p w14:paraId="28206632" w14:textId="77777777" w:rsidR="004B1559" w:rsidRDefault="000E6C37">
      <w:pPr>
        <w:jc w:val="both"/>
        <w:rPr>
          <w:rFonts w:ascii="Arial" w:hAnsi="Arial" w:cs="Arial"/>
          <w:sz w:val="22"/>
          <w:szCs w:val="22"/>
        </w:rPr>
      </w:pPr>
      <w:r>
        <w:rPr>
          <w:rFonts w:ascii="Arial" w:hAnsi="Arial" w:cs="Arial"/>
          <w:b/>
          <w:bCs/>
          <w:sz w:val="22"/>
          <w:szCs w:val="22"/>
        </w:rPr>
        <w:t>Question 1.7</w:t>
      </w:r>
      <w:r>
        <w:rPr>
          <w:rFonts w:ascii="Arial" w:hAnsi="Arial" w:cs="Arial"/>
          <w:sz w:val="22"/>
          <w:szCs w:val="22"/>
        </w:rPr>
        <w:t xml:space="preserve"> </w:t>
      </w:r>
    </w:p>
    <w:p w14:paraId="7DFD446F" w14:textId="77777777" w:rsidR="004B1559" w:rsidRDefault="004B1559">
      <w:pPr>
        <w:jc w:val="both"/>
        <w:rPr>
          <w:rFonts w:ascii="Arial" w:hAnsi="Arial" w:cs="Arial"/>
          <w:sz w:val="22"/>
          <w:szCs w:val="22"/>
        </w:rPr>
      </w:pPr>
    </w:p>
    <w:p w14:paraId="78373FF8" w14:textId="77777777" w:rsidR="004B1559" w:rsidRDefault="000E6C37">
      <w:pPr>
        <w:jc w:val="both"/>
        <w:rPr>
          <w:rFonts w:ascii="Arial" w:eastAsiaTheme="minorHAnsi" w:hAnsi="Arial" w:cs="Arial"/>
          <w:sz w:val="22"/>
          <w:szCs w:val="22"/>
          <w:lang w:val="en-GB"/>
        </w:rPr>
      </w:pPr>
      <w:r>
        <w:rPr>
          <w:rFonts w:ascii="Arial" w:eastAsiaTheme="minorHAnsi" w:hAnsi="Arial" w:cs="Arial"/>
          <w:b/>
          <w:bCs/>
          <w:sz w:val="22"/>
          <w:szCs w:val="22"/>
          <w:u w:val="single"/>
          <w:lang w:val="en-GB"/>
        </w:rPr>
        <w:t>Within how many days</w:t>
      </w:r>
      <w:r>
        <w:rPr>
          <w:rFonts w:ascii="Arial" w:eastAsiaTheme="minorHAnsi" w:hAnsi="Arial" w:cs="Arial"/>
          <w:sz w:val="22"/>
          <w:szCs w:val="22"/>
          <w:lang w:val="en-GB"/>
        </w:rPr>
        <w:t xml:space="preserve"> of the company entering into administration must the administrator hold an initial meeting of the company’s creditors?</w:t>
      </w:r>
    </w:p>
    <w:p w14:paraId="7A9E11CA" w14:textId="77777777" w:rsidR="004B1559" w:rsidRDefault="004B1559">
      <w:pPr>
        <w:ind w:left="426" w:hanging="284"/>
        <w:jc w:val="both"/>
        <w:rPr>
          <w:rFonts w:ascii="Arial" w:eastAsiaTheme="minorHAnsi" w:hAnsi="Arial" w:cs="Arial"/>
          <w:sz w:val="22"/>
          <w:szCs w:val="22"/>
          <w:lang w:val="en-GB"/>
        </w:rPr>
      </w:pPr>
    </w:p>
    <w:p w14:paraId="1D1D6699" w14:textId="77777777" w:rsidR="004B1559" w:rsidRDefault="000E6C37">
      <w:pPr>
        <w:pStyle w:val="ListParagraph"/>
        <w:numPr>
          <w:ilvl w:val="0"/>
          <w:numId w:val="7"/>
        </w:numPr>
        <w:ind w:left="426"/>
        <w:jc w:val="both"/>
        <w:rPr>
          <w:rFonts w:ascii="Arial" w:eastAsiaTheme="minorHAnsi" w:hAnsi="Arial" w:cs="Arial"/>
          <w:sz w:val="22"/>
          <w:szCs w:val="22"/>
          <w:lang w:val="en-GB"/>
        </w:rPr>
      </w:pPr>
      <w:r>
        <w:rPr>
          <w:rFonts w:ascii="Arial" w:eastAsiaTheme="minorHAnsi" w:hAnsi="Arial" w:cs="Arial"/>
          <w:sz w:val="22"/>
          <w:szCs w:val="22"/>
          <w:lang w:val="en-GB"/>
        </w:rPr>
        <w:t>Within 14 days.</w:t>
      </w:r>
    </w:p>
    <w:p w14:paraId="0BF5CAEF" w14:textId="77777777" w:rsidR="004B1559" w:rsidRDefault="004B1559">
      <w:pPr>
        <w:ind w:left="66"/>
        <w:jc w:val="both"/>
        <w:rPr>
          <w:rFonts w:ascii="Arial" w:eastAsiaTheme="minorHAnsi" w:hAnsi="Arial" w:cs="Arial"/>
          <w:sz w:val="22"/>
          <w:szCs w:val="22"/>
          <w:lang w:val="en-GB"/>
        </w:rPr>
      </w:pPr>
    </w:p>
    <w:p w14:paraId="6F76F402" w14:textId="77777777" w:rsidR="004B1559" w:rsidRDefault="000E6C37">
      <w:pPr>
        <w:pStyle w:val="ListParagraph"/>
        <w:numPr>
          <w:ilvl w:val="0"/>
          <w:numId w:val="7"/>
        </w:numPr>
        <w:ind w:left="426"/>
        <w:jc w:val="both"/>
        <w:rPr>
          <w:rFonts w:ascii="Arial" w:eastAsiaTheme="minorHAnsi" w:hAnsi="Arial" w:cs="Arial"/>
          <w:sz w:val="22"/>
          <w:szCs w:val="22"/>
          <w:lang w:val="en-GB"/>
        </w:rPr>
      </w:pPr>
      <w:r>
        <w:rPr>
          <w:rFonts w:ascii="Arial" w:eastAsiaTheme="minorHAnsi" w:hAnsi="Arial" w:cs="Arial"/>
          <w:sz w:val="22"/>
          <w:szCs w:val="22"/>
          <w:lang w:val="en-GB"/>
        </w:rPr>
        <w:t>Within 30 days.</w:t>
      </w:r>
    </w:p>
    <w:p w14:paraId="417BF1FA" w14:textId="77777777" w:rsidR="004B1559" w:rsidRDefault="004B1559">
      <w:pPr>
        <w:ind w:left="66"/>
        <w:jc w:val="both"/>
        <w:rPr>
          <w:rFonts w:ascii="Arial" w:eastAsiaTheme="minorHAnsi" w:hAnsi="Arial" w:cs="Arial"/>
          <w:sz w:val="22"/>
          <w:szCs w:val="22"/>
          <w:lang w:val="en-GB"/>
        </w:rPr>
      </w:pPr>
    </w:p>
    <w:p w14:paraId="4AFEEA66" w14:textId="77777777" w:rsidR="004B1559" w:rsidRDefault="000E6C37">
      <w:pPr>
        <w:pStyle w:val="ListParagraph"/>
        <w:numPr>
          <w:ilvl w:val="0"/>
          <w:numId w:val="7"/>
        </w:numPr>
        <w:ind w:left="426"/>
        <w:jc w:val="both"/>
        <w:rPr>
          <w:rFonts w:ascii="Arial" w:eastAsiaTheme="minorHAnsi" w:hAnsi="Arial" w:cs="Arial"/>
          <w:sz w:val="22"/>
          <w:szCs w:val="22"/>
          <w:lang w:val="en-GB"/>
        </w:rPr>
      </w:pPr>
      <w:r w:rsidRPr="0063545A">
        <w:rPr>
          <w:rFonts w:ascii="Arial" w:eastAsiaTheme="minorHAnsi" w:hAnsi="Arial" w:cs="Arial"/>
          <w:sz w:val="22"/>
          <w:szCs w:val="22"/>
          <w:highlight w:val="yellow"/>
          <w:lang w:val="en-GB"/>
        </w:rPr>
        <w:t>Within 60 days.</w:t>
      </w:r>
    </w:p>
    <w:p w14:paraId="30731815" w14:textId="77777777" w:rsidR="004B1559" w:rsidRDefault="004B1559">
      <w:pPr>
        <w:ind w:left="66"/>
        <w:jc w:val="both"/>
        <w:rPr>
          <w:rFonts w:ascii="Arial" w:eastAsiaTheme="minorHAnsi" w:hAnsi="Arial" w:cs="Arial"/>
          <w:sz w:val="22"/>
          <w:szCs w:val="22"/>
          <w:lang w:val="en-GB"/>
        </w:rPr>
      </w:pPr>
    </w:p>
    <w:p w14:paraId="4A6FACFA" w14:textId="77777777" w:rsidR="004B1559" w:rsidRDefault="000E6C37">
      <w:pPr>
        <w:pStyle w:val="ListParagraph"/>
        <w:numPr>
          <w:ilvl w:val="0"/>
          <w:numId w:val="7"/>
        </w:numPr>
        <w:ind w:left="426"/>
        <w:jc w:val="both"/>
        <w:rPr>
          <w:rFonts w:ascii="Arial" w:eastAsiaTheme="minorHAnsi" w:hAnsi="Arial" w:cs="Arial"/>
          <w:sz w:val="22"/>
          <w:szCs w:val="22"/>
          <w:lang w:val="en-GB"/>
        </w:rPr>
      </w:pPr>
      <w:r>
        <w:rPr>
          <w:rFonts w:ascii="Arial" w:eastAsiaTheme="minorHAnsi" w:hAnsi="Arial" w:cs="Arial"/>
          <w:sz w:val="22"/>
          <w:szCs w:val="22"/>
          <w:lang w:val="en-GB"/>
        </w:rPr>
        <w:t>Within 67 days.</w:t>
      </w:r>
    </w:p>
    <w:p w14:paraId="394BDA5F" w14:textId="77777777" w:rsidR="004B1559" w:rsidRDefault="004B1559">
      <w:pPr>
        <w:jc w:val="both"/>
        <w:rPr>
          <w:rFonts w:ascii="Arial" w:eastAsiaTheme="minorHAnsi" w:hAnsi="Arial" w:cs="Arial"/>
          <w:sz w:val="22"/>
          <w:szCs w:val="22"/>
          <w:lang w:val="en-GB"/>
        </w:rPr>
      </w:pPr>
    </w:p>
    <w:p w14:paraId="2E054967" w14:textId="77777777" w:rsidR="004B1559" w:rsidRDefault="004B1559">
      <w:pPr>
        <w:jc w:val="both"/>
        <w:rPr>
          <w:rFonts w:ascii="Arial" w:eastAsiaTheme="minorHAnsi" w:hAnsi="Arial" w:cs="Arial"/>
          <w:sz w:val="22"/>
          <w:szCs w:val="22"/>
          <w:lang w:val="en-GB"/>
        </w:rPr>
      </w:pPr>
    </w:p>
    <w:p w14:paraId="1BDDB48F" w14:textId="77777777" w:rsidR="004B1559" w:rsidRDefault="004B1559">
      <w:pPr>
        <w:jc w:val="both"/>
        <w:rPr>
          <w:rFonts w:ascii="Arial" w:eastAsiaTheme="minorHAnsi" w:hAnsi="Arial" w:cs="Arial"/>
          <w:sz w:val="22"/>
          <w:szCs w:val="22"/>
          <w:lang w:val="en-GB"/>
        </w:rPr>
      </w:pPr>
    </w:p>
    <w:p w14:paraId="23649802" w14:textId="77777777" w:rsidR="004B1559" w:rsidRDefault="004B1559">
      <w:pPr>
        <w:jc w:val="both"/>
        <w:rPr>
          <w:rFonts w:ascii="Arial" w:eastAsiaTheme="minorHAnsi" w:hAnsi="Arial" w:cs="Arial"/>
          <w:sz w:val="22"/>
          <w:szCs w:val="22"/>
          <w:lang w:val="en-GB"/>
        </w:rPr>
      </w:pPr>
    </w:p>
    <w:p w14:paraId="65285832" w14:textId="77777777" w:rsidR="004B1559" w:rsidRDefault="004B1559">
      <w:pPr>
        <w:jc w:val="both"/>
        <w:rPr>
          <w:rFonts w:ascii="Arial" w:eastAsiaTheme="minorHAnsi" w:hAnsi="Arial" w:cs="Arial"/>
          <w:sz w:val="22"/>
          <w:szCs w:val="22"/>
          <w:lang w:val="en-GB"/>
        </w:rPr>
      </w:pPr>
    </w:p>
    <w:p w14:paraId="57CC5D57" w14:textId="77777777" w:rsidR="004B1559" w:rsidRDefault="000E6C37">
      <w:pPr>
        <w:jc w:val="both"/>
        <w:rPr>
          <w:rFonts w:ascii="Arial" w:hAnsi="Arial" w:cs="Arial"/>
          <w:sz w:val="22"/>
          <w:szCs w:val="22"/>
        </w:rPr>
      </w:pPr>
      <w:r>
        <w:rPr>
          <w:rFonts w:ascii="Arial" w:hAnsi="Arial" w:cs="Arial"/>
          <w:b/>
          <w:bCs/>
          <w:sz w:val="22"/>
          <w:szCs w:val="22"/>
        </w:rPr>
        <w:lastRenderedPageBreak/>
        <w:t>Question 1.8</w:t>
      </w:r>
      <w:r>
        <w:rPr>
          <w:rFonts w:ascii="Arial" w:hAnsi="Arial" w:cs="Arial"/>
          <w:sz w:val="22"/>
          <w:szCs w:val="22"/>
        </w:rPr>
        <w:t xml:space="preserve"> </w:t>
      </w:r>
    </w:p>
    <w:p w14:paraId="5625B104" w14:textId="77777777" w:rsidR="004B1559" w:rsidRDefault="004B1559">
      <w:pPr>
        <w:jc w:val="both"/>
        <w:rPr>
          <w:rFonts w:ascii="Arial" w:hAnsi="Arial" w:cs="Arial"/>
          <w:sz w:val="22"/>
          <w:szCs w:val="22"/>
        </w:rPr>
      </w:pPr>
    </w:p>
    <w:p w14:paraId="7F04BB32" w14:textId="77777777" w:rsidR="004B1559" w:rsidRDefault="000E6C37">
      <w:pPr>
        <w:jc w:val="both"/>
        <w:rPr>
          <w:rFonts w:ascii="Arial" w:hAnsi="Arial" w:cs="Arial"/>
          <w:sz w:val="22"/>
          <w:szCs w:val="22"/>
        </w:rPr>
      </w:pPr>
      <w:r>
        <w:rPr>
          <w:rFonts w:ascii="Arial" w:hAnsi="Arial" w:cs="Arial"/>
          <w:b/>
          <w:bCs/>
          <w:sz w:val="22"/>
          <w:szCs w:val="22"/>
          <w:u w:val="single"/>
        </w:rPr>
        <w:t>Within how many days</w:t>
      </w:r>
      <w:r>
        <w:rPr>
          <w:rFonts w:ascii="Arial" w:hAnsi="Arial" w:cs="Arial"/>
          <w:sz w:val="22"/>
          <w:szCs w:val="22"/>
        </w:rPr>
        <w:t xml:space="preserve"> is a supervisor of an individual voluntary arrangement (IVA) required to file his report on the IVA?</w:t>
      </w:r>
    </w:p>
    <w:p w14:paraId="738E57B6" w14:textId="77777777" w:rsidR="004B1559" w:rsidRDefault="004B1559">
      <w:pPr>
        <w:jc w:val="both"/>
        <w:rPr>
          <w:rFonts w:ascii="Arial" w:hAnsi="Arial" w:cs="Arial"/>
          <w:sz w:val="22"/>
          <w:szCs w:val="22"/>
        </w:rPr>
      </w:pPr>
    </w:p>
    <w:p w14:paraId="36C7C659" w14:textId="77777777" w:rsidR="004B1559" w:rsidRDefault="000E6C37">
      <w:pPr>
        <w:pStyle w:val="ListParagraph"/>
        <w:numPr>
          <w:ilvl w:val="0"/>
          <w:numId w:val="8"/>
        </w:numPr>
        <w:ind w:left="426"/>
        <w:jc w:val="both"/>
        <w:rPr>
          <w:rFonts w:ascii="Arial" w:hAnsi="Arial" w:cs="Arial"/>
          <w:sz w:val="22"/>
          <w:szCs w:val="22"/>
        </w:rPr>
      </w:pPr>
      <w:r>
        <w:rPr>
          <w:rFonts w:ascii="Arial" w:hAnsi="Arial" w:cs="Arial"/>
          <w:sz w:val="22"/>
          <w:szCs w:val="22"/>
        </w:rPr>
        <w:t>Within 7 days.</w:t>
      </w:r>
    </w:p>
    <w:p w14:paraId="29110718" w14:textId="77777777" w:rsidR="004B1559" w:rsidRDefault="004B1559">
      <w:pPr>
        <w:ind w:left="66"/>
        <w:jc w:val="both"/>
        <w:rPr>
          <w:rFonts w:ascii="Arial" w:hAnsi="Arial" w:cs="Arial"/>
          <w:sz w:val="22"/>
          <w:szCs w:val="22"/>
        </w:rPr>
      </w:pPr>
    </w:p>
    <w:p w14:paraId="0D49F77E" w14:textId="77777777" w:rsidR="004B1559" w:rsidRDefault="000E6C37">
      <w:pPr>
        <w:pStyle w:val="ListParagraph"/>
        <w:numPr>
          <w:ilvl w:val="0"/>
          <w:numId w:val="8"/>
        </w:numPr>
        <w:ind w:left="426"/>
        <w:jc w:val="both"/>
        <w:rPr>
          <w:rFonts w:ascii="Arial" w:hAnsi="Arial" w:cs="Arial"/>
          <w:sz w:val="22"/>
          <w:szCs w:val="22"/>
        </w:rPr>
      </w:pPr>
      <w:r w:rsidRPr="001879CA">
        <w:rPr>
          <w:rFonts w:ascii="Arial" w:hAnsi="Arial" w:cs="Arial"/>
          <w:sz w:val="22"/>
          <w:szCs w:val="22"/>
          <w:highlight w:val="yellow"/>
        </w:rPr>
        <w:t>Within 14 days.</w:t>
      </w:r>
    </w:p>
    <w:p w14:paraId="69A85318" w14:textId="77777777" w:rsidR="004B1559" w:rsidRDefault="004B1559">
      <w:pPr>
        <w:ind w:left="66"/>
        <w:jc w:val="both"/>
        <w:rPr>
          <w:rFonts w:ascii="Arial" w:hAnsi="Arial" w:cs="Arial"/>
          <w:sz w:val="22"/>
          <w:szCs w:val="22"/>
        </w:rPr>
      </w:pPr>
    </w:p>
    <w:p w14:paraId="7988B401" w14:textId="77777777" w:rsidR="004B1559" w:rsidRDefault="000E6C37">
      <w:pPr>
        <w:pStyle w:val="ListParagraph"/>
        <w:numPr>
          <w:ilvl w:val="0"/>
          <w:numId w:val="8"/>
        </w:numPr>
        <w:ind w:left="426"/>
        <w:jc w:val="both"/>
        <w:rPr>
          <w:rFonts w:ascii="Arial" w:hAnsi="Arial" w:cs="Arial"/>
          <w:sz w:val="22"/>
          <w:szCs w:val="22"/>
        </w:rPr>
      </w:pPr>
      <w:r>
        <w:rPr>
          <w:rFonts w:ascii="Arial" w:hAnsi="Arial" w:cs="Arial"/>
          <w:sz w:val="22"/>
          <w:szCs w:val="22"/>
        </w:rPr>
        <w:t>Within 21 days.</w:t>
      </w:r>
    </w:p>
    <w:p w14:paraId="0C6E86F9" w14:textId="77777777" w:rsidR="004B1559" w:rsidRDefault="004B1559">
      <w:pPr>
        <w:ind w:left="66"/>
        <w:jc w:val="both"/>
        <w:rPr>
          <w:rFonts w:ascii="Arial" w:hAnsi="Arial" w:cs="Arial"/>
          <w:sz w:val="22"/>
          <w:szCs w:val="22"/>
        </w:rPr>
      </w:pPr>
    </w:p>
    <w:p w14:paraId="073CB4A2" w14:textId="77777777" w:rsidR="004B1559" w:rsidRDefault="000E6C37">
      <w:pPr>
        <w:pStyle w:val="ListParagraph"/>
        <w:numPr>
          <w:ilvl w:val="0"/>
          <w:numId w:val="8"/>
        </w:numPr>
        <w:ind w:left="426"/>
        <w:jc w:val="both"/>
        <w:rPr>
          <w:rFonts w:ascii="Arial" w:hAnsi="Arial" w:cs="Arial"/>
          <w:sz w:val="22"/>
          <w:szCs w:val="22"/>
        </w:rPr>
      </w:pPr>
      <w:r>
        <w:rPr>
          <w:rFonts w:ascii="Arial" w:hAnsi="Arial" w:cs="Arial"/>
          <w:sz w:val="22"/>
          <w:szCs w:val="22"/>
        </w:rPr>
        <w:t>Within 28 days.</w:t>
      </w:r>
    </w:p>
    <w:p w14:paraId="3EEA6AD7" w14:textId="77777777" w:rsidR="004B1559" w:rsidRDefault="004B1559">
      <w:pPr>
        <w:jc w:val="both"/>
        <w:rPr>
          <w:rFonts w:ascii="Arial" w:eastAsiaTheme="minorHAnsi" w:hAnsi="Arial" w:cs="Arial"/>
          <w:sz w:val="22"/>
          <w:szCs w:val="22"/>
          <w:lang w:val="en-GB"/>
        </w:rPr>
      </w:pPr>
    </w:p>
    <w:p w14:paraId="42119897" w14:textId="77777777" w:rsidR="004B1559" w:rsidRDefault="000E6C37">
      <w:pPr>
        <w:jc w:val="both"/>
        <w:rPr>
          <w:rFonts w:ascii="Arial" w:hAnsi="Arial" w:cs="Arial"/>
          <w:sz w:val="22"/>
          <w:szCs w:val="22"/>
        </w:rPr>
      </w:pPr>
      <w:r>
        <w:rPr>
          <w:rFonts w:ascii="Arial" w:hAnsi="Arial" w:cs="Arial"/>
          <w:b/>
          <w:bCs/>
          <w:sz w:val="22"/>
          <w:szCs w:val="22"/>
        </w:rPr>
        <w:t>Question 1.9</w:t>
      </w:r>
      <w:r>
        <w:rPr>
          <w:rFonts w:ascii="Arial" w:hAnsi="Arial" w:cs="Arial"/>
          <w:sz w:val="22"/>
          <w:szCs w:val="22"/>
        </w:rPr>
        <w:t xml:space="preserve"> </w:t>
      </w:r>
    </w:p>
    <w:p w14:paraId="3817B492" w14:textId="77777777" w:rsidR="004B1559" w:rsidRDefault="004B1559">
      <w:pPr>
        <w:jc w:val="both"/>
        <w:rPr>
          <w:rFonts w:ascii="Arial" w:hAnsi="Arial" w:cs="Arial"/>
          <w:sz w:val="22"/>
          <w:szCs w:val="22"/>
        </w:rPr>
      </w:pPr>
    </w:p>
    <w:p w14:paraId="0077051B" w14:textId="77777777" w:rsidR="004B1559" w:rsidRDefault="000E6C37">
      <w:pPr>
        <w:jc w:val="both"/>
        <w:rPr>
          <w:rFonts w:ascii="Arial" w:hAnsi="Arial" w:cs="Arial"/>
          <w:sz w:val="22"/>
          <w:szCs w:val="22"/>
        </w:rPr>
      </w:pPr>
      <w:r>
        <w:rPr>
          <w:rFonts w:ascii="Arial" w:hAnsi="Arial" w:cs="Arial"/>
          <w:sz w:val="22"/>
          <w:szCs w:val="22"/>
        </w:rPr>
        <w:t xml:space="preserve">Which of the following </w:t>
      </w:r>
      <w:r>
        <w:rPr>
          <w:rFonts w:ascii="Arial" w:hAnsi="Arial" w:cs="Arial"/>
          <w:b/>
          <w:bCs/>
          <w:sz w:val="22"/>
          <w:szCs w:val="22"/>
          <w:u w:val="single"/>
        </w:rPr>
        <w:t>may not</w:t>
      </w:r>
      <w:r>
        <w:rPr>
          <w:rFonts w:ascii="Arial" w:hAnsi="Arial" w:cs="Arial"/>
          <w:sz w:val="22"/>
          <w:szCs w:val="22"/>
        </w:rPr>
        <w:t xml:space="preserve"> make a proposal for a company voluntary arrangement (CVA)?</w:t>
      </w:r>
    </w:p>
    <w:p w14:paraId="710B9BE5" w14:textId="77777777" w:rsidR="004B1559" w:rsidRDefault="004B1559">
      <w:pPr>
        <w:jc w:val="both"/>
        <w:rPr>
          <w:rFonts w:ascii="Arial" w:hAnsi="Arial" w:cs="Arial"/>
          <w:sz w:val="22"/>
          <w:szCs w:val="22"/>
        </w:rPr>
      </w:pPr>
    </w:p>
    <w:p w14:paraId="65689E25" w14:textId="77777777" w:rsidR="004B1559" w:rsidRPr="001879CA" w:rsidRDefault="000E6C37">
      <w:pPr>
        <w:pStyle w:val="ListParagraph"/>
        <w:numPr>
          <w:ilvl w:val="0"/>
          <w:numId w:val="9"/>
        </w:numPr>
        <w:ind w:left="426"/>
        <w:jc w:val="both"/>
        <w:rPr>
          <w:rFonts w:ascii="Arial" w:hAnsi="Arial" w:cs="Arial"/>
          <w:sz w:val="22"/>
          <w:szCs w:val="22"/>
          <w:highlight w:val="yellow"/>
        </w:rPr>
      </w:pPr>
      <w:r w:rsidRPr="001879CA">
        <w:rPr>
          <w:rFonts w:ascii="Arial" w:hAnsi="Arial" w:cs="Arial"/>
          <w:sz w:val="22"/>
          <w:szCs w:val="22"/>
          <w:highlight w:val="yellow"/>
        </w:rPr>
        <w:t>Creditors.</w:t>
      </w:r>
    </w:p>
    <w:p w14:paraId="7987E3DB" w14:textId="77777777" w:rsidR="004B1559" w:rsidRDefault="004B1559">
      <w:pPr>
        <w:ind w:left="66"/>
        <w:jc w:val="both"/>
        <w:rPr>
          <w:rFonts w:ascii="Arial" w:hAnsi="Arial" w:cs="Arial"/>
          <w:sz w:val="22"/>
          <w:szCs w:val="22"/>
        </w:rPr>
      </w:pPr>
    </w:p>
    <w:p w14:paraId="6D3D3068" w14:textId="77777777" w:rsidR="004B1559" w:rsidRDefault="000E6C37">
      <w:pPr>
        <w:pStyle w:val="ListParagraph"/>
        <w:numPr>
          <w:ilvl w:val="0"/>
          <w:numId w:val="9"/>
        </w:numPr>
        <w:ind w:left="426"/>
        <w:jc w:val="both"/>
        <w:rPr>
          <w:rFonts w:ascii="Arial" w:hAnsi="Arial" w:cs="Arial"/>
          <w:sz w:val="22"/>
          <w:szCs w:val="22"/>
        </w:rPr>
      </w:pPr>
      <w:r>
        <w:rPr>
          <w:rFonts w:ascii="Arial" w:hAnsi="Arial" w:cs="Arial"/>
          <w:sz w:val="22"/>
          <w:szCs w:val="22"/>
        </w:rPr>
        <w:t>Directors.</w:t>
      </w:r>
    </w:p>
    <w:p w14:paraId="5F76FCB1" w14:textId="77777777" w:rsidR="004B1559" w:rsidRDefault="004B1559">
      <w:pPr>
        <w:ind w:left="66"/>
        <w:jc w:val="both"/>
        <w:rPr>
          <w:rFonts w:ascii="Arial" w:hAnsi="Arial" w:cs="Arial"/>
          <w:sz w:val="22"/>
          <w:szCs w:val="22"/>
        </w:rPr>
      </w:pPr>
    </w:p>
    <w:p w14:paraId="72C8F654" w14:textId="77777777" w:rsidR="004B1559" w:rsidRDefault="000E6C37">
      <w:pPr>
        <w:pStyle w:val="ListParagraph"/>
        <w:numPr>
          <w:ilvl w:val="0"/>
          <w:numId w:val="9"/>
        </w:numPr>
        <w:ind w:left="426"/>
        <w:jc w:val="both"/>
        <w:rPr>
          <w:rFonts w:ascii="Arial" w:hAnsi="Arial" w:cs="Arial"/>
          <w:sz w:val="22"/>
          <w:szCs w:val="22"/>
        </w:rPr>
      </w:pPr>
      <w:r>
        <w:rPr>
          <w:rFonts w:ascii="Arial" w:hAnsi="Arial" w:cs="Arial"/>
          <w:sz w:val="22"/>
          <w:szCs w:val="22"/>
        </w:rPr>
        <w:t>Liquidator (where the company is in liquidation).</w:t>
      </w:r>
    </w:p>
    <w:p w14:paraId="229EE12A" w14:textId="77777777" w:rsidR="004B1559" w:rsidRDefault="004B1559">
      <w:pPr>
        <w:ind w:left="66"/>
        <w:jc w:val="both"/>
        <w:rPr>
          <w:rFonts w:ascii="Arial" w:hAnsi="Arial" w:cs="Arial"/>
          <w:sz w:val="22"/>
          <w:szCs w:val="22"/>
        </w:rPr>
      </w:pPr>
    </w:p>
    <w:p w14:paraId="4430CA6B" w14:textId="77777777" w:rsidR="004B1559" w:rsidRDefault="000E6C37">
      <w:pPr>
        <w:pStyle w:val="ListParagraph"/>
        <w:numPr>
          <w:ilvl w:val="0"/>
          <w:numId w:val="9"/>
        </w:numPr>
        <w:ind w:left="426"/>
        <w:jc w:val="both"/>
        <w:rPr>
          <w:rFonts w:ascii="Arial" w:hAnsi="Arial" w:cs="Arial"/>
          <w:sz w:val="22"/>
          <w:szCs w:val="22"/>
        </w:rPr>
      </w:pPr>
      <w:r>
        <w:rPr>
          <w:rFonts w:ascii="Arial" w:hAnsi="Arial" w:cs="Arial"/>
          <w:sz w:val="22"/>
          <w:szCs w:val="22"/>
        </w:rPr>
        <w:t>Administrator (where the company is in administration).</w:t>
      </w:r>
    </w:p>
    <w:p w14:paraId="1ED253A0" w14:textId="77777777" w:rsidR="004B1559" w:rsidRDefault="004B1559">
      <w:pPr>
        <w:jc w:val="both"/>
        <w:rPr>
          <w:rFonts w:ascii="Arial" w:hAnsi="Arial" w:cs="Arial"/>
          <w:sz w:val="22"/>
          <w:szCs w:val="22"/>
        </w:rPr>
      </w:pPr>
    </w:p>
    <w:p w14:paraId="05DED20F" w14:textId="77777777" w:rsidR="004B1559" w:rsidRDefault="000E6C37">
      <w:pPr>
        <w:keepNext/>
        <w:jc w:val="both"/>
        <w:rPr>
          <w:rFonts w:ascii="Arial" w:hAnsi="Arial" w:cs="Arial"/>
          <w:sz w:val="22"/>
          <w:szCs w:val="22"/>
        </w:rPr>
      </w:pPr>
      <w:r>
        <w:rPr>
          <w:rFonts w:ascii="Arial" w:hAnsi="Arial" w:cs="Arial"/>
          <w:b/>
          <w:bCs/>
          <w:sz w:val="22"/>
          <w:szCs w:val="22"/>
        </w:rPr>
        <w:t>Question 1.10</w:t>
      </w:r>
      <w:r>
        <w:rPr>
          <w:rFonts w:ascii="Arial" w:hAnsi="Arial" w:cs="Arial"/>
          <w:sz w:val="22"/>
          <w:szCs w:val="22"/>
        </w:rPr>
        <w:t xml:space="preserve"> </w:t>
      </w:r>
    </w:p>
    <w:p w14:paraId="502D2E03" w14:textId="77777777" w:rsidR="004B1559" w:rsidRDefault="004B1559">
      <w:pPr>
        <w:keepNext/>
        <w:jc w:val="both"/>
        <w:rPr>
          <w:rFonts w:ascii="Arial" w:hAnsi="Arial" w:cs="Arial"/>
          <w:sz w:val="22"/>
          <w:szCs w:val="22"/>
        </w:rPr>
      </w:pPr>
    </w:p>
    <w:p w14:paraId="704B1B81" w14:textId="77777777" w:rsidR="004B1559" w:rsidRDefault="000E6C37">
      <w:pPr>
        <w:jc w:val="both"/>
        <w:rPr>
          <w:rFonts w:ascii="Arial" w:hAnsi="Arial" w:cs="Arial"/>
          <w:sz w:val="22"/>
          <w:szCs w:val="22"/>
          <w:lang w:val="en-GB"/>
        </w:rPr>
      </w:pPr>
      <w:r>
        <w:rPr>
          <w:rFonts w:ascii="Arial" w:hAnsi="Arial" w:cs="Arial"/>
          <w:sz w:val="22"/>
          <w:szCs w:val="22"/>
          <w:lang w:val="en-GB"/>
        </w:rPr>
        <w:t xml:space="preserve">Which of the following </w:t>
      </w:r>
      <w:r>
        <w:rPr>
          <w:rFonts w:ascii="Arial" w:hAnsi="Arial" w:cs="Arial"/>
          <w:b/>
          <w:bCs/>
          <w:sz w:val="22"/>
          <w:szCs w:val="22"/>
          <w:u w:val="single"/>
          <w:lang w:val="en-GB"/>
        </w:rPr>
        <w:t>oversees</w:t>
      </w:r>
      <w:r>
        <w:rPr>
          <w:rFonts w:ascii="Arial" w:hAnsi="Arial" w:cs="Arial"/>
          <w:sz w:val="22"/>
          <w:szCs w:val="22"/>
          <w:lang w:val="en-GB"/>
        </w:rPr>
        <w:t xml:space="preserve"> a company voluntary </w:t>
      </w:r>
      <w:proofErr w:type="gramStart"/>
      <w:r>
        <w:rPr>
          <w:rFonts w:ascii="Arial" w:hAnsi="Arial" w:cs="Arial"/>
          <w:sz w:val="22"/>
          <w:szCs w:val="22"/>
          <w:lang w:val="en-GB"/>
        </w:rPr>
        <w:t>arrangement:</w:t>
      </w:r>
      <w:proofErr w:type="gramEnd"/>
    </w:p>
    <w:p w14:paraId="0C6B0BB8" w14:textId="77777777" w:rsidR="004B1559" w:rsidRDefault="004B1559">
      <w:pPr>
        <w:jc w:val="both"/>
        <w:rPr>
          <w:rFonts w:ascii="Arial" w:hAnsi="Arial" w:cs="Arial"/>
          <w:sz w:val="22"/>
          <w:szCs w:val="22"/>
          <w:lang w:val="en-GB"/>
        </w:rPr>
      </w:pPr>
    </w:p>
    <w:p w14:paraId="01AD3C08" w14:textId="77777777" w:rsidR="004B1559" w:rsidRDefault="000E6C37">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A director.</w:t>
      </w:r>
    </w:p>
    <w:p w14:paraId="6DE4BC7F" w14:textId="77777777" w:rsidR="004B1559" w:rsidRDefault="004B1559">
      <w:pPr>
        <w:ind w:left="66"/>
        <w:jc w:val="both"/>
        <w:rPr>
          <w:rFonts w:ascii="Arial" w:hAnsi="Arial" w:cs="Arial"/>
          <w:sz w:val="22"/>
          <w:szCs w:val="22"/>
          <w:lang w:val="en-GB"/>
        </w:rPr>
      </w:pPr>
    </w:p>
    <w:p w14:paraId="7B2039D0" w14:textId="77777777" w:rsidR="004B1559" w:rsidRDefault="000E6C37">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Official Receiver.</w:t>
      </w:r>
    </w:p>
    <w:p w14:paraId="1E56E410" w14:textId="77777777" w:rsidR="004B1559" w:rsidRDefault="004B1559">
      <w:pPr>
        <w:ind w:left="66"/>
        <w:jc w:val="both"/>
        <w:rPr>
          <w:rFonts w:ascii="Arial" w:hAnsi="Arial" w:cs="Arial"/>
          <w:sz w:val="22"/>
          <w:szCs w:val="22"/>
          <w:lang w:val="en-GB"/>
        </w:rPr>
      </w:pPr>
    </w:p>
    <w:p w14:paraId="06780B43" w14:textId="77777777" w:rsidR="004B1559" w:rsidRDefault="000E6C37">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Receiver.</w:t>
      </w:r>
    </w:p>
    <w:p w14:paraId="4654CDD3" w14:textId="77777777" w:rsidR="004B1559" w:rsidRDefault="004B1559">
      <w:pPr>
        <w:ind w:left="66"/>
        <w:jc w:val="both"/>
        <w:rPr>
          <w:rFonts w:ascii="Arial" w:hAnsi="Arial" w:cs="Arial"/>
          <w:sz w:val="22"/>
          <w:szCs w:val="22"/>
          <w:lang w:val="en-GB"/>
        </w:rPr>
      </w:pPr>
    </w:p>
    <w:p w14:paraId="3E68F23E" w14:textId="77777777" w:rsidR="004B1559" w:rsidRDefault="000E6C37">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Liquidator.</w:t>
      </w:r>
    </w:p>
    <w:p w14:paraId="5B21FF27" w14:textId="77777777" w:rsidR="004B1559" w:rsidRDefault="004B1559">
      <w:pPr>
        <w:ind w:left="66"/>
        <w:jc w:val="both"/>
        <w:rPr>
          <w:rFonts w:ascii="Arial" w:hAnsi="Arial" w:cs="Arial"/>
          <w:sz w:val="22"/>
          <w:szCs w:val="22"/>
          <w:lang w:val="en-GB"/>
        </w:rPr>
      </w:pPr>
    </w:p>
    <w:p w14:paraId="424651B6" w14:textId="77777777" w:rsidR="004B1559" w:rsidRPr="001879CA" w:rsidRDefault="000E6C37">
      <w:pPr>
        <w:pStyle w:val="ListParagraph"/>
        <w:numPr>
          <w:ilvl w:val="0"/>
          <w:numId w:val="10"/>
        </w:numPr>
        <w:ind w:left="426"/>
        <w:jc w:val="both"/>
        <w:rPr>
          <w:rFonts w:ascii="Arial" w:hAnsi="Arial" w:cs="Arial"/>
          <w:sz w:val="22"/>
          <w:szCs w:val="22"/>
          <w:highlight w:val="yellow"/>
          <w:lang w:val="en-GB"/>
        </w:rPr>
      </w:pPr>
      <w:r w:rsidRPr="001879CA">
        <w:rPr>
          <w:rFonts w:ascii="Arial" w:hAnsi="Arial" w:cs="Arial"/>
          <w:sz w:val="22"/>
          <w:szCs w:val="22"/>
          <w:highlight w:val="yellow"/>
          <w:lang w:val="en-GB"/>
        </w:rPr>
        <w:t>Monitor.</w:t>
      </w:r>
    </w:p>
    <w:p w14:paraId="1EB98517" w14:textId="77777777" w:rsidR="004B1559" w:rsidRDefault="004B1559">
      <w:pPr>
        <w:jc w:val="both"/>
        <w:rPr>
          <w:rFonts w:ascii="Arial" w:hAnsi="Arial" w:cs="Arial"/>
          <w:bCs/>
          <w:sz w:val="22"/>
          <w:szCs w:val="22"/>
          <w:lang w:val="en-GB"/>
        </w:rPr>
      </w:pPr>
    </w:p>
    <w:p w14:paraId="4E339241" w14:textId="77777777" w:rsidR="004B1559" w:rsidRDefault="004B1559">
      <w:pPr>
        <w:jc w:val="both"/>
        <w:rPr>
          <w:rFonts w:ascii="Arial" w:hAnsi="Arial" w:cs="Arial"/>
          <w:bCs/>
          <w:sz w:val="22"/>
          <w:szCs w:val="22"/>
          <w:lang w:val="en-GB"/>
        </w:rPr>
      </w:pPr>
    </w:p>
    <w:p w14:paraId="2B7EABB8" w14:textId="77777777" w:rsidR="004B1559" w:rsidRDefault="000E6C37">
      <w:pPr>
        <w:jc w:val="both"/>
        <w:rPr>
          <w:rFonts w:ascii="Arial" w:hAnsi="Arial" w:cs="Arial"/>
          <w:b/>
          <w:sz w:val="22"/>
          <w:szCs w:val="22"/>
          <w:lang w:val="en-GB"/>
        </w:rPr>
      </w:pPr>
      <w:r>
        <w:rPr>
          <w:rFonts w:ascii="Arial" w:hAnsi="Arial" w:cs="Arial"/>
          <w:b/>
          <w:sz w:val="22"/>
          <w:szCs w:val="22"/>
          <w:lang w:val="en-GB"/>
        </w:rPr>
        <w:t xml:space="preserve">QUESTION 2 (direct questions) [10 marks] </w:t>
      </w:r>
    </w:p>
    <w:p w14:paraId="358E7F19" w14:textId="77777777" w:rsidR="004B1559" w:rsidRDefault="004B1559">
      <w:pPr>
        <w:ind w:left="720" w:hanging="720"/>
        <w:jc w:val="both"/>
        <w:rPr>
          <w:rFonts w:ascii="Arial" w:hAnsi="Arial" w:cs="Arial"/>
          <w:sz w:val="22"/>
          <w:szCs w:val="22"/>
          <w:lang w:val="en-GB"/>
        </w:rPr>
      </w:pPr>
    </w:p>
    <w:p w14:paraId="36AE9FF9" w14:textId="77777777" w:rsidR="004B1559" w:rsidRDefault="000E6C37">
      <w:pPr>
        <w:ind w:left="720" w:hanging="720"/>
        <w:jc w:val="both"/>
        <w:rPr>
          <w:rFonts w:ascii="Arial" w:hAnsi="Arial" w:cs="Arial"/>
          <w:sz w:val="22"/>
          <w:szCs w:val="22"/>
          <w:lang w:val="en-GB"/>
        </w:rPr>
      </w:pPr>
      <w:r>
        <w:rPr>
          <w:rFonts w:ascii="Arial" w:hAnsi="Arial" w:cs="Arial"/>
          <w:b/>
          <w:bCs/>
          <w:sz w:val="22"/>
          <w:szCs w:val="22"/>
          <w:lang w:val="en-GB"/>
        </w:rPr>
        <w:t>Question 2.1</w:t>
      </w:r>
      <w:r>
        <w:rPr>
          <w:rFonts w:ascii="Arial" w:hAnsi="Arial" w:cs="Arial"/>
          <w:b/>
          <w:bCs/>
          <w:sz w:val="22"/>
          <w:szCs w:val="22"/>
          <w:lang w:val="en-GB"/>
        </w:rPr>
        <w:tab/>
        <w:t>[maximum 2 marks]</w:t>
      </w:r>
      <w:r>
        <w:rPr>
          <w:rFonts w:ascii="Arial" w:hAnsi="Arial" w:cs="Arial"/>
          <w:sz w:val="22"/>
          <w:szCs w:val="22"/>
          <w:lang w:val="en-GB"/>
        </w:rPr>
        <w:t xml:space="preserve"> </w:t>
      </w:r>
    </w:p>
    <w:p w14:paraId="643BEEA5" w14:textId="77777777" w:rsidR="004B1559" w:rsidRDefault="004B1559">
      <w:pPr>
        <w:ind w:left="720" w:hanging="720"/>
        <w:jc w:val="both"/>
        <w:rPr>
          <w:rFonts w:ascii="Arial" w:hAnsi="Arial" w:cs="Arial"/>
          <w:sz w:val="22"/>
          <w:szCs w:val="22"/>
          <w:lang w:val="en-GB"/>
        </w:rPr>
      </w:pPr>
    </w:p>
    <w:p w14:paraId="6A3F0BF3" w14:textId="77777777" w:rsidR="004B1559" w:rsidRDefault="000E6C37">
      <w:pPr>
        <w:jc w:val="both"/>
        <w:rPr>
          <w:rFonts w:ascii="Arial" w:hAnsi="Arial" w:cs="Arial"/>
          <w:sz w:val="22"/>
          <w:szCs w:val="22"/>
          <w:lang w:val="en-GB"/>
        </w:rPr>
      </w:pPr>
      <w:r>
        <w:rPr>
          <w:rFonts w:ascii="Arial" w:hAnsi="Arial" w:cs="Arial"/>
          <w:sz w:val="22"/>
          <w:szCs w:val="22"/>
          <w:lang w:val="en-GB"/>
        </w:rPr>
        <w:t>What are the options available to a secured creditor in the event of bankruptcy under the Insolvency Act?</w:t>
      </w:r>
    </w:p>
    <w:p w14:paraId="0FBA6B95" w14:textId="77777777" w:rsidR="004B1559" w:rsidRDefault="004B1559">
      <w:pPr>
        <w:ind w:left="720" w:hanging="720"/>
        <w:jc w:val="both"/>
        <w:rPr>
          <w:rFonts w:ascii="Arial" w:hAnsi="Arial" w:cs="Arial"/>
          <w:sz w:val="22"/>
          <w:szCs w:val="22"/>
          <w:lang w:val="en-GB"/>
        </w:rPr>
      </w:pPr>
    </w:p>
    <w:p w14:paraId="1E415362" w14:textId="77777777" w:rsidR="009809F1" w:rsidRDefault="000E6C3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A71636">
        <w:rPr>
          <w:rFonts w:ascii="Arial" w:hAnsi="Arial" w:cs="Arial"/>
          <w:color w:val="7B7B7B" w:themeColor="accent3" w:themeShade="BF"/>
          <w:sz w:val="22"/>
          <w:szCs w:val="22"/>
          <w:lang w:val="en-GB"/>
        </w:rPr>
        <w:t>The options available to a secured creditor in the event of bankruptcy under the Insolvency Act are set out in sections 226 and 228 of the Act.</w:t>
      </w:r>
      <w:r w:rsidR="009809F1">
        <w:rPr>
          <w:rFonts w:ascii="Arial" w:hAnsi="Arial" w:cs="Arial"/>
          <w:color w:val="7B7B7B" w:themeColor="accent3" w:themeShade="BF"/>
          <w:sz w:val="22"/>
          <w:szCs w:val="22"/>
          <w:lang w:val="en-GB"/>
        </w:rPr>
        <w:t xml:space="preserve"> The options are as follows:</w:t>
      </w:r>
    </w:p>
    <w:p w14:paraId="6F80BAC9" w14:textId="77777777" w:rsidR="009809F1" w:rsidRPr="009809F1" w:rsidRDefault="009809F1" w:rsidP="009809F1">
      <w:pPr>
        <w:pStyle w:val="ListParagraph"/>
        <w:numPr>
          <w:ilvl w:val="0"/>
          <w:numId w:val="13"/>
        </w:numPr>
        <w:jc w:val="both"/>
        <w:rPr>
          <w:rFonts w:ascii="Arial" w:hAnsi="Arial" w:cs="Arial"/>
          <w:sz w:val="22"/>
          <w:szCs w:val="22"/>
          <w:lang w:val="en-GB"/>
        </w:rPr>
      </w:pPr>
      <w:r>
        <w:rPr>
          <w:rFonts w:ascii="Arial" w:hAnsi="Arial" w:cs="Arial"/>
          <w:color w:val="7B7B7B" w:themeColor="accent3" w:themeShade="BF"/>
          <w:sz w:val="22"/>
          <w:szCs w:val="22"/>
          <w:lang w:val="en-GB"/>
        </w:rPr>
        <w:t>Option 1; to realise the property by having it sold (but only if the creditor is entitled to do so under the terms of the charge); or</w:t>
      </w:r>
    </w:p>
    <w:p w14:paraId="23E73714" w14:textId="77777777" w:rsidR="009809F1" w:rsidRPr="009809F1" w:rsidRDefault="009809F1" w:rsidP="009809F1">
      <w:pPr>
        <w:pStyle w:val="ListParagraph"/>
        <w:numPr>
          <w:ilvl w:val="0"/>
          <w:numId w:val="13"/>
        </w:numPr>
        <w:jc w:val="both"/>
        <w:rPr>
          <w:rFonts w:ascii="Arial" w:hAnsi="Arial" w:cs="Arial"/>
          <w:sz w:val="22"/>
          <w:szCs w:val="22"/>
          <w:lang w:val="en-GB"/>
        </w:rPr>
      </w:pPr>
      <w:r>
        <w:rPr>
          <w:rFonts w:ascii="Arial" w:hAnsi="Arial" w:cs="Arial"/>
          <w:color w:val="7B7B7B" w:themeColor="accent3" w:themeShade="BF"/>
          <w:sz w:val="22"/>
          <w:szCs w:val="22"/>
          <w:lang w:val="en-GB"/>
        </w:rPr>
        <w:t>Option 2; to have the property valued and prove in the bankruptcy as an unsecured creditor for the balance due (if any) after deducting the amount of the valuation;</w:t>
      </w:r>
    </w:p>
    <w:p w14:paraId="7DBDE1BB" w14:textId="2D6E6AD8" w:rsidR="004B1559" w:rsidRPr="009809F1" w:rsidRDefault="009809F1" w:rsidP="009809F1">
      <w:pPr>
        <w:pStyle w:val="ListParagraph"/>
        <w:numPr>
          <w:ilvl w:val="0"/>
          <w:numId w:val="13"/>
        </w:numPr>
        <w:jc w:val="both"/>
        <w:rPr>
          <w:rFonts w:ascii="Arial" w:hAnsi="Arial" w:cs="Arial"/>
          <w:sz w:val="22"/>
          <w:szCs w:val="22"/>
          <w:lang w:val="en-GB"/>
        </w:rPr>
      </w:pPr>
      <w:r>
        <w:rPr>
          <w:rFonts w:ascii="Arial" w:hAnsi="Arial" w:cs="Arial"/>
          <w:color w:val="7B7B7B" w:themeColor="accent3" w:themeShade="BF"/>
          <w:sz w:val="22"/>
          <w:szCs w:val="22"/>
          <w:lang w:val="en-GB"/>
        </w:rPr>
        <w:lastRenderedPageBreak/>
        <w:t>Option 3; to surrender the charge to the bankruptcy trustee for the general benefit of the creditors and prove in the bankruptcy as an unsecured creditor for the whole debts.</w:t>
      </w:r>
      <w:r>
        <w:rPr>
          <w:rStyle w:val="FootnoteReference"/>
          <w:rFonts w:ascii="Arial" w:hAnsi="Arial" w:cs="Arial"/>
          <w:color w:val="7B7B7B" w:themeColor="accent3" w:themeShade="BF"/>
          <w:sz w:val="22"/>
          <w:szCs w:val="22"/>
          <w:lang w:val="en-GB"/>
        </w:rPr>
        <w:footnoteReference w:id="1"/>
      </w:r>
      <w:r w:rsidR="00A71636" w:rsidRPr="009809F1">
        <w:rPr>
          <w:rFonts w:ascii="Arial" w:hAnsi="Arial" w:cs="Arial"/>
          <w:color w:val="7B7B7B" w:themeColor="accent3" w:themeShade="BF"/>
          <w:sz w:val="22"/>
          <w:szCs w:val="22"/>
          <w:lang w:val="en-GB"/>
        </w:rPr>
        <w:t xml:space="preserve"> </w:t>
      </w:r>
      <w:r w:rsidR="000E6C37" w:rsidRPr="009809F1">
        <w:rPr>
          <w:rFonts w:ascii="Arial" w:hAnsi="Arial" w:cs="Arial"/>
          <w:color w:val="7B7B7B" w:themeColor="accent3" w:themeShade="BF"/>
          <w:sz w:val="22"/>
          <w:szCs w:val="22"/>
          <w:lang w:val="en-GB"/>
        </w:rPr>
        <w:t>]</w:t>
      </w:r>
    </w:p>
    <w:p w14:paraId="55C99333" w14:textId="3120DFE6" w:rsidR="0064559F" w:rsidRDefault="0064559F">
      <w:pPr>
        <w:jc w:val="both"/>
        <w:rPr>
          <w:rFonts w:ascii="Arial" w:hAnsi="Arial" w:cs="Arial"/>
          <w:sz w:val="22"/>
          <w:szCs w:val="22"/>
        </w:rPr>
      </w:pPr>
    </w:p>
    <w:p w14:paraId="696DACC5" w14:textId="7E84AB37" w:rsidR="00AC49BF" w:rsidRDefault="0064559F">
      <w:pPr>
        <w:jc w:val="both"/>
        <w:rPr>
          <w:rFonts w:ascii="Arial" w:hAnsi="Arial" w:cs="Arial"/>
          <w:sz w:val="22"/>
          <w:szCs w:val="22"/>
        </w:rPr>
      </w:pPr>
      <w:r>
        <w:rPr>
          <w:rFonts w:ascii="Arial" w:hAnsi="Arial" w:cs="Arial"/>
          <w:sz w:val="22"/>
          <w:szCs w:val="22"/>
        </w:rPr>
        <w:t xml:space="preserve">The Kenya Insolvency Act (the Act) however provides that the bankruptcy trustee may, at any time by Notice, require the secured creditor who holds a charge over a bankrupt’s property to choose any of the options within 30 days after receipt of the </w:t>
      </w:r>
      <w:r w:rsidR="00964532">
        <w:rPr>
          <w:rFonts w:ascii="Arial" w:hAnsi="Arial" w:cs="Arial"/>
          <w:sz w:val="22"/>
          <w:szCs w:val="22"/>
        </w:rPr>
        <w:t>notice, and if the creditor chooses option 2 or option 3, to exercise the chosen option within that period.</w:t>
      </w:r>
      <w:r w:rsidR="00964532">
        <w:rPr>
          <w:rStyle w:val="FootnoteReference"/>
          <w:rFonts w:ascii="Arial" w:hAnsi="Arial" w:cs="Arial"/>
          <w:sz w:val="22"/>
          <w:szCs w:val="22"/>
        </w:rPr>
        <w:footnoteReference w:id="2"/>
      </w:r>
      <w:r>
        <w:rPr>
          <w:rFonts w:ascii="Arial" w:hAnsi="Arial" w:cs="Arial"/>
          <w:sz w:val="22"/>
          <w:szCs w:val="22"/>
        </w:rPr>
        <w:t xml:space="preserve"> </w:t>
      </w:r>
      <w:r w:rsidR="00964532">
        <w:rPr>
          <w:rFonts w:ascii="Arial" w:hAnsi="Arial" w:cs="Arial"/>
          <w:sz w:val="22"/>
          <w:szCs w:val="22"/>
        </w:rPr>
        <w:t xml:space="preserve">A creditor who, having been served with a notice, fails to comply with the notice is taken to have </w:t>
      </w:r>
      <w:r w:rsidR="00043961">
        <w:rPr>
          <w:rFonts w:ascii="Arial" w:hAnsi="Arial" w:cs="Arial"/>
          <w:sz w:val="22"/>
          <w:szCs w:val="22"/>
        </w:rPr>
        <w:t>surrendered the charge to the bankruptcy trustee under option 3 for the general benefit of the creditors in which case the creditor may prove as an unsecured creditor for the whole debt.</w:t>
      </w:r>
      <w:r w:rsidR="002D026E">
        <w:rPr>
          <w:rFonts w:ascii="Arial" w:hAnsi="Arial" w:cs="Arial"/>
          <w:sz w:val="22"/>
          <w:szCs w:val="22"/>
        </w:rPr>
        <w:t xml:space="preserve"> Under section 228 of the Act, a creditor who realizes property that is subject to a cha</w:t>
      </w:r>
      <w:r w:rsidR="008D3C63">
        <w:rPr>
          <w:rFonts w:ascii="Arial" w:hAnsi="Arial" w:cs="Arial"/>
          <w:sz w:val="22"/>
          <w:szCs w:val="22"/>
        </w:rPr>
        <w:t>r</w:t>
      </w:r>
      <w:r w:rsidR="002D026E">
        <w:rPr>
          <w:rFonts w:ascii="Arial" w:hAnsi="Arial" w:cs="Arial"/>
          <w:sz w:val="22"/>
          <w:szCs w:val="22"/>
        </w:rPr>
        <w:t>ge may prove as an unsecured creditor for any balance due after deducting the net amount realized. This does not however apply if the bankruptcy trustee has accepted a valuation and creditor’s claim under section 231 of the Act.</w:t>
      </w:r>
      <w:r w:rsidR="00D60A35">
        <w:rPr>
          <w:rFonts w:ascii="Arial" w:hAnsi="Arial" w:cs="Arial"/>
          <w:sz w:val="22"/>
          <w:szCs w:val="22"/>
        </w:rPr>
        <w:t xml:space="preserve"> A secured creditor who realizes property subject to a charge shall account to the bankruptcy trustee for any surplus remaining after the following amounts have been paid;</w:t>
      </w:r>
    </w:p>
    <w:p w14:paraId="56383CCC" w14:textId="77777777" w:rsidR="00AC49BF" w:rsidRDefault="00AC49BF" w:rsidP="00AC49BF">
      <w:pPr>
        <w:pStyle w:val="ListParagraph"/>
        <w:numPr>
          <w:ilvl w:val="0"/>
          <w:numId w:val="14"/>
        </w:numPr>
        <w:jc w:val="both"/>
        <w:rPr>
          <w:rFonts w:ascii="Arial" w:hAnsi="Arial" w:cs="Arial"/>
          <w:sz w:val="22"/>
          <w:szCs w:val="22"/>
        </w:rPr>
      </w:pPr>
      <w:r>
        <w:rPr>
          <w:rFonts w:ascii="Arial" w:hAnsi="Arial" w:cs="Arial"/>
          <w:sz w:val="22"/>
          <w:szCs w:val="22"/>
        </w:rPr>
        <w:t>The amount of the debt;</w:t>
      </w:r>
    </w:p>
    <w:p w14:paraId="08C01BE2" w14:textId="77777777" w:rsidR="00562736" w:rsidRDefault="004B2AB4" w:rsidP="00AC49BF">
      <w:pPr>
        <w:pStyle w:val="ListParagraph"/>
        <w:numPr>
          <w:ilvl w:val="0"/>
          <w:numId w:val="14"/>
        </w:numPr>
        <w:jc w:val="both"/>
        <w:rPr>
          <w:rFonts w:ascii="Arial" w:hAnsi="Arial" w:cs="Arial"/>
          <w:sz w:val="22"/>
          <w:szCs w:val="22"/>
        </w:rPr>
      </w:pPr>
      <w:r>
        <w:rPr>
          <w:rFonts w:ascii="Arial" w:hAnsi="Arial" w:cs="Arial"/>
          <w:sz w:val="22"/>
          <w:szCs w:val="22"/>
        </w:rPr>
        <w:t>Interest payable on the debt up to the time when it is paid;</w:t>
      </w:r>
    </w:p>
    <w:p w14:paraId="553A4243" w14:textId="314A6996" w:rsidR="0064559F" w:rsidRDefault="00562736" w:rsidP="00AC49BF">
      <w:pPr>
        <w:pStyle w:val="ListParagraph"/>
        <w:numPr>
          <w:ilvl w:val="0"/>
          <w:numId w:val="14"/>
        </w:numPr>
        <w:jc w:val="both"/>
        <w:rPr>
          <w:rFonts w:ascii="Arial" w:hAnsi="Arial" w:cs="Arial"/>
          <w:sz w:val="22"/>
          <w:szCs w:val="22"/>
        </w:rPr>
      </w:pPr>
      <w:r>
        <w:rPr>
          <w:rFonts w:ascii="Arial" w:hAnsi="Arial" w:cs="Arial"/>
          <w:sz w:val="22"/>
          <w:szCs w:val="22"/>
        </w:rPr>
        <w:t>Any proper payments to the holder of any other charge over the property.</w:t>
      </w:r>
      <w:r>
        <w:rPr>
          <w:rStyle w:val="FootnoteReference"/>
          <w:rFonts w:ascii="Arial" w:hAnsi="Arial" w:cs="Arial"/>
          <w:sz w:val="22"/>
          <w:szCs w:val="22"/>
        </w:rPr>
        <w:footnoteReference w:id="3"/>
      </w:r>
      <w:r w:rsidR="002D026E" w:rsidRPr="00AC49BF">
        <w:rPr>
          <w:rFonts w:ascii="Arial" w:hAnsi="Arial" w:cs="Arial"/>
          <w:sz w:val="22"/>
          <w:szCs w:val="22"/>
        </w:rPr>
        <w:t xml:space="preserve"> </w:t>
      </w:r>
    </w:p>
    <w:p w14:paraId="0EC169C0" w14:textId="5622F3DD" w:rsidR="007E757E" w:rsidRDefault="007E757E" w:rsidP="007E757E">
      <w:pPr>
        <w:jc w:val="both"/>
        <w:rPr>
          <w:rFonts w:ascii="Arial" w:hAnsi="Arial" w:cs="Arial"/>
          <w:sz w:val="22"/>
          <w:szCs w:val="22"/>
        </w:rPr>
      </w:pPr>
    </w:p>
    <w:p w14:paraId="15F2390F" w14:textId="210092F4" w:rsidR="007E757E" w:rsidRPr="007E757E" w:rsidRDefault="007E757E" w:rsidP="007E757E">
      <w:pPr>
        <w:jc w:val="both"/>
        <w:rPr>
          <w:rFonts w:ascii="Arial" w:hAnsi="Arial" w:cs="Arial"/>
          <w:sz w:val="22"/>
          <w:szCs w:val="22"/>
        </w:rPr>
      </w:pPr>
      <w:r>
        <w:rPr>
          <w:rFonts w:ascii="Arial" w:hAnsi="Arial" w:cs="Arial"/>
          <w:sz w:val="22"/>
          <w:szCs w:val="22"/>
        </w:rPr>
        <w:t>A creditor may claim interest on the debt up to the date on which the bankruptcy commences. Where the debt relates to a contract, interest is levied at the rate specified in the contract and where the debt is with respect to a judgment debt, then the interest is at the rate payable on the debt or the court rate (currently at 14%)</w:t>
      </w:r>
      <w:r w:rsidR="00D26267">
        <w:rPr>
          <w:rFonts w:ascii="Arial" w:hAnsi="Arial" w:cs="Arial"/>
          <w:sz w:val="22"/>
          <w:szCs w:val="22"/>
        </w:rPr>
        <w:t xml:space="preserve"> if the contract does not provide an interest rate. Note however that the bankruptcy trustee can only pay interest on the allowed creditors’ claims, if surplus assets remain after the bankruptcy trustee has paid the claims of the other creditors in full.</w:t>
      </w:r>
      <w:r w:rsidR="00D26267">
        <w:rPr>
          <w:rStyle w:val="FootnoteReference"/>
          <w:rFonts w:ascii="Arial" w:hAnsi="Arial" w:cs="Arial"/>
          <w:sz w:val="22"/>
          <w:szCs w:val="22"/>
        </w:rPr>
        <w:footnoteReference w:id="4"/>
      </w:r>
    </w:p>
    <w:p w14:paraId="57F328C1" w14:textId="77777777" w:rsidR="004B1559" w:rsidRDefault="004B1559">
      <w:pPr>
        <w:jc w:val="both"/>
        <w:rPr>
          <w:rFonts w:ascii="Arial" w:hAnsi="Arial" w:cs="Arial"/>
          <w:sz w:val="22"/>
          <w:szCs w:val="22"/>
        </w:rPr>
      </w:pPr>
    </w:p>
    <w:p w14:paraId="637A03AC" w14:textId="77777777" w:rsidR="004B1559" w:rsidRDefault="004B1559">
      <w:pPr>
        <w:jc w:val="both"/>
        <w:rPr>
          <w:rFonts w:ascii="Arial" w:hAnsi="Arial" w:cs="Arial"/>
          <w:sz w:val="22"/>
          <w:szCs w:val="22"/>
        </w:rPr>
      </w:pPr>
    </w:p>
    <w:p w14:paraId="5AEBDAEA" w14:textId="77777777" w:rsidR="004B1559" w:rsidRDefault="004B1559">
      <w:pPr>
        <w:jc w:val="both"/>
        <w:rPr>
          <w:rFonts w:ascii="Arial" w:hAnsi="Arial" w:cs="Arial"/>
          <w:sz w:val="22"/>
          <w:szCs w:val="22"/>
        </w:rPr>
      </w:pPr>
    </w:p>
    <w:p w14:paraId="253A1F65" w14:textId="77777777" w:rsidR="004B1559" w:rsidRDefault="000E6C37">
      <w:pPr>
        <w:ind w:left="720" w:hanging="720"/>
        <w:jc w:val="both"/>
        <w:rPr>
          <w:rFonts w:ascii="Arial" w:hAnsi="Arial" w:cs="Arial"/>
          <w:b/>
          <w:bCs/>
          <w:sz w:val="22"/>
          <w:szCs w:val="22"/>
        </w:rPr>
      </w:pPr>
      <w:r>
        <w:rPr>
          <w:rFonts w:ascii="Arial" w:hAnsi="Arial" w:cs="Arial"/>
          <w:b/>
          <w:bCs/>
          <w:sz w:val="22"/>
          <w:szCs w:val="22"/>
        </w:rPr>
        <w:t>Question 2.2</w:t>
      </w:r>
      <w:r>
        <w:rPr>
          <w:rFonts w:ascii="Arial" w:hAnsi="Arial" w:cs="Arial"/>
          <w:b/>
          <w:bCs/>
          <w:sz w:val="22"/>
          <w:szCs w:val="22"/>
        </w:rPr>
        <w:tab/>
        <w:t>[maximum 4 marks]</w:t>
      </w:r>
      <w:r>
        <w:rPr>
          <w:rFonts w:ascii="Arial" w:hAnsi="Arial" w:cs="Arial"/>
          <w:sz w:val="22"/>
          <w:szCs w:val="22"/>
        </w:rPr>
        <w:t xml:space="preserve"> </w:t>
      </w:r>
    </w:p>
    <w:p w14:paraId="41D33E1B" w14:textId="77777777" w:rsidR="004B1559" w:rsidRDefault="004B1559">
      <w:pPr>
        <w:ind w:left="720" w:hanging="720"/>
        <w:jc w:val="both"/>
        <w:rPr>
          <w:rFonts w:ascii="Arial" w:hAnsi="Arial" w:cs="Arial"/>
          <w:sz w:val="22"/>
          <w:szCs w:val="22"/>
        </w:rPr>
      </w:pPr>
    </w:p>
    <w:p w14:paraId="60027889" w14:textId="77777777" w:rsidR="004B1559" w:rsidRDefault="000E6C37">
      <w:pPr>
        <w:jc w:val="both"/>
        <w:rPr>
          <w:rFonts w:ascii="Arial" w:hAnsi="Arial" w:cs="Arial"/>
          <w:sz w:val="22"/>
          <w:szCs w:val="22"/>
          <w:lang w:val="en-GB"/>
        </w:rPr>
      </w:pPr>
      <w:r>
        <w:rPr>
          <w:rFonts w:ascii="Arial" w:hAnsi="Arial" w:cs="Arial"/>
          <w:sz w:val="22"/>
          <w:szCs w:val="22"/>
          <w:lang w:val="en-GB"/>
        </w:rPr>
        <w:t>What are the grounds for the automatic discharge of a bankrupt? Does the automatic discharge have exceptions? If so, what are these exceptions?</w:t>
      </w:r>
    </w:p>
    <w:p w14:paraId="59D6FABB" w14:textId="77777777" w:rsidR="004B1559" w:rsidRDefault="004B1559">
      <w:pPr>
        <w:ind w:left="720" w:hanging="720"/>
        <w:jc w:val="both"/>
        <w:rPr>
          <w:rFonts w:ascii="Arial" w:hAnsi="Arial" w:cs="Arial"/>
          <w:sz w:val="22"/>
          <w:szCs w:val="22"/>
        </w:rPr>
      </w:pPr>
    </w:p>
    <w:p w14:paraId="49EBAECA" w14:textId="77777777" w:rsidR="008B5E2A" w:rsidRDefault="000E6C37">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w:t>
      </w:r>
      <w:r w:rsidR="00A441CD">
        <w:rPr>
          <w:rFonts w:ascii="Arial" w:hAnsi="Arial" w:cs="Arial"/>
          <w:color w:val="7B7B7B" w:themeColor="accent3" w:themeShade="BF"/>
          <w:sz w:val="22"/>
          <w:szCs w:val="22"/>
        </w:rPr>
        <w:t xml:space="preserve"> The grounds for the automatic discharge of a bankrupt is set out in section 254 of the Insolvency Act, 2015. By the provision of the section, a bankrupt is automatically discharged from bankruptcy three years after the bankrupt lodged a statement of the bankrupt’s financial position in accordance with section 50 of the Act</w:t>
      </w:r>
      <w:r w:rsidR="00A441CD">
        <w:rPr>
          <w:rStyle w:val="FootnoteReference"/>
          <w:rFonts w:ascii="Arial" w:hAnsi="Arial" w:cs="Arial"/>
          <w:color w:val="7B7B7B" w:themeColor="accent3" w:themeShade="BF"/>
          <w:sz w:val="22"/>
          <w:szCs w:val="22"/>
        </w:rPr>
        <w:footnoteReference w:id="5"/>
      </w:r>
      <w:r w:rsidR="00A441CD">
        <w:rPr>
          <w:rFonts w:ascii="Arial" w:hAnsi="Arial" w:cs="Arial"/>
          <w:color w:val="7B7B7B" w:themeColor="accent3" w:themeShade="BF"/>
          <w:sz w:val="22"/>
          <w:szCs w:val="22"/>
        </w:rPr>
        <w:t>, but may apply to be discharged</w:t>
      </w:r>
      <w:r w:rsidR="00E102BD">
        <w:rPr>
          <w:rStyle w:val="FootnoteReference"/>
          <w:rFonts w:ascii="Arial" w:hAnsi="Arial" w:cs="Arial"/>
          <w:color w:val="7B7B7B" w:themeColor="accent3" w:themeShade="BF"/>
          <w:sz w:val="22"/>
          <w:szCs w:val="22"/>
        </w:rPr>
        <w:footnoteReference w:id="6"/>
      </w:r>
      <w:r w:rsidR="00E102BD">
        <w:rPr>
          <w:rFonts w:ascii="Arial" w:hAnsi="Arial" w:cs="Arial"/>
          <w:color w:val="7B7B7B" w:themeColor="accent3" w:themeShade="BF"/>
          <w:sz w:val="22"/>
          <w:szCs w:val="22"/>
        </w:rPr>
        <w:t>,</w:t>
      </w:r>
      <w:r w:rsidR="00A441CD">
        <w:rPr>
          <w:rFonts w:ascii="Arial" w:hAnsi="Arial" w:cs="Arial"/>
          <w:color w:val="7B7B7B" w:themeColor="accent3" w:themeShade="BF"/>
          <w:sz w:val="22"/>
          <w:szCs w:val="22"/>
        </w:rPr>
        <w:t xml:space="preserve"> earlier.</w:t>
      </w:r>
    </w:p>
    <w:p w14:paraId="062795E0" w14:textId="750E3F24" w:rsidR="008B5E2A" w:rsidRDefault="008B5E2A">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Yes, the automatic discharge has exceptions, and these exceptions are set out in section 254(2) of the Insolvency Act as follows;</w:t>
      </w:r>
    </w:p>
    <w:p w14:paraId="3E99401D" w14:textId="44C64587" w:rsidR="008B5E2A" w:rsidRDefault="008B5E2A" w:rsidP="008B5E2A">
      <w:pPr>
        <w:pStyle w:val="ListParagraph"/>
        <w:numPr>
          <w:ilvl w:val="0"/>
          <w:numId w:val="1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If the bankruptcy trustee or a creditor has objected under section 256 and the objection has not been withdrawn by the end of the three</w:t>
      </w:r>
      <w:r w:rsidR="009B58C7">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year period </w:t>
      </w:r>
      <w:r w:rsidR="009B58C7">
        <w:rPr>
          <w:rFonts w:ascii="Arial" w:hAnsi="Arial" w:cs="Arial"/>
          <w:color w:val="7B7B7B" w:themeColor="accent3" w:themeShade="BF"/>
          <w:sz w:val="22"/>
          <w:szCs w:val="22"/>
        </w:rPr>
        <w:t>referred to above;</w:t>
      </w:r>
    </w:p>
    <w:p w14:paraId="2489B53F" w14:textId="77777777" w:rsidR="007477DB" w:rsidRDefault="009B58C7" w:rsidP="007477DB">
      <w:pPr>
        <w:pStyle w:val="ListParagraph"/>
        <w:numPr>
          <w:ilvl w:val="0"/>
          <w:numId w:val="1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If the bankrupt has to be publicly examined in accordance with section 180</w:t>
      </w:r>
      <w:r>
        <w:rPr>
          <w:rStyle w:val="FootnoteReference"/>
          <w:rFonts w:ascii="Arial" w:hAnsi="Arial" w:cs="Arial"/>
          <w:color w:val="7B7B7B" w:themeColor="accent3" w:themeShade="BF"/>
          <w:sz w:val="22"/>
          <w:szCs w:val="22"/>
        </w:rPr>
        <w:footnoteReference w:id="7"/>
      </w:r>
      <w:r w:rsidR="00B87630">
        <w:rPr>
          <w:rFonts w:ascii="Arial" w:hAnsi="Arial" w:cs="Arial"/>
          <w:color w:val="7B7B7B" w:themeColor="accent3" w:themeShade="BF"/>
          <w:sz w:val="22"/>
          <w:szCs w:val="22"/>
        </w:rPr>
        <w:t xml:space="preserve"> and has not completed that examination; or</w:t>
      </w:r>
    </w:p>
    <w:p w14:paraId="275DC568" w14:textId="1DC187F6" w:rsidR="004B1559" w:rsidRPr="007477DB" w:rsidRDefault="00B87630" w:rsidP="007477DB">
      <w:pPr>
        <w:pStyle w:val="ListParagraph"/>
        <w:numPr>
          <w:ilvl w:val="0"/>
          <w:numId w:val="16"/>
        </w:numPr>
        <w:jc w:val="both"/>
        <w:rPr>
          <w:rFonts w:ascii="Arial" w:hAnsi="Arial" w:cs="Arial"/>
          <w:color w:val="7B7B7B" w:themeColor="accent3" w:themeShade="BF"/>
          <w:sz w:val="22"/>
          <w:szCs w:val="22"/>
        </w:rPr>
      </w:pPr>
      <w:r w:rsidRPr="007477DB">
        <w:rPr>
          <w:rFonts w:ascii="Arial" w:hAnsi="Arial" w:cs="Arial"/>
          <w:color w:val="7B7B7B" w:themeColor="accent3" w:themeShade="BF"/>
          <w:sz w:val="22"/>
          <w:szCs w:val="22"/>
        </w:rPr>
        <w:t>If the bankrupt is undischarged from an earlier bankrupt</w:t>
      </w:r>
      <w:r w:rsidR="003D61DC" w:rsidRPr="007477DB">
        <w:rPr>
          <w:rFonts w:ascii="Arial" w:hAnsi="Arial" w:cs="Arial"/>
          <w:color w:val="7B7B7B" w:themeColor="accent3" w:themeShade="BF"/>
          <w:sz w:val="22"/>
          <w:szCs w:val="22"/>
        </w:rPr>
        <w:t>cy</w:t>
      </w:r>
      <w:r w:rsidRPr="007477DB">
        <w:rPr>
          <w:rFonts w:ascii="Arial" w:hAnsi="Arial" w:cs="Arial"/>
          <w:color w:val="7B7B7B" w:themeColor="accent3" w:themeShade="BF"/>
          <w:sz w:val="22"/>
          <w:szCs w:val="22"/>
        </w:rPr>
        <w:t>.</w:t>
      </w:r>
      <w:r w:rsidR="000E6C37" w:rsidRPr="007477DB">
        <w:rPr>
          <w:rFonts w:ascii="Arial" w:hAnsi="Arial" w:cs="Arial"/>
          <w:color w:val="7B7B7B" w:themeColor="accent3" w:themeShade="BF"/>
          <w:sz w:val="22"/>
          <w:szCs w:val="22"/>
        </w:rPr>
        <w:t>]</w:t>
      </w:r>
    </w:p>
    <w:p w14:paraId="536AE8B8" w14:textId="77777777" w:rsidR="004B1559" w:rsidRDefault="004B1559">
      <w:pPr>
        <w:ind w:left="720" w:hanging="720"/>
        <w:jc w:val="both"/>
        <w:rPr>
          <w:rFonts w:ascii="Arial" w:hAnsi="Arial" w:cs="Arial"/>
          <w:sz w:val="22"/>
          <w:szCs w:val="22"/>
          <w:lang w:val="en-GB"/>
        </w:rPr>
      </w:pPr>
    </w:p>
    <w:p w14:paraId="476EAEB0" w14:textId="77777777" w:rsidR="004B1559" w:rsidRDefault="004B1559">
      <w:pPr>
        <w:ind w:left="720" w:hanging="720"/>
        <w:jc w:val="both"/>
        <w:rPr>
          <w:rFonts w:ascii="Arial" w:hAnsi="Arial" w:cs="Arial"/>
          <w:sz w:val="22"/>
          <w:szCs w:val="22"/>
          <w:lang w:val="en-GB"/>
        </w:rPr>
      </w:pPr>
    </w:p>
    <w:p w14:paraId="7C307997" w14:textId="77777777" w:rsidR="004B1559" w:rsidRDefault="000E6C37">
      <w:pPr>
        <w:ind w:left="720" w:hanging="720"/>
        <w:jc w:val="both"/>
        <w:rPr>
          <w:rFonts w:ascii="Arial" w:hAnsi="Arial" w:cs="Arial"/>
          <w:b/>
          <w:bCs/>
          <w:sz w:val="22"/>
          <w:szCs w:val="22"/>
          <w:lang w:val="en-GB"/>
        </w:rPr>
      </w:pPr>
      <w:r>
        <w:rPr>
          <w:rFonts w:ascii="Arial" w:hAnsi="Arial" w:cs="Arial"/>
          <w:b/>
          <w:bCs/>
          <w:sz w:val="22"/>
          <w:szCs w:val="22"/>
          <w:lang w:val="en-GB"/>
        </w:rPr>
        <w:t>Question 2.3</w:t>
      </w:r>
      <w:r>
        <w:rPr>
          <w:rFonts w:ascii="Arial" w:hAnsi="Arial" w:cs="Arial"/>
          <w:b/>
          <w:bCs/>
          <w:sz w:val="22"/>
          <w:szCs w:val="22"/>
          <w:lang w:val="en-GB"/>
        </w:rPr>
        <w:tab/>
        <w:t xml:space="preserve">[maximum 4 marks] </w:t>
      </w:r>
    </w:p>
    <w:p w14:paraId="6AB58605" w14:textId="77777777" w:rsidR="004B1559" w:rsidRDefault="004B1559">
      <w:pPr>
        <w:ind w:left="720" w:hanging="720"/>
        <w:jc w:val="both"/>
        <w:rPr>
          <w:rFonts w:ascii="Arial" w:hAnsi="Arial" w:cs="Arial"/>
          <w:b/>
          <w:bCs/>
          <w:sz w:val="22"/>
          <w:szCs w:val="22"/>
          <w:lang w:val="en-GB"/>
        </w:rPr>
      </w:pPr>
    </w:p>
    <w:p w14:paraId="50E36ADF" w14:textId="77777777" w:rsidR="004B1559" w:rsidRDefault="000E6C37">
      <w:pPr>
        <w:ind w:left="720" w:hanging="720"/>
        <w:jc w:val="both"/>
        <w:rPr>
          <w:rFonts w:ascii="Arial" w:hAnsi="Arial" w:cs="Arial"/>
          <w:sz w:val="22"/>
          <w:szCs w:val="22"/>
          <w:lang w:val="en-GB"/>
        </w:rPr>
      </w:pPr>
      <w:r>
        <w:rPr>
          <w:rFonts w:ascii="Arial" w:hAnsi="Arial" w:cs="Arial"/>
          <w:sz w:val="22"/>
          <w:szCs w:val="22"/>
          <w:lang w:val="en-GB"/>
        </w:rPr>
        <w:t xml:space="preserve">What are the </w:t>
      </w:r>
      <w:r>
        <w:rPr>
          <w:rFonts w:ascii="Arial" w:hAnsi="Arial" w:cs="Arial"/>
          <w:b/>
          <w:bCs/>
          <w:sz w:val="22"/>
          <w:szCs w:val="22"/>
          <w:u w:val="single"/>
          <w:lang w:val="en-GB"/>
        </w:rPr>
        <w:t>objectives</w:t>
      </w:r>
      <w:r>
        <w:rPr>
          <w:rFonts w:ascii="Arial" w:hAnsi="Arial" w:cs="Arial"/>
          <w:sz w:val="22"/>
          <w:szCs w:val="22"/>
          <w:lang w:val="en-GB"/>
        </w:rPr>
        <w:t xml:space="preserve"> of the administration procedure under the Insolvency Act?</w:t>
      </w:r>
    </w:p>
    <w:p w14:paraId="3F87CCEC" w14:textId="77777777" w:rsidR="004B1559" w:rsidRDefault="004B1559">
      <w:pPr>
        <w:ind w:left="720" w:hanging="720"/>
        <w:jc w:val="both"/>
        <w:rPr>
          <w:rFonts w:ascii="Arial" w:hAnsi="Arial" w:cs="Arial"/>
          <w:sz w:val="22"/>
          <w:szCs w:val="22"/>
          <w:lang w:val="en-GB"/>
        </w:rPr>
      </w:pPr>
    </w:p>
    <w:p w14:paraId="361C2164" w14:textId="77777777" w:rsidR="00025E05" w:rsidRDefault="000E6C3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025E05">
        <w:rPr>
          <w:rFonts w:ascii="Arial" w:hAnsi="Arial" w:cs="Arial"/>
          <w:color w:val="7B7B7B" w:themeColor="accent3" w:themeShade="BF"/>
          <w:sz w:val="22"/>
          <w:szCs w:val="22"/>
          <w:lang w:val="en-GB"/>
        </w:rPr>
        <w:t xml:space="preserve"> The objectives of the administration procedure under the Insolvency Act are set out in Section 522 of the Act as follows; </w:t>
      </w:r>
    </w:p>
    <w:p w14:paraId="41B1C801" w14:textId="77777777" w:rsidR="00025E05" w:rsidRPr="00025E05" w:rsidRDefault="00025E05" w:rsidP="00025E05">
      <w:pPr>
        <w:pStyle w:val="ListParagraph"/>
        <w:numPr>
          <w:ilvl w:val="0"/>
          <w:numId w:val="17"/>
        </w:numPr>
        <w:jc w:val="both"/>
        <w:rPr>
          <w:rFonts w:ascii="Arial" w:hAnsi="Arial" w:cs="Arial"/>
          <w:sz w:val="22"/>
          <w:szCs w:val="22"/>
          <w:lang w:val="en-GB"/>
        </w:rPr>
      </w:pPr>
      <w:r>
        <w:rPr>
          <w:rFonts w:ascii="Arial" w:hAnsi="Arial" w:cs="Arial"/>
          <w:color w:val="7B7B7B" w:themeColor="accent3" w:themeShade="BF"/>
          <w:sz w:val="22"/>
          <w:szCs w:val="22"/>
          <w:lang w:val="en-GB"/>
        </w:rPr>
        <w:t>To maintain the company as a going concern;</w:t>
      </w:r>
    </w:p>
    <w:p w14:paraId="5E936A3B" w14:textId="77777777" w:rsidR="00025E05" w:rsidRPr="00025E05" w:rsidRDefault="00025E05" w:rsidP="00025E05">
      <w:pPr>
        <w:pStyle w:val="ListParagraph"/>
        <w:numPr>
          <w:ilvl w:val="0"/>
          <w:numId w:val="17"/>
        </w:numPr>
        <w:jc w:val="both"/>
        <w:rPr>
          <w:rFonts w:ascii="Arial" w:hAnsi="Arial" w:cs="Arial"/>
          <w:sz w:val="22"/>
          <w:szCs w:val="22"/>
          <w:lang w:val="en-GB"/>
        </w:rPr>
      </w:pPr>
      <w:r>
        <w:rPr>
          <w:rFonts w:ascii="Arial" w:hAnsi="Arial" w:cs="Arial"/>
          <w:color w:val="7B7B7B" w:themeColor="accent3" w:themeShade="BF"/>
          <w:sz w:val="22"/>
          <w:szCs w:val="22"/>
          <w:lang w:val="en-GB"/>
        </w:rPr>
        <w:t xml:space="preserve">To achieve a better outcome for the company’s creditor as a whole than would likely to be the case if the company were liquidated (without first being under administration); </w:t>
      </w:r>
    </w:p>
    <w:p w14:paraId="3B85B26C" w14:textId="77777777" w:rsidR="00025E05" w:rsidRPr="00025E05" w:rsidRDefault="00025E05" w:rsidP="00025E05">
      <w:pPr>
        <w:pStyle w:val="ListParagraph"/>
        <w:numPr>
          <w:ilvl w:val="0"/>
          <w:numId w:val="17"/>
        </w:numPr>
        <w:jc w:val="both"/>
        <w:rPr>
          <w:rFonts w:ascii="Arial" w:hAnsi="Arial" w:cs="Arial"/>
          <w:sz w:val="22"/>
          <w:szCs w:val="22"/>
          <w:lang w:val="en-GB"/>
        </w:rPr>
      </w:pPr>
      <w:r>
        <w:rPr>
          <w:rFonts w:ascii="Arial" w:hAnsi="Arial" w:cs="Arial"/>
          <w:color w:val="7B7B7B" w:themeColor="accent3" w:themeShade="BF"/>
          <w:sz w:val="22"/>
          <w:szCs w:val="22"/>
          <w:lang w:val="en-GB"/>
        </w:rPr>
        <w:t>To realise the property of the company in order to make a distribution to one or more secured or preferential creditors.</w:t>
      </w:r>
      <w:r>
        <w:rPr>
          <w:rStyle w:val="FootnoteReference"/>
          <w:rFonts w:ascii="Arial" w:hAnsi="Arial" w:cs="Arial"/>
          <w:color w:val="7B7B7B" w:themeColor="accent3" w:themeShade="BF"/>
          <w:sz w:val="22"/>
          <w:szCs w:val="22"/>
          <w:lang w:val="en-GB"/>
        </w:rPr>
        <w:footnoteReference w:id="8"/>
      </w:r>
      <w:r w:rsidRPr="00025E05">
        <w:rPr>
          <w:rFonts w:ascii="Arial" w:hAnsi="Arial" w:cs="Arial"/>
          <w:color w:val="7B7B7B" w:themeColor="accent3" w:themeShade="BF"/>
          <w:sz w:val="22"/>
          <w:szCs w:val="22"/>
          <w:lang w:val="en-GB"/>
        </w:rPr>
        <w:t xml:space="preserve">    </w:t>
      </w:r>
    </w:p>
    <w:p w14:paraId="662199AA" w14:textId="77777777" w:rsidR="00025E05" w:rsidRDefault="00025E05" w:rsidP="00025E05">
      <w:pPr>
        <w:ind w:left="360"/>
        <w:jc w:val="both"/>
        <w:rPr>
          <w:rFonts w:ascii="Arial" w:hAnsi="Arial" w:cs="Arial"/>
          <w:color w:val="7B7B7B" w:themeColor="accent3" w:themeShade="BF"/>
          <w:sz w:val="22"/>
          <w:szCs w:val="22"/>
          <w:lang w:val="en-GB"/>
        </w:rPr>
      </w:pPr>
    </w:p>
    <w:p w14:paraId="04D04158" w14:textId="77777777" w:rsidR="00F96F9E" w:rsidRDefault="00025E05" w:rsidP="00025E05">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Note however, that the administration shall perform the administrator’s functions with the objective specified in (a) above unless the administra</w:t>
      </w:r>
      <w:r w:rsidR="00F96F9E">
        <w:rPr>
          <w:rFonts w:ascii="Arial" w:hAnsi="Arial" w:cs="Arial"/>
          <w:color w:val="7B7B7B" w:themeColor="accent3" w:themeShade="BF"/>
          <w:sz w:val="22"/>
          <w:szCs w:val="22"/>
          <w:lang w:val="en-GB"/>
        </w:rPr>
        <w:t>tor believes either</w:t>
      </w:r>
    </w:p>
    <w:p w14:paraId="2F372C4A" w14:textId="77777777" w:rsidR="00F96F9E" w:rsidRPr="00F96F9E" w:rsidRDefault="00F96F9E" w:rsidP="00F96F9E">
      <w:pPr>
        <w:pStyle w:val="ListParagraph"/>
        <w:numPr>
          <w:ilvl w:val="0"/>
          <w:numId w:val="18"/>
        </w:numPr>
        <w:jc w:val="both"/>
        <w:rPr>
          <w:rFonts w:ascii="Arial" w:hAnsi="Arial" w:cs="Arial"/>
          <w:sz w:val="22"/>
          <w:szCs w:val="22"/>
          <w:lang w:val="en-GB"/>
        </w:rPr>
      </w:pPr>
      <w:r>
        <w:rPr>
          <w:rFonts w:ascii="Arial" w:hAnsi="Arial" w:cs="Arial"/>
          <w:color w:val="7B7B7B" w:themeColor="accent3" w:themeShade="BF"/>
          <w:sz w:val="22"/>
          <w:szCs w:val="22"/>
          <w:lang w:val="en-GB"/>
        </w:rPr>
        <w:t xml:space="preserve">That it is not reasonably practicable to achieve that objective; or </w:t>
      </w:r>
    </w:p>
    <w:p w14:paraId="397257AF" w14:textId="77777777" w:rsidR="00F96F9E" w:rsidRPr="00F96F9E" w:rsidRDefault="00F96F9E" w:rsidP="00F96F9E">
      <w:pPr>
        <w:pStyle w:val="ListParagraph"/>
        <w:numPr>
          <w:ilvl w:val="0"/>
          <w:numId w:val="18"/>
        </w:numPr>
        <w:jc w:val="both"/>
        <w:rPr>
          <w:rFonts w:ascii="Arial" w:hAnsi="Arial" w:cs="Arial"/>
          <w:sz w:val="22"/>
          <w:szCs w:val="22"/>
          <w:lang w:val="en-GB"/>
        </w:rPr>
      </w:pPr>
      <w:r>
        <w:rPr>
          <w:rFonts w:ascii="Arial" w:hAnsi="Arial" w:cs="Arial"/>
          <w:color w:val="7B7B7B" w:themeColor="accent3" w:themeShade="BF"/>
          <w:sz w:val="22"/>
          <w:szCs w:val="22"/>
          <w:lang w:val="en-GB"/>
        </w:rPr>
        <w:t>That the objective specified in (b) above would achieve a better result for the company’s creditors as a whole.</w:t>
      </w:r>
      <w:r>
        <w:rPr>
          <w:rStyle w:val="FootnoteReference"/>
          <w:rFonts w:ascii="Arial" w:hAnsi="Arial" w:cs="Arial"/>
          <w:color w:val="7B7B7B" w:themeColor="accent3" w:themeShade="BF"/>
          <w:sz w:val="22"/>
          <w:szCs w:val="22"/>
          <w:lang w:val="en-GB"/>
        </w:rPr>
        <w:footnoteReference w:id="9"/>
      </w:r>
      <w:r w:rsidR="00025E05" w:rsidRPr="00F96F9E">
        <w:rPr>
          <w:rFonts w:ascii="Arial" w:hAnsi="Arial" w:cs="Arial"/>
          <w:color w:val="7B7B7B" w:themeColor="accent3" w:themeShade="BF"/>
          <w:sz w:val="22"/>
          <w:szCs w:val="22"/>
          <w:lang w:val="en-GB"/>
        </w:rPr>
        <w:t xml:space="preserve">   </w:t>
      </w:r>
    </w:p>
    <w:p w14:paraId="691F9913" w14:textId="77777777" w:rsidR="00F96F9E" w:rsidRDefault="00F96F9E" w:rsidP="00F96F9E">
      <w:pPr>
        <w:ind w:left="360"/>
        <w:jc w:val="both"/>
        <w:rPr>
          <w:rFonts w:ascii="Arial" w:hAnsi="Arial" w:cs="Arial"/>
          <w:color w:val="7B7B7B" w:themeColor="accent3" w:themeShade="BF"/>
          <w:sz w:val="22"/>
          <w:szCs w:val="22"/>
          <w:lang w:val="en-GB"/>
        </w:rPr>
      </w:pPr>
    </w:p>
    <w:p w14:paraId="1E9C492D" w14:textId="3529D380" w:rsidR="00F96F9E" w:rsidRDefault="00F96F9E" w:rsidP="00F96F9E">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Also, the administrator may perform the administrator’s functions with the objective specified in (c) above only if-</w:t>
      </w:r>
    </w:p>
    <w:p w14:paraId="20A39411" w14:textId="7EB0FC8D" w:rsidR="00F96F9E" w:rsidRDefault="00F96F9E" w:rsidP="00F96F9E">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administrator believes that it is not reasonably practicable to achieve either of the objectives specified in (a) and (b) above; and</w:t>
      </w:r>
    </w:p>
    <w:p w14:paraId="57CD4064" w14:textId="6B8CCF50" w:rsidR="004B1559" w:rsidRPr="00B6518E" w:rsidRDefault="00F96F9E" w:rsidP="00B6518E">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administrator does not unnecess</w:t>
      </w:r>
      <w:r w:rsidR="005E5DD1">
        <w:rPr>
          <w:rFonts w:ascii="Arial" w:hAnsi="Arial" w:cs="Arial"/>
          <w:color w:val="7B7B7B" w:themeColor="accent3" w:themeShade="BF"/>
          <w:sz w:val="22"/>
          <w:szCs w:val="22"/>
          <w:lang w:val="en-GB"/>
        </w:rPr>
        <w:t>arily harm the interests of the creditors of the company as a whole.</w:t>
      </w:r>
      <w:r w:rsidR="005E5DD1">
        <w:rPr>
          <w:rStyle w:val="FootnoteReference"/>
          <w:rFonts w:ascii="Arial" w:hAnsi="Arial" w:cs="Arial"/>
          <w:color w:val="7B7B7B" w:themeColor="accent3" w:themeShade="BF"/>
          <w:sz w:val="22"/>
          <w:szCs w:val="22"/>
          <w:lang w:val="en-GB"/>
        </w:rPr>
        <w:footnoteReference w:id="10"/>
      </w:r>
      <w:r w:rsidR="000E6C37" w:rsidRPr="00B6518E">
        <w:rPr>
          <w:rFonts w:ascii="Arial" w:hAnsi="Arial" w:cs="Arial"/>
          <w:color w:val="7B7B7B" w:themeColor="accent3" w:themeShade="BF"/>
          <w:sz w:val="22"/>
          <w:szCs w:val="22"/>
          <w:lang w:val="en-GB"/>
        </w:rPr>
        <w:t>]</w:t>
      </w:r>
    </w:p>
    <w:p w14:paraId="782C212E" w14:textId="77777777" w:rsidR="004B1559" w:rsidRDefault="004B1559">
      <w:pPr>
        <w:jc w:val="both"/>
        <w:rPr>
          <w:rFonts w:ascii="Arial" w:hAnsi="Arial" w:cs="Arial"/>
          <w:bCs/>
          <w:sz w:val="22"/>
          <w:szCs w:val="22"/>
          <w:lang w:val="en-GB"/>
        </w:rPr>
      </w:pPr>
    </w:p>
    <w:p w14:paraId="5001CE48" w14:textId="77777777" w:rsidR="004B1559" w:rsidRDefault="004B1559">
      <w:pPr>
        <w:jc w:val="both"/>
        <w:rPr>
          <w:rFonts w:ascii="Arial" w:hAnsi="Arial" w:cs="Arial"/>
          <w:bCs/>
          <w:sz w:val="22"/>
          <w:szCs w:val="22"/>
          <w:lang w:val="en-GB"/>
        </w:rPr>
      </w:pPr>
    </w:p>
    <w:p w14:paraId="705381A3" w14:textId="77777777" w:rsidR="004B1559" w:rsidRDefault="000E6C37">
      <w:pPr>
        <w:tabs>
          <w:tab w:val="left" w:pos="6408"/>
        </w:tabs>
        <w:jc w:val="both"/>
        <w:rPr>
          <w:rFonts w:ascii="Arial" w:hAnsi="Arial" w:cs="Arial"/>
          <w:b/>
          <w:sz w:val="22"/>
          <w:szCs w:val="22"/>
          <w:lang w:val="en-GB"/>
        </w:rPr>
      </w:pPr>
      <w:r>
        <w:rPr>
          <w:rFonts w:ascii="Arial" w:hAnsi="Arial" w:cs="Arial"/>
          <w:b/>
          <w:sz w:val="22"/>
          <w:szCs w:val="22"/>
          <w:lang w:val="en-GB"/>
        </w:rPr>
        <w:t xml:space="preserve">QUESTION 3 (essay-type questions) [15 marks in total] </w:t>
      </w:r>
      <w:r>
        <w:rPr>
          <w:rFonts w:ascii="Arial" w:hAnsi="Arial" w:cs="Arial"/>
          <w:b/>
          <w:sz w:val="22"/>
          <w:szCs w:val="22"/>
          <w:lang w:val="en-GB"/>
        </w:rPr>
        <w:tab/>
      </w:r>
    </w:p>
    <w:p w14:paraId="4EA1301E" w14:textId="77777777" w:rsidR="004B1559" w:rsidRDefault="004B1559">
      <w:pPr>
        <w:tabs>
          <w:tab w:val="left" w:pos="6408"/>
        </w:tabs>
        <w:jc w:val="both"/>
        <w:rPr>
          <w:rFonts w:ascii="Arial" w:hAnsi="Arial" w:cs="Arial"/>
          <w:b/>
          <w:sz w:val="22"/>
          <w:szCs w:val="22"/>
          <w:lang w:val="en-GB"/>
        </w:rPr>
      </w:pPr>
    </w:p>
    <w:p w14:paraId="18BFC9F0" w14:textId="77777777" w:rsidR="004B1559" w:rsidRDefault="000E6C37">
      <w:pPr>
        <w:tabs>
          <w:tab w:val="left" w:pos="6408"/>
        </w:tabs>
        <w:jc w:val="both"/>
        <w:rPr>
          <w:rFonts w:ascii="Arial" w:hAnsi="Arial" w:cs="Arial"/>
          <w:b/>
          <w:sz w:val="22"/>
          <w:szCs w:val="22"/>
          <w:lang w:val="en-GB"/>
        </w:rPr>
      </w:pPr>
      <w:r>
        <w:rPr>
          <w:rFonts w:ascii="Arial" w:hAnsi="Arial" w:cs="Arial"/>
          <w:b/>
          <w:color w:val="FF0000"/>
          <w:sz w:val="22"/>
          <w:szCs w:val="22"/>
          <w:lang w:val="en-GB"/>
        </w:rPr>
        <w:t xml:space="preserve">PLEASE SELECT </w:t>
      </w:r>
      <w:r>
        <w:rPr>
          <w:rFonts w:ascii="Arial" w:hAnsi="Arial" w:cs="Arial"/>
          <w:b/>
          <w:color w:val="FF0000"/>
          <w:sz w:val="22"/>
          <w:szCs w:val="22"/>
          <w:u w:val="single"/>
          <w:lang w:val="en-GB"/>
        </w:rPr>
        <w:t>ONLY ONE</w:t>
      </w:r>
      <w:r>
        <w:rPr>
          <w:rFonts w:ascii="Arial" w:hAnsi="Arial" w:cs="Arial"/>
          <w:b/>
          <w:color w:val="FF0000"/>
          <w:sz w:val="22"/>
          <w:szCs w:val="22"/>
          <w:lang w:val="en-GB"/>
        </w:rPr>
        <w:t xml:space="preserve"> OF THE FOLLOWING QUESTIONS BELOW. PLEASE </w:t>
      </w:r>
      <w:r>
        <w:rPr>
          <w:rFonts w:ascii="Arial" w:hAnsi="Arial" w:cs="Arial"/>
          <w:b/>
          <w:color w:val="FF0000"/>
          <w:sz w:val="22"/>
          <w:szCs w:val="22"/>
          <w:u w:val="single"/>
          <w:lang w:val="en-GB"/>
        </w:rPr>
        <w:t>DELETE</w:t>
      </w:r>
      <w:r>
        <w:rPr>
          <w:rFonts w:ascii="Arial" w:hAnsi="Arial" w:cs="Arial"/>
          <w:b/>
          <w:color w:val="FF0000"/>
          <w:sz w:val="22"/>
          <w:szCs w:val="22"/>
          <w:lang w:val="en-GB"/>
        </w:rPr>
        <w:t xml:space="preserve"> THE QUESTIONS YOU CHOOSE </w:t>
      </w:r>
      <w:r>
        <w:rPr>
          <w:rFonts w:ascii="Arial" w:hAnsi="Arial" w:cs="Arial"/>
          <w:b/>
          <w:color w:val="FF0000"/>
          <w:sz w:val="22"/>
          <w:szCs w:val="22"/>
          <w:u w:val="single"/>
          <w:lang w:val="en-GB"/>
        </w:rPr>
        <w:t>NOT</w:t>
      </w:r>
      <w:r>
        <w:rPr>
          <w:rFonts w:ascii="Arial" w:hAnsi="Arial" w:cs="Arial"/>
          <w:b/>
          <w:color w:val="FF0000"/>
          <w:sz w:val="22"/>
          <w:szCs w:val="22"/>
          <w:lang w:val="en-GB"/>
        </w:rPr>
        <w:t xml:space="preserve"> TO ANSWER.</w:t>
      </w:r>
    </w:p>
    <w:p w14:paraId="10B2CA44" w14:textId="77777777" w:rsidR="004B1559" w:rsidRDefault="004B1559">
      <w:pPr>
        <w:jc w:val="both"/>
        <w:rPr>
          <w:rFonts w:ascii="Arial" w:hAnsi="Arial" w:cs="Arial"/>
          <w:sz w:val="22"/>
          <w:szCs w:val="22"/>
          <w:lang w:val="en-GB"/>
        </w:rPr>
      </w:pPr>
    </w:p>
    <w:p w14:paraId="36065085" w14:textId="77777777" w:rsidR="004B1559" w:rsidRDefault="000E6C37">
      <w:pPr>
        <w:ind w:left="720" w:hanging="720"/>
        <w:jc w:val="both"/>
        <w:rPr>
          <w:rFonts w:ascii="Arial" w:hAnsi="Arial" w:cs="Arial"/>
          <w:sz w:val="22"/>
          <w:szCs w:val="22"/>
        </w:rPr>
      </w:pPr>
      <w:r>
        <w:rPr>
          <w:rFonts w:ascii="Arial" w:hAnsi="Arial" w:cs="Arial"/>
          <w:b/>
          <w:bCs/>
          <w:sz w:val="22"/>
          <w:szCs w:val="22"/>
        </w:rPr>
        <w:t>Question 3.1</w:t>
      </w:r>
      <w:r>
        <w:rPr>
          <w:rFonts w:ascii="Arial" w:hAnsi="Arial" w:cs="Arial"/>
          <w:sz w:val="22"/>
          <w:szCs w:val="22"/>
        </w:rPr>
        <w:t xml:space="preserve"> </w:t>
      </w:r>
      <w:r>
        <w:rPr>
          <w:rFonts w:ascii="Arial" w:hAnsi="Arial" w:cs="Arial"/>
          <w:b/>
          <w:sz w:val="22"/>
          <w:szCs w:val="22"/>
        </w:rPr>
        <w:t>[maximum 15 marks</w:t>
      </w:r>
      <w:r>
        <w:rPr>
          <w:rFonts w:ascii="Arial" w:hAnsi="Arial" w:cs="Arial"/>
          <w:sz w:val="22"/>
          <w:szCs w:val="22"/>
        </w:rPr>
        <w:t>]</w:t>
      </w:r>
    </w:p>
    <w:p w14:paraId="2B4BD28A" w14:textId="77777777" w:rsidR="004B1559" w:rsidRDefault="004B1559">
      <w:pPr>
        <w:ind w:left="720" w:hanging="720"/>
        <w:jc w:val="both"/>
        <w:rPr>
          <w:rFonts w:ascii="Arial" w:hAnsi="Arial" w:cs="Arial"/>
          <w:sz w:val="22"/>
          <w:szCs w:val="22"/>
        </w:rPr>
      </w:pPr>
    </w:p>
    <w:p w14:paraId="16D8B1E8" w14:textId="77777777" w:rsidR="004B1559" w:rsidRDefault="000E6C37">
      <w:pPr>
        <w:jc w:val="both"/>
        <w:rPr>
          <w:rFonts w:ascii="Arial" w:hAnsi="Arial" w:cs="Arial"/>
          <w:sz w:val="22"/>
          <w:szCs w:val="22"/>
        </w:rPr>
      </w:pPr>
      <w:r>
        <w:rPr>
          <w:rFonts w:ascii="Arial" w:hAnsi="Arial" w:cs="Arial"/>
          <w:sz w:val="22"/>
          <w:szCs w:val="22"/>
        </w:rPr>
        <w:t>Discuss the process of voluntary and involuntary liquidation in a winding up.</w:t>
      </w:r>
    </w:p>
    <w:p w14:paraId="122DC67C" w14:textId="77777777" w:rsidR="004B1559" w:rsidRDefault="004B1559">
      <w:pPr>
        <w:jc w:val="both"/>
        <w:rPr>
          <w:rFonts w:ascii="Arial" w:hAnsi="Arial" w:cs="Arial"/>
          <w:sz w:val="22"/>
          <w:szCs w:val="22"/>
        </w:rPr>
      </w:pPr>
    </w:p>
    <w:p w14:paraId="0124352E" w14:textId="77777777" w:rsidR="004B1559" w:rsidRDefault="000E6C37">
      <w:pPr>
        <w:jc w:val="both"/>
        <w:rPr>
          <w:rFonts w:ascii="Arial" w:hAnsi="Arial" w:cs="Arial"/>
          <w:sz w:val="22"/>
          <w:szCs w:val="22"/>
        </w:rPr>
      </w:pPr>
      <w:r>
        <w:rPr>
          <w:rFonts w:ascii="Arial" w:hAnsi="Arial" w:cs="Arial"/>
          <w:color w:val="7B7B7B" w:themeColor="accent3" w:themeShade="BF"/>
          <w:sz w:val="22"/>
          <w:szCs w:val="22"/>
          <w:lang w:val="en-GB"/>
        </w:rPr>
        <w:lastRenderedPageBreak/>
        <w:t>[Type your answer here]</w:t>
      </w:r>
    </w:p>
    <w:p w14:paraId="6518C6AD" w14:textId="77777777" w:rsidR="004B1559" w:rsidRDefault="004B1559">
      <w:pPr>
        <w:ind w:left="720" w:hanging="720"/>
        <w:jc w:val="both"/>
        <w:rPr>
          <w:rFonts w:ascii="Arial" w:hAnsi="Arial" w:cs="Arial"/>
          <w:sz w:val="22"/>
          <w:szCs w:val="22"/>
        </w:rPr>
      </w:pPr>
    </w:p>
    <w:p w14:paraId="028AD80F" w14:textId="77777777" w:rsidR="004B1559" w:rsidRDefault="004B1559">
      <w:pPr>
        <w:ind w:left="720" w:hanging="720"/>
        <w:jc w:val="both"/>
        <w:rPr>
          <w:rFonts w:ascii="Arial" w:hAnsi="Arial" w:cs="Arial"/>
          <w:sz w:val="22"/>
          <w:szCs w:val="22"/>
        </w:rPr>
      </w:pPr>
    </w:p>
    <w:p w14:paraId="238F6409" w14:textId="77777777" w:rsidR="004B1559" w:rsidRDefault="000E6C37">
      <w:pPr>
        <w:ind w:left="720" w:hanging="720"/>
        <w:jc w:val="both"/>
        <w:rPr>
          <w:rFonts w:ascii="Arial" w:hAnsi="Arial" w:cs="Arial"/>
          <w:b/>
          <w:sz w:val="22"/>
          <w:szCs w:val="22"/>
        </w:rPr>
      </w:pPr>
      <w:r>
        <w:rPr>
          <w:rFonts w:ascii="Arial" w:hAnsi="Arial" w:cs="Arial"/>
          <w:b/>
          <w:sz w:val="22"/>
          <w:szCs w:val="22"/>
        </w:rPr>
        <w:t>OR</w:t>
      </w:r>
    </w:p>
    <w:p w14:paraId="4EFD63AB" w14:textId="77777777" w:rsidR="004B1559" w:rsidRDefault="004B1559">
      <w:pPr>
        <w:ind w:left="720" w:hanging="720"/>
        <w:jc w:val="both"/>
        <w:rPr>
          <w:rFonts w:ascii="Arial" w:hAnsi="Arial" w:cs="Arial"/>
          <w:sz w:val="22"/>
          <w:szCs w:val="22"/>
        </w:rPr>
      </w:pPr>
    </w:p>
    <w:p w14:paraId="69E58304" w14:textId="77777777" w:rsidR="004B1559" w:rsidRDefault="000E6C37">
      <w:pPr>
        <w:ind w:left="720" w:hanging="720"/>
        <w:jc w:val="both"/>
        <w:rPr>
          <w:rFonts w:ascii="Arial" w:hAnsi="Arial" w:cs="Arial"/>
          <w:b/>
          <w:bCs/>
          <w:sz w:val="22"/>
          <w:szCs w:val="22"/>
        </w:rPr>
      </w:pPr>
      <w:r>
        <w:rPr>
          <w:rFonts w:ascii="Arial" w:hAnsi="Arial" w:cs="Arial"/>
          <w:b/>
          <w:bCs/>
          <w:sz w:val="22"/>
          <w:szCs w:val="22"/>
        </w:rPr>
        <w:t xml:space="preserve">Question 3.2 </w:t>
      </w:r>
      <w:r>
        <w:rPr>
          <w:rFonts w:ascii="Arial" w:hAnsi="Arial" w:cs="Arial"/>
          <w:b/>
          <w:bCs/>
          <w:sz w:val="22"/>
          <w:szCs w:val="22"/>
          <w:lang w:val="en-GB"/>
        </w:rPr>
        <w:t>[maximum 15 marks]</w:t>
      </w:r>
    </w:p>
    <w:p w14:paraId="24E01FE0" w14:textId="77777777" w:rsidR="004B1559" w:rsidRDefault="004B1559">
      <w:pPr>
        <w:ind w:left="720" w:hanging="720"/>
        <w:jc w:val="both"/>
        <w:rPr>
          <w:rFonts w:ascii="Arial" w:hAnsi="Arial" w:cs="Arial"/>
          <w:sz w:val="22"/>
          <w:szCs w:val="22"/>
        </w:rPr>
      </w:pPr>
    </w:p>
    <w:p w14:paraId="45338BAC" w14:textId="77777777" w:rsidR="004B1559" w:rsidRDefault="000E6C37">
      <w:pPr>
        <w:jc w:val="both"/>
        <w:rPr>
          <w:rFonts w:ascii="Arial" w:hAnsi="Arial" w:cs="Arial"/>
          <w:sz w:val="22"/>
          <w:szCs w:val="22"/>
        </w:rPr>
      </w:pPr>
      <w:r>
        <w:rPr>
          <w:rFonts w:ascii="Arial" w:hAnsi="Arial" w:cs="Arial"/>
          <w:sz w:val="22"/>
          <w:szCs w:val="22"/>
        </w:rPr>
        <w:t>Discuss the process of administration under section 534 of the Insolvency Act by the holder of a qualifying floating charge.</w:t>
      </w:r>
    </w:p>
    <w:p w14:paraId="65822145" w14:textId="77777777" w:rsidR="004B1559" w:rsidRDefault="004B1559">
      <w:pPr>
        <w:jc w:val="both"/>
        <w:rPr>
          <w:rFonts w:ascii="Arial" w:hAnsi="Arial" w:cs="Arial"/>
          <w:sz w:val="22"/>
          <w:szCs w:val="22"/>
        </w:rPr>
      </w:pPr>
    </w:p>
    <w:p w14:paraId="7D8B2A25" w14:textId="77777777" w:rsidR="006B1CAA" w:rsidRDefault="000E6C3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A04BC7">
        <w:rPr>
          <w:rFonts w:ascii="Arial" w:hAnsi="Arial" w:cs="Arial"/>
          <w:color w:val="7B7B7B" w:themeColor="accent3" w:themeShade="BF"/>
          <w:sz w:val="22"/>
          <w:szCs w:val="22"/>
          <w:lang w:val="en-GB"/>
        </w:rPr>
        <w:t xml:space="preserve"> The process of administration under the Insolvency Act, 2015 commenced </w:t>
      </w:r>
      <w:r w:rsidR="006B1CAA">
        <w:rPr>
          <w:rFonts w:ascii="Arial" w:hAnsi="Arial" w:cs="Arial"/>
          <w:color w:val="7B7B7B" w:themeColor="accent3" w:themeShade="BF"/>
          <w:sz w:val="22"/>
          <w:szCs w:val="22"/>
          <w:lang w:val="en-GB"/>
        </w:rPr>
        <w:t>by the appointment of an administrator. Section 533 made provision for persons that can appoint an administrator under the Kenya Insolvency Act which are;</w:t>
      </w:r>
    </w:p>
    <w:p w14:paraId="511546ED" w14:textId="77777777" w:rsidR="006B1CAA" w:rsidRPr="006B1CAA" w:rsidRDefault="006B1CAA" w:rsidP="006B1CAA">
      <w:pPr>
        <w:pStyle w:val="ListParagraph"/>
        <w:numPr>
          <w:ilvl w:val="0"/>
          <w:numId w:val="20"/>
        </w:numPr>
        <w:jc w:val="both"/>
        <w:rPr>
          <w:rFonts w:ascii="Arial" w:hAnsi="Arial" w:cs="Arial"/>
          <w:sz w:val="22"/>
          <w:szCs w:val="22"/>
          <w:lang w:val="en-GB"/>
        </w:rPr>
      </w:pPr>
      <w:r>
        <w:rPr>
          <w:rFonts w:ascii="Arial" w:hAnsi="Arial" w:cs="Arial"/>
          <w:color w:val="7B7B7B" w:themeColor="accent3" w:themeShade="BF"/>
          <w:sz w:val="22"/>
          <w:szCs w:val="22"/>
          <w:lang w:val="en-GB"/>
        </w:rPr>
        <w:t>By administration Order of the Court in accordance with division 3;</w:t>
      </w:r>
    </w:p>
    <w:p w14:paraId="1E3B640A" w14:textId="77777777" w:rsidR="006B1CAA" w:rsidRPr="006B1CAA" w:rsidRDefault="006B1CAA" w:rsidP="006B1CAA">
      <w:pPr>
        <w:pStyle w:val="ListParagraph"/>
        <w:numPr>
          <w:ilvl w:val="0"/>
          <w:numId w:val="20"/>
        </w:numPr>
        <w:jc w:val="both"/>
        <w:rPr>
          <w:rFonts w:ascii="Arial" w:hAnsi="Arial" w:cs="Arial"/>
          <w:sz w:val="22"/>
          <w:szCs w:val="22"/>
          <w:lang w:val="en-GB"/>
        </w:rPr>
      </w:pPr>
      <w:r>
        <w:rPr>
          <w:rFonts w:ascii="Arial" w:hAnsi="Arial" w:cs="Arial"/>
          <w:color w:val="7B7B7B" w:themeColor="accent3" w:themeShade="BF"/>
          <w:sz w:val="22"/>
          <w:szCs w:val="22"/>
          <w:lang w:val="en-GB"/>
        </w:rPr>
        <w:t xml:space="preserve">By the holder of a floating charge under section 534; or </w:t>
      </w:r>
    </w:p>
    <w:p w14:paraId="582B4BB5" w14:textId="601446F2" w:rsidR="006B1CAA" w:rsidRPr="006B1CAA" w:rsidRDefault="006B1CAA" w:rsidP="006B1CAA">
      <w:pPr>
        <w:pStyle w:val="ListParagraph"/>
        <w:numPr>
          <w:ilvl w:val="0"/>
          <w:numId w:val="20"/>
        </w:numPr>
        <w:jc w:val="both"/>
        <w:rPr>
          <w:rFonts w:ascii="Arial" w:hAnsi="Arial" w:cs="Arial"/>
          <w:sz w:val="22"/>
          <w:szCs w:val="22"/>
          <w:lang w:val="en-GB"/>
        </w:rPr>
      </w:pPr>
      <w:r>
        <w:rPr>
          <w:rFonts w:ascii="Arial" w:hAnsi="Arial" w:cs="Arial"/>
          <w:color w:val="7B7B7B" w:themeColor="accent3" w:themeShade="BF"/>
          <w:sz w:val="22"/>
          <w:szCs w:val="22"/>
          <w:lang w:val="en-GB"/>
        </w:rPr>
        <w:t>By the company or its directors under section 541.</w:t>
      </w:r>
      <w:r w:rsidR="00A04BC7" w:rsidRPr="006B1CAA">
        <w:rPr>
          <w:rFonts w:ascii="Arial" w:hAnsi="Arial" w:cs="Arial"/>
          <w:color w:val="7B7B7B" w:themeColor="accent3" w:themeShade="BF"/>
          <w:sz w:val="22"/>
          <w:szCs w:val="22"/>
          <w:lang w:val="en-GB"/>
        </w:rPr>
        <w:t xml:space="preserve"> </w:t>
      </w:r>
    </w:p>
    <w:p w14:paraId="10714910" w14:textId="6AA18601" w:rsidR="006B1CAA" w:rsidRDefault="006B1CAA" w:rsidP="006B1CAA">
      <w:pPr>
        <w:jc w:val="both"/>
        <w:rPr>
          <w:rFonts w:ascii="Arial" w:hAnsi="Arial" w:cs="Arial"/>
          <w:sz w:val="22"/>
          <w:szCs w:val="22"/>
          <w:lang w:val="en-GB"/>
        </w:rPr>
      </w:pPr>
    </w:p>
    <w:p w14:paraId="519EC967" w14:textId="4FE09FEB" w:rsidR="006B1CAA" w:rsidRDefault="006B1CAA" w:rsidP="006B1CAA">
      <w:pPr>
        <w:jc w:val="both"/>
        <w:rPr>
          <w:rFonts w:ascii="Arial" w:hAnsi="Arial" w:cs="Arial"/>
          <w:sz w:val="22"/>
          <w:szCs w:val="22"/>
          <w:lang w:val="en-GB"/>
        </w:rPr>
      </w:pPr>
      <w:r>
        <w:rPr>
          <w:rFonts w:ascii="Arial" w:hAnsi="Arial" w:cs="Arial"/>
          <w:sz w:val="22"/>
          <w:szCs w:val="22"/>
          <w:lang w:val="en-GB"/>
        </w:rPr>
        <w:t>The process of administration under section 534 of the Insolvency Act by the holder of a qualifying floating charge commences with the administrator’s appointment under the relevant section by the holder of a qualifying floating charge in respect of a company’s property.</w:t>
      </w:r>
      <w:r>
        <w:rPr>
          <w:rStyle w:val="FootnoteReference"/>
          <w:rFonts w:ascii="Arial" w:hAnsi="Arial" w:cs="Arial"/>
          <w:sz w:val="22"/>
          <w:szCs w:val="22"/>
          <w:lang w:val="en-GB"/>
        </w:rPr>
        <w:footnoteReference w:id="11"/>
      </w:r>
      <w:r>
        <w:rPr>
          <w:rFonts w:ascii="Arial" w:hAnsi="Arial" w:cs="Arial"/>
          <w:sz w:val="22"/>
          <w:szCs w:val="22"/>
          <w:lang w:val="en-GB"/>
        </w:rPr>
        <w:t xml:space="preserve"> </w:t>
      </w:r>
      <w:r w:rsidR="005E669D">
        <w:rPr>
          <w:rFonts w:ascii="Arial" w:hAnsi="Arial" w:cs="Arial"/>
          <w:sz w:val="22"/>
          <w:szCs w:val="22"/>
          <w:lang w:val="en-GB"/>
        </w:rPr>
        <w:t xml:space="preserve">A floating charge under the section is a qualifying floating charge if it is created by a document that- </w:t>
      </w:r>
    </w:p>
    <w:p w14:paraId="7763D149" w14:textId="77E8A936" w:rsidR="005E669D" w:rsidRDefault="005E669D" w:rsidP="005E669D">
      <w:pPr>
        <w:pStyle w:val="ListParagraph"/>
        <w:numPr>
          <w:ilvl w:val="0"/>
          <w:numId w:val="21"/>
        </w:numPr>
        <w:jc w:val="both"/>
        <w:rPr>
          <w:rFonts w:ascii="Arial" w:hAnsi="Arial" w:cs="Arial"/>
          <w:sz w:val="22"/>
          <w:szCs w:val="22"/>
          <w:lang w:val="en-GB"/>
        </w:rPr>
      </w:pPr>
      <w:r>
        <w:rPr>
          <w:rFonts w:ascii="Arial" w:hAnsi="Arial" w:cs="Arial"/>
          <w:sz w:val="22"/>
          <w:szCs w:val="22"/>
          <w:lang w:val="en-GB"/>
        </w:rPr>
        <w:t xml:space="preserve">States that this section applies to the floating charge; or </w:t>
      </w:r>
    </w:p>
    <w:p w14:paraId="33B0660B" w14:textId="0D46F231" w:rsidR="005E669D" w:rsidRDefault="005E669D" w:rsidP="005E669D">
      <w:pPr>
        <w:pStyle w:val="ListParagraph"/>
        <w:numPr>
          <w:ilvl w:val="0"/>
          <w:numId w:val="21"/>
        </w:numPr>
        <w:jc w:val="both"/>
        <w:rPr>
          <w:rFonts w:ascii="Arial" w:hAnsi="Arial" w:cs="Arial"/>
          <w:sz w:val="22"/>
          <w:szCs w:val="22"/>
          <w:lang w:val="en-GB"/>
        </w:rPr>
      </w:pPr>
      <w:r>
        <w:rPr>
          <w:rFonts w:ascii="Arial" w:hAnsi="Arial" w:cs="Arial"/>
          <w:sz w:val="22"/>
          <w:szCs w:val="22"/>
          <w:lang w:val="en-GB"/>
        </w:rPr>
        <w:t>Purports to empower the holder of the floating charge to appoint an administrator of the company.</w:t>
      </w:r>
      <w:r>
        <w:rPr>
          <w:rStyle w:val="FootnoteReference"/>
          <w:rFonts w:ascii="Arial" w:hAnsi="Arial" w:cs="Arial"/>
          <w:sz w:val="22"/>
          <w:szCs w:val="22"/>
          <w:lang w:val="en-GB"/>
        </w:rPr>
        <w:footnoteReference w:id="12"/>
      </w:r>
    </w:p>
    <w:p w14:paraId="75C60562" w14:textId="6A62E4C1" w:rsidR="005E669D" w:rsidRDefault="005E669D" w:rsidP="005E669D">
      <w:pPr>
        <w:jc w:val="both"/>
        <w:rPr>
          <w:rFonts w:ascii="Arial" w:hAnsi="Arial" w:cs="Arial"/>
          <w:sz w:val="22"/>
          <w:szCs w:val="22"/>
          <w:lang w:val="en-GB"/>
        </w:rPr>
      </w:pPr>
    </w:p>
    <w:p w14:paraId="6EEEB29A" w14:textId="296534EA" w:rsidR="005E669D" w:rsidRDefault="005E669D" w:rsidP="005E669D">
      <w:pPr>
        <w:jc w:val="both"/>
        <w:rPr>
          <w:rFonts w:ascii="Arial" w:hAnsi="Arial" w:cs="Arial"/>
          <w:sz w:val="22"/>
          <w:szCs w:val="22"/>
          <w:lang w:val="en-GB"/>
        </w:rPr>
      </w:pPr>
      <w:r>
        <w:rPr>
          <w:rFonts w:ascii="Arial" w:hAnsi="Arial" w:cs="Arial"/>
          <w:sz w:val="22"/>
          <w:szCs w:val="22"/>
          <w:lang w:val="en-GB"/>
        </w:rPr>
        <w:t>For the purpose of subsection (1) of section 534 of the Act, a person is the holder of a qualifying floating charge in respect of a company’s property if the person hold</w:t>
      </w:r>
      <w:r w:rsidR="00A86726">
        <w:rPr>
          <w:rFonts w:ascii="Arial" w:hAnsi="Arial" w:cs="Arial"/>
          <w:sz w:val="22"/>
          <w:szCs w:val="22"/>
          <w:lang w:val="en-GB"/>
        </w:rPr>
        <w:t>s</w:t>
      </w:r>
      <w:r>
        <w:rPr>
          <w:rFonts w:ascii="Arial" w:hAnsi="Arial" w:cs="Arial"/>
          <w:sz w:val="22"/>
          <w:szCs w:val="22"/>
          <w:lang w:val="en-GB"/>
        </w:rPr>
        <w:t xml:space="preserve"> one or more debentures of the company secured-</w:t>
      </w:r>
    </w:p>
    <w:p w14:paraId="68AE99BB" w14:textId="78086B01" w:rsidR="005E669D" w:rsidRDefault="005E669D" w:rsidP="005E669D">
      <w:pPr>
        <w:pStyle w:val="ListParagraph"/>
        <w:numPr>
          <w:ilvl w:val="0"/>
          <w:numId w:val="22"/>
        </w:numPr>
        <w:jc w:val="both"/>
        <w:rPr>
          <w:rFonts w:ascii="Arial" w:hAnsi="Arial" w:cs="Arial"/>
          <w:sz w:val="22"/>
          <w:szCs w:val="22"/>
          <w:lang w:val="en-GB"/>
        </w:rPr>
      </w:pPr>
      <w:r>
        <w:rPr>
          <w:rFonts w:ascii="Arial" w:hAnsi="Arial" w:cs="Arial"/>
          <w:sz w:val="22"/>
          <w:szCs w:val="22"/>
          <w:lang w:val="en-GB"/>
        </w:rPr>
        <w:t xml:space="preserve">By a qualifying floating charge that relates to the whole </w:t>
      </w:r>
      <w:r w:rsidR="00A86726">
        <w:rPr>
          <w:rFonts w:ascii="Arial" w:hAnsi="Arial" w:cs="Arial"/>
          <w:sz w:val="22"/>
          <w:szCs w:val="22"/>
          <w:lang w:val="en-GB"/>
        </w:rPr>
        <w:t>or</w:t>
      </w:r>
      <w:r w:rsidR="008C4099">
        <w:rPr>
          <w:rFonts w:ascii="Arial" w:hAnsi="Arial" w:cs="Arial"/>
          <w:sz w:val="22"/>
          <w:szCs w:val="22"/>
          <w:lang w:val="en-GB"/>
        </w:rPr>
        <w:t xml:space="preserve"> substantially the whole of the company’s property;</w:t>
      </w:r>
    </w:p>
    <w:p w14:paraId="75FE051D" w14:textId="6CE7626A" w:rsidR="008C4099" w:rsidRDefault="00EE4D5E" w:rsidP="005E669D">
      <w:pPr>
        <w:pStyle w:val="ListParagraph"/>
        <w:numPr>
          <w:ilvl w:val="0"/>
          <w:numId w:val="22"/>
        </w:numPr>
        <w:jc w:val="both"/>
        <w:rPr>
          <w:rFonts w:ascii="Arial" w:hAnsi="Arial" w:cs="Arial"/>
          <w:sz w:val="22"/>
          <w:szCs w:val="22"/>
          <w:lang w:val="en-GB"/>
        </w:rPr>
      </w:pPr>
      <w:r>
        <w:rPr>
          <w:rFonts w:ascii="Arial" w:hAnsi="Arial" w:cs="Arial"/>
          <w:sz w:val="22"/>
          <w:szCs w:val="22"/>
          <w:lang w:val="en-GB"/>
        </w:rPr>
        <w:t xml:space="preserve">By a number of qualifying floating charge that together relate to the whole or substantially the whole of the company’s property; or </w:t>
      </w:r>
    </w:p>
    <w:p w14:paraId="03B7718D" w14:textId="1B42F262" w:rsidR="00EE4D5E" w:rsidRDefault="00EE4D5E" w:rsidP="005E669D">
      <w:pPr>
        <w:pStyle w:val="ListParagraph"/>
        <w:numPr>
          <w:ilvl w:val="0"/>
          <w:numId w:val="22"/>
        </w:numPr>
        <w:jc w:val="both"/>
        <w:rPr>
          <w:rFonts w:ascii="Arial" w:hAnsi="Arial" w:cs="Arial"/>
          <w:sz w:val="22"/>
          <w:szCs w:val="22"/>
          <w:lang w:val="en-GB"/>
        </w:rPr>
      </w:pPr>
      <w:r>
        <w:rPr>
          <w:rFonts w:ascii="Arial" w:hAnsi="Arial" w:cs="Arial"/>
          <w:sz w:val="22"/>
          <w:szCs w:val="22"/>
          <w:lang w:val="en-GB"/>
        </w:rPr>
        <w:t>By charges and other forms of security that together relate to the whole or substantially the whole of the company’s property and at least one of which is a qualifying floating charge.</w:t>
      </w:r>
      <w:r>
        <w:rPr>
          <w:rStyle w:val="FootnoteReference"/>
          <w:rFonts w:ascii="Arial" w:hAnsi="Arial" w:cs="Arial"/>
          <w:sz w:val="22"/>
          <w:szCs w:val="22"/>
          <w:lang w:val="en-GB"/>
        </w:rPr>
        <w:footnoteReference w:id="13"/>
      </w:r>
    </w:p>
    <w:p w14:paraId="725962A7" w14:textId="5F134337" w:rsidR="00EE4D5E" w:rsidRDefault="00EE4D5E" w:rsidP="00EE4D5E">
      <w:pPr>
        <w:jc w:val="both"/>
        <w:rPr>
          <w:rFonts w:ascii="Arial" w:hAnsi="Arial" w:cs="Arial"/>
          <w:sz w:val="22"/>
          <w:szCs w:val="22"/>
          <w:lang w:val="en-GB"/>
        </w:rPr>
      </w:pPr>
    </w:p>
    <w:p w14:paraId="01068F6B" w14:textId="6315A315" w:rsidR="00EE4D5E" w:rsidRDefault="00EE4D5E" w:rsidP="00EE4D5E">
      <w:pPr>
        <w:jc w:val="both"/>
        <w:rPr>
          <w:rFonts w:ascii="Arial" w:hAnsi="Arial" w:cs="Arial"/>
          <w:sz w:val="22"/>
          <w:szCs w:val="22"/>
          <w:lang w:val="en-GB"/>
        </w:rPr>
      </w:pPr>
      <w:r>
        <w:rPr>
          <w:rFonts w:ascii="Arial" w:hAnsi="Arial" w:cs="Arial"/>
          <w:sz w:val="22"/>
          <w:szCs w:val="22"/>
          <w:lang w:val="en-GB"/>
        </w:rPr>
        <w:t>It is however important to note, that a person may not appoint an administrator under section 534 unless the person has given at least three days’ notice to the holder of any prior floating charge under subsection (2) of section 534 of the Act.</w:t>
      </w:r>
      <w:r>
        <w:rPr>
          <w:rStyle w:val="FootnoteReference"/>
          <w:rFonts w:ascii="Arial" w:hAnsi="Arial" w:cs="Arial"/>
          <w:sz w:val="22"/>
          <w:szCs w:val="22"/>
          <w:lang w:val="en-GB"/>
        </w:rPr>
        <w:footnoteReference w:id="14"/>
      </w:r>
      <w:r>
        <w:rPr>
          <w:rFonts w:ascii="Arial" w:hAnsi="Arial" w:cs="Arial"/>
          <w:sz w:val="22"/>
          <w:szCs w:val="22"/>
          <w:lang w:val="en-GB"/>
        </w:rPr>
        <w:t xml:space="preserve"> For the purposes of subsection (1) of 534 of the Act, the priority</w:t>
      </w:r>
      <w:r w:rsidR="004503A1">
        <w:rPr>
          <w:rFonts w:ascii="Arial" w:hAnsi="Arial" w:cs="Arial"/>
          <w:sz w:val="22"/>
          <w:szCs w:val="22"/>
          <w:lang w:val="en-GB"/>
        </w:rPr>
        <w:t xml:space="preserve"> of a floating charge shall be determined in accordance with the Movable Property Security Rights Act.</w:t>
      </w:r>
      <w:r w:rsidR="004503A1">
        <w:rPr>
          <w:rStyle w:val="FootnoteReference"/>
          <w:rFonts w:ascii="Arial" w:hAnsi="Arial" w:cs="Arial"/>
          <w:sz w:val="22"/>
          <w:szCs w:val="22"/>
          <w:lang w:val="en-GB"/>
        </w:rPr>
        <w:footnoteReference w:id="15"/>
      </w:r>
    </w:p>
    <w:p w14:paraId="501E4561" w14:textId="34587188" w:rsidR="004503A1" w:rsidRDefault="004503A1" w:rsidP="00EE4D5E">
      <w:pPr>
        <w:jc w:val="both"/>
        <w:rPr>
          <w:rFonts w:ascii="Arial" w:hAnsi="Arial" w:cs="Arial"/>
          <w:sz w:val="22"/>
          <w:szCs w:val="22"/>
          <w:lang w:val="en-GB"/>
        </w:rPr>
      </w:pPr>
    </w:p>
    <w:p w14:paraId="40083956" w14:textId="1A2EFBD3" w:rsidR="004503A1" w:rsidRDefault="004503A1" w:rsidP="00EE4D5E">
      <w:pPr>
        <w:jc w:val="both"/>
        <w:rPr>
          <w:rFonts w:ascii="Arial" w:hAnsi="Arial" w:cs="Arial"/>
          <w:sz w:val="22"/>
          <w:szCs w:val="22"/>
          <w:lang w:val="en-GB"/>
        </w:rPr>
      </w:pPr>
      <w:r>
        <w:rPr>
          <w:rFonts w:ascii="Arial" w:hAnsi="Arial" w:cs="Arial"/>
          <w:sz w:val="22"/>
          <w:szCs w:val="22"/>
          <w:lang w:val="en-GB"/>
        </w:rPr>
        <w:t>It is also relevant to note, that a person may not be appointed as administrator under section 534 if the floating charge on which the appointment depends is unenforceable.</w:t>
      </w:r>
      <w:r>
        <w:rPr>
          <w:rStyle w:val="FootnoteReference"/>
          <w:rFonts w:ascii="Arial" w:hAnsi="Arial" w:cs="Arial"/>
          <w:sz w:val="22"/>
          <w:szCs w:val="22"/>
          <w:lang w:val="en-GB"/>
        </w:rPr>
        <w:footnoteReference w:id="16"/>
      </w:r>
      <w:r>
        <w:rPr>
          <w:rFonts w:ascii="Arial" w:hAnsi="Arial" w:cs="Arial"/>
          <w:sz w:val="22"/>
          <w:szCs w:val="22"/>
          <w:lang w:val="en-GB"/>
        </w:rPr>
        <w:t xml:space="preserve"> However, a person who appoints an administrator of a company under section 534 shall lodge with the court-</w:t>
      </w:r>
    </w:p>
    <w:p w14:paraId="177F840E" w14:textId="3821E2B9" w:rsidR="004503A1" w:rsidRDefault="004503A1" w:rsidP="004503A1">
      <w:pPr>
        <w:pStyle w:val="ListParagraph"/>
        <w:numPr>
          <w:ilvl w:val="0"/>
          <w:numId w:val="23"/>
        </w:numPr>
        <w:jc w:val="both"/>
        <w:rPr>
          <w:rFonts w:ascii="Arial" w:hAnsi="Arial" w:cs="Arial"/>
          <w:sz w:val="22"/>
          <w:szCs w:val="22"/>
          <w:lang w:val="en-GB"/>
        </w:rPr>
      </w:pPr>
      <w:r>
        <w:rPr>
          <w:rFonts w:ascii="Arial" w:hAnsi="Arial" w:cs="Arial"/>
          <w:sz w:val="22"/>
          <w:szCs w:val="22"/>
          <w:lang w:val="en-GB"/>
        </w:rPr>
        <w:t>A notice of appointment that complies with subsection (2); and</w:t>
      </w:r>
    </w:p>
    <w:p w14:paraId="0703A615" w14:textId="47C1ADB7" w:rsidR="004503A1" w:rsidRDefault="004503A1" w:rsidP="004503A1">
      <w:pPr>
        <w:pStyle w:val="ListParagraph"/>
        <w:numPr>
          <w:ilvl w:val="0"/>
          <w:numId w:val="23"/>
        </w:numPr>
        <w:jc w:val="both"/>
        <w:rPr>
          <w:rFonts w:ascii="Arial" w:hAnsi="Arial" w:cs="Arial"/>
          <w:sz w:val="22"/>
          <w:szCs w:val="22"/>
          <w:lang w:val="en-GB"/>
        </w:rPr>
      </w:pPr>
      <w:r>
        <w:rPr>
          <w:rFonts w:ascii="Arial" w:hAnsi="Arial" w:cs="Arial"/>
          <w:sz w:val="22"/>
          <w:szCs w:val="22"/>
          <w:lang w:val="en-GB"/>
        </w:rPr>
        <w:lastRenderedPageBreak/>
        <w:t>Such other documents as may be prescribed by the Insolvency Regulations for the purposes of section</w:t>
      </w:r>
      <w:r w:rsidR="0016110C">
        <w:rPr>
          <w:rFonts w:ascii="Arial" w:hAnsi="Arial" w:cs="Arial"/>
          <w:sz w:val="22"/>
          <w:szCs w:val="22"/>
          <w:lang w:val="en-GB"/>
        </w:rPr>
        <w:t xml:space="preserve"> 537.</w:t>
      </w:r>
      <w:r w:rsidR="0016110C">
        <w:rPr>
          <w:rStyle w:val="FootnoteReference"/>
          <w:rFonts w:ascii="Arial" w:hAnsi="Arial" w:cs="Arial"/>
          <w:sz w:val="22"/>
          <w:szCs w:val="22"/>
          <w:lang w:val="en-GB"/>
        </w:rPr>
        <w:footnoteReference w:id="17"/>
      </w:r>
    </w:p>
    <w:p w14:paraId="6C322131" w14:textId="3C33A3DE" w:rsidR="00CE361A" w:rsidRDefault="00CE361A" w:rsidP="00CE361A">
      <w:pPr>
        <w:ind w:left="360"/>
        <w:jc w:val="both"/>
        <w:rPr>
          <w:rFonts w:ascii="Arial" w:hAnsi="Arial" w:cs="Arial"/>
          <w:sz w:val="22"/>
          <w:szCs w:val="22"/>
          <w:lang w:val="en-GB"/>
        </w:rPr>
      </w:pPr>
    </w:p>
    <w:p w14:paraId="24226081" w14:textId="10785DC0" w:rsidR="00CE361A" w:rsidRDefault="00CE361A" w:rsidP="00CE361A">
      <w:pPr>
        <w:ind w:left="360"/>
        <w:jc w:val="both"/>
        <w:rPr>
          <w:rFonts w:ascii="Arial" w:hAnsi="Arial" w:cs="Arial"/>
          <w:sz w:val="22"/>
          <w:szCs w:val="22"/>
          <w:lang w:val="en-GB"/>
        </w:rPr>
      </w:pPr>
      <w:r>
        <w:rPr>
          <w:rFonts w:ascii="Arial" w:hAnsi="Arial" w:cs="Arial"/>
          <w:sz w:val="22"/>
          <w:szCs w:val="22"/>
          <w:lang w:val="en-GB"/>
        </w:rPr>
        <w:t>A notice of appointment complies with section 537 if –</w:t>
      </w:r>
    </w:p>
    <w:p w14:paraId="243C8527" w14:textId="54E079F4" w:rsidR="00CE361A" w:rsidRDefault="00CE361A" w:rsidP="00CE361A">
      <w:pPr>
        <w:pStyle w:val="ListParagraph"/>
        <w:numPr>
          <w:ilvl w:val="0"/>
          <w:numId w:val="24"/>
        </w:numPr>
        <w:jc w:val="both"/>
        <w:rPr>
          <w:rFonts w:ascii="Arial" w:hAnsi="Arial" w:cs="Arial"/>
          <w:sz w:val="22"/>
          <w:szCs w:val="22"/>
          <w:lang w:val="en-GB"/>
        </w:rPr>
      </w:pPr>
      <w:r>
        <w:rPr>
          <w:rFonts w:ascii="Arial" w:hAnsi="Arial" w:cs="Arial"/>
          <w:sz w:val="22"/>
          <w:szCs w:val="22"/>
          <w:lang w:val="en-GB"/>
        </w:rPr>
        <w:t>It includes a statutory declaration by or on behalf of the person who makes the appointment-</w:t>
      </w:r>
    </w:p>
    <w:p w14:paraId="42B37968" w14:textId="4107505C" w:rsidR="00CE361A" w:rsidRDefault="00CE361A" w:rsidP="00CE361A">
      <w:pPr>
        <w:pStyle w:val="ListParagraph"/>
        <w:numPr>
          <w:ilvl w:val="0"/>
          <w:numId w:val="26"/>
        </w:numPr>
        <w:jc w:val="both"/>
        <w:rPr>
          <w:rFonts w:ascii="Arial" w:hAnsi="Arial" w:cs="Arial"/>
          <w:sz w:val="22"/>
          <w:szCs w:val="22"/>
          <w:lang w:val="en-GB"/>
        </w:rPr>
      </w:pPr>
      <w:r>
        <w:rPr>
          <w:rFonts w:ascii="Arial" w:hAnsi="Arial" w:cs="Arial"/>
          <w:sz w:val="22"/>
          <w:szCs w:val="22"/>
          <w:lang w:val="en-GB"/>
        </w:rPr>
        <w:t>That the person is the holder of a qualifying floating charge in respect of the company’s property</w:t>
      </w:r>
    </w:p>
    <w:p w14:paraId="50A2ACD1" w14:textId="29CF5EE6" w:rsidR="00CE361A" w:rsidRDefault="00CE361A" w:rsidP="00CE361A">
      <w:pPr>
        <w:pStyle w:val="ListParagraph"/>
        <w:numPr>
          <w:ilvl w:val="0"/>
          <w:numId w:val="26"/>
        </w:numPr>
        <w:jc w:val="both"/>
        <w:rPr>
          <w:rFonts w:ascii="Arial" w:hAnsi="Arial" w:cs="Arial"/>
          <w:sz w:val="22"/>
          <w:szCs w:val="22"/>
          <w:lang w:val="en-GB"/>
        </w:rPr>
      </w:pPr>
      <w:r>
        <w:rPr>
          <w:rFonts w:ascii="Arial" w:hAnsi="Arial" w:cs="Arial"/>
          <w:sz w:val="22"/>
          <w:szCs w:val="22"/>
          <w:lang w:val="en-GB"/>
        </w:rPr>
        <w:t>That each floating charge relied on in making the appointment is (or was) enforceable on the date of the appointment; and</w:t>
      </w:r>
    </w:p>
    <w:p w14:paraId="137871ED" w14:textId="135A2918" w:rsidR="00CE361A" w:rsidRDefault="00CE361A" w:rsidP="00CE361A">
      <w:pPr>
        <w:pStyle w:val="ListParagraph"/>
        <w:numPr>
          <w:ilvl w:val="0"/>
          <w:numId w:val="26"/>
        </w:numPr>
        <w:jc w:val="both"/>
        <w:rPr>
          <w:rFonts w:ascii="Arial" w:hAnsi="Arial" w:cs="Arial"/>
          <w:sz w:val="22"/>
          <w:szCs w:val="22"/>
          <w:lang w:val="en-GB"/>
        </w:rPr>
      </w:pPr>
      <w:r>
        <w:rPr>
          <w:rFonts w:ascii="Arial" w:hAnsi="Arial" w:cs="Arial"/>
          <w:sz w:val="22"/>
          <w:szCs w:val="22"/>
          <w:lang w:val="en-GB"/>
        </w:rPr>
        <w:t>That the appointment is in accordance with this part; and</w:t>
      </w:r>
    </w:p>
    <w:p w14:paraId="6D45FCC7" w14:textId="47079AFE" w:rsidR="00CE361A" w:rsidRDefault="00CE361A" w:rsidP="00CE361A">
      <w:pPr>
        <w:pStyle w:val="ListParagraph"/>
        <w:numPr>
          <w:ilvl w:val="0"/>
          <w:numId w:val="24"/>
        </w:numPr>
        <w:jc w:val="both"/>
        <w:rPr>
          <w:rFonts w:ascii="Arial" w:hAnsi="Arial" w:cs="Arial"/>
          <w:sz w:val="22"/>
          <w:szCs w:val="22"/>
          <w:lang w:val="en-GB"/>
        </w:rPr>
      </w:pPr>
      <w:r>
        <w:rPr>
          <w:rFonts w:ascii="Arial" w:hAnsi="Arial" w:cs="Arial"/>
          <w:sz w:val="22"/>
          <w:szCs w:val="22"/>
          <w:lang w:val="en-GB"/>
        </w:rPr>
        <w:t>It identifies the administrator and is accompanied by a statement by the administrator</w:t>
      </w:r>
    </w:p>
    <w:p w14:paraId="09D1EA34" w14:textId="1830F47D" w:rsidR="00CE361A" w:rsidRDefault="00CE361A" w:rsidP="00CE361A">
      <w:pPr>
        <w:pStyle w:val="ListParagraph"/>
        <w:numPr>
          <w:ilvl w:val="0"/>
          <w:numId w:val="27"/>
        </w:numPr>
        <w:jc w:val="both"/>
        <w:rPr>
          <w:rFonts w:ascii="Arial" w:hAnsi="Arial" w:cs="Arial"/>
          <w:sz w:val="22"/>
          <w:szCs w:val="22"/>
          <w:lang w:val="en-GB"/>
        </w:rPr>
      </w:pPr>
      <w:r>
        <w:rPr>
          <w:rFonts w:ascii="Arial" w:hAnsi="Arial" w:cs="Arial"/>
          <w:sz w:val="22"/>
          <w:szCs w:val="22"/>
          <w:lang w:val="en-GB"/>
        </w:rPr>
        <w:t xml:space="preserve"> that the administrator consents to the appointment;</w:t>
      </w:r>
    </w:p>
    <w:p w14:paraId="29201CC7" w14:textId="71C36B7E" w:rsidR="00CE361A" w:rsidRDefault="00CE361A" w:rsidP="00CE361A">
      <w:pPr>
        <w:pStyle w:val="ListParagraph"/>
        <w:numPr>
          <w:ilvl w:val="0"/>
          <w:numId w:val="27"/>
        </w:numPr>
        <w:jc w:val="both"/>
        <w:rPr>
          <w:rFonts w:ascii="Arial" w:hAnsi="Arial" w:cs="Arial"/>
          <w:sz w:val="22"/>
          <w:szCs w:val="22"/>
          <w:lang w:val="en-GB"/>
        </w:rPr>
      </w:pPr>
      <w:r>
        <w:rPr>
          <w:rFonts w:ascii="Arial" w:hAnsi="Arial" w:cs="Arial"/>
          <w:sz w:val="22"/>
          <w:szCs w:val="22"/>
          <w:lang w:val="en-GB"/>
        </w:rPr>
        <w:t>That in the administrator’s opinion the purpose of administration is reasonably likely to be achieved</w:t>
      </w:r>
      <w:r w:rsidR="00645C6D">
        <w:rPr>
          <w:rFonts w:ascii="Arial" w:hAnsi="Arial" w:cs="Arial"/>
          <w:sz w:val="22"/>
          <w:szCs w:val="22"/>
          <w:lang w:val="en-GB"/>
        </w:rPr>
        <w:t>; and</w:t>
      </w:r>
    </w:p>
    <w:p w14:paraId="70FFA22D" w14:textId="72175B0A" w:rsidR="00645C6D" w:rsidRDefault="00645C6D" w:rsidP="00CE361A">
      <w:pPr>
        <w:pStyle w:val="ListParagraph"/>
        <w:numPr>
          <w:ilvl w:val="0"/>
          <w:numId w:val="27"/>
        </w:numPr>
        <w:jc w:val="both"/>
        <w:rPr>
          <w:rFonts w:ascii="Arial" w:hAnsi="Arial" w:cs="Arial"/>
          <w:sz w:val="22"/>
          <w:szCs w:val="22"/>
          <w:lang w:val="en-GB"/>
        </w:rPr>
      </w:pPr>
      <w:r>
        <w:rPr>
          <w:rFonts w:ascii="Arial" w:hAnsi="Arial" w:cs="Arial"/>
          <w:sz w:val="22"/>
          <w:szCs w:val="22"/>
          <w:lang w:val="en-GB"/>
        </w:rPr>
        <w:t>Giving such other information and opinion of a kind prescribed by the Insolvency regulations for the purposes of this section.</w:t>
      </w:r>
      <w:r>
        <w:rPr>
          <w:rStyle w:val="FootnoteReference"/>
          <w:rFonts w:ascii="Arial" w:hAnsi="Arial" w:cs="Arial"/>
          <w:sz w:val="22"/>
          <w:szCs w:val="22"/>
          <w:lang w:val="en-GB"/>
        </w:rPr>
        <w:footnoteReference w:id="18"/>
      </w:r>
      <w:r>
        <w:rPr>
          <w:rFonts w:ascii="Arial" w:hAnsi="Arial" w:cs="Arial"/>
          <w:sz w:val="22"/>
          <w:szCs w:val="22"/>
          <w:lang w:val="en-GB"/>
        </w:rPr>
        <w:t xml:space="preserve"> </w:t>
      </w:r>
    </w:p>
    <w:p w14:paraId="050C900A" w14:textId="77777777" w:rsidR="00F224F3" w:rsidRDefault="00F224F3" w:rsidP="00F224F3">
      <w:pPr>
        <w:pStyle w:val="ListParagraph"/>
        <w:ind w:left="1440"/>
        <w:jc w:val="both"/>
        <w:rPr>
          <w:rFonts w:ascii="Arial" w:hAnsi="Arial" w:cs="Arial"/>
          <w:sz w:val="22"/>
          <w:szCs w:val="22"/>
          <w:lang w:val="en-GB"/>
        </w:rPr>
      </w:pPr>
    </w:p>
    <w:p w14:paraId="0BB4CCFA" w14:textId="5CC215D0" w:rsidR="00F224F3" w:rsidRDefault="00F224F3" w:rsidP="00F224F3">
      <w:pPr>
        <w:jc w:val="both"/>
        <w:rPr>
          <w:rFonts w:ascii="Arial" w:hAnsi="Arial" w:cs="Arial"/>
          <w:sz w:val="22"/>
          <w:szCs w:val="22"/>
          <w:lang w:val="en-GB"/>
        </w:rPr>
      </w:pPr>
      <w:r>
        <w:rPr>
          <w:rFonts w:ascii="Arial" w:hAnsi="Arial" w:cs="Arial"/>
          <w:sz w:val="22"/>
          <w:szCs w:val="22"/>
          <w:lang w:val="en-GB"/>
        </w:rPr>
        <w:t>A statutory declaration under subsection (2) of section 537 is not effective unless it is made during the period prescribed by the Insolvency regulations for the purposes of section 537 of the Act.</w:t>
      </w:r>
      <w:r>
        <w:rPr>
          <w:rStyle w:val="FootnoteReference"/>
          <w:rFonts w:ascii="Arial" w:hAnsi="Arial" w:cs="Arial"/>
          <w:sz w:val="22"/>
          <w:szCs w:val="22"/>
          <w:lang w:val="en-GB"/>
        </w:rPr>
        <w:footnoteReference w:id="19"/>
      </w:r>
      <w:r>
        <w:rPr>
          <w:rFonts w:ascii="Arial" w:hAnsi="Arial" w:cs="Arial"/>
          <w:sz w:val="22"/>
          <w:szCs w:val="22"/>
          <w:lang w:val="en-GB"/>
        </w:rPr>
        <w:t>By section 538 of the Act, an administrator’s appointment under section 534 of the Act takes effect when the requirements of section 537 of the Act are satisfied</w:t>
      </w:r>
      <w:r w:rsidR="008B531F">
        <w:rPr>
          <w:rFonts w:ascii="Arial" w:hAnsi="Arial" w:cs="Arial"/>
          <w:sz w:val="22"/>
          <w:szCs w:val="22"/>
          <w:lang w:val="en-GB"/>
        </w:rPr>
        <w:t>. It is the duty of the holder of relevant floating charge to notify the appointment under section 534 to the administrator and other persons as may be prescribed by the Insolvency regulation, that those requirements have been satisfied.</w:t>
      </w:r>
      <w:r w:rsidR="00191577">
        <w:rPr>
          <w:rStyle w:val="FootnoteReference"/>
          <w:rFonts w:ascii="Arial" w:hAnsi="Arial" w:cs="Arial"/>
          <w:sz w:val="22"/>
          <w:szCs w:val="22"/>
          <w:lang w:val="en-GB"/>
        </w:rPr>
        <w:footnoteReference w:id="20"/>
      </w:r>
      <w:r w:rsidR="00191577">
        <w:rPr>
          <w:rFonts w:ascii="Arial" w:hAnsi="Arial" w:cs="Arial"/>
          <w:sz w:val="22"/>
          <w:szCs w:val="22"/>
          <w:lang w:val="en-GB"/>
        </w:rPr>
        <w:t>A person who fails to notify the administrator and other persons named by the rules, commits an offence which upon conviction is liable to a fine not exceeding five hundred thousand shillings.</w:t>
      </w:r>
      <w:r w:rsidR="00191577">
        <w:rPr>
          <w:rStyle w:val="FootnoteReference"/>
          <w:rFonts w:ascii="Arial" w:hAnsi="Arial" w:cs="Arial"/>
          <w:sz w:val="22"/>
          <w:szCs w:val="22"/>
          <w:lang w:val="en-GB"/>
        </w:rPr>
        <w:footnoteReference w:id="21"/>
      </w:r>
    </w:p>
    <w:p w14:paraId="1CCBAF18" w14:textId="4D090016" w:rsidR="00452FED" w:rsidRDefault="00452FED" w:rsidP="00F224F3">
      <w:pPr>
        <w:jc w:val="both"/>
        <w:rPr>
          <w:rFonts w:ascii="Arial" w:hAnsi="Arial" w:cs="Arial"/>
          <w:sz w:val="22"/>
          <w:szCs w:val="22"/>
          <w:lang w:val="en-GB"/>
        </w:rPr>
      </w:pPr>
    </w:p>
    <w:p w14:paraId="6D553A0F" w14:textId="04E5308A" w:rsidR="00452FED" w:rsidRDefault="00452FED" w:rsidP="00F224F3">
      <w:pPr>
        <w:jc w:val="both"/>
        <w:rPr>
          <w:rFonts w:ascii="Arial" w:hAnsi="Arial" w:cs="Arial"/>
          <w:sz w:val="22"/>
          <w:szCs w:val="22"/>
          <w:lang w:val="en-GB"/>
        </w:rPr>
      </w:pPr>
      <w:r>
        <w:rPr>
          <w:rFonts w:ascii="Arial" w:hAnsi="Arial" w:cs="Arial"/>
          <w:sz w:val="22"/>
          <w:szCs w:val="22"/>
          <w:lang w:val="en-GB"/>
        </w:rPr>
        <w:t>By section 540 of the Act, if-</w:t>
      </w:r>
    </w:p>
    <w:p w14:paraId="6783D833" w14:textId="4A3D9A51" w:rsidR="00452FED" w:rsidRDefault="00452FED" w:rsidP="00452FED">
      <w:pPr>
        <w:pStyle w:val="ListParagraph"/>
        <w:numPr>
          <w:ilvl w:val="0"/>
          <w:numId w:val="28"/>
        </w:numPr>
        <w:jc w:val="both"/>
        <w:rPr>
          <w:rFonts w:ascii="Arial" w:hAnsi="Arial" w:cs="Arial"/>
          <w:sz w:val="22"/>
          <w:szCs w:val="22"/>
          <w:lang w:val="en-GB"/>
        </w:rPr>
      </w:pPr>
      <w:r>
        <w:rPr>
          <w:rFonts w:ascii="Arial" w:hAnsi="Arial" w:cs="Arial"/>
          <w:sz w:val="22"/>
          <w:szCs w:val="22"/>
          <w:lang w:val="en-GB"/>
        </w:rPr>
        <w:t>A person purports to appoint an administrator under section 53</w:t>
      </w:r>
      <w:r w:rsidR="002C6790">
        <w:rPr>
          <w:rFonts w:ascii="Arial" w:hAnsi="Arial" w:cs="Arial"/>
          <w:sz w:val="22"/>
          <w:szCs w:val="22"/>
          <w:lang w:val="en-GB"/>
        </w:rPr>
        <w:t xml:space="preserve">4; and </w:t>
      </w:r>
    </w:p>
    <w:p w14:paraId="3855EAB2" w14:textId="1A5A7A3E" w:rsidR="002C6790" w:rsidRDefault="002C6790" w:rsidP="00452FED">
      <w:pPr>
        <w:pStyle w:val="ListParagraph"/>
        <w:numPr>
          <w:ilvl w:val="0"/>
          <w:numId w:val="28"/>
        </w:numPr>
        <w:jc w:val="both"/>
        <w:rPr>
          <w:rFonts w:ascii="Arial" w:hAnsi="Arial" w:cs="Arial"/>
          <w:sz w:val="22"/>
          <w:szCs w:val="22"/>
          <w:lang w:val="en-GB"/>
        </w:rPr>
      </w:pPr>
      <w:r>
        <w:rPr>
          <w:rFonts w:ascii="Arial" w:hAnsi="Arial" w:cs="Arial"/>
          <w:sz w:val="22"/>
          <w:szCs w:val="22"/>
          <w:lang w:val="en-GB"/>
        </w:rPr>
        <w:t xml:space="preserve">The appointment is discovered to be invalid, </w:t>
      </w:r>
    </w:p>
    <w:p w14:paraId="1C105865" w14:textId="511FEF20" w:rsidR="002C6790" w:rsidRDefault="002C6790" w:rsidP="002C6790">
      <w:pPr>
        <w:ind w:left="360"/>
        <w:jc w:val="both"/>
        <w:rPr>
          <w:rFonts w:ascii="Arial" w:hAnsi="Arial" w:cs="Arial"/>
          <w:sz w:val="22"/>
          <w:szCs w:val="22"/>
          <w:lang w:val="en-GB"/>
        </w:rPr>
      </w:pPr>
      <w:r>
        <w:rPr>
          <w:rFonts w:ascii="Arial" w:hAnsi="Arial" w:cs="Arial"/>
          <w:sz w:val="22"/>
          <w:szCs w:val="22"/>
          <w:lang w:val="en-GB"/>
        </w:rPr>
        <w:t>Any person who appears to the court to have a legitimate interest in the matter may apply to the court for an order under section (2) of section 540 of the Act.</w:t>
      </w:r>
    </w:p>
    <w:p w14:paraId="12E29B82" w14:textId="1A747DC8" w:rsidR="00C17D51" w:rsidRDefault="00C17D51" w:rsidP="00C17D51">
      <w:pPr>
        <w:jc w:val="both"/>
        <w:rPr>
          <w:rFonts w:ascii="Arial" w:hAnsi="Arial" w:cs="Arial"/>
          <w:sz w:val="22"/>
          <w:szCs w:val="22"/>
          <w:lang w:val="en-GB"/>
        </w:rPr>
      </w:pPr>
    </w:p>
    <w:p w14:paraId="020A13F0" w14:textId="70AEDE3A" w:rsidR="00C17D51" w:rsidRDefault="00C17D51" w:rsidP="00C17D51">
      <w:pPr>
        <w:jc w:val="both"/>
        <w:rPr>
          <w:rFonts w:ascii="Arial" w:hAnsi="Arial" w:cs="Arial"/>
          <w:sz w:val="22"/>
          <w:szCs w:val="22"/>
          <w:lang w:val="en-GB"/>
        </w:rPr>
      </w:pPr>
      <w:r>
        <w:rPr>
          <w:rFonts w:ascii="Arial" w:hAnsi="Arial" w:cs="Arial"/>
          <w:sz w:val="22"/>
          <w:szCs w:val="22"/>
          <w:lang w:val="en-GB"/>
        </w:rPr>
        <w:t xml:space="preserve">On the hearing of an application made under subsection (1), the court may order the person who </w:t>
      </w:r>
      <w:r w:rsidR="0029636F">
        <w:rPr>
          <w:rFonts w:ascii="Arial" w:hAnsi="Arial" w:cs="Arial"/>
          <w:sz w:val="22"/>
          <w:szCs w:val="22"/>
          <w:lang w:val="en-GB"/>
        </w:rPr>
        <w:t>purported to make the appointment to indemnify the person appointed against liability that is solely attributable to the appointment’s invalidity.</w:t>
      </w:r>
      <w:r w:rsidR="0029636F">
        <w:rPr>
          <w:rStyle w:val="FootnoteReference"/>
          <w:rFonts w:ascii="Arial" w:hAnsi="Arial" w:cs="Arial"/>
          <w:sz w:val="22"/>
          <w:szCs w:val="22"/>
          <w:lang w:val="en-GB"/>
        </w:rPr>
        <w:footnoteReference w:id="22"/>
      </w:r>
    </w:p>
    <w:p w14:paraId="7F9040B7" w14:textId="5C0FB12D" w:rsidR="0029636F" w:rsidRDefault="0029636F" w:rsidP="00C17D51">
      <w:pPr>
        <w:jc w:val="both"/>
        <w:rPr>
          <w:rFonts w:ascii="Arial" w:hAnsi="Arial" w:cs="Arial"/>
          <w:sz w:val="22"/>
          <w:szCs w:val="22"/>
          <w:lang w:val="en-GB"/>
        </w:rPr>
      </w:pPr>
    </w:p>
    <w:p w14:paraId="610CFF8F" w14:textId="18156E37" w:rsidR="0029636F" w:rsidRDefault="0029636F" w:rsidP="00C17D51">
      <w:pPr>
        <w:jc w:val="both"/>
        <w:rPr>
          <w:rFonts w:ascii="Arial" w:hAnsi="Arial" w:cs="Arial"/>
          <w:sz w:val="22"/>
          <w:szCs w:val="22"/>
          <w:lang w:val="en-GB"/>
        </w:rPr>
      </w:pPr>
      <w:r>
        <w:rPr>
          <w:rFonts w:ascii="Arial" w:hAnsi="Arial" w:cs="Arial"/>
          <w:sz w:val="22"/>
          <w:szCs w:val="22"/>
          <w:lang w:val="en-GB"/>
        </w:rPr>
        <w:t>Once the administration is effective, or where a petition for administration is pending, an automatic moratorium comes into effect pursuant to section 560 of the Insolvency Act.</w:t>
      </w:r>
      <w:r w:rsidR="005A3FDE">
        <w:rPr>
          <w:rStyle w:val="FootnoteReference"/>
          <w:rFonts w:ascii="Arial" w:hAnsi="Arial" w:cs="Arial"/>
          <w:sz w:val="22"/>
          <w:szCs w:val="22"/>
          <w:lang w:val="en-GB"/>
        </w:rPr>
        <w:footnoteReference w:id="23"/>
      </w:r>
      <w:r w:rsidR="00E639B0">
        <w:rPr>
          <w:rFonts w:ascii="Arial" w:hAnsi="Arial" w:cs="Arial"/>
          <w:sz w:val="22"/>
          <w:szCs w:val="22"/>
          <w:lang w:val="en-GB"/>
        </w:rPr>
        <w:t>The moratorium has the following effects;</w:t>
      </w:r>
    </w:p>
    <w:p w14:paraId="58B46227" w14:textId="77777777" w:rsidR="00E639B0" w:rsidRDefault="00E639B0" w:rsidP="00E639B0">
      <w:pPr>
        <w:pStyle w:val="ListParagraph"/>
        <w:numPr>
          <w:ilvl w:val="0"/>
          <w:numId w:val="29"/>
        </w:numPr>
        <w:jc w:val="both"/>
        <w:rPr>
          <w:rFonts w:ascii="Arial" w:hAnsi="Arial" w:cs="Arial"/>
          <w:sz w:val="22"/>
          <w:szCs w:val="22"/>
          <w:lang w:val="en-GB"/>
        </w:rPr>
      </w:pPr>
      <w:r>
        <w:rPr>
          <w:rFonts w:ascii="Arial" w:hAnsi="Arial" w:cs="Arial"/>
          <w:sz w:val="22"/>
          <w:szCs w:val="22"/>
          <w:lang w:val="en-GB"/>
        </w:rPr>
        <w:t>A resolution may not be passed for the liquidation of the company;</w:t>
      </w:r>
    </w:p>
    <w:p w14:paraId="7DB81514" w14:textId="77777777" w:rsidR="00E639B0" w:rsidRDefault="00E639B0" w:rsidP="00E639B0">
      <w:pPr>
        <w:pStyle w:val="ListParagraph"/>
        <w:numPr>
          <w:ilvl w:val="0"/>
          <w:numId w:val="29"/>
        </w:numPr>
        <w:jc w:val="both"/>
        <w:rPr>
          <w:rFonts w:ascii="Arial" w:hAnsi="Arial" w:cs="Arial"/>
          <w:sz w:val="22"/>
          <w:szCs w:val="22"/>
          <w:lang w:val="en-GB"/>
        </w:rPr>
      </w:pPr>
      <w:r>
        <w:rPr>
          <w:rFonts w:ascii="Arial" w:hAnsi="Arial" w:cs="Arial"/>
          <w:sz w:val="22"/>
          <w:szCs w:val="22"/>
          <w:lang w:val="en-GB"/>
        </w:rPr>
        <w:t>The court may not make an order for the liquidation of the company;</w:t>
      </w:r>
    </w:p>
    <w:p w14:paraId="6BE874E0" w14:textId="5AC8BF29" w:rsidR="00CC2803" w:rsidRDefault="00E639B0" w:rsidP="00E639B0">
      <w:pPr>
        <w:pStyle w:val="ListParagraph"/>
        <w:numPr>
          <w:ilvl w:val="0"/>
          <w:numId w:val="29"/>
        </w:numPr>
        <w:jc w:val="both"/>
        <w:rPr>
          <w:rFonts w:ascii="Arial" w:hAnsi="Arial" w:cs="Arial"/>
          <w:sz w:val="22"/>
          <w:szCs w:val="22"/>
          <w:lang w:val="en-GB"/>
        </w:rPr>
      </w:pPr>
      <w:r>
        <w:rPr>
          <w:rFonts w:ascii="Arial" w:hAnsi="Arial" w:cs="Arial"/>
          <w:sz w:val="22"/>
          <w:szCs w:val="22"/>
          <w:lang w:val="en-GB"/>
        </w:rPr>
        <w:t xml:space="preserve">A person may take steps to enforce security over the company’s </w:t>
      </w:r>
      <w:r w:rsidR="00CC2803">
        <w:rPr>
          <w:rFonts w:ascii="Arial" w:hAnsi="Arial" w:cs="Arial"/>
          <w:sz w:val="22"/>
          <w:szCs w:val="22"/>
          <w:lang w:val="en-GB"/>
        </w:rPr>
        <w:t>property o</w:t>
      </w:r>
      <w:r w:rsidR="007700CD">
        <w:rPr>
          <w:rFonts w:ascii="Arial" w:hAnsi="Arial" w:cs="Arial"/>
          <w:sz w:val="22"/>
          <w:szCs w:val="22"/>
          <w:lang w:val="en-GB"/>
        </w:rPr>
        <w:t>n</w:t>
      </w:r>
      <w:r w:rsidR="00CC2803">
        <w:rPr>
          <w:rFonts w:ascii="Arial" w:hAnsi="Arial" w:cs="Arial"/>
          <w:sz w:val="22"/>
          <w:szCs w:val="22"/>
          <w:lang w:val="en-GB"/>
        </w:rPr>
        <w:t>ly with the approval of the court;</w:t>
      </w:r>
    </w:p>
    <w:p w14:paraId="32A595C3" w14:textId="77777777" w:rsidR="00886AFD" w:rsidRDefault="00CC2803" w:rsidP="00E639B0">
      <w:pPr>
        <w:pStyle w:val="ListParagraph"/>
        <w:numPr>
          <w:ilvl w:val="0"/>
          <w:numId w:val="29"/>
        </w:numPr>
        <w:jc w:val="both"/>
        <w:rPr>
          <w:rFonts w:ascii="Arial" w:hAnsi="Arial" w:cs="Arial"/>
          <w:sz w:val="22"/>
          <w:szCs w:val="22"/>
          <w:lang w:val="en-GB"/>
        </w:rPr>
      </w:pPr>
      <w:r>
        <w:rPr>
          <w:rFonts w:ascii="Arial" w:hAnsi="Arial" w:cs="Arial"/>
          <w:sz w:val="22"/>
          <w:szCs w:val="22"/>
          <w:lang w:val="en-GB"/>
        </w:rPr>
        <w:t>A person may take steps to repossess goods in the company’s possession under a hire purchase agreement only with the approval of the court;</w:t>
      </w:r>
    </w:p>
    <w:p w14:paraId="5F14C245" w14:textId="77777777" w:rsidR="006C0153" w:rsidRDefault="00886AFD" w:rsidP="00E639B0">
      <w:pPr>
        <w:pStyle w:val="ListParagraph"/>
        <w:numPr>
          <w:ilvl w:val="0"/>
          <w:numId w:val="29"/>
        </w:numPr>
        <w:jc w:val="both"/>
        <w:rPr>
          <w:rFonts w:ascii="Arial" w:hAnsi="Arial" w:cs="Arial"/>
          <w:sz w:val="22"/>
          <w:szCs w:val="22"/>
          <w:lang w:val="en-GB"/>
        </w:rPr>
      </w:pPr>
      <w:r>
        <w:rPr>
          <w:rFonts w:ascii="Arial" w:hAnsi="Arial" w:cs="Arial"/>
          <w:sz w:val="22"/>
          <w:szCs w:val="22"/>
          <w:lang w:val="en-GB"/>
        </w:rPr>
        <w:lastRenderedPageBreak/>
        <w:t>A landlord may exercise a right of forfeiture by peaceable re-entry in relation to premises let to the company only with the approval of the court;</w:t>
      </w:r>
    </w:p>
    <w:p w14:paraId="084B0B2D" w14:textId="54B2AEF9" w:rsidR="006C0153" w:rsidRDefault="006C0153" w:rsidP="00E639B0">
      <w:pPr>
        <w:pStyle w:val="ListParagraph"/>
        <w:numPr>
          <w:ilvl w:val="0"/>
          <w:numId w:val="29"/>
        </w:numPr>
        <w:jc w:val="both"/>
        <w:rPr>
          <w:rFonts w:ascii="Arial" w:hAnsi="Arial" w:cs="Arial"/>
          <w:sz w:val="22"/>
          <w:szCs w:val="22"/>
          <w:lang w:val="en-GB"/>
        </w:rPr>
      </w:pPr>
      <w:r>
        <w:rPr>
          <w:rFonts w:ascii="Arial" w:hAnsi="Arial" w:cs="Arial"/>
          <w:sz w:val="22"/>
          <w:szCs w:val="22"/>
          <w:lang w:val="en-GB"/>
        </w:rPr>
        <w:t>A person may begin or continue legal process (including legal proceedings, execution, distress and diligence) against the company or property of the company only with the approval of the court;</w:t>
      </w:r>
    </w:p>
    <w:p w14:paraId="71A0F1F2" w14:textId="77777777" w:rsidR="006C0153" w:rsidRDefault="006C0153" w:rsidP="00E639B0">
      <w:pPr>
        <w:pStyle w:val="ListParagraph"/>
        <w:numPr>
          <w:ilvl w:val="0"/>
          <w:numId w:val="29"/>
        </w:numPr>
        <w:jc w:val="both"/>
        <w:rPr>
          <w:rFonts w:ascii="Arial" w:hAnsi="Arial" w:cs="Arial"/>
          <w:sz w:val="22"/>
          <w:szCs w:val="22"/>
          <w:lang w:val="en-GB"/>
        </w:rPr>
      </w:pPr>
      <w:r>
        <w:rPr>
          <w:rFonts w:ascii="Arial" w:hAnsi="Arial" w:cs="Arial"/>
          <w:sz w:val="22"/>
          <w:szCs w:val="22"/>
          <w:lang w:val="en-GB"/>
        </w:rPr>
        <w:t>A person may take steps to enforce security over the company’s property only with the approval of the court; and</w:t>
      </w:r>
    </w:p>
    <w:p w14:paraId="420AD36C" w14:textId="77777777" w:rsidR="007700CD" w:rsidRDefault="006C0153" w:rsidP="00E639B0">
      <w:pPr>
        <w:pStyle w:val="ListParagraph"/>
        <w:numPr>
          <w:ilvl w:val="0"/>
          <w:numId w:val="29"/>
        </w:numPr>
        <w:jc w:val="both"/>
        <w:rPr>
          <w:rFonts w:ascii="Arial" w:hAnsi="Arial" w:cs="Arial"/>
          <w:sz w:val="22"/>
          <w:szCs w:val="22"/>
          <w:lang w:val="en-GB"/>
        </w:rPr>
      </w:pPr>
      <w:r>
        <w:rPr>
          <w:rFonts w:ascii="Arial" w:hAnsi="Arial" w:cs="Arial"/>
          <w:sz w:val="22"/>
          <w:szCs w:val="22"/>
          <w:lang w:val="en-GB"/>
        </w:rPr>
        <w:t>A person may take to repossess goods in the company’s possession under a hire purchase agreement only with the approval of the court.</w:t>
      </w:r>
      <w:r>
        <w:rPr>
          <w:rStyle w:val="FootnoteReference"/>
          <w:rFonts w:ascii="Arial" w:hAnsi="Arial" w:cs="Arial"/>
          <w:sz w:val="22"/>
          <w:szCs w:val="22"/>
          <w:lang w:val="en-GB"/>
        </w:rPr>
        <w:footnoteReference w:id="24"/>
      </w:r>
      <w:r w:rsidR="00CC2803">
        <w:rPr>
          <w:rFonts w:ascii="Arial" w:hAnsi="Arial" w:cs="Arial"/>
          <w:sz w:val="22"/>
          <w:szCs w:val="22"/>
          <w:lang w:val="en-GB"/>
        </w:rPr>
        <w:t xml:space="preserve"> </w:t>
      </w:r>
    </w:p>
    <w:p w14:paraId="236E090C" w14:textId="77777777" w:rsidR="007700CD" w:rsidRDefault="007700CD" w:rsidP="007700CD">
      <w:pPr>
        <w:jc w:val="both"/>
        <w:rPr>
          <w:rFonts w:ascii="Arial" w:hAnsi="Arial" w:cs="Arial"/>
          <w:sz w:val="22"/>
          <w:szCs w:val="22"/>
          <w:lang w:val="en-GB"/>
        </w:rPr>
      </w:pPr>
    </w:p>
    <w:p w14:paraId="3A0D86C3" w14:textId="77777777" w:rsidR="002F66C2" w:rsidRDefault="007700CD" w:rsidP="007700CD">
      <w:pPr>
        <w:jc w:val="both"/>
        <w:rPr>
          <w:rFonts w:ascii="Arial" w:hAnsi="Arial" w:cs="Arial"/>
          <w:sz w:val="22"/>
          <w:szCs w:val="22"/>
          <w:lang w:val="en-GB"/>
        </w:rPr>
      </w:pPr>
      <w:r>
        <w:rPr>
          <w:rFonts w:ascii="Arial" w:hAnsi="Arial" w:cs="Arial"/>
          <w:sz w:val="22"/>
          <w:szCs w:val="22"/>
          <w:lang w:val="en-GB"/>
        </w:rPr>
        <w:t>However, upon appointment, the ad</w:t>
      </w:r>
      <w:r w:rsidR="008C6457">
        <w:rPr>
          <w:rFonts w:ascii="Arial" w:hAnsi="Arial" w:cs="Arial"/>
          <w:sz w:val="22"/>
          <w:szCs w:val="22"/>
          <w:lang w:val="en-GB"/>
        </w:rPr>
        <w:t>ministrator is under a duty to publish a notice of his appointment in the Kenya Gazette and two newspapers of wide circulation.</w:t>
      </w:r>
      <w:r w:rsidR="002110FD">
        <w:rPr>
          <w:rFonts w:ascii="Arial" w:hAnsi="Arial" w:cs="Arial"/>
          <w:sz w:val="22"/>
          <w:szCs w:val="22"/>
          <w:lang w:val="en-GB"/>
        </w:rPr>
        <w:t xml:space="preserve"> Additionally, the administrator has to send a formal notice to the Official Receiver within seven days of the order and within 14 days to the companies’ registry, the registered office of the insolvent company and individual notices to each and every creditor of the company whose debt the administrator is aware of.</w:t>
      </w:r>
      <w:r w:rsidR="002110FD">
        <w:rPr>
          <w:rStyle w:val="FootnoteReference"/>
          <w:rFonts w:ascii="Arial" w:hAnsi="Arial" w:cs="Arial"/>
          <w:sz w:val="22"/>
          <w:szCs w:val="22"/>
          <w:lang w:val="en-GB"/>
        </w:rPr>
        <w:footnoteReference w:id="25"/>
      </w:r>
      <w:r w:rsidR="002110FD">
        <w:rPr>
          <w:rFonts w:ascii="Arial" w:hAnsi="Arial" w:cs="Arial"/>
          <w:sz w:val="22"/>
          <w:szCs w:val="22"/>
          <w:lang w:val="en-GB"/>
        </w:rPr>
        <w:t xml:space="preserve"> </w:t>
      </w:r>
      <w:r w:rsidR="001F6000">
        <w:rPr>
          <w:rFonts w:ascii="Arial" w:hAnsi="Arial" w:cs="Arial"/>
          <w:sz w:val="22"/>
          <w:szCs w:val="22"/>
          <w:lang w:val="en-GB"/>
        </w:rPr>
        <w:t>Thereafter, as soon as is reasonable practicable a notice to provide the company’s information is required to be sent to the directors and /or other officers of the company who are under a duty to provide the company’s</w:t>
      </w:r>
      <w:r w:rsidR="002F66C2">
        <w:rPr>
          <w:rFonts w:ascii="Arial" w:hAnsi="Arial" w:cs="Arial"/>
          <w:sz w:val="22"/>
          <w:szCs w:val="22"/>
          <w:lang w:val="en-GB"/>
        </w:rPr>
        <w:t xml:space="preserve"> state of affairs as prescribed in the Insolvency Regulations (within 12 days of receipt of notice), which include the following;</w:t>
      </w:r>
    </w:p>
    <w:p w14:paraId="5E0A9532" w14:textId="77777777" w:rsidR="002F66C2" w:rsidRDefault="002F66C2" w:rsidP="002F66C2">
      <w:pPr>
        <w:pStyle w:val="ListParagraph"/>
        <w:numPr>
          <w:ilvl w:val="0"/>
          <w:numId w:val="30"/>
        </w:numPr>
        <w:jc w:val="both"/>
        <w:rPr>
          <w:rFonts w:ascii="Arial" w:hAnsi="Arial" w:cs="Arial"/>
          <w:sz w:val="22"/>
          <w:szCs w:val="22"/>
          <w:lang w:val="en-GB"/>
        </w:rPr>
      </w:pPr>
      <w:r>
        <w:rPr>
          <w:rFonts w:ascii="Arial" w:hAnsi="Arial" w:cs="Arial"/>
          <w:sz w:val="22"/>
          <w:szCs w:val="22"/>
          <w:lang w:val="en-GB"/>
        </w:rPr>
        <w:t xml:space="preserve">List of the company’s assets, </w:t>
      </w:r>
      <w:proofErr w:type="spellStart"/>
      <w:r>
        <w:rPr>
          <w:rFonts w:ascii="Arial" w:hAnsi="Arial" w:cs="Arial"/>
          <w:sz w:val="22"/>
          <w:szCs w:val="22"/>
          <w:lang w:val="en-GB"/>
        </w:rPr>
        <w:t>dividend</w:t>
      </w:r>
      <w:proofErr w:type="spellEnd"/>
      <w:r>
        <w:rPr>
          <w:rFonts w:ascii="Arial" w:hAnsi="Arial" w:cs="Arial"/>
          <w:sz w:val="22"/>
          <w:szCs w:val="22"/>
          <w:lang w:val="en-GB"/>
        </w:rPr>
        <w:t xml:space="preserve"> into such categories as are appropriate for easy identification and with each category give an estimated value;</w:t>
      </w:r>
    </w:p>
    <w:p w14:paraId="3D85D147" w14:textId="77777777" w:rsidR="002F66C2" w:rsidRDefault="002F66C2" w:rsidP="002F66C2">
      <w:pPr>
        <w:pStyle w:val="ListParagraph"/>
        <w:numPr>
          <w:ilvl w:val="0"/>
          <w:numId w:val="30"/>
        </w:numPr>
        <w:jc w:val="both"/>
        <w:rPr>
          <w:rFonts w:ascii="Arial" w:hAnsi="Arial" w:cs="Arial"/>
          <w:sz w:val="22"/>
          <w:szCs w:val="22"/>
          <w:lang w:val="en-GB"/>
        </w:rPr>
      </w:pPr>
      <w:r>
        <w:rPr>
          <w:rFonts w:ascii="Arial" w:hAnsi="Arial" w:cs="Arial"/>
          <w:sz w:val="22"/>
          <w:szCs w:val="22"/>
          <w:lang w:val="en-GB"/>
        </w:rPr>
        <w:t>In the case of any property on which a claim against the company is wholly or partly secured, particulars of the claim and how and when the security was created;</w:t>
      </w:r>
    </w:p>
    <w:p w14:paraId="3F374C77" w14:textId="77777777" w:rsidR="002F66C2" w:rsidRDefault="002F66C2" w:rsidP="002F66C2">
      <w:pPr>
        <w:pStyle w:val="ListParagraph"/>
        <w:numPr>
          <w:ilvl w:val="0"/>
          <w:numId w:val="30"/>
        </w:numPr>
        <w:jc w:val="both"/>
        <w:rPr>
          <w:rFonts w:ascii="Arial" w:hAnsi="Arial" w:cs="Arial"/>
          <w:sz w:val="22"/>
          <w:szCs w:val="22"/>
          <w:lang w:val="en-GB"/>
        </w:rPr>
      </w:pPr>
      <w:r>
        <w:rPr>
          <w:rFonts w:ascii="Arial" w:hAnsi="Arial" w:cs="Arial"/>
          <w:sz w:val="22"/>
          <w:szCs w:val="22"/>
          <w:lang w:val="en-GB"/>
        </w:rPr>
        <w:t>The names and addresses of the preferential creditors, with the amounts of their respective claims;</w:t>
      </w:r>
    </w:p>
    <w:p w14:paraId="4DCF25BB" w14:textId="77777777" w:rsidR="002F66C2" w:rsidRDefault="002F66C2" w:rsidP="002F66C2">
      <w:pPr>
        <w:pStyle w:val="ListParagraph"/>
        <w:numPr>
          <w:ilvl w:val="0"/>
          <w:numId w:val="30"/>
        </w:numPr>
        <w:jc w:val="both"/>
        <w:rPr>
          <w:rFonts w:ascii="Arial" w:hAnsi="Arial" w:cs="Arial"/>
          <w:sz w:val="22"/>
          <w:szCs w:val="22"/>
          <w:lang w:val="en-GB"/>
        </w:rPr>
      </w:pPr>
      <w:r>
        <w:rPr>
          <w:rFonts w:ascii="Arial" w:hAnsi="Arial" w:cs="Arial"/>
          <w:sz w:val="22"/>
          <w:szCs w:val="22"/>
          <w:lang w:val="en-GB"/>
        </w:rPr>
        <w:t>The names and addresses of the unsecured creditors with the amounts of their respective claims;</w:t>
      </w:r>
    </w:p>
    <w:p w14:paraId="227ABEB2" w14:textId="77777777" w:rsidR="002F66C2" w:rsidRDefault="002F66C2" w:rsidP="002F66C2">
      <w:pPr>
        <w:pStyle w:val="ListParagraph"/>
        <w:numPr>
          <w:ilvl w:val="0"/>
          <w:numId w:val="30"/>
        </w:numPr>
        <w:jc w:val="both"/>
        <w:rPr>
          <w:rFonts w:ascii="Arial" w:hAnsi="Arial" w:cs="Arial"/>
          <w:sz w:val="22"/>
          <w:szCs w:val="22"/>
          <w:lang w:val="en-GB"/>
        </w:rPr>
      </w:pPr>
      <w:r>
        <w:rPr>
          <w:rFonts w:ascii="Arial" w:hAnsi="Arial" w:cs="Arial"/>
          <w:sz w:val="22"/>
          <w:szCs w:val="22"/>
          <w:lang w:val="en-GB"/>
        </w:rPr>
        <w:t>Particulars of any debts owed by the company to persons connected with it;</w:t>
      </w:r>
    </w:p>
    <w:p w14:paraId="2D811EFB" w14:textId="77777777" w:rsidR="002F66C2" w:rsidRDefault="002F66C2" w:rsidP="002F66C2">
      <w:pPr>
        <w:pStyle w:val="ListParagraph"/>
        <w:numPr>
          <w:ilvl w:val="0"/>
          <w:numId w:val="30"/>
        </w:numPr>
        <w:jc w:val="both"/>
        <w:rPr>
          <w:rFonts w:ascii="Arial" w:hAnsi="Arial" w:cs="Arial"/>
          <w:sz w:val="22"/>
          <w:szCs w:val="22"/>
          <w:lang w:val="en-GB"/>
        </w:rPr>
      </w:pPr>
      <w:r>
        <w:rPr>
          <w:rFonts w:ascii="Arial" w:hAnsi="Arial" w:cs="Arial"/>
          <w:sz w:val="22"/>
          <w:szCs w:val="22"/>
          <w:lang w:val="en-GB"/>
        </w:rPr>
        <w:t>Particulars of any debts owed to the company by persons connected with it;</w:t>
      </w:r>
    </w:p>
    <w:p w14:paraId="7B2885FF" w14:textId="77777777" w:rsidR="002F66C2" w:rsidRDefault="002F66C2" w:rsidP="002F66C2">
      <w:pPr>
        <w:pStyle w:val="ListParagraph"/>
        <w:numPr>
          <w:ilvl w:val="0"/>
          <w:numId w:val="30"/>
        </w:numPr>
        <w:jc w:val="both"/>
        <w:rPr>
          <w:rFonts w:ascii="Arial" w:hAnsi="Arial" w:cs="Arial"/>
          <w:sz w:val="22"/>
          <w:szCs w:val="22"/>
          <w:lang w:val="en-GB"/>
        </w:rPr>
      </w:pPr>
      <w:r>
        <w:rPr>
          <w:rFonts w:ascii="Arial" w:hAnsi="Arial" w:cs="Arial"/>
          <w:sz w:val="22"/>
          <w:szCs w:val="22"/>
          <w:lang w:val="en-GB"/>
        </w:rPr>
        <w:t xml:space="preserve">The names and addresses of the company’s members, with details of their respective shareholdings; and </w:t>
      </w:r>
    </w:p>
    <w:p w14:paraId="0931E3B7" w14:textId="22F23E13" w:rsidR="00E639B0" w:rsidRDefault="002F66C2" w:rsidP="002F66C2">
      <w:pPr>
        <w:pStyle w:val="ListParagraph"/>
        <w:numPr>
          <w:ilvl w:val="0"/>
          <w:numId w:val="30"/>
        </w:numPr>
        <w:jc w:val="both"/>
        <w:rPr>
          <w:rFonts w:ascii="Arial" w:hAnsi="Arial" w:cs="Arial"/>
          <w:sz w:val="22"/>
          <w:szCs w:val="22"/>
          <w:lang w:val="en-GB"/>
        </w:rPr>
      </w:pPr>
      <w:r>
        <w:rPr>
          <w:rFonts w:ascii="Arial" w:hAnsi="Arial" w:cs="Arial"/>
          <w:sz w:val="22"/>
          <w:szCs w:val="22"/>
          <w:lang w:val="en-GB"/>
        </w:rPr>
        <w:t>Any other particulars that the admini</w:t>
      </w:r>
      <w:r w:rsidR="006F0B5D">
        <w:rPr>
          <w:rFonts w:ascii="Arial" w:hAnsi="Arial" w:cs="Arial"/>
          <w:sz w:val="22"/>
          <w:szCs w:val="22"/>
          <w:lang w:val="en-GB"/>
        </w:rPr>
        <w:t>strator considers appropriate for inclusion in the statement.</w:t>
      </w:r>
      <w:r w:rsidR="006F0B5D">
        <w:rPr>
          <w:rStyle w:val="FootnoteReference"/>
          <w:rFonts w:ascii="Arial" w:hAnsi="Arial" w:cs="Arial"/>
          <w:sz w:val="22"/>
          <w:szCs w:val="22"/>
          <w:lang w:val="en-GB"/>
        </w:rPr>
        <w:footnoteReference w:id="26"/>
      </w:r>
      <w:r w:rsidR="00E639B0" w:rsidRPr="002F66C2">
        <w:rPr>
          <w:rFonts w:ascii="Arial" w:hAnsi="Arial" w:cs="Arial"/>
          <w:sz w:val="22"/>
          <w:szCs w:val="22"/>
          <w:lang w:val="en-GB"/>
        </w:rPr>
        <w:t xml:space="preserve"> </w:t>
      </w:r>
    </w:p>
    <w:p w14:paraId="4244287B" w14:textId="20B61149" w:rsidR="004A4D1A" w:rsidRDefault="004A4D1A" w:rsidP="004A4D1A">
      <w:pPr>
        <w:jc w:val="both"/>
        <w:rPr>
          <w:rFonts w:ascii="Arial" w:hAnsi="Arial" w:cs="Arial"/>
          <w:sz w:val="22"/>
          <w:szCs w:val="22"/>
          <w:lang w:val="en-GB"/>
        </w:rPr>
      </w:pPr>
    </w:p>
    <w:p w14:paraId="62331EAA" w14:textId="77777777" w:rsidR="009222B7" w:rsidRDefault="004A4D1A" w:rsidP="004A4D1A">
      <w:pPr>
        <w:jc w:val="both"/>
        <w:rPr>
          <w:rFonts w:ascii="Arial" w:hAnsi="Arial" w:cs="Arial"/>
          <w:sz w:val="22"/>
          <w:szCs w:val="22"/>
          <w:lang w:val="en-GB"/>
        </w:rPr>
      </w:pPr>
      <w:r>
        <w:rPr>
          <w:rFonts w:ascii="Arial" w:hAnsi="Arial" w:cs="Arial"/>
          <w:sz w:val="22"/>
          <w:szCs w:val="22"/>
          <w:lang w:val="en-GB"/>
        </w:rPr>
        <w:t>Upon reviewing the company’s status, the administrator must draft proposal setting out how he intends to achieve the objectives of administration.</w:t>
      </w:r>
      <w:r w:rsidR="001B6E8D">
        <w:rPr>
          <w:rFonts w:ascii="Arial" w:hAnsi="Arial" w:cs="Arial"/>
          <w:sz w:val="22"/>
          <w:szCs w:val="22"/>
          <w:lang w:val="en-GB"/>
        </w:rPr>
        <w:t xml:space="preserve"> Details set out by Regulation 110 of the Insolvency Regulations to be included in the administrator’s proposals include (i) an account of the circumstances giving rise to the administration; and (ii) a summary of the statement of affairs of the company.</w:t>
      </w:r>
    </w:p>
    <w:p w14:paraId="65ACA615" w14:textId="77777777" w:rsidR="009222B7" w:rsidRDefault="009222B7" w:rsidP="004A4D1A">
      <w:pPr>
        <w:jc w:val="both"/>
        <w:rPr>
          <w:rFonts w:ascii="Arial" w:hAnsi="Arial" w:cs="Arial"/>
          <w:sz w:val="22"/>
          <w:szCs w:val="22"/>
          <w:lang w:val="en-GB"/>
        </w:rPr>
      </w:pPr>
    </w:p>
    <w:p w14:paraId="254E021B" w14:textId="42A9522B" w:rsidR="00CD4F64" w:rsidRDefault="009222B7" w:rsidP="004A4D1A">
      <w:pPr>
        <w:jc w:val="both"/>
        <w:rPr>
          <w:rFonts w:ascii="Arial" w:hAnsi="Arial" w:cs="Arial"/>
          <w:sz w:val="22"/>
          <w:szCs w:val="22"/>
          <w:lang w:val="en-GB"/>
        </w:rPr>
      </w:pPr>
      <w:r>
        <w:rPr>
          <w:rFonts w:ascii="Arial" w:hAnsi="Arial" w:cs="Arial"/>
          <w:sz w:val="22"/>
          <w:szCs w:val="22"/>
          <w:lang w:val="en-GB"/>
        </w:rPr>
        <w:t>By section 566 of the Insolvency Act, the administrator can make proposals for voluntary arrangements or compromises to be sanctioned under the Companies Act. The proposal is required to be sent to the insolvent company’s creditors and shareholders and thereafter an initial</w:t>
      </w:r>
      <w:r w:rsidR="00CD4F64">
        <w:rPr>
          <w:rFonts w:ascii="Arial" w:hAnsi="Arial" w:cs="Arial"/>
          <w:sz w:val="22"/>
          <w:szCs w:val="22"/>
          <w:lang w:val="en-GB"/>
        </w:rPr>
        <w:t xml:space="preserve"> creditors meeting is to be conveyed for the purposes of reviewing the administrator’s proposals.</w:t>
      </w:r>
      <w:r w:rsidR="00CD4F64">
        <w:rPr>
          <w:rStyle w:val="FootnoteReference"/>
          <w:rFonts w:ascii="Arial" w:hAnsi="Arial" w:cs="Arial"/>
          <w:sz w:val="22"/>
          <w:szCs w:val="22"/>
          <w:lang w:val="en-GB"/>
        </w:rPr>
        <w:footnoteReference w:id="27"/>
      </w:r>
      <w:r w:rsidR="001B6E8D">
        <w:rPr>
          <w:rFonts w:ascii="Arial" w:hAnsi="Arial" w:cs="Arial"/>
          <w:sz w:val="22"/>
          <w:szCs w:val="22"/>
          <w:lang w:val="en-GB"/>
        </w:rPr>
        <w:t xml:space="preserve"> </w:t>
      </w:r>
      <w:r w:rsidR="00CD4F64">
        <w:rPr>
          <w:rFonts w:ascii="Arial" w:hAnsi="Arial" w:cs="Arial"/>
          <w:sz w:val="22"/>
          <w:szCs w:val="22"/>
          <w:lang w:val="en-GB"/>
        </w:rPr>
        <w:t xml:space="preserve">Relevant to note is that the administrator may either elect to seek consent of the creditors with respect to the proposals or, in the alternative, proceed to implement the proposals without the creditors’ consent. </w:t>
      </w:r>
    </w:p>
    <w:p w14:paraId="74C218C1" w14:textId="77777777" w:rsidR="008D3C63" w:rsidRDefault="008D3C63" w:rsidP="004A4D1A">
      <w:pPr>
        <w:jc w:val="both"/>
        <w:rPr>
          <w:rFonts w:ascii="Arial" w:hAnsi="Arial" w:cs="Arial"/>
          <w:sz w:val="22"/>
          <w:szCs w:val="22"/>
          <w:lang w:val="en-GB"/>
        </w:rPr>
      </w:pPr>
    </w:p>
    <w:p w14:paraId="5CAEBB9A" w14:textId="77777777" w:rsidR="004B5B53" w:rsidRDefault="00CD4F64" w:rsidP="004A4D1A">
      <w:pPr>
        <w:jc w:val="both"/>
        <w:rPr>
          <w:rFonts w:ascii="Arial" w:hAnsi="Arial" w:cs="Arial"/>
          <w:sz w:val="22"/>
          <w:szCs w:val="22"/>
          <w:lang w:val="en-GB"/>
        </w:rPr>
      </w:pPr>
      <w:r>
        <w:rPr>
          <w:rFonts w:ascii="Arial" w:hAnsi="Arial" w:cs="Arial"/>
          <w:sz w:val="22"/>
          <w:szCs w:val="22"/>
          <w:lang w:val="en-GB"/>
        </w:rPr>
        <w:lastRenderedPageBreak/>
        <w:t>Regulation 110(1)(i) of the Insolvency Regulations provides that during the creditors’ meeting the administrator must inform the creditors as to whether or not he will require their consent for the purposes of the proposals, but in that case he must state reasons as to why he will not be seeking their consent.</w:t>
      </w:r>
      <w:r w:rsidR="00567F4D">
        <w:rPr>
          <w:rFonts w:ascii="Arial" w:hAnsi="Arial" w:cs="Arial"/>
          <w:sz w:val="22"/>
          <w:szCs w:val="22"/>
          <w:lang w:val="en-GB"/>
        </w:rPr>
        <w:t xml:space="preserve"> There is however no general requirement that the administrator must seek approval for all his actions, save for the purpose of taking loans, using assets already secured with previous securities, for which the consent of the secured creditors will be required and, in its absence, an approval of 75% in value of the creditors.</w:t>
      </w:r>
      <w:r w:rsidR="00B9596E">
        <w:rPr>
          <w:rFonts w:ascii="Arial" w:hAnsi="Arial" w:cs="Arial"/>
          <w:sz w:val="22"/>
          <w:szCs w:val="22"/>
          <w:lang w:val="en-GB"/>
        </w:rPr>
        <w:t xml:space="preserve"> The administrator’s powers /actions are however not unchecked as section 591 of the Act empowers a creditor or a shareholder to make an application to court claiming that the administrator’s actions are detrimentally affecting their interest.</w:t>
      </w:r>
      <w:r w:rsidR="00D44BED">
        <w:rPr>
          <w:rStyle w:val="FootnoteReference"/>
          <w:rFonts w:ascii="Arial" w:hAnsi="Arial" w:cs="Arial"/>
          <w:sz w:val="22"/>
          <w:szCs w:val="22"/>
          <w:lang w:val="en-GB"/>
        </w:rPr>
        <w:footnoteReference w:id="28"/>
      </w:r>
      <w:r w:rsidR="00D44BED">
        <w:rPr>
          <w:rFonts w:ascii="Arial" w:hAnsi="Arial" w:cs="Arial"/>
          <w:sz w:val="22"/>
          <w:szCs w:val="22"/>
          <w:lang w:val="en-GB"/>
        </w:rPr>
        <w:t xml:space="preserve"> However, by section 573 of the Act, subsequent creditors’ meetings may be convened by the administrator on his own motion, or upon court direction, or upon</w:t>
      </w:r>
      <w:r w:rsidR="002E7C85">
        <w:rPr>
          <w:rFonts w:ascii="Arial" w:hAnsi="Arial" w:cs="Arial"/>
          <w:sz w:val="22"/>
          <w:szCs w:val="22"/>
          <w:lang w:val="en-GB"/>
        </w:rPr>
        <w:t xml:space="preserve"> request by creditors holding at least 10% in value of the insolvent company’s proven debt. All decisions taken at the creditors’ meeting are to be notified to the court and the Official Receiver and if proposals are approved by the majority in value of the creditors, the administrator is under a duty to implement the proposals if approved.</w:t>
      </w:r>
      <w:r w:rsidR="002E7C85">
        <w:rPr>
          <w:rStyle w:val="FootnoteReference"/>
          <w:rFonts w:ascii="Arial" w:hAnsi="Arial" w:cs="Arial"/>
          <w:sz w:val="22"/>
          <w:szCs w:val="22"/>
          <w:lang w:val="en-GB"/>
        </w:rPr>
        <w:footnoteReference w:id="29"/>
      </w:r>
      <w:r w:rsidR="002E7C85">
        <w:rPr>
          <w:rFonts w:ascii="Arial" w:hAnsi="Arial" w:cs="Arial"/>
          <w:sz w:val="22"/>
          <w:szCs w:val="22"/>
          <w:lang w:val="en-GB"/>
        </w:rPr>
        <w:t xml:space="preserve"> </w:t>
      </w:r>
    </w:p>
    <w:p w14:paraId="196EBC9F" w14:textId="77777777" w:rsidR="004B5B53" w:rsidRDefault="004B5B53" w:rsidP="004A4D1A">
      <w:pPr>
        <w:jc w:val="both"/>
        <w:rPr>
          <w:rFonts w:ascii="Arial" w:hAnsi="Arial" w:cs="Arial"/>
          <w:sz w:val="22"/>
          <w:szCs w:val="22"/>
          <w:lang w:val="en-GB"/>
        </w:rPr>
      </w:pPr>
    </w:p>
    <w:p w14:paraId="44129E12" w14:textId="77777777" w:rsidR="004B5B53" w:rsidRDefault="004B5B53" w:rsidP="004A4D1A">
      <w:pPr>
        <w:jc w:val="both"/>
        <w:rPr>
          <w:rFonts w:ascii="Arial" w:hAnsi="Arial" w:cs="Arial"/>
          <w:sz w:val="22"/>
          <w:szCs w:val="22"/>
          <w:lang w:val="en-GB"/>
        </w:rPr>
      </w:pPr>
      <w:r>
        <w:rPr>
          <w:rFonts w:ascii="Arial" w:hAnsi="Arial" w:cs="Arial"/>
          <w:sz w:val="22"/>
          <w:szCs w:val="22"/>
          <w:lang w:val="en-GB"/>
        </w:rPr>
        <w:t>Section 567 of the Act provides that conduct of a creditors’ meeting is to be undertaken in accordance with the Insolvency Regulations which however, at Regulation 124 provide that the procedure to be followed is as set out in the Third Schedule. The key points relevant to note are:</w:t>
      </w:r>
    </w:p>
    <w:p w14:paraId="4F1623CE" w14:textId="58574D86" w:rsidR="00673DEA" w:rsidRDefault="004B5B53" w:rsidP="004B5B53">
      <w:pPr>
        <w:pStyle w:val="ListParagraph"/>
        <w:numPr>
          <w:ilvl w:val="0"/>
          <w:numId w:val="31"/>
        </w:numPr>
        <w:jc w:val="both"/>
        <w:rPr>
          <w:rFonts w:ascii="Arial" w:hAnsi="Arial" w:cs="Arial"/>
          <w:sz w:val="22"/>
          <w:szCs w:val="22"/>
          <w:lang w:val="en-GB"/>
        </w:rPr>
      </w:pPr>
      <w:r>
        <w:rPr>
          <w:rFonts w:ascii="Arial" w:hAnsi="Arial" w:cs="Arial"/>
          <w:sz w:val="22"/>
          <w:szCs w:val="22"/>
          <w:lang w:val="en-GB"/>
        </w:rPr>
        <w:t>Notices, voting</w:t>
      </w:r>
      <w:r w:rsidR="006833A4">
        <w:rPr>
          <w:rFonts w:ascii="Arial" w:hAnsi="Arial" w:cs="Arial"/>
          <w:sz w:val="22"/>
          <w:szCs w:val="22"/>
          <w:lang w:val="en-GB"/>
        </w:rPr>
        <w:t xml:space="preserve"> and venues for meetings: The convenor of a creditor’s meeting (the administrat</w:t>
      </w:r>
      <w:r w:rsidR="00CC4527">
        <w:rPr>
          <w:rFonts w:ascii="Arial" w:hAnsi="Arial" w:cs="Arial"/>
          <w:sz w:val="22"/>
          <w:szCs w:val="22"/>
          <w:lang w:val="en-GB"/>
        </w:rPr>
        <w:t>or) is required to send notices in the prescribed form (form 16)</w:t>
      </w:r>
      <w:r w:rsidR="002A38DB">
        <w:rPr>
          <w:rFonts w:ascii="Arial" w:hAnsi="Arial" w:cs="Arial"/>
          <w:sz w:val="22"/>
          <w:szCs w:val="22"/>
          <w:lang w:val="en-GB"/>
        </w:rPr>
        <w:t xml:space="preserve">. </w:t>
      </w:r>
    </w:p>
    <w:p w14:paraId="2845E6D9" w14:textId="77777777" w:rsidR="00673DEA" w:rsidRDefault="00673DEA" w:rsidP="00673DEA">
      <w:pPr>
        <w:pStyle w:val="ListParagraph"/>
        <w:jc w:val="both"/>
        <w:rPr>
          <w:rFonts w:ascii="Arial" w:hAnsi="Arial" w:cs="Arial"/>
          <w:sz w:val="22"/>
          <w:szCs w:val="22"/>
          <w:lang w:val="en-GB"/>
        </w:rPr>
      </w:pPr>
    </w:p>
    <w:p w14:paraId="77F451A4" w14:textId="77777777" w:rsidR="00686619" w:rsidRDefault="00673DEA" w:rsidP="00686619">
      <w:pPr>
        <w:ind w:left="360"/>
        <w:jc w:val="both"/>
        <w:rPr>
          <w:rFonts w:ascii="Arial" w:hAnsi="Arial" w:cs="Arial"/>
          <w:sz w:val="22"/>
          <w:szCs w:val="22"/>
          <w:lang w:val="en-GB"/>
        </w:rPr>
      </w:pPr>
      <w:r>
        <w:rPr>
          <w:rFonts w:ascii="Arial" w:hAnsi="Arial" w:cs="Arial"/>
          <w:sz w:val="22"/>
          <w:szCs w:val="22"/>
          <w:lang w:val="en-GB"/>
        </w:rPr>
        <w:t>The notice contains information such as the date and venue of the meeting, a statement of the date by which the creditor is required to send a proof in respect of the creditor’s claim, failure to which a creditor risks losing voting rights and a statement that a creditor is owed an amount that is in total loss than KES 1,000,000. A creditor who does not submit a proof of claim to the administrator will not be able to vote.</w:t>
      </w:r>
      <w:r w:rsidR="00AA5AC9">
        <w:rPr>
          <w:rStyle w:val="FootnoteReference"/>
          <w:rFonts w:ascii="Arial" w:hAnsi="Arial" w:cs="Arial"/>
          <w:sz w:val="22"/>
          <w:szCs w:val="22"/>
          <w:lang w:val="en-GB"/>
        </w:rPr>
        <w:footnoteReference w:id="30"/>
      </w:r>
    </w:p>
    <w:p w14:paraId="3EFD79E5" w14:textId="77777777" w:rsidR="00686619" w:rsidRDefault="00686619" w:rsidP="00686619">
      <w:pPr>
        <w:jc w:val="both"/>
        <w:rPr>
          <w:rFonts w:ascii="Arial" w:hAnsi="Arial" w:cs="Arial"/>
          <w:sz w:val="22"/>
          <w:szCs w:val="22"/>
          <w:lang w:val="en-GB"/>
        </w:rPr>
      </w:pPr>
    </w:p>
    <w:p w14:paraId="03C1E2AF" w14:textId="7A802B00" w:rsidR="004A4D1A" w:rsidRDefault="00686619" w:rsidP="00686619">
      <w:pPr>
        <w:pStyle w:val="ListParagraph"/>
        <w:numPr>
          <w:ilvl w:val="0"/>
          <w:numId w:val="31"/>
        </w:numPr>
        <w:jc w:val="both"/>
        <w:rPr>
          <w:rFonts w:ascii="Arial" w:hAnsi="Arial" w:cs="Arial"/>
          <w:sz w:val="22"/>
          <w:szCs w:val="22"/>
          <w:lang w:val="en-GB"/>
        </w:rPr>
      </w:pPr>
      <w:r>
        <w:rPr>
          <w:rFonts w:ascii="Arial" w:hAnsi="Arial" w:cs="Arial"/>
          <w:sz w:val="22"/>
          <w:szCs w:val="22"/>
          <w:lang w:val="en-GB"/>
        </w:rPr>
        <w:t>Constitution of meetings; A creditors’ meeting may not proceed unless there is a quorum, the requisite quorum being one (1) creditor.</w:t>
      </w:r>
      <w:r w:rsidR="005032D1">
        <w:rPr>
          <w:rFonts w:ascii="Arial" w:hAnsi="Arial" w:cs="Arial"/>
          <w:sz w:val="22"/>
          <w:szCs w:val="22"/>
          <w:lang w:val="en-GB"/>
        </w:rPr>
        <w:t xml:space="preserve"> The implication here is that there is no correlation between the voting rights and the value a creditor has in an insolvent company, seeing that a meeting can proceed with only one creditor.</w:t>
      </w:r>
      <w:r w:rsidR="001A2B90">
        <w:rPr>
          <w:rStyle w:val="FootnoteReference"/>
          <w:rFonts w:ascii="Arial" w:hAnsi="Arial" w:cs="Arial"/>
          <w:sz w:val="22"/>
          <w:szCs w:val="22"/>
          <w:lang w:val="en-GB"/>
        </w:rPr>
        <w:footnoteReference w:id="31"/>
      </w:r>
      <w:r w:rsidR="00CD4F64" w:rsidRPr="00686619">
        <w:rPr>
          <w:rFonts w:ascii="Arial" w:hAnsi="Arial" w:cs="Arial"/>
          <w:sz w:val="22"/>
          <w:szCs w:val="22"/>
          <w:lang w:val="en-GB"/>
        </w:rPr>
        <w:t xml:space="preserve"> </w:t>
      </w:r>
    </w:p>
    <w:p w14:paraId="21FE9384" w14:textId="2D5188BD" w:rsidR="00DA65A3" w:rsidRDefault="00DA65A3" w:rsidP="00686619">
      <w:pPr>
        <w:pStyle w:val="ListParagraph"/>
        <w:numPr>
          <w:ilvl w:val="0"/>
          <w:numId w:val="31"/>
        </w:numPr>
        <w:jc w:val="both"/>
        <w:rPr>
          <w:rFonts w:ascii="Arial" w:hAnsi="Arial" w:cs="Arial"/>
          <w:sz w:val="22"/>
          <w:szCs w:val="22"/>
          <w:lang w:val="en-GB"/>
        </w:rPr>
      </w:pPr>
      <w:r>
        <w:rPr>
          <w:rFonts w:ascii="Arial" w:hAnsi="Arial" w:cs="Arial"/>
          <w:sz w:val="22"/>
          <w:szCs w:val="22"/>
          <w:lang w:val="en-GB"/>
        </w:rPr>
        <w:t>Creditors’ voting rights and majorities; Creditors are entitled to vote at a meeting only if they have proved</w:t>
      </w:r>
      <w:r w:rsidR="00CC7B37">
        <w:rPr>
          <w:rFonts w:ascii="Arial" w:hAnsi="Arial" w:cs="Arial"/>
          <w:sz w:val="22"/>
          <w:szCs w:val="22"/>
          <w:lang w:val="en-GB"/>
        </w:rPr>
        <w:t xml:space="preserve"> their debt. The proof of claim has to be sent to the convenor of the meeting by 16:00 on the day preceding the date of the meeting and the proof has to be admitted and accepted.</w:t>
      </w:r>
      <w:r w:rsidR="008503CC">
        <w:rPr>
          <w:rFonts w:ascii="Arial" w:hAnsi="Arial" w:cs="Arial"/>
          <w:sz w:val="22"/>
          <w:szCs w:val="22"/>
          <w:lang w:val="en-GB"/>
        </w:rPr>
        <w:t xml:space="preserve"> The votes</w:t>
      </w:r>
      <w:r w:rsidR="005F1F23">
        <w:rPr>
          <w:rFonts w:ascii="Arial" w:hAnsi="Arial" w:cs="Arial"/>
          <w:sz w:val="22"/>
          <w:szCs w:val="22"/>
          <w:lang w:val="en-GB"/>
        </w:rPr>
        <w:t xml:space="preserve"> are calculated according to the amount of each creditor’s claim in a company administration.</w:t>
      </w:r>
      <w:r w:rsidR="005F1F23">
        <w:rPr>
          <w:rStyle w:val="FootnoteReference"/>
          <w:rFonts w:ascii="Arial" w:hAnsi="Arial" w:cs="Arial"/>
          <w:sz w:val="22"/>
          <w:szCs w:val="22"/>
          <w:lang w:val="en-GB"/>
        </w:rPr>
        <w:footnoteReference w:id="32"/>
      </w:r>
      <w:r w:rsidR="0014144B">
        <w:rPr>
          <w:rFonts w:ascii="Arial" w:hAnsi="Arial" w:cs="Arial"/>
          <w:sz w:val="22"/>
          <w:szCs w:val="22"/>
          <w:lang w:val="en-GB"/>
        </w:rPr>
        <w:t xml:space="preserve"> Regarding voting rights however, decisions are made by creditors when a majority (in value) of those voting have voted in favour of the proposed decision.</w:t>
      </w:r>
      <w:r w:rsidR="0014144B">
        <w:rPr>
          <w:rStyle w:val="FootnoteReference"/>
          <w:rFonts w:ascii="Arial" w:hAnsi="Arial" w:cs="Arial"/>
          <w:sz w:val="22"/>
          <w:szCs w:val="22"/>
          <w:lang w:val="en-GB"/>
        </w:rPr>
        <w:footnoteReference w:id="33"/>
      </w:r>
      <w:r w:rsidR="0014144B">
        <w:rPr>
          <w:rFonts w:ascii="Arial" w:hAnsi="Arial" w:cs="Arial"/>
          <w:sz w:val="22"/>
          <w:szCs w:val="22"/>
          <w:lang w:val="en-GB"/>
        </w:rPr>
        <w:t xml:space="preserve"> </w:t>
      </w:r>
    </w:p>
    <w:p w14:paraId="2BF798D9" w14:textId="41A28AD1" w:rsidR="0089013A" w:rsidRDefault="0089013A" w:rsidP="00686619">
      <w:pPr>
        <w:pStyle w:val="ListParagraph"/>
        <w:numPr>
          <w:ilvl w:val="0"/>
          <w:numId w:val="31"/>
        </w:numPr>
        <w:jc w:val="both"/>
        <w:rPr>
          <w:rFonts w:ascii="Arial" w:hAnsi="Arial" w:cs="Arial"/>
          <w:sz w:val="22"/>
          <w:szCs w:val="22"/>
          <w:lang w:val="en-GB"/>
        </w:rPr>
      </w:pPr>
      <w:r>
        <w:rPr>
          <w:rFonts w:ascii="Arial" w:hAnsi="Arial" w:cs="Arial"/>
          <w:sz w:val="22"/>
          <w:szCs w:val="22"/>
          <w:lang w:val="en-GB"/>
        </w:rPr>
        <w:t>Regulation 25(8) of the Insolvency Regulations (third schedule) provides that the value of a debt of a secured creditor for purposes of voting is “nil” where the debt is fully secured.</w:t>
      </w:r>
      <w:r w:rsidR="001D77BA">
        <w:rPr>
          <w:rFonts w:ascii="Arial" w:hAnsi="Arial" w:cs="Arial"/>
          <w:sz w:val="22"/>
          <w:szCs w:val="22"/>
          <w:lang w:val="en-GB"/>
        </w:rPr>
        <w:t xml:space="preserve"> Regulation 25(9) goes on to provide that where the debt is partially secured, the value for purposes of voting will be the portion of the unsecured debt</w:t>
      </w:r>
      <w:r w:rsidR="00A20447">
        <w:rPr>
          <w:rFonts w:ascii="Arial" w:hAnsi="Arial" w:cs="Arial"/>
          <w:sz w:val="22"/>
          <w:szCs w:val="22"/>
          <w:lang w:val="en-GB"/>
        </w:rPr>
        <w:t xml:space="preserve">. </w:t>
      </w:r>
      <w:r w:rsidR="00F61028">
        <w:rPr>
          <w:rFonts w:ascii="Arial" w:hAnsi="Arial" w:cs="Arial"/>
          <w:sz w:val="22"/>
          <w:szCs w:val="22"/>
          <w:lang w:val="en-GB"/>
        </w:rPr>
        <w:t>This means that a secured creditor is not entitled to vote in a creditors’ meeting if the debt is fully secured.</w:t>
      </w:r>
    </w:p>
    <w:p w14:paraId="2E5302E3" w14:textId="77777777" w:rsidR="00F61028" w:rsidRDefault="00F61028" w:rsidP="00F61028">
      <w:pPr>
        <w:pStyle w:val="ListParagraph"/>
        <w:jc w:val="both"/>
        <w:rPr>
          <w:rFonts w:ascii="Arial" w:hAnsi="Arial" w:cs="Arial"/>
          <w:sz w:val="22"/>
          <w:szCs w:val="22"/>
          <w:lang w:val="en-GB"/>
        </w:rPr>
      </w:pPr>
    </w:p>
    <w:p w14:paraId="76D7688D" w14:textId="00ACACE5" w:rsidR="005B25A2" w:rsidRDefault="00F61028" w:rsidP="005B25A2">
      <w:pPr>
        <w:pStyle w:val="ListParagraph"/>
        <w:jc w:val="both"/>
        <w:rPr>
          <w:rFonts w:ascii="Arial" w:hAnsi="Arial" w:cs="Arial"/>
          <w:sz w:val="22"/>
          <w:szCs w:val="22"/>
          <w:lang w:val="en-GB"/>
        </w:rPr>
      </w:pPr>
      <w:r>
        <w:rPr>
          <w:rFonts w:ascii="Arial" w:hAnsi="Arial" w:cs="Arial"/>
          <w:sz w:val="22"/>
          <w:szCs w:val="22"/>
          <w:lang w:val="en-GB"/>
        </w:rPr>
        <w:lastRenderedPageBreak/>
        <w:t>However, what is not clear is who determines (and how do they determine) whether a creditor is fully or partially secured if the asset has not been realised at the relevant date.</w:t>
      </w:r>
      <w:r>
        <w:rPr>
          <w:rStyle w:val="FootnoteReference"/>
          <w:rFonts w:ascii="Arial" w:hAnsi="Arial" w:cs="Arial"/>
          <w:sz w:val="22"/>
          <w:szCs w:val="22"/>
          <w:lang w:val="en-GB"/>
        </w:rPr>
        <w:footnoteReference w:id="34"/>
      </w:r>
      <w:r>
        <w:rPr>
          <w:rFonts w:ascii="Arial" w:hAnsi="Arial" w:cs="Arial"/>
          <w:sz w:val="22"/>
          <w:szCs w:val="22"/>
          <w:lang w:val="en-GB"/>
        </w:rPr>
        <w:t xml:space="preserve">  </w:t>
      </w:r>
    </w:p>
    <w:p w14:paraId="2493B262" w14:textId="0017CAF5" w:rsidR="005B25A2" w:rsidRDefault="005B25A2" w:rsidP="005B25A2">
      <w:pPr>
        <w:jc w:val="both"/>
        <w:rPr>
          <w:rFonts w:ascii="Arial" w:hAnsi="Arial" w:cs="Arial"/>
          <w:sz w:val="22"/>
          <w:szCs w:val="22"/>
          <w:lang w:val="en-GB"/>
        </w:rPr>
      </w:pPr>
    </w:p>
    <w:p w14:paraId="4C434176" w14:textId="423787DE" w:rsidR="004B1559" w:rsidRPr="008D3C63" w:rsidRDefault="005B25A2" w:rsidP="008D3C63">
      <w:pPr>
        <w:jc w:val="both"/>
        <w:rPr>
          <w:rFonts w:ascii="Arial" w:hAnsi="Arial" w:cs="Arial"/>
          <w:sz w:val="22"/>
          <w:szCs w:val="22"/>
          <w:lang w:val="en-GB"/>
        </w:rPr>
      </w:pPr>
      <w:r>
        <w:rPr>
          <w:rFonts w:ascii="Arial" w:hAnsi="Arial" w:cs="Arial"/>
          <w:sz w:val="22"/>
          <w:szCs w:val="22"/>
          <w:lang w:val="en-GB"/>
        </w:rPr>
        <w:t>An administrator has the power to dispose of the unsecured assets of a company and make distributions to the creditors. Section 582 provides that unsecured creditors must be paid in accordance with the priority of debtors’ schedule as set out in the Insolvency Act. However, section 583 and paragraph 13 of the Fourth Schedule recognise that the payment of debts in the order of priority set out in the Insolvency</w:t>
      </w:r>
      <w:r w:rsidR="003E53CD">
        <w:rPr>
          <w:rFonts w:ascii="Arial" w:hAnsi="Arial" w:cs="Arial"/>
          <w:sz w:val="22"/>
          <w:szCs w:val="22"/>
          <w:lang w:val="en-GB"/>
        </w:rPr>
        <w:t xml:space="preserve"> Act may not be prudent at all times and an administrator may pay creditor without regard to the priority captured in the Insolvency Act if the administrator believes it likely to assist achievement of the purpose of the administration.</w:t>
      </w:r>
      <w:r w:rsidR="003E53CD">
        <w:rPr>
          <w:rStyle w:val="FootnoteReference"/>
          <w:rFonts w:ascii="Arial" w:hAnsi="Arial" w:cs="Arial"/>
          <w:sz w:val="22"/>
          <w:szCs w:val="22"/>
          <w:lang w:val="en-GB"/>
        </w:rPr>
        <w:footnoteReference w:id="35"/>
      </w:r>
      <w:r>
        <w:rPr>
          <w:rFonts w:ascii="Arial" w:hAnsi="Arial" w:cs="Arial"/>
          <w:sz w:val="22"/>
          <w:szCs w:val="22"/>
          <w:lang w:val="en-GB"/>
        </w:rPr>
        <w:t xml:space="preserve"> </w:t>
      </w:r>
      <w:r w:rsidR="000E6C37" w:rsidRPr="008D3C63">
        <w:rPr>
          <w:rFonts w:ascii="Arial" w:hAnsi="Arial" w:cs="Arial"/>
          <w:color w:val="7B7B7B" w:themeColor="accent3" w:themeShade="BF"/>
          <w:sz w:val="22"/>
          <w:szCs w:val="22"/>
          <w:lang w:val="en-GB"/>
        </w:rPr>
        <w:t>]</w:t>
      </w:r>
    </w:p>
    <w:p w14:paraId="4B332D33" w14:textId="77777777" w:rsidR="004B1559" w:rsidRDefault="004B1559">
      <w:pPr>
        <w:jc w:val="both"/>
        <w:rPr>
          <w:rFonts w:ascii="Arial" w:hAnsi="Arial" w:cs="Arial"/>
          <w:bCs/>
          <w:sz w:val="22"/>
          <w:szCs w:val="22"/>
          <w:shd w:val="clear" w:color="auto" w:fill="FFFFFF"/>
        </w:rPr>
      </w:pPr>
    </w:p>
    <w:p w14:paraId="0559D57F" w14:textId="77777777" w:rsidR="004B1559" w:rsidRDefault="004B1559">
      <w:pPr>
        <w:jc w:val="both"/>
        <w:rPr>
          <w:rFonts w:ascii="Arial" w:hAnsi="Arial" w:cs="Arial"/>
          <w:bCs/>
          <w:sz w:val="22"/>
          <w:szCs w:val="22"/>
          <w:shd w:val="clear" w:color="auto" w:fill="FFFFFF"/>
        </w:rPr>
      </w:pPr>
    </w:p>
    <w:p w14:paraId="6260260D" w14:textId="77777777" w:rsidR="004B1559" w:rsidRDefault="000E6C37">
      <w:pPr>
        <w:jc w:val="both"/>
        <w:rPr>
          <w:rFonts w:ascii="Arial" w:hAnsi="Arial" w:cs="Arial"/>
          <w:b/>
          <w:sz w:val="22"/>
          <w:szCs w:val="22"/>
          <w:shd w:val="clear" w:color="auto" w:fill="FFFFFF"/>
        </w:rPr>
      </w:pPr>
      <w:r>
        <w:rPr>
          <w:rFonts w:ascii="Arial" w:hAnsi="Arial" w:cs="Arial"/>
          <w:b/>
          <w:sz w:val="22"/>
          <w:szCs w:val="22"/>
          <w:shd w:val="clear" w:color="auto" w:fill="FFFFFF"/>
        </w:rPr>
        <w:t>OR</w:t>
      </w:r>
    </w:p>
    <w:p w14:paraId="1DA0B46A" w14:textId="77777777" w:rsidR="004B1559" w:rsidRDefault="004B1559">
      <w:pPr>
        <w:jc w:val="both"/>
        <w:rPr>
          <w:rFonts w:ascii="Arial" w:hAnsi="Arial" w:cs="Arial"/>
          <w:b/>
          <w:sz w:val="22"/>
          <w:szCs w:val="22"/>
          <w:shd w:val="clear" w:color="auto" w:fill="FFFFFF"/>
        </w:rPr>
      </w:pPr>
    </w:p>
    <w:p w14:paraId="39360B5E" w14:textId="77777777" w:rsidR="004B1559" w:rsidRDefault="000E6C37">
      <w:pPr>
        <w:jc w:val="both"/>
        <w:rPr>
          <w:rFonts w:ascii="Arial" w:hAnsi="Arial" w:cs="Arial"/>
          <w:bCs/>
          <w:sz w:val="22"/>
          <w:szCs w:val="22"/>
          <w:shd w:val="clear" w:color="auto" w:fill="FFFFFF"/>
        </w:rPr>
      </w:pPr>
      <w:r>
        <w:rPr>
          <w:rFonts w:ascii="Arial" w:hAnsi="Arial" w:cs="Arial"/>
          <w:b/>
          <w:bCs/>
          <w:sz w:val="22"/>
          <w:szCs w:val="22"/>
        </w:rPr>
        <w:t xml:space="preserve">Question 3.3 </w:t>
      </w:r>
      <w:r>
        <w:rPr>
          <w:rFonts w:ascii="Arial" w:hAnsi="Arial" w:cs="Arial"/>
          <w:b/>
          <w:bCs/>
          <w:sz w:val="22"/>
          <w:szCs w:val="22"/>
          <w:lang w:val="en-GB"/>
        </w:rPr>
        <w:t>[maximum 15 marks]</w:t>
      </w:r>
    </w:p>
    <w:p w14:paraId="695EEC37" w14:textId="77777777" w:rsidR="004B1559" w:rsidRDefault="004B1559">
      <w:pPr>
        <w:jc w:val="both"/>
        <w:rPr>
          <w:rFonts w:ascii="Arial" w:hAnsi="Arial" w:cs="Arial"/>
          <w:bCs/>
          <w:sz w:val="22"/>
          <w:szCs w:val="22"/>
          <w:shd w:val="clear" w:color="auto" w:fill="FFFFFF"/>
        </w:rPr>
      </w:pPr>
    </w:p>
    <w:p w14:paraId="7998D65D" w14:textId="77777777" w:rsidR="004B1559" w:rsidRDefault="000E6C37">
      <w:pPr>
        <w:jc w:val="both"/>
        <w:rPr>
          <w:rFonts w:ascii="Arial" w:hAnsi="Arial" w:cs="Arial"/>
          <w:bCs/>
          <w:sz w:val="22"/>
          <w:szCs w:val="22"/>
          <w:shd w:val="clear" w:color="auto" w:fill="FFFFFF"/>
        </w:rPr>
      </w:pPr>
      <w:r>
        <w:rPr>
          <w:rFonts w:ascii="Arial" w:hAnsi="Arial" w:cs="Arial"/>
          <w:bCs/>
          <w:sz w:val="22"/>
          <w:szCs w:val="22"/>
          <w:shd w:val="clear" w:color="auto" w:fill="FFFFFF"/>
        </w:rPr>
        <w:t>Discuss the process of appointment of an administrator by the Court</w:t>
      </w:r>
    </w:p>
    <w:p w14:paraId="7764AC90" w14:textId="77777777" w:rsidR="004B1559" w:rsidRDefault="004B1559">
      <w:pPr>
        <w:jc w:val="both"/>
        <w:rPr>
          <w:rFonts w:ascii="Arial" w:hAnsi="Arial" w:cs="Arial"/>
          <w:b/>
          <w:sz w:val="22"/>
          <w:szCs w:val="22"/>
          <w:shd w:val="clear" w:color="auto" w:fill="FFFFFF"/>
        </w:rPr>
      </w:pPr>
    </w:p>
    <w:p w14:paraId="6C3CF709" w14:textId="77777777" w:rsidR="004B1559" w:rsidRDefault="000E6C37">
      <w:pPr>
        <w:jc w:val="both"/>
        <w:rPr>
          <w:rFonts w:ascii="Arial" w:hAnsi="Arial" w:cs="Arial"/>
          <w:b/>
          <w:sz w:val="22"/>
          <w:szCs w:val="22"/>
          <w:shd w:val="clear" w:color="auto" w:fill="FFFFFF"/>
        </w:rPr>
      </w:pPr>
      <w:r>
        <w:rPr>
          <w:rFonts w:ascii="Arial" w:hAnsi="Arial" w:cs="Arial"/>
          <w:color w:val="7B7B7B" w:themeColor="accent3" w:themeShade="BF"/>
          <w:sz w:val="22"/>
          <w:szCs w:val="22"/>
          <w:lang w:val="en-GB"/>
        </w:rPr>
        <w:t>[Type your answer here]</w:t>
      </w:r>
    </w:p>
    <w:p w14:paraId="79DE15AB" w14:textId="77777777" w:rsidR="004B1559" w:rsidRDefault="004B1559">
      <w:pPr>
        <w:jc w:val="both"/>
        <w:rPr>
          <w:rFonts w:ascii="Arial" w:hAnsi="Arial" w:cs="Arial"/>
          <w:b/>
          <w:sz w:val="22"/>
          <w:szCs w:val="22"/>
          <w:shd w:val="clear" w:color="auto" w:fill="FFFFFF"/>
        </w:rPr>
      </w:pPr>
    </w:p>
    <w:p w14:paraId="57F235A2" w14:textId="77777777" w:rsidR="004B1559" w:rsidRDefault="004B1559">
      <w:pPr>
        <w:jc w:val="both"/>
        <w:rPr>
          <w:rFonts w:ascii="Arial" w:hAnsi="Arial" w:cs="Arial"/>
          <w:b/>
          <w:sz w:val="22"/>
          <w:szCs w:val="22"/>
          <w:shd w:val="clear" w:color="auto" w:fill="FFFFFF"/>
        </w:rPr>
      </w:pPr>
    </w:p>
    <w:p w14:paraId="02007314" w14:textId="77777777" w:rsidR="004B1559" w:rsidRDefault="000E6C37">
      <w:pPr>
        <w:jc w:val="both"/>
        <w:rPr>
          <w:rFonts w:ascii="Arial" w:hAnsi="Arial" w:cs="Arial"/>
          <w:b/>
          <w:sz w:val="22"/>
          <w:szCs w:val="22"/>
          <w:shd w:val="clear" w:color="auto" w:fill="FFFFFF"/>
        </w:rPr>
      </w:pPr>
      <w:r>
        <w:rPr>
          <w:rFonts w:ascii="Arial" w:hAnsi="Arial" w:cs="Arial"/>
          <w:b/>
          <w:sz w:val="22"/>
          <w:szCs w:val="22"/>
          <w:shd w:val="clear" w:color="auto" w:fill="FFFFFF"/>
        </w:rPr>
        <w:t>OR</w:t>
      </w:r>
    </w:p>
    <w:p w14:paraId="664B76F8" w14:textId="77777777" w:rsidR="004B1559" w:rsidRDefault="004B1559">
      <w:pPr>
        <w:jc w:val="both"/>
        <w:rPr>
          <w:rFonts w:ascii="Arial" w:hAnsi="Arial" w:cs="Arial"/>
          <w:b/>
          <w:sz w:val="22"/>
          <w:szCs w:val="22"/>
          <w:shd w:val="clear" w:color="auto" w:fill="FFFFFF"/>
        </w:rPr>
      </w:pPr>
    </w:p>
    <w:p w14:paraId="781FE47B" w14:textId="77777777" w:rsidR="004B1559" w:rsidRDefault="000E6C37">
      <w:pPr>
        <w:ind w:left="720" w:hanging="720"/>
        <w:jc w:val="both"/>
        <w:rPr>
          <w:rFonts w:ascii="Arial" w:hAnsi="Arial" w:cs="Arial"/>
          <w:b/>
          <w:bCs/>
          <w:sz w:val="22"/>
          <w:szCs w:val="22"/>
        </w:rPr>
      </w:pPr>
      <w:r>
        <w:rPr>
          <w:rFonts w:ascii="Arial" w:hAnsi="Arial" w:cs="Arial"/>
          <w:b/>
          <w:bCs/>
          <w:sz w:val="22"/>
          <w:szCs w:val="22"/>
        </w:rPr>
        <w:t xml:space="preserve">Question 3.4 </w:t>
      </w:r>
      <w:r>
        <w:rPr>
          <w:rFonts w:ascii="Arial" w:hAnsi="Arial" w:cs="Arial"/>
          <w:b/>
          <w:bCs/>
          <w:sz w:val="22"/>
          <w:szCs w:val="22"/>
          <w:lang w:val="en-GB"/>
        </w:rPr>
        <w:t>[maximum 15 marks]</w:t>
      </w:r>
    </w:p>
    <w:p w14:paraId="7A8D3219" w14:textId="77777777" w:rsidR="004B1559" w:rsidRDefault="004B1559">
      <w:pPr>
        <w:ind w:left="720" w:hanging="720"/>
        <w:jc w:val="both"/>
        <w:rPr>
          <w:rFonts w:ascii="Arial" w:hAnsi="Arial" w:cs="Arial"/>
          <w:sz w:val="22"/>
          <w:szCs w:val="22"/>
        </w:rPr>
      </w:pPr>
    </w:p>
    <w:p w14:paraId="15C7ED2F" w14:textId="77777777" w:rsidR="004B1559" w:rsidRDefault="000E6C37">
      <w:pPr>
        <w:jc w:val="both"/>
        <w:rPr>
          <w:rFonts w:ascii="Arial" w:hAnsi="Arial" w:cs="Arial"/>
          <w:sz w:val="22"/>
          <w:szCs w:val="22"/>
        </w:rPr>
      </w:pPr>
      <w:r>
        <w:rPr>
          <w:rFonts w:ascii="Arial" w:hAnsi="Arial" w:cs="Arial"/>
          <w:sz w:val="22"/>
          <w:szCs w:val="22"/>
        </w:rPr>
        <w:t>Fully discuss the priority of creditors under the Insolvency Act.</w:t>
      </w:r>
    </w:p>
    <w:p w14:paraId="31E2E08B" w14:textId="77777777" w:rsidR="004B1559" w:rsidRDefault="004B1559">
      <w:pPr>
        <w:jc w:val="both"/>
        <w:rPr>
          <w:rFonts w:ascii="Arial" w:hAnsi="Arial" w:cs="Arial"/>
          <w:sz w:val="22"/>
          <w:szCs w:val="22"/>
        </w:rPr>
      </w:pPr>
    </w:p>
    <w:p w14:paraId="67CCFE60" w14:textId="77777777" w:rsidR="004B1559" w:rsidRDefault="000E6C37">
      <w:pPr>
        <w:jc w:val="both"/>
        <w:rPr>
          <w:rFonts w:ascii="Arial" w:hAnsi="Arial" w:cs="Arial"/>
          <w:sz w:val="22"/>
          <w:szCs w:val="22"/>
          <w:lang w:val="en-GB"/>
        </w:rPr>
      </w:pPr>
      <w:r>
        <w:rPr>
          <w:rFonts w:ascii="Arial" w:hAnsi="Arial" w:cs="Arial"/>
          <w:color w:val="7B7B7B" w:themeColor="accent3" w:themeShade="BF"/>
          <w:sz w:val="22"/>
          <w:szCs w:val="22"/>
          <w:lang w:val="en-GB"/>
        </w:rPr>
        <w:t>[Type your answer here]</w:t>
      </w:r>
    </w:p>
    <w:p w14:paraId="3E478676" w14:textId="77777777" w:rsidR="004B1559" w:rsidRDefault="004B1559">
      <w:pPr>
        <w:jc w:val="both"/>
        <w:rPr>
          <w:rFonts w:ascii="Arial" w:hAnsi="Arial" w:cs="Arial"/>
          <w:b/>
          <w:sz w:val="22"/>
          <w:szCs w:val="22"/>
          <w:shd w:val="clear" w:color="auto" w:fill="FFFFFF"/>
        </w:rPr>
      </w:pPr>
    </w:p>
    <w:p w14:paraId="58FE31AF" w14:textId="77777777" w:rsidR="004B1559" w:rsidRDefault="004B1559">
      <w:pPr>
        <w:jc w:val="both"/>
        <w:rPr>
          <w:rFonts w:ascii="Arial" w:hAnsi="Arial" w:cs="Arial"/>
          <w:b/>
          <w:sz w:val="22"/>
          <w:szCs w:val="22"/>
          <w:shd w:val="clear" w:color="auto" w:fill="FFFFFF"/>
        </w:rPr>
      </w:pPr>
    </w:p>
    <w:p w14:paraId="2AC4F818" w14:textId="77777777" w:rsidR="004B1559" w:rsidRDefault="000E6C37">
      <w:pPr>
        <w:jc w:val="both"/>
        <w:rPr>
          <w:rFonts w:ascii="Arial" w:hAnsi="Arial" w:cs="Arial"/>
          <w:b/>
          <w:sz w:val="22"/>
          <w:szCs w:val="22"/>
          <w:lang w:val="en-GB"/>
        </w:rPr>
      </w:pPr>
      <w:r>
        <w:rPr>
          <w:rFonts w:ascii="Arial" w:hAnsi="Arial" w:cs="Arial"/>
          <w:b/>
          <w:sz w:val="22"/>
          <w:szCs w:val="22"/>
          <w:lang w:val="en-GB"/>
        </w:rPr>
        <w:t>QUESTION 4 (fact-based application-type question) [15 marks in total]</w:t>
      </w:r>
    </w:p>
    <w:p w14:paraId="616E6B50" w14:textId="77777777" w:rsidR="004B1559" w:rsidRDefault="004B1559">
      <w:pPr>
        <w:jc w:val="both"/>
        <w:rPr>
          <w:rFonts w:ascii="Arial" w:hAnsi="Arial" w:cs="Arial"/>
          <w:sz w:val="22"/>
          <w:szCs w:val="22"/>
          <w:lang w:val="en-GB"/>
        </w:rPr>
      </w:pPr>
    </w:p>
    <w:p w14:paraId="6417B78C" w14:textId="77777777" w:rsidR="004B1559" w:rsidRDefault="000E6C37">
      <w:pPr>
        <w:tabs>
          <w:tab w:val="left" w:pos="6408"/>
        </w:tabs>
        <w:jc w:val="both"/>
        <w:rPr>
          <w:rFonts w:ascii="Arial" w:hAnsi="Arial" w:cs="Arial"/>
          <w:b/>
          <w:color w:val="FF0000"/>
          <w:sz w:val="22"/>
          <w:szCs w:val="22"/>
          <w:lang w:val="en-GB"/>
        </w:rPr>
      </w:pPr>
      <w:bookmarkStart w:id="0" w:name="_Hlk17745211"/>
      <w:r>
        <w:rPr>
          <w:rFonts w:ascii="Arial" w:hAnsi="Arial" w:cs="Arial"/>
          <w:b/>
          <w:color w:val="FF0000"/>
          <w:sz w:val="22"/>
          <w:szCs w:val="22"/>
          <w:lang w:val="en-GB"/>
        </w:rPr>
        <w:t xml:space="preserve">PLEASE SELECT </w:t>
      </w:r>
      <w:r>
        <w:rPr>
          <w:rFonts w:ascii="Arial" w:hAnsi="Arial" w:cs="Arial"/>
          <w:b/>
          <w:color w:val="FF0000"/>
          <w:sz w:val="22"/>
          <w:szCs w:val="22"/>
          <w:u w:val="single"/>
          <w:lang w:val="en-GB"/>
        </w:rPr>
        <w:t xml:space="preserve">ONLY ONE </w:t>
      </w:r>
      <w:r>
        <w:rPr>
          <w:rFonts w:ascii="Arial" w:hAnsi="Arial" w:cs="Arial"/>
          <w:b/>
          <w:color w:val="FF0000"/>
          <w:sz w:val="22"/>
          <w:szCs w:val="22"/>
          <w:lang w:val="en-GB"/>
        </w:rPr>
        <w:t xml:space="preserve">OF THE FOLLOWING QUESTIONS BELOW. PLEASE </w:t>
      </w:r>
      <w:r>
        <w:rPr>
          <w:rFonts w:ascii="Arial" w:hAnsi="Arial" w:cs="Arial"/>
          <w:b/>
          <w:color w:val="FF0000"/>
          <w:sz w:val="22"/>
          <w:szCs w:val="22"/>
          <w:u w:val="single"/>
          <w:lang w:val="en-GB"/>
        </w:rPr>
        <w:t>DELETE</w:t>
      </w:r>
      <w:r>
        <w:rPr>
          <w:rFonts w:ascii="Arial" w:hAnsi="Arial" w:cs="Arial"/>
          <w:b/>
          <w:color w:val="FF0000"/>
          <w:sz w:val="22"/>
          <w:szCs w:val="22"/>
          <w:lang w:val="en-GB"/>
        </w:rPr>
        <w:t xml:space="preserve"> THE QUESTIONS YOU CHOOSE </w:t>
      </w:r>
      <w:r>
        <w:rPr>
          <w:rFonts w:ascii="Arial" w:hAnsi="Arial" w:cs="Arial"/>
          <w:b/>
          <w:color w:val="FF0000"/>
          <w:sz w:val="22"/>
          <w:szCs w:val="22"/>
          <w:u w:val="single"/>
          <w:lang w:val="en-GB"/>
        </w:rPr>
        <w:t>NOT</w:t>
      </w:r>
      <w:r>
        <w:rPr>
          <w:rFonts w:ascii="Arial" w:hAnsi="Arial" w:cs="Arial"/>
          <w:b/>
          <w:color w:val="FF0000"/>
          <w:sz w:val="22"/>
          <w:szCs w:val="22"/>
          <w:lang w:val="en-GB"/>
        </w:rPr>
        <w:t xml:space="preserve"> TO ANSWER.</w:t>
      </w:r>
    </w:p>
    <w:p w14:paraId="7CE96DBE" w14:textId="77777777" w:rsidR="004B1559" w:rsidRDefault="004B1559">
      <w:pPr>
        <w:jc w:val="both"/>
        <w:rPr>
          <w:rFonts w:ascii="Arial" w:hAnsi="Arial" w:cs="Arial"/>
          <w:sz w:val="22"/>
          <w:szCs w:val="22"/>
          <w:lang w:val="en-GB"/>
        </w:rPr>
      </w:pPr>
    </w:p>
    <w:p w14:paraId="222403D7" w14:textId="77777777" w:rsidR="004B1559" w:rsidRDefault="000E6C37">
      <w:pPr>
        <w:jc w:val="both"/>
        <w:rPr>
          <w:rFonts w:ascii="Arial" w:hAnsi="Arial" w:cs="Arial"/>
          <w:b/>
          <w:bCs/>
          <w:sz w:val="22"/>
          <w:szCs w:val="22"/>
          <w:lang w:val="en-GB"/>
        </w:rPr>
      </w:pPr>
      <w:r>
        <w:rPr>
          <w:rFonts w:ascii="Arial" w:hAnsi="Arial" w:cs="Arial"/>
          <w:b/>
          <w:bCs/>
          <w:sz w:val="22"/>
          <w:szCs w:val="22"/>
          <w:lang w:val="en-GB"/>
        </w:rPr>
        <w:t>Question 4.1 [maximum 15 marks]</w:t>
      </w:r>
    </w:p>
    <w:p w14:paraId="5AB425A5" w14:textId="77777777" w:rsidR="004B1559" w:rsidRDefault="004B1559">
      <w:pPr>
        <w:jc w:val="both"/>
        <w:rPr>
          <w:rFonts w:ascii="Arial" w:hAnsi="Arial" w:cs="Arial"/>
          <w:b/>
          <w:bCs/>
          <w:sz w:val="22"/>
          <w:szCs w:val="22"/>
          <w:lang w:val="en-GB"/>
        </w:rPr>
      </w:pPr>
    </w:p>
    <w:p w14:paraId="4C152347" w14:textId="77777777" w:rsidR="004B1559" w:rsidRDefault="000E6C37">
      <w:pPr>
        <w:jc w:val="both"/>
        <w:rPr>
          <w:rFonts w:ascii="Arial" w:hAnsi="Arial" w:cs="Arial"/>
          <w:sz w:val="22"/>
          <w:szCs w:val="22"/>
          <w:lang w:val="en-GB"/>
        </w:rPr>
      </w:pPr>
      <w:r>
        <w:rPr>
          <w:rFonts w:ascii="Arial" w:hAnsi="Arial" w:cs="Arial"/>
          <w:sz w:val="22"/>
          <w:szCs w:val="22"/>
          <w:lang w:val="en-GB"/>
        </w:rPr>
        <w:t>You have been approached by the directors of Eat it All Limited (EAL) to advise on their options in light of the company’s recent financial problems. The directors disclose the following to you:</w:t>
      </w:r>
    </w:p>
    <w:p w14:paraId="61F729B1" w14:textId="77777777" w:rsidR="004B1559" w:rsidRDefault="004B1559">
      <w:pPr>
        <w:jc w:val="both"/>
        <w:rPr>
          <w:rFonts w:ascii="Arial" w:hAnsi="Arial" w:cs="Arial"/>
          <w:sz w:val="22"/>
          <w:szCs w:val="22"/>
          <w:lang w:val="en-GB"/>
        </w:rPr>
      </w:pPr>
    </w:p>
    <w:p w14:paraId="62074F67" w14:textId="77777777" w:rsidR="004B1559" w:rsidRDefault="000E6C37">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The company has not been doing well for the past three (3) years and the directors knew the company was insolvent;</w:t>
      </w:r>
    </w:p>
    <w:p w14:paraId="4D7E1608" w14:textId="77777777" w:rsidR="004B1559" w:rsidRDefault="004B1559">
      <w:pPr>
        <w:ind w:left="66"/>
        <w:jc w:val="both"/>
        <w:rPr>
          <w:rFonts w:ascii="Arial" w:hAnsi="Arial" w:cs="Arial"/>
          <w:sz w:val="22"/>
          <w:szCs w:val="22"/>
          <w:lang w:val="en-GB"/>
        </w:rPr>
      </w:pPr>
    </w:p>
    <w:p w14:paraId="79201528" w14:textId="77777777" w:rsidR="004B1559" w:rsidRDefault="000E6C37">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The company has outstanding loans owed to certain creditors. 20% of these loans are secured while 80% are unsecured;</w:t>
      </w:r>
    </w:p>
    <w:p w14:paraId="5ED8A115" w14:textId="77777777" w:rsidR="004B1559" w:rsidRDefault="004B1559">
      <w:pPr>
        <w:pStyle w:val="ListParagraph"/>
        <w:rPr>
          <w:rFonts w:ascii="Arial" w:hAnsi="Arial" w:cs="Arial"/>
          <w:sz w:val="22"/>
          <w:szCs w:val="22"/>
          <w:lang w:val="en-GB"/>
        </w:rPr>
      </w:pPr>
    </w:p>
    <w:p w14:paraId="37A87EB7" w14:textId="77777777" w:rsidR="004B1559" w:rsidRDefault="000E6C37">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The company recently dismissed three of its directors for the misappropriation of funds;</w:t>
      </w:r>
    </w:p>
    <w:p w14:paraId="56121563" w14:textId="77777777" w:rsidR="004B1559" w:rsidRDefault="004B1559">
      <w:pPr>
        <w:pStyle w:val="ListParagraph"/>
        <w:rPr>
          <w:rFonts w:ascii="Arial" w:hAnsi="Arial" w:cs="Arial"/>
          <w:sz w:val="22"/>
          <w:szCs w:val="22"/>
          <w:lang w:val="en-GB"/>
        </w:rPr>
      </w:pPr>
    </w:p>
    <w:p w14:paraId="0ECB47D1" w14:textId="77777777" w:rsidR="004B1559" w:rsidRDefault="000E6C37">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lastRenderedPageBreak/>
        <w:t>One of the company’s assets was sold to one of the main shareholder’s spouse at a value lower than market price;</w:t>
      </w:r>
    </w:p>
    <w:p w14:paraId="278ED007" w14:textId="77777777" w:rsidR="004B1559" w:rsidRDefault="004B1559">
      <w:pPr>
        <w:pStyle w:val="ListParagraph"/>
        <w:rPr>
          <w:rFonts w:ascii="Arial" w:hAnsi="Arial" w:cs="Arial"/>
          <w:sz w:val="22"/>
          <w:szCs w:val="22"/>
          <w:lang w:val="en-GB"/>
        </w:rPr>
      </w:pPr>
    </w:p>
    <w:p w14:paraId="2CCF71BD" w14:textId="77777777" w:rsidR="004B1559" w:rsidRDefault="000E6C37">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During the last nine months the company sold some assets to pay certain creditors who had threatened to sue them;</w:t>
      </w:r>
    </w:p>
    <w:p w14:paraId="2D4B274B" w14:textId="77777777" w:rsidR="004B1559" w:rsidRDefault="004B1559">
      <w:pPr>
        <w:pStyle w:val="ListParagraph"/>
        <w:rPr>
          <w:rFonts w:ascii="Arial" w:hAnsi="Arial" w:cs="Arial"/>
          <w:sz w:val="22"/>
          <w:szCs w:val="22"/>
          <w:lang w:val="en-GB"/>
        </w:rPr>
      </w:pPr>
    </w:p>
    <w:p w14:paraId="372F3499" w14:textId="77777777" w:rsidR="004B1559" w:rsidRDefault="000E6C37">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As a result of its insolvency, the company was in the process of transferring (but this has not yet been completed) one of its most valuable assets to an SPV owned by its parent company;</w:t>
      </w:r>
    </w:p>
    <w:p w14:paraId="2901AEF2" w14:textId="77777777" w:rsidR="004B1559" w:rsidRDefault="004B1559">
      <w:pPr>
        <w:pStyle w:val="ListParagraph"/>
        <w:rPr>
          <w:rFonts w:ascii="Arial" w:hAnsi="Arial" w:cs="Arial"/>
          <w:sz w:val="22"/>
          <w:szCs w:val="22"/>
          <w:lang w:val="en-GB"/>
        </w:rPr>
      </w:pPr>
    </w:p>
    <w:p w14:paraId="40A139D4" w14:textId="77777777" w:rsidR="004B1559" w:rsidRDefault="000E6C37">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The directors have provided you with an independent business review report by a top audit firm that shows the company is viable and can return to profitability if certain structural changes are adopted. The directors inform you that they have shared this report with the company’s main creditors who are owed 80% of its total debts and who have shown their willingness to discuss any proposals from the company. The remaining creditors were unwilling to engage the directors.</w:t>
      </w:r>
    </w:p>
    <w:p w14:paraId="04345189" w14:textId="77777777" w:rsidR="004B1559" w:rsidRDefault="004B1559">
      <w:pPr>
        <w:jc w:val="both"/>
        <w:rPr>
          <w:rFonts w:ascii="Arial" w:hAnsi="Arial" w:cs="Arial"/>
          <w:sz w:val="22"/>
          <w:szCs w:val="22"/>
          <w:lang w:val="en-GB"/>
        </w:rPr>
      </w:pPr>
    </w:p>
    <w:p w14:paraId="6628AE3D" w14:textId="77777777" w:rsidR="004B1559" w:rsidRDefault="000E6C37">
      <w:pPr>
        <w:jc w:val="both"/>
        <w:rPr>
          <w:rFonts w:ascii="Arial" w:hAnsi="Arial" w:cs="Arial"/>
          <w:sz w:val="22"/>
          <w:szCs w:val="22"/>
          <w:lang w:val="en-GB"/>
        </w:rPr>
      </w:pPr>
      <w:r>
        <w:rPr>
          <w:rFonts w:ascii="Arial" w:hAnsi="Arial" w:cs="Arial"/>
          <w:sz w:val="22"/>
          <w:szCs w:val="22"/>
          <w:lang w:val="en-GB"/>
        </w:rPr>
        <w:t xml:space="preserve">The directors have asked you to </w:t>
      </w:r>
      <w:r>
        <w:rPr>
          <w:rFonts w:ascii="Arial" w:hAnsi="Arial" w:cs="Arial"/>
          <w:b/>
          <w:bCs/>
          <w:sz w:val="22"/>
          <w:szCs w:val="22"/>
          <w:u w:val="single"/>
          <w:lang w:val="en-GB"/>
        </w:rPr>
        <w:t>advise them</w:t>
      </w:r>
      <w:r>
        <w:rPr>
          <w:rFonts w:ascii="Arial" w:hAnsi="Arial" w:cs="Arial"/>
          <w:sz w:val="22"/>
          <w:szCs w:val="22"/>
          <w:lang w:val="en-GB"/>
        </w:rPr>
        <w:t xml:space="preserve"> on the best course of action for the company and the various options available to them.</w:t>
      </w:r>
    </w:p>
    <w:p w14:paraId="41B14036" w14:textId="77777777" w:rsidR="004B1559" w:rsidRDefault="004B1559">
      <w:pPr>
        <w:jc w:val="both"/>
        <w:rPr>
          <w:rFonts w:ascii="Arial" w:hAnsi="Arial" w:cs="Arial"/>
          <w:sz w:val="22"/>
          <w:szCs w:val="22"/>
          <w:lang w:val="en-GB"/>
        </w:rPr>
      </w:pPr>
    </w:p>
    <w:p w14:paraId="47F94097" w14:textId="77777777" w:rsidR="004B1559" w:rsidRDefault="000E6C37">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[Type your answer here]</w:t>
      </w:r>
    </w:p>
    <w:p w14:paraId="402FCD0D" w14:textId="77777777" w:rsidR="004B1559" w:rsidRDefault="004B1559">
      <w:pPr>
        <w:jc w:val="both"/>
        <w:rPr>
          <w:rFonts w:ascii="Arial" w:hAnsi="Arial" w:cs="Arial"/>
          <w:sz w:val="22"/>
          <w:szCs w:val="22"/>
          <w:lang w:val="en-GB"/>
        </w:rPr>
      </w:pPr>
    </w:p>
    <w:p w14:paraId="04DA50A8" w14:textId="77777777" w:rsidR="004B1559" w:rsidRDefault="004B1559">
      <w:pPr>
        <w:jc w:val="both"/>
        <w:rPr>
          <w:rFonts w:ascii="Arial" w:hAnsi="Arial" w:cs="Arial"/>
          <w:sz w:val="22"/>
          <w:szCs w:val="22"/>
          <w:lang w:val="en-GB"/>
        </w:rPr>
      </w:pPr>
    </w:p>
    <w:p w14:paraId="4654E3D8" w14:textId="77777777" w:rsidR="004B1559" w:rsidRDefault="000E6C37">
      <w:pPr>
        <w:jc w:val="both"/>
        <w:rPr>
          <w:rFonts w:ascii="Arial" w:hAnsi="Arial" w:cs="Arial"/>
          <w:b/>
          <w:sz w:val="22"/>
          <w:szCs w:val="22"/>
          <w:lang w:val="en-GB"/>
        </w:rPr>
      </w:pPr>
      <w:r>
        <w:rPr>
          <w:rFonts w:ascii="Arial" w:hAnsi="Arial" w:cs="Arial"/>
          <w:b/>
          <w:sz w:val="22"/>
          <w:szCs w:val="22"/>
          <w:lang w:val="en-GB"/>
        </w:rPr>
        <w:t>OR</w:t>
      </w:r>
    </w:p>
    <w:p w14:paraId="41B5B2C1" w14:textId="77777777" w:rsidR="004B1559" w:rsidRDefault="004B1559">
      <w:pPr>
        <w:jc w:val="both"/>
        <w:rPr>
          <w:rFonts w:ascii="Arial" w:hAnsi="Arial" w:cs="Arial"/>
          <w:b/>
          <w:sz w:val="22"/>
          <w:szCs w:val="22"/>
          <w:lang w:val="en-GB"/>
        </w:rPr>
      </w:pPr>
    </w:p>
    <w:p w14:paraId="7297756B" w14:textId="77777777" w:rsidR="004B1559" w:rsidRDefault="000E6C37">
      <w:pPr>
        <w:jc w:val="both"/>
        <w:rPr>
          <w:rFonts w:ascii="Arial" w:hAnsi="Arial" w:cs="Arial"/>
          <w:bCs/>
          <w:sz w:val="22"/>
          <w:szCs w:val="22"/>
          <w:lang w:val="en-GB"/>
        </w:rPr>
      </w:pPr>
      <w:r>
        <w:rPr>
          <w:rFonts w:ascii="Arial" w:hAnsi="Arial" w:cs="Arial"/>
          <w:bCs/>
          <w:sz w:val="22"/>
          <w:szCs w:val="22"/>
          <w:lang w:val="en-GB"/>
        </w:rPr>
        <w:t>High Def Co Ltd (the Company) is engaged in the manufacturing of spoons. The Company has a total of 10 secured creditors with an outstanding debt of KES 1 billion in aggregate. The company also has outstanding unsecured debts of KES 100 million including employees who are owed KES 10 million in unpaid wages The Company is a public company and also listed on the Nairobi Stock Exchange. As a result of prevailing bad market conditions, the Company’s fortunes took a turn for the worst and the Company is unable to pay its debts. One of the secured creditors 1M Bank approaches you to advise on the steps to be taken and in addition you are informed of the following:</w:t>
      </w:r>
    </w:p>
    <w:p w14:paraId="37808BDF" w14:textId="77777777" w:rsidR="004B1559" w:rsidRDefault="004B1559">
      <w:pPr>
        <w:jc w:val="both"/>
        <w:rPr>
          <w:rFonts w:ascii="Arial" w:hAnsi="Arial" w:cs="Arial"/>
          <w:bCs/>
          <w:sz w:val="22"/>
          <w:szCs w:val="22"/>
          <w:lang w:val="en-GB"/>
        </w:rPr>
      </w:pPr>
    </w:p>
    <w:p w14:paraId="5982C98B" w14:textId="77777777" w:rsidR="004B1559" w:rsidRDefault="000E6C37">
      <w:pPr>
        <w:pStyle w:val="ListParagraph"/>
        <w:numPr>
          <w:ilvl w:val="0"/>
          <w:numId w:val="12"/>
        </w:numPr>
        <w:jc w:val="both"/>
        <w:rPr>
          <w:rFonts w:ascii="Arial" w:hAnsi="Arial" w:cs="Arial"/>
          <w:bCs/>
          <w:sz w:val="22"/>
          <w:szCs w:val="22"/>
          <w:lang w:val="en-GB"/>
        </w:rPr>
      </w:pPr>
      <w:r>
        <w:rPr>
          <w:rFonts w:ascii="Arial" w:hAnsi="Arial" w:cs="Arial"/>
          <w:bCs/>
          <w:sz w:val="22"/>
          <w:szCs w:val="22"/>
          <w:lang w:val="en-GB"/>
        </w:rPr>
        <w:t>That one of the secured creditors has filed a liquidation petition in Court that has not yet been dispensed with and a final order given.</w:t>
      </w:r>
    </w:p>
    <w:p w14:paraId="097ACA0B" w14:textId="77777777" w:rsidR="004B1559" w:rsidRDefault="004B1559">
      <w:pPr>
        <w:pStyle w:val="ListParagraph"/>
        <w:jc w:val="both"/>
        <w:rPr>
          <w:rFonts w:ascii="Arial" w:hAnsi="Arial" w:cs="Arial"/>
          <w:bCs/>
          <w:sz w:val="22"/>
          <w:szCs w:val="22"/>
          <w:lang w:val="en-GB"/>
        </w:rPr>
      </w:pPr>
    </w:p>
    <w:p w14:paraId="46A5B4BA" w14:textId="77777777" w:rsidR="004B1559" w:rsidRDefault="000E6C37">
      <w:pPr>
        <w:pStyle w:val="ListParagraph"/>
        <w:numPr>
          <w:ilvl w:val="0"/>
          <w:numId w:val="12"/>
        </w:numPr>
        <w:jc w:val="both"/>
        <w:rPr>
          <w:rFonts w:ascii="Arial" w:hAnsi="Arial" w:cs="Arial"/>
          <w:bCs/>
          <w:sz w:val="22"/>
          <w:szCs w:val="22"/>
          <w:lang w:val="en-GB"/>
        </w:rPr>
      </w:pPr>
      <w:r>
        <w:rPr>
          <w:rFonts w:ascii="Arial" w:hAnsi="Arial" w:cs="Arial"/>
          <w:bCs/>
          <w:sz w:val="22"/>
          <w:szCs w:val="22"/>
          <w:lang w:val="en-GB"/>
        </w:rPr>
        <w:t>That 1M Bank has discovered that the directors have known for 12 months that the company is unable to pay its debts.</w:t>
      </w:r>
    </w:p>
    <w:p w14:paraId="5E132E44" w14:textId="77777777" w:rsidR="004B1559" w:rsidRDefault="004B1559">
      <w:pPr>
        <w:pStyle w:val="ListParagraph"/>
        <w:rPr>
          <w:rFonts w:ascii="Arial" w:hAnsi="Arial" w:cs="Arial"/>
          <w:bCs/>
          <w:sz w:val="22"/>
          <w:szCs w:val="22"/>
          <w:lang w:val="en-GB"/>
        </w:rPr>
      </w:pPr>
    </w:p>
    <w:p w14:paraId="20E2D9B8" w14:textId="77777777" w:rsidR="004B1559" w:rsidRDefault="000E6C37">
      <w:pPr>
        <w:pStyle w:val="ListParagraph"/>
        <w:numPr>
          <w:ilvl w:val="0"/>
          <w:numId w:val="12"/>
        </w:numPr>
        <w:jc w:val="both"/>
        <w:rPr>
          <w:rFonts w:ascii="Arial" w:hAnsi="Arial" w:cs="Arial"/>
          <w:bCs/>
          <w:sz w:val="22"/>
          <w:szCs w:val="22"/>
          <w:lang w:val="en-GB"/>
        </w:rPr>
      </w:pPr>
      <w:r>
        <w:rPr>
          <w:rFonts w:ascii="Arial" w:hAnsi="Arial" w:cs="Arial"/>
          <w:bCs/>
          <w:sz w:val="22"/>
          <w:szCs w:val="22"/>
          <w:lang w:val="en-GB"/>
        </w:rPr>
        <w:t xml:space="preserve"> The Company has in the last 6 months paid off some of its unsecured creditors.</w:t>
      </w:r>
    </w:p>
    <w:p w14:paraId="39C73AB7" w14:textId="77777777" w:rsidR="004B1559" w:rsidRDefault="004B1559">
      <w:pPr>
        <w:pStyle w:val="ListParagraph"/>
        <w:rPr>
          <w:rFonts w:ascii="Arial" w:hAnsi="Arial" w:cs="Arial"/>
          <w:bCs/>
          <w:sz w:val="22"/>
          <w:szCs w:val="22"/>
          <w:lang w:val="en-GB"/>
        </w:rPr>
      </w:pPr>
    </w:p>
    <w:p w14:paraId="2B245446" w14:textId="77777777" w:rsidR="004B1559" w:rsidRDefault="000E6C37">
      <w:pPr>
        <w:pStyle w:val="ListParagraph"/>
        <w:numPr>
          <w:ilvl w:val="0"/>
          <w:numId w:val="12"/>
        </w:numPr>
        <w:jc w:val="both"/>
        <w:rPr>
          <w:rFonts w:ascii="Arial" w:hAnsi="Arial" w:cs="Arial"/>
          <w:bCs/>
          <w:sz w:val="22"/>
          <w:szCs w:val="22"/>
          <w:lang w:val="en-GB"/>
        </w:rPr>
      </w:pPr>
      <w:r>
        <w:rPr>
          <w:rFonts w:ascii="Arial" w:hAnsi="Arial" w:cs="Arial"/>
          <w:bCs/>
          <w:sz w:val="22"/>
          <w:szCs w:val="22"/>
          <w:lang w:val="en-GB"/>
        </w:rPr>
        <w:t xml:space="preserve">Part of the securities that 1M Bank holds relate to charges over land. </w:t>
      </w:r>
    </w:p>
    <w:p w14:paraId="2BC1DA72" w14:textId="77777777" w:rsidR="004B1559" w:rsidRDefault="004B1559">
      <w:pPr>
        <w:pStyle w:val="ListParagraph"/>
        <w:rPr>
          <w:rFonts w:ascii="Arial" w:hAnsi="Arial" w:cs="Arial"/>
          <w:bCs/>
          <w:sz w:val="22"/>
          <w:szCs w:val="22"/>
          <w:lang w:val="en-GB"/>
        </w:rPr>
      </w:pPr>
    </w:p>
    <w:p w14:paraId="46E61929" w14:textId="77777777" w:rsidR="004B1559" w:rsidRDefault="004B1559">
      <w:pPr>
        <w:jc w:val="both"/>
        <w:rPr>
          <w:rFonts w:ascii="Arial" w:hAnsi="Arial" w:cs="Arial"/>
          <w:b/>
          <w:sz w:val="22"/>
          <w:szCs w:val="22"/>
          <w:lang w:val="en-GB"/>
        </w:rPr>
      </w:pPr>
    </w:p>
    <w:p w14:paraId="04601A42" w14:textId="77777777" w:rsidR="004B1559" w:rsidRDefault="000E6C37">
      <w:pPr>
        <w:jc w:val="both"/>
        <w:rPr>
          <w:rFonts w:ascii="Arial" w:hAnsi="Arial" w:cs="Arial"/>
          <w:b/>
          <w:sz w:val="22"/>
          <w:szCs w:val="22"/>
          <w:lang w:val="en-GB"/>
        </w:rPr>
      </w:pPr>
      <w:r>
        <w:rPr>
          <w:rFonts w:ascii="Arial" w:hAnsi="Arial" w:cs="Arial"/>
          <w:b/>
          <w:sz w:val="22"/>
          <w:szCs w:val="22"/>
          <w:lang w:val="en-GB"/>
        </w:rPr>
        <w:t>OR</w:t>
      </w:r>
    </w:p>
    <w:p w14:paraId="75DBF9B7" w14:textId="77777777" w:rsidR="004B1559" w:rsidRDefault="004B1559">
      <w:pPr>
        <w:jc w:val="both"/>
        <w:rPr>
          <w:rFonts w:ascii="Arial" w:hAnsi="Arial" w:cs="Arial"/>
          <w:sz w:val="22"/>
          <w:szCs w:val="22"/>
          <w:lang w:val="en-GB"/>
        </w:rPr>
      </w:pPr>
    </w:p>
    <w:p w14:paraId="1307D3F9" w14:textId="77777777" w:rsidR="004B1559" w:rsidRDefault="000E6C37">
      <w:pPr>
        <w:jc w:val="both"/>
        <w:rPr>
          <w:rFonts w:ascii="Arial" w:hAnsi="Arial" w:cs="Arial"/>
          <w:b/>
          <w:bCs/>
          <w:sz w:val="22"/>
          <w:szCs w:val="22"/>
          <w:lang w:val="en-GB"/>
        </w:rPr>
      </w:pPr>
      <w:r>
        <w:rPr>
          <w:rFonts w:ascii="Arial" w:hAnsi="Arial" w:cs="Arial"/>
          <w:b/>
          <w:bCs/>
          <w:sz w:val="22"/>
          <w:szCs w:val="22"/>
          <w:lang w:val="en-GB"/>
        </w:rPr>
        <w:t>Question 4.2 [maximum 15 marks]</w:t>
      </w:r>
    </w:p>
    <w:p w14:paraId="2E5BBFEA" w14:textId="77777777" w:rsidR="004B1559" w:rsidRDefault="004B1559">
      <w:pPr>
        <w:jc w:val="both"/>
        <w:rPr>
          <w:rFonts w:ascii="Arial" w:hAnsi="Arial" w:cs="Arial"/>
          <w:sz w:val="22"/>
          <w:szCs w:val="22"/>
          <w:lang w:val="en-GB"/>
        </w:rPr>
      </w:pPr>
    </w:p>
    <w:p w14:paraId="10DE404A" w14:textId="77777777" w:rsidR="004B1559" w:rsidRDefault="000E6C37">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You have been approached by Mr X who claims to be a representative of UFO Limited, a foreign company registered in Kenya. Mr X claims that UFO Limited is being liquidated in its home jurisdiction and that an order directing that the company be wound up has been issued in its home jurisdiction. Mr X claims that UFO Limited has sufficient assets to pay its </w:t>
      </w:r>
      <w:r>
        <w:rPr>
          <w:rFonts w:ascii="Arial" w:hAnsi="Arial" w:cs="Arial"/>
          <w:sz w:val="22"/>
          <w:szCs w:val="22"/>
          <w:lang w:val="en-GB"/>
        </w:rPr>
        <w:lastRenderedPageBreak/>
        <w:t xml:space="preserve">creditors in Kenya. Mr X requests that you </w:t>
      </w:r>
      <w:r>
        <w:rPr>
          <w:rFonts w:ascii="Arial" w:hAnsi="Arial" w:cs="Arial"/>
          <w:b/>
          <w:bCs/>
          <w:sz w:val="22"/>
          <w:szCs w:val="22"/>
          <w:u w:val="single"/>
          <w:lang w:val="en-GB"/>
        </w:rPr>
        <w:t>advise him</w:t>
      </w:r>
      <w:r>
        <w:rPr>
          <w:rFonts w:ascii="Arial" w:hAnsi="Arial" w:cs="Arial"/>
          <w:sz w:val="22"/>
          <w:szCs w:val="22"/>
          <w:lang w:val="en-GB"/>
        </w:rPr>
        <w:t xml:space="preserve"> on how to proceed with the realisation of UFO Limited’s assets in Kenya.</w:t>
      </w:r>
    </w:p>
    <w:p w14:paraId="395506EA" w14:textId="77777777" w:rsidR="004B1559" w:rsidRDefault="004B1559">
      <w:pPr>
        <w:autoSpaceDE w:val="0"/>
        <w:autoSpaceDN w:val="0"/>
        <w:adjustRightInd w:val="0"/>
        <w:jc w:val="both"/>
        <w:rPr>
          <w:rFonts w:ascii="Arial" w:hAnsi="Arial" w:cs="Arial"/>
          <w:sz w:val="22"/>
          <w:szCs w:val="22"/>
          <w:lang w:val="en-GB"/>
        </w:rPr>
      </w:pPr>
    </w:p>
    <w:p w14:paraId="75D35A25" w14:textId="7AC9B550" w:rsidR="00E23AD5" w:rsidRDefault="000E6C3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6C30D8">
        <w:rPr>
          <w:rFonts w:ascii="Arial" w:hAnsi="Arial" w:cs="Arial"/>
          <w:color w:val="7B7B7B" w:themeColor="accent3" w:themeShade="BF"/>
          <w:sz w:val="22"/>
          <w:szCs w:val="22"/>
          <w:lang w:val="en-GB"/>
        </w:rPr>
        <w:t xml:space="preserve">The Kenya Insolvency Act, 2015 made provisions for companies incorporated in Kenya as well as any foreign company registered under the Companies Act, 2015 </w:t>
      </w:r>
      <w:proofErr w:type="gramStart"/>
      <w:r w:rsidR="006C30D8">
        <w:rPr>
          <w:rFonts w:ascii="Arial" w:hAnsi="Arial" w:cs="Arial"/>
          <w:color w:val="7B7B7B" w:themeColor="accent3" w:themeShade="BF"/>
          <w:sz w:val="22"/>
          <w:szCs w:val="22"/>
          <w:lang w:val="en-GB"/>
        </w:rPr>
        <w:t>( by</w:t>
      </w:r>
      <w:proofErr w:type="gramEnd"/>
      <w:r w:rsidR="006C30D8">
        <w:rPr>
          <w:rFonts w:ascii="Arial" w:hAnsi="Arial" w:cs="Arial"/>
          <w:color w:val="7B7B7B" w:themeColor="accent3" w:themeShade="BF"/>
          <w:sz w:val="22"/>
          <w:szCs w:val="22"/>
          <w:lang w:val="en-GB"/>
        </w:rPr>
        <w:t xml:space="preserve"> way of </w:t>
      </w:r>
      <w:r w:rsidR="00E23AD5">
        <w:rPr>
          <w:rStyle w:val="FootnoteReference"/>
          <w:rFonts w:ascii="Arial" w:hAnsi="Arial" w:cs="Arial"/>
          <w:color w:val="7B7B7B" w:themeColor="accent3" w:themeShade="BF"/>
          <w:sz w:val="22"/>
          <w:szCs w:val="22"/>
          <w:lang w:val="en-GB"/>
        </w:rPr>
        <w:footnoteReference w:id="36"/>
      </w:r>
      <w:r w:rsidR="006C30D8">
        <w:rPr>
          <w:rFonts w:ascii="Arial" w:hAnsi="Arial" w:cs="Arial"/>
          <w:color w:val="7B7B7B" w:themeColor="accent3" w:themeShade="BF"/>
          <w:sz w:val="22"/>
          <w:szCs w:val="22"/>
          <w:lang w:val="en-GB"/>
        </w:rPr>
        <w:t>registration of a branch).</w:t>
      </w:r>
      <w:r w:rsidR="008A6450">
        <w:rPr>
          <w:rFonts w:ascii="Arial" w:hAnsi="Arial" w:cs="Arial"/>
          <w:color w:val="7B7B7B" w:themeColor="accent3" w:themeShade="BF"/>
          <w:sz w:val="22"/>
          <w:szCs w:val="22"/>
          <w:lang w:val="en-GB"/>
        </w:rPr>
        <w:t xml:space="preserve"> Furthermore section 720 of the Act made provisions for cross-border Insolvency in Kenya, and the purpose as set out in Article 2 of the Fifth Schedule is to promote the objectives of attaining (a) co-operation between the courts and other competent authorities of Kenya and foreign states involved in cases of cross-border insolvency; ( b) greater legal certainty for trade and investment; (c  fair and efficient adm</w:t>
      </w:r>
      <w:r w:rsidR="00785527">
        <w:rPr>
          <w:rFonts w:ascii="Arial" w:hAnsi="Arial" w:cs="Arial"/>
          <w:color w:val="7B7B7B" w:themeColor="accent3" w:themeShade="BF"/>
          <w:sz w:val="22"/>
          <w:szCs w:val="22"/>
          <w:lang w:val="en-GB"/>
        </w:rPr>
        <w:t>inistration of cross-border insolvencies that protects the interests of all creditors and other interested persons, including the debtor; (d)  protection and maximization of the value of debtors assets; and (e) facilitation of the rescue of financially troubled business with a view to protecting investment and preserving employment.</w:t>
      </w:r>
    </w:p>
    <w:p w14:paraId="63357CB4" w14:textId="77777777" w:rsidR="00E23AD5" w:rsidRDefault="00E23AD5">
      <w:pPr>
        <w:autoSpaceDE w:val="0"/>
        <w:autoSpaceDN w:val="0"/>
        <w:adjustRightInd w:val="0"/>
        <w:jc w:val="both"/>
        <w:rPr>
          <w:rFonts w:ascii="Arial" w:hAnsi="Arial" w:cs="Arial"/>
          <w:color w:val="7B7B7B" w:themeColor="accent3" w:themeShade="BF"/>
          <w:sz w:val="22"/>
          <w:szCs w:val="22"/>
          <w:lang w:val="en-GB"/>
        </w:rPr>
      </w:pPr>
    </w:p>
    <w:p w14:paraId="090B75A9" w14:textId="77777777" w:rsidR="00DC70AF" w:rsidRDefault="00E23AD5">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scope of the application of the Schedule in the Act, involves where; (a) assistance is sought in Kenya by a foreign Court or a foreign representative in connection with a foreign proceeding; (b) assistance is sought in a foreign state in connection with a proceeding under the Act and any other written law relating to insolvency in Kenya; (c) a foreign proceeding and a proceeding under the Act and any other written law relating to Insolvency in Kenya in respect of the same debtor are taking place concurrently; or (d) creditors or other interested persons in a foreign state have an interest in requesting the commencement of, or participation in, a proceeding under the Act or any other written law relating to insolvency in Kenya.</w:t>
      </w:r>
      <w:r w:rsidR="00785527">
        <w:rPr>
          <w:rFonts w:ascii="Arial" w:hAnsi="Arial" w:cs="Arial"/>
          <w:color w:val="7B7B7B" w:themeColor="accent3" w:themeShade="BF"/>
          <w:sz w:val="22"/>
          <w:szCs w:val="22"/>
          <w:lang w:val="en-GB"/>
        </w:rPr>
        <w:t xml:space="preserve"> </w:t>
      </w:r>
    </w:p>
    <w:p w14:paraId="75E95733" w14:textId="77777777" w:rsidR="00DC70AF" w:rsidRDefault="00DC70AF">
      <w:pPr>
        <w:autoSpaceDE w:val="0"/>
        <w:autoSpaceDN w:val="0"/>
        <w:adjustRightInd w:val="0"/>
        <w:jc w:val="both"/>
        <w:rPr>
          <w:rFonts w:ascii="Arial" w:hAnsi="Arial" w:cs="Arial"/>
          <w:color w:val="7B7B7B" w:themeColor="accent3" w:themeShade="BF"/>
          <w:sz w:val="22"/>
          <w:szCs w:val="22"/>
          <w:lang w:val="en-GB"/>
        </w:rPr>
      </w:pPr>
    </w:p>
    <w:p w14:paraId="0BB7C205" w14:textId="77777777" w:rsidR="005757C0" w:rsidRDefault="00DC70AF">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foreign representative who wish to realise assets of a company in Kenya in relation to Insolvency Act has the right of direct access.</w:t>
      </w:r>
      <w:r w:rsidR="00AD7A64">
        <w:rPr>
          <w:rFonts w:ascii="Arial" w:hAnsi="Arial" w:cs="Arial"/>
          <w:color w:val="7B7B7B" w:themeColor="accent3" w:themeShade="BF"/>
          <w:sz w:val="22"/>
          <w:szCs w:val="22"/>
          <w:lang w:val="en-GB"/>
        </w:rPr>
        <w:t xml:space="preserve"> The foreign representative pursuant to article 11 of part 2 of the Fifth Schedule is entitled to apply directly to the court by satisfying the conclusions set out by the Act for commencing such a proceeding.</w:t>
      </w:r>
      <w:r w:rsidR="00AD7A64">
        <w:rPr>
          <w:rStyle w:val="FootnoteReference"/>
          <w:rFonts w:ascii="Arial" w:hAnsi="Arial" w:cs="Arial"/>
          <w:color w:val="7B7B7B" w:themeColor="accent3" w:themeShade="BF"/>
          <w:sz w:val="22"/>
          <w:szCs w:val="22"/>
          <w:lang w:val="en-GB"/>
        </w:rPr>
        <w:footnoteReference w:id="37"/>
      </w:r>
      <w:r w:rsidR="00290629">
        <w:rPr>
          <w:rFonts w:ascii="Arial" w:hAnsi="Arial" w:cs="Arial"/>
          <w:color w:val="7B7B7B" w:themeColor="accent3" w:themeShade="BF"/>
          <w:sz w:val="22"/>
          <w:szCs w:val="22"/>
          <w:lang w:val="en-GB"/>
        </w:rPr>
        <w:t xml:space="preserve"> The conditions to be satisfied, is the Recognition Application of the foreign proceeding which must contain the following supporting documentation;</w:t>
      </w:r>
    </w:p>
    <w:p w14:paraId="7AF468DD" w14:textId="422C65A2" w:rsidR="005757C0" w:rsidRDefault="005757C0" w:rsidP="005757C0">
      <w:pPr>
        <w:pStyle w:val="ListParagraph"/>
        <w:numPr>
          <w:ilvl w:val="0"/>
          <w:numId w:val="3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Certified copy of the decision commencing the foreign proceeding and appointing the foreign representative;</w:t>
      </w:r>
    </w:p>
    <w:p w14:paraId="0640CABC" w14:textId="77777777" w:rsidR="005757C0" w:rsidRDefault="005757C0" w:rsidP="005757C0">
      <w:pPr>
        <w:pStyle w:val="ListParagraph"/>
        <w:numPr>
          <w:ilvl w:val="0"/>
          <w:numId w:val="3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certificate from the foreign court affirming the existence of the foreign proceeding and of the appointment of the foreign representative;</w:t>
      </w:r>
    </w:p>
    <w:p w14:paraId="414A3A2C" w14:textId="77777777" w:rsidR="005757C0" w:rsidRDefault="005757C0" w:rsidP="005757C0">
      <w:pPr>
        <w:pStyle w:val="ListParagraph"/>
        <w:numPr>
          <w:ilvl w:val="0"/>
          <w:numId w:val="3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other evidence acceptable to the court of the existence of the foreign proceeding and of the appointment of the foreign representative; and </w:t>
      </w:r>
    </w:p>
    <w:p w14:paraId="55FC2B90" w14:textId="3863435A" w:rsidR="00290629" w:rsidRDefault="00C73CEF" w:rsidP="005757C0">
      <w:pPr>
        <w:pStyle w:val="ListParagraph"/>
        <w:numPr>
          <w:ilvl w:val="0"/>
          <w:numId w:val="3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statement identifying all foreign proceedings in respect of the debtor that are known to the foreign representative.</w:t>
      </w:r>
      <w:r>
        <w:rPr>
          <w:rStyle w:val="FootnoteReference"/>
          <w:rFonts w:ascii="Arial" w:hAnsi="Arial" w:cs="Arial"/>
          <w:color w:val="7B7B7B" w:themeColor="accent3" w:themeShade="BF"/>
          <w:sz w:val="22"/>
          <w:szCs w:val="22"/>
          <w:lang w:val="en-GB"/>
        </w:rPr>
        <w:footnoteReference w:id="38"/>
      </w:r>
      <w:r w:rsidR="00290629" w:rsidRPr="005757C0">
        <w:rPr>
          <w:rFonts w:ascii="Arial" w:hAnsi="Arial" w:cs="Arial"/>
          <w:color w:val="7B7B7B" w:themeColor="accent3" w:themeShade="BF"/>
          <w:sz w:val="22"/>
          <w:szCs w:val="22"/>
          <w:lang w:val="en-GB"/>
        </w:rPr>
        <w:t xml:space="preserve"> </w:t>
      </w:r>
    </w:p>
    <w:p w14:paraId="531BB0E8" w14:textId="0DC8F325" w:rsidR="00D70926" w:rsidRDefault="00D70926" w:rsidP="00D70926">
      <w:pPr>
        <w:autoSpaceDE w:val="0"/>
        <w:autoSpaceDN w:val="0"/>
        <w:adjustRightInd w:val="0"/>
        <w:jc w:val="both"/>
        <w:rPr>
          <w:rFonts w:ascii="Arial" w:hAnsi="Arial" w:cs="Arial"/>
          <w:color w:val="7B7B7B" w:themeColor="accent3" w:themeShade="BF"/>
          <w:sz w:val="22"/>
          <w:szCs w:val="22"/>
          <w:lang w:val="en-GB"/>
        </w:rPr>
      </w:pPr>
    </w:p>
    <w:p w14:paraId="71249A98" w14:textId="6E9663A1" w:rsidR="00D70926" w:rsidRDefault="00D70926" w:rsidP="00D70926">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Court is required to accept the Recognition Application where the foreign proceeding is a collective judicial or administrative proceeding in a foreign state, including an interim proceeding, under a law relating to Insolvency in which proceeding the assets and financial affairs of the debtor are subject to control or supervision by a foreign court, either for the purpose of recognition or liquidation and the foreign representative, is a person or body, including one appointed on an interim basis, authorised in a foreign proceeding to administer the re-organization or the liquidation of the debtor’s assets or financial affairs or to act as a </w:t>
      </w:r>
      <w:r>
        <w:rPr>
          <w:rFonts w:ascii="Arial" w:hAnsi="Arial" w:cs="Arial"/>
          <w:color w:val="7B7B7B" w:themeColor="accent3" w:themeShade="BF"/>
          <w:sz w:val="22"/>
          <w:szCs w:val="22"/>
          <w:lang w:val="en-GB"/>
        </w:rPr>
        <w:lastRenderedPageBreak/>
        <w:t>representative in the foreign proceeding.</w:t>
      </w:r>
      <w:r>
        <w:rPr>
          <w:rStyle w:val="FootnoteReference"/>
          <w:rFonts w:ascii="Arial" w:hAnsi="Arial" w:cs="Arial"/>
          <w:color w:val="7B7B7B" w:themeColor="accent3" w:themeShade="BF"/>
          <w:sz w:val="22"/>
          <w:szCs w:val="22"/>
          <w:lang w:val="en-GB"/>
        </w:rPr>
        <w:footnoteReference w:id="39"/>
      </w:r>
      <w:r w:rsidR="00240C32">
        <w:rPr>
          <w:rFonts w:ascii="Arial" w:hAnsi="Arial" w:cs="Arial"/>
          <w:color w:val="7B7B7B" w:themeColor="accent3" w:themeShade="BF"/>
          <w:sz w:val="22"/>
          <w:szCs w:val="22"/>
          <w:lang w:val="en-GB"/>
        </w:rPr>
        <w:t xml:space="preserve"> In addition, the application has been submitted to the court.</w:t>
      </w:r>
    </w:p>
    <w:p w14:paraId="1A791898" w14:textId="32B1317F" w:rsidR="0077737E" w:rsidRDefault="0077737E" w:rsidP="00D70926">
      <w:pPr>
        <w:autoSpaceDE w:val="0"/>
        <w:autoSpaceDN w:val="0"/>
        <w:adjustRightInd w:val="0"/>
        <w:jc w:val="both"/>
        <w:rPr>
          <w:rFonts w:ascii="Arial" w:hAnsi="Arial" w:cs="Arial"/>
          <w:color w:val="7B7B7B" w:themeColor="accent3" w:themeShade="BF"/>
          <w:sz w:val="22"/>
          <w:szCs w:val="22"/>
          <w:lang w:val="en-GB"/>
        </w:rPr>
      </w:pPr>
    </w:p>
    <w:p w14:paraId="5F984562" w14:textId="59443271" w:rsidR="0077737E" w:rsidRDefault="0077737E" w:rsidP="00D70926">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prior to the determination of the submitted Recognition Application, the court has the power to grant the following interim measures; (i) staying execution against the debtor’s assets (in Kenya); (ii) entrusting the administration or realisation of all or part of the debtor’s assets located in Kenya to the foreign representative or another person designated by the Court, in order to protect and preserve the value of assets that, by their nature or because of other circumstances, are perishable, susceptible to devaluation or otherwise in jeopardy;(iii) suspending the right to transfer, encumber, or otherwise dispose of any assets</w:t>
      </w:r>
      <w:r w:rsidR="00B51B1C">
        <w:rPr>
          <w:rFonts w:ascii="Arial" w:hAnsi="Arial" w:cs="Arial"/>
          <w:color w:val="7B7B7B" w:themeColor="accent3" w:themeShade="BF"/>
          <w:sz w:val="22"/>
          <w:szCs w:val="22"/>
          <w:lang w:val="en-GB"/>
        </w:rPr>
        <w:t xml:space="preserve"> of the debtor; or (iv) providing for the examination of witnesses, the taking of evidence, or the delivery of information concerning the debtor’s assets, financial affairs, rights obligations or liabilities.</w:t>
      </w:r>
      <w:r w:rsidR="00B51B1C">
        <w:rPr>
          <w:rStyle w:val="FootnoteReference"/>
          <w:rFonts w:ascii="Arial" w:hAnsi="Arial" w:cs="Arial"/>
          <w:color w:val="7B7B7B" w:themeColor="accent3" w:themeShade="BF"/>
          <w:sz w:val="22"/>
          <w:szCs w:val="22"/>
          <w:lang w:val="en-GB"/>
        </w:rPr>
        <w:footnoteReference w:id="40"/>
      </w:r>
    </w:p>
    <w:p w14:paraId="284FF511" w14:textId="1E7942C0" w:rsidR="00AE146A" w:rsidRDefault="00AE146A" w:rsidP="00D70926">
      <w:pPr>
        <w:autoSpaceDE w:val="0"/>
        <w:autoSpaceDN w:val="0"/>
        <w:adjustRightInd w:val="0"/>
        <w:jc w:val="both"/>
        <w:rPr>
          <w:rFonts w:ascii="Arial" w:hAnsi="Arial" w:cs="Arial"/>
          <w:color w:val="7B7B7B" w:themeColor="accent3" w:themeShade="BF"/>
          <w:sz w:val="22"/>
          <w:szCs w:val="22"/>
          <w:lang w:val="en-GB"/>
        </w:rPr>
      </w:pPr>
    </w:p>
    <w:p w14:paraId="2D0294B8" w14:textId="1707489F" w:rsidR="00AE146A" w:rsidRDefault="00AE146A" w:rsidP="00D70926">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 recognition by the court of a foreign proceeding, if necessary, to protect the assets of the debtor or the interest of the creditors, the court may, at the request of the foreign representative, grant any appropriate relief including;</w:t>
      </w:r>
    </w:p>
    <w:p w14:paraId="233D8295" w14:textId="697AF170" w:rsidR="00AE146A" w:rsidRDefault="00AE146A" w:rsidP="00AE146A">
      <w:pPr>
        <w:pStyle w:val="ListParagraph"/>
        <w:numPr>
          <w:ilvl w:val="3"/>
          <w:numId w:val="1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Staying execution against the debtor’s assets;</w:t>
      </w:r>
    </w:p>
    <w:p w14:paraId="0F9530B9" w14:textId="238AA969" w:rsidR="00AE146A" w:rsidRDefault="00AE146A" w:rsidP="00AE146A">
      <w:pPr>
        <w:pStyle w:val="ListParagraph"/>
        <w:numPr>
          <w:ilvl w:val="3"/>
          <w:numId w:val="1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Staying the commencement or continuation of individual actions or individual proceedings concerning the debtor’s assets, rights, obligations, or liabilities;</w:t>
      </w:r>
    </w:p>
    <w:p w14:paraId="1991DEF7" w14:textId="34B3F171" w:rsidR="00AE146A" w:rsidRDefault="00996776" w:rsidP="00AE146A">
      <w:pPr>
        <w:pStyle w:val="ListParagraph"/>
        <w:numPr>
          <w:ilvl w:val="3"/>
          <w:numId w:val="1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Suspending the right to transfer, encumber, or otherwise dispose of any assets of the debtor;</w:t>
      </w:r>
    </w:p>
    <w:p w14:paraId="76425477" w14:textId="030E8FCA" w:rsidR="00996776" w:rsidRDefault="00996776" w:rsidP="00AE146A">
      <w:pPr>
        <w:pStyle w:val="ListParagraph"/>
        <w:numPr>
          <w:ilvl w:val="3"/>
          <w:numId w:val="1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Providing for the examination of witnesses, the taking of evidence, or the delivery of information concerning the debtor’s assets, financial affairs, rights. Obligations or liabilities;</w:t>
      </w:r>
    </w:p>
    <w:p w14:paraId="60AEE018" w14:textId="6F8747AE" w:rsidR="00996776" w:rsidRDefault="00996776" w:rsidP="00AE146A">
      <w:pPr>
        <w:pStyle w:val="ListParagraph"/>
        <w:numPr>
          <w:ilvl w:val="3"/>
          <w:numId w:val="1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Entrusting the administration or realisation of all or part of the debtor’s assets located in Kenya to the foreign representative or another person designated by the court; and </w:t>
      </w:r>
    </w:p>
    <w:p w14:paraId="5203B216" w14:textId="35622DEA" w:rsidR="00996776" w:rsidRDefault="00996776" w:rsidP="00996776">
      <w:pPr>
        <w:pStyle w:val="ListParagraph"/>
        <w:numPr>
          <w:ilvl w:val="3"/>
          <w:numId w:val="1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Extending any of the regime remedies.</w:t>
      </w:r>
      <w:r>
        <w:rPr>
          <w:rStyle w:val="FootnoteReference"/>
          <w:rFonts w:ascii="Arial" w:hAnsi="Arial" w:cs="Arial"/>
          <w:color w:val="7B7B7B" w:themeColor="accent3" w:themeShade="BF"/>
          <w:sz w:val="22"/>
          <w:szCs w:val="22"/>
          <w:lang w:val="en-GB"/>
        </w:rPr>
        <w:footnoteReference w:id="41"/>
      </w:r>
    </w:p>
    <w:p w14:paraId="12883491" w14:textId="4975D8ED" w:rsidR="00996776" w:rsidRDefault="00996776" w:rsidP="00996776">
      <w:pPr>
        <w:autoSpaceDE w:val="0"/>
        <w:autoSpaceDN w:val="0"/>
        <w:adjustRightInd w:val="0"/>
        <w:jc w:val="both"/>
        <w:rPr>
          <w:rFonts w:ascii="Arial" w:hAnsi="Arial" w:cs="Arial"/>
          <w:color w:val="7B7B7B" w:themeColor="accent3" w:themeShade="BF"/>
          <w:sz w:val="22"/>
          <w:szCs w:val="22"/>
          <w:lang w:val="en-GB"/>
        </w:rPr>
      </w:pPr>
    </w:p>
    <w:p w14:paraId="490FE8E5" w14:textId="4CD9EBAF" w:rsidR="00996776" w:rsidRDefault="00996776" w:rsidP="00996776">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Furthermore, upon recognition by the court of a foreign proceeding, the court is under a duty, by the provisions of the Insolvency Act, to ensure that the interest of the creditors and other interested persons, including the debtor, are adequately protected.</w:t>
      </w:r>
      <w:r>
        <w:rPr>
          <w:rStyle w:val="FootnoteReference"/>
          <w:rFonts w:ascii="Arial" w:hAnsi="Arial" w:cs="Arial"/>
          <w:color w:val="7B7B7B" w:themeColor="accent3" w:themeShade="BF"/>
          <w:sz w:val="22"/>
          <w:szCs w:val="22"/>
          <w:lang w:val="en-GB"/>
        </w:rPr>
        <w:footnoteReference w:id="42"/>
      </w:r>
      <w:r>
        <w:rPr>
          <w:rFonts w:ascii="Arial" w:hAnsi="Arial" w:cs="Arial"/>
          <w:color w:val="7B7B7B" w:themeColor="accent3" w:themeShade="BF"/>
          <w:sz w:val="22"/>
          <w:szCs w:val="22"/>
          <w:lang w:val="en-GB"/>
        </w:rPr>
        <w:t xml:space="preserve"> Also, on recognition by the court of a foreign proceeding, the </w:t>
      </w:r>
      <w:r w:rsidR="00C75F2B">
        <w:rPr>
          <w:rFonts w:ascii="Arial" w:hAnsi="Arial" w:cs="Arial"/>
          <w:color w:val="7B7B7B" w:themeColor="accent3" w:themeShade="BF"/>
          <w:sz w:val="22"/>
          <w:szCs w:val="22"/>
          <w:lang w:val="en-GB"/>
        </w:rPr>
        <w:t>foreign representative has standing to initiate any action that an Insolvency administrator may take in respect of a proceeding under the Insolvency Act that relates to a transaction (including any gifts or improvement of property or otherwise), security, or charge that is voidable or may be set aside or altered.</w:t>
      </w:r>
      <w:r w:rsidR="00C75F2B">
        <w:rPr>
          <w:rStyle w:val="FootnoteReference"/>
          <w:rFonts w:ascii="Arial" w:hAnsi="Arial" w:cs="Arial"/>
          <w:color w:val="7B7B7B" w:themeColor="accent3" w:themeShade="BF"/>
          <w:sz w:val="22"/>
          <w:szCs w:val="22"/>
          <w:lang w:val="en-GB"/>
        </w:rPr>
        <w:footnoteReference w:id="43"/>
      </w:r>
    </w:p>
    <w:p w14:paraId="5F3372A3" w14:textId="687DE7CB" w:rsidR="002E61D6" w:rsidRDefault="002E61D6" w:rsidP="00996776">
      <w:pPr>
        <w:autoSpaceDE w:val="0"/>
        <w:autoSpaceDN w:val="0"/>
        <w:adjustRightInd w:val="0"/>
        <w:jc w:val="both"/>
        <w:rPr>
          <w:rFonts w:ascii="Arial" w:hAnsi="Arial" w:cs="Arial"/>
          <w:color w:val="7B7B7B" w:themeColor="accent3" w:themeShade="BF"/>
          <w:sz w:val="22"/>
          <w:szCs w:val="22"/>
          <w:lang w:val="en-GB"/>
        </w:rPr>
      </w:pPr>
    </w:p>
    <w:p w14:paraId="41323B86" w14:textId="343A112C" w:rsidR="002E61D6" w:rsidRPr="00996776" w:rsidRDefault="002E61D6" w:rsidP="00996776">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With regards to the relevant facts, Mr. X by his claims, is a foreign representative who also claimed that a liquidation order has been issued in the home jurisdiction of UFO Limited who also has a branch of the company registered in Kenya. Mr. X request on how to proceed with the realization of UFO Limited’s assets in Kenya, even if the company has sufficient assets to pay its creditors in Kenya as claimed, will only be possible through the Cross</w:t>
      </w:r>
      <w:r w:rsidR="00FD1D47">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border provision of the Insolvency Act of Kenya as highlighted above.</w:t>
      </w:r>
      <w:r w:rsidR="00FD1D47">
        <w:rPr>
          <w:rFonts w:ascii="Arial" w:hAnsi="Arial" w:cs="Arial"/>
          <w:color w:val="7B7B7B" w:themeColor="accent3" w:themeShade="BF"/>
          <w:sz w:val="22"/>
          <w:szCs w:val="22"/>
          <w:lang w:val="en-GB"/>
        </w:rPr>
        <w:t xml:space="preserve"> Mr X will have to apply directly to the Kenya court with a recognition application of the foreign proceeding in the home jurisdiction of UFO Limited.</w:t>
      </w:r>
      <w:r w:rsidR="00FD1D47">
        <w:rPr>
          <w:rStyle w:val="FootnoteReference"/>
          <w:rFonts w:ascii="Arial" w:hAnsi="Arial" w:cs="Arial"/>
          <w:color w:val="7B7B7B" w:themeColor="accent3" w:themeShade="BF"/>
          <w:sz w:val="22"/>
          <w:szCs w:val="22"/>
          <w:lang w:val="en-GB"/>
        </w:rPr>
        <w:footnoteReference w:id="44"/>
      </w:r>
      <w:r>
        <w:rPr>
          <w:rFonts w:ascii="Arial" w:hAnsi="Arial" w:cs="Arial"/>
          <w:color w:val="7B7B7B" w:themeColor="accent3" w:themeShade="BF"/>
          <w:sz w:val="22"/>
          <w:szCs w:val="22"/>
          <w:lang w:val="en-GB"/>
        </w:rPr>
        <w:t xml:space="preserve"> </w:t>
      </w:r>
      <w:r w:rsidR="00FD1D47">
        <w:rPr>
          <w:rFonts w:ascii="Arial" w:hAnsi="Arial" w:cs="Arial"/>
          <w:color w:val="7B7B7B" w:themeColor="accent3" w:themeShade="BF"/>
          <w:sz w:val="22"/>
          <w:szCs w:val="22"/>
          <w:lang w:val="en-GB"/>
        </w:rPr>
        <w:t>The recognition application must be supported with (a) a certified copy of the decision commencing the foreign proceeding relating</w:t>
      </w:r>
      <w:r w:rsidR="0028763B">
        <w:rPr>
          <w:rFonts w:ascii="Arial" w:hAnsi="Arial" w:cs="Arial"/>
          <w:color w:val="7B7B7B" w:themeColor="accent3" w:themeShade="BF"/>
          <w:sz w:val="22"/>
          <w:szCs w:val="22"/>
          <w:lang w:val="en-GB"/>
        </w:rPr>
        <w:t xml:space="preserve"> to the liquidation order directing that the company be wound up and appointing Mr. X in the home jurisdiction </w:t>
      </w:r>
      <w:r w:rsidR="0028763B">
        <w:rPr>
          <w:rFonts w:ascii="Arial" w:hAnsi="Arial" w:cs="Arial"/>
          <w:color w:val="7B7B7B" w:themeColor="accent3" w:themeShade="BF"/>
          <w:sz w:val="22"/>
          <w:szCs w:val="22"/>
          <w:lang w:val="en-GB"/>
        </w:rPr>
        <w:lastRenderedPageBreak/>
        <w:t>of UFO Limited; (b) a certificate from the foreign court of the home jurisdiction of UFO limited affirming the existence of the foreign proceeding and of the appointment of the foreign representative, Mr. X; and (c) a statement identifying all foreign proceedings in respect of UFO Limited that are known to Mr. X.</w:t>
      </w:r>
      <w:r w:rsidR="0028763B">
        <w:rPr>
          <w:rStyle w:val="FootnoteReference"/>
          <w:rFonts w:ascii="Arial" w:hAnsi="Arial" w:cs="Arial"/>
          <w:color w:val="7B7B7B" w:themeColor="accent3" w:themeShade="BF"/>
          <w:sz w:val="22"/>
          <w:szCs w:val="22"/>
          <w:lang w:val="en-GB"/>
        </w:rPr>
        <w:footnoteReference w:id="45"/>
      </w:r>
      <w:r w:rsidR="0028763B">
        <w:rPr>
          <w:rFonts w:ascii="Arial" w:hAnsi="Arial" w:cs="Arial"/>
          <w:color w:val="7B7B7B" w:themeColor="accent3" w:themeShade="BF"/>
          <w:sz w:val="22"/>
          <w:szCs w:val="22"/>
          <w:lang w:val="en-GB"/>
        </w:rPr>
        <w:t xml:space="preserve"> </w:t>
      </w:r>
      <w:r w:rsidR="00FD1D47">
        <w:rPr>
          <w:rFonts w:ascii="Arial" w:hAnsi="Arial" w:cs="Arial"/>
          <w:color w:val="7B7B7B" w:themeColor="accent3" w:themeShade="BF"/>
          <w:sz w:val="22"/>
          <w:szCs w:val="22"/>
          <w:lang w:val="en-GB"/>
        </w:rPr>
        <w:t xml:space="preserve">  </w:t>
      </w:r>
    </w:p>
    <w:p w14:paraId="52C4AA67" w14:textId="5ED54274" w:rsidR="0077737E" w:rsidRDefault="0077737E" w:rsidP="00D70926">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36634005" w14:textId="7C8A8615" w:rsidR="0028763B" w:rsidRDefault="0028763B" w:rsidP="00D70926">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Upon, the court determining the Recognition Application that the foreign proceeding through which the liquidation order directing the winding up of UFO Limited was issued qualify as a collective judicial or administrative proceeding in the home jurisdiction of UFO Limited, including an interim proceeding, under a law relating to insolvency in which proceeding, the assets and financial affairs of UFO Limited are subject to control or supervision by a foreign court of the home jurisdiction of UFO </w:t>
      </w:r>
      <w:r w:rsidR="001B452A">
        <w:rPr>
          <w:rFonts w:ascii="Arial" w:hAnsi="Arial" w:cs="Arial"/>
          <w:color w:val="7B7B7B" w:themeColor="accent3" w:themeShade="BF"/>
          <w:sz w:val="22"/>
          <w:szCs w:val="22"/>
          <w:lang w:val="en-GB"/>
        </w:rPr>
        <w:t>Limited, either for the purpose of recognition or liquidation and Mr X is  a person or body, including one appointed on an interim basis, authorised in the home jurisdiction proceeding of UFO Limited to administer the re-organization or the liquidation of UFO Limited assets or financial affairs or to act as a representative in the foreign proceeding of the home jurisdiction of UFO Limited,</w:t>
      </w:r>
      <w:r w:rsidR="001B452A">
        <w:rPr>
          <w:rStyle w:val="FootnoteReference"/>
          <w:rFonts w:ascii="Arial" w:hAnsi="Arial" w:cs="Arial"/>
          <w:color w:val="7B7B7B" w:themeColor="accent3" w:themeShade="BF"/>
          <w:sz w:val="22"/>
          <w:szCs w:val="22"/>
          <w:lang w:val="en-GB"/>
        </w:rPr>
        <w:footnoteReference w:id="46"/>
      </w:r>
      <w:r w:rsidR="001B452A">
        <w:rPr>
          <w:rFonts w:ascii="Arial" w:hAnsi="Arial" w:cs="Arial"/>
          <w:color w:val="7B7B7B" w:themeColor="accent3" w:themeShade="BF"/>
          <w:sz w:val="22"/>
          <w:szCs w:val="22"/>
          <w:lang w:val="en-GB"/>
        </w:rPr>
        <w:t xml:space="preserve"> and</w:t>
      </w:r>
      <w:r w:rsidR="002216E3">
        <w:rPr>
          <w:rFonts w:ascii="Arial" w:hAnsi="Arial" w:cs="Arial"/>
          <w:color w:val="7B7B7B" w:themeColor="accent3" w:themeShade="BF"/>
          <w:sz w:val="22"/>
          <w:szCs w:val="22"/>
          <w:lang w:val="en-GB"/>
        </w:rPr>
        <w:t xml:space="preserve"> after the application has been submitted to the court, the court may at the request of Mr. X, if necessary to protect the assets of UFO Limited in Kenya or the interest of the creditors, grant any appropriate relief including;</w:t>
      </w:r>
      <w:r w:rsidR="0000144A">
        <w:rPr>
          <w:rFonts w:ascii="Arial" w:hAnsi="Arial" w:cs="Arial"/>
          <w:color w:val="7B7B7B" w:themeColor="accent3" w:themeShade="BF"/>
          <w:sz w:val="22"/>
          <w:szCs w:val="22"/>
          <w:lang w:val="en-GB"/>
        </w:rPr>
        <w:t xml:space="preserve"> </w:t>
      </w:r>
    </w:p>
    <w:p w14:paraId="6946C930" w14:textId="5BA1367D" w:rsidR="0000144A" w:rsidRDefault="0000144A" w:rsidP="00D70926">
      <w:pPr>
        <w:autoSpaceDE w:val="0"/>
        <w:autoSpaceDN w:val="0"/>
        <w:adjustRightInd w:val="0"/>
        <w:jc w:val="both"/>
        <w:rPr>
          <w:rFonts w:ascii="Arial" w:hAnsi="Arial" w:cs="Arial"/>
          <w:color w:val="7B7B7B" w:themeColor="accent3" w:themeShade="BF"/>
          <w:sz w:val="22"/>
          <w:szCs w:val="22"/>
          <w:lang w:val="en-GB"/>
        </w:rPr>
      </w:pPr>
    </w:p>
    <w:p w14:paraId="52B44382" w14:textId="35755B3D" w:rsidR="0000144A" w:rsidRDefault="0000144A" w:rsidP="0000144A">
      <w:pPr>
        <w:pStyle w:val="ListParagraph"/>
        <w:numPr>
          <w:ilvl w:val="0"/>
          <w:numId w:val="3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Staying the commencement or continuation of individual actions or individual proceedings concerning the debtor</w:t>
      </w:r>
      <w:r w:rsidR="00FD031D">
        <w:rPr>
          <w:rFonts w:ascii="Arial" w:hAnsi="Arial" w:cs="Arial"/>
          <w:color w:val="7B7B7B" w:themeColor="accent3" w:themeShade="BF"/>
          <w:sz w:val="22"/>
          <w:szCs w:val="22"/>
          <w:lang w:val="en-GB"/>
        </w:rPr>
        <w:t>’s assets, rights, obligations or liabilities;</w:t>
      </w:r>
    </w:p>
    <w:p w14:paraId="723A0774" w14:textId="5AB56D81" w:rsidR="00FD031D" w:rsidRDefault="00FD031D" w:rsidP="0000144A">
      <w:pPr>
        <w:pStyle w:val="ListParagraph"/>
        <w:numPr>
          <w:ilvl w:val="0"/>
          <w:numId w:val="3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Staying execution against UFO Limited assets;</w:t>
      </w:r>
    </w:p>
    <w:p w14:paraId="7D36CEAB" w14:textId="5342D911" w:rsidR="00FD031D" w:rsidRDefault="00FD031D" w:rsidP="0000144A">
      <w:pPr>
        <w:pStyle w:val="ListParagraph"/>
        <w:numPr>
          <w:ilvl w:val="0"/>
          <w:numId w:val="3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Suspending the right to transfer, encumber, or otherwise dispose of any assets of UFO Limited</w:t>
      </w:r>
      <w:r w:rsidR="00A64D2D">
        <w:rPr>
          <w:rFonts w:ascii="Arial" w:hAnsi="Arial" w:cs="Arial"/>
          <w:color w:val="7B7B7B" w:themeColor="accent3" w:themeShade="BF"/>
          <w:sz w:val="22"/>
          <w:szCs w:val="22"/>
          <w:lang w:val="en-GB"/>
        </w:rPr>
        <w:t>;</w:t>
      </w:r>
    </w:p>
    <w:p w14:paraId="514DEA7D" w14:textId="7715503A" w:rsidR="00FD031D" w:rsidRDefault="00A64D2D" w:rsidP="0000144A">
      <w:pPr>
        <w:pStyle w:val="ListParagraph"/>
        <w:numPr>
          <w:ilvl w:val="0"/>
          <w:numId w:val="3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Providing for the examination of witnesses, the taking of evidence, or the delivery of information concerning UFO Limited assets, financial affairs, rights, obligations or liabilities;</w:t>
      </w:r>
    </w:p>
    <w:p w14:paraId="07B3A8DA" w14:textId="3EC6B8F2" w:rsidR="00A64D2D" w:rsidRDefault="00A64D2D" w:rsidP="0000144A">
      <w:pPr>
        <w:pStyle w:val="ListParagraph"/>
        <w:numPr>
          <w:ilvl w:val="0"/>
          <w:numId w:val="3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Entrusting the administration or realisation of all or part of UFO Limited assets in Kenya to Mr. X or another person designated by the court; and</w:t>
      </w:r>
    </w:p>
    <w:p w14:paraId="68B1E75D" w14:textId="5979880D" w:rsidR="00A64D2D" w:rsidRDefault="00A64D2D" w:rsidP="0000144A">
      <w:pPr>
        <w:pStyle w:val="ListParagraph"/>
        <w:numPr>
          <w:ilvl w:val="0"/>
          <w:numId w:val="3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Extending any of the regime remedies.</w:t>
      </w:r>
      <w:r>
        <w:rPr>
          <w:rStyle w:val="FootnoteReference"/>
          <w:rFonts w:ascii="Arial" w:hAnsi="Arial" w:cs="Arial"/>
          <w:color w:val="7B7B7B" w:themeColor="accent3" w:themeShade="BF"/>
          <w:sz w:val="22"/>
          <w:szCs w:val="22"/>
          <w:lang w:val="en-GB"/>
        </w:rPr>
        <w:footnoteReference w:id="47"/>
      </w:r>
    </w:p>
    <w:p w14:paraId="26654486" w14:textId="0BC754F9" w:rsidR="00346A9D" w:rsidRDefault="00346A9D" w:rsidP="00346A9D">
      <w:pPr>
        <w:autoSpaceDE w:val="0"/>
        <w:autoSpaceDN w:val="0"/>
        <w:adjustRightInd w:val="0"/>
        <w:jc w:val="both"/>
        <w:rPr>
          <w:rFonts w:ascii="Arial" w:hAnsi="Arial" w:cs="Arial"/>
          <w:color w:val="7B7B7B" w:themeColor="accent3" w:themeShade="BF"/>
          <w:sz w:val="22"/>
          <w:szCs w:val="22"/>
          <w:lang w:val="en-GB"/>
        </w:rPr>
      </w:pPr>
    </w:p>
    <w:p w14:paraId="791387EE" w14:textId="27AE92B1" w:rsidR="00346A9D" w:rsidRPr="00346A9D" w:rsidRDefault="00346A9D" w:rsidP="00346A9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appropriate reliefs to be granted upon recognition by the court of the foreign proceeding in the home jurisdiction of UFO Limited must be subject to ensuring that the interests of the creditors and other interested persons including UFO Limited are adequately protected.</w:t>
      </w:r>
      <w:r>
        <w:rPr>
          <w:rStyle w:val="FootnoteReference"/>
          <w:rFonts w:ascii="Arial" w:hAnsi="Arial" w:cs="Arial"/>
          <w:color w:val="7B7B7B" w:themeColor="accent3" w:themeShade="BF"/>
          <w:sz w:val="22"/>
          <w:szCs w:val="22"/>
          <w:lang w:val="en-GB"/>
        </w:rPr>
        <w:footnoteReference w:id="48"/>
      </w:r>
    </w:p>
    <w:p w14:paraId="76AE9860" w14:textId="73428F90" w:rsidR="001F1A35" w:rsidRDefault="001F1A35" w:rsidP="001F1A35">
      <w:pPr>
        <w:autoSpaceDE w:val="0"/>
        <w:autoSpaceDN w:val="0"/>
        <w:adjustRightInd w:val="0"/>
        <w:jc w:val="both"/>
        <w:rPr>
          <w:rFonts w:ascii="Arial" w:hAnsi="Arial" w:cs="Arial"/>
          <w:color w:val="7B7B7B" w:themeColor="accent3" w:themeShade="BF"/>
          <w:sz w:val="22"/>
          <w:szCs w:val="22"/>
          <w:lang w:val="en-GB"/>
        </w:rPr>
      </w:pPr>
    </w:p>
    <w:p w14:paraId="5B8A7FA5" w14:textId="4EE783A1" w:rsidR="001F1A35" w:rsidRPr="001F1A35" w:rsidRDefault="001F1A35" w:rsidP="001F1A35">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Also, on recognition by the court of the foreign proceeding in the home jurisdiction of UFO Limited, Mr. X now has standing</w:t>
      </w:r>
      <w:r w:rsidR="00855E71">
        <w:rPr>
          <w:rFonts w:ascii="Arial" w:hAnsi="Arial" w:cs="Arial"/>
          <w:color w:val="7B7B7B" w:themeColor="accent3" w:themeShade="BF"/>
          <w:sz w:val="22"/>
          <w:szCs w:val="22"/>
          <w:lang w:val="en-GB"/>
        </w:rPr>
        <w:t xml:space="preserve"> to initiate any action that an Insolvency Administrator may take in respect of a proceeding under the Insolvency Act of Kenya that relates to transaction (including any gifts or improvement of property or otherwise), security, or charge that is voidable or may be set aside or altered.</w:t>
      </w:r>
      <w:r w:rsidR="00855E71">
        <w:rPr>
          <w:rStyle w:val="FootnoteReference"/>
          <w:rFonts w:ascii="Arial" w:hAnsi="Arial" w:cs="Arial"/>
          <w:color w:val="7B7B7B" w:themeColor="accent3" w:themeShade="BF"/>
          <w:sz w:val="22"/>
          <w:szCs w:val="22"/>
          <w:lang w:val="en-GB"/>
        </w:rPr>
        <w:footnoteReference w:id="49"/>
      </w:r>
      <w:r w:rsidR="00855E71">
        <w:rPr>
          <w:rFonts w:ascii="Arial" w:hAnsi="Arial" w:cs="Arial"/>
          <w:color w:val="7B7B7B" w:themeColor="accent3" w:themeShade="BF"/>
          <w:sz w:val="22"/>
          <w:szCs w:val="22"/>
          <w:lang w:val="en-GB"/>
        </w:rPr>
        <w:t xml:space="preserve"> </w:t>
      </w:r>
    </w:p>
    <w:p w14:paraId="44459F57" w14:textId="52389455" w:rsidR="0077737E" w:rsidRDefault="0077737E" w:rsidP="0077737E">
      <w:pPr>
        <w:autoSpaceDE w:val="0"/>
        <w:autoSpaceDN w:val="0"/>
        <w:adjustRightInd w:val="0"/>
        <w:jc w:val="both"/>
        <w:rPr>
          <w:rFonts w:ascii="Arial" w:hAnsi="Arial" w:cs="Arial"/>
          <w:color w:val="7B7B7B" w:themeColor="accent3" w:themeShade="BF"/>
          <w:sz w:val="22"/>
          <w:szCs w:val="22"/>
          <w:lang w:val="en-GB"/>
        </w:rPr>
      </w:pPr>
    </w:p>
    <w:p w14:paraId="5F9F734B" w14:textId="461D4919" w:rsidR="00346A9D" w:rsidRDefault="00346A9D" w:rsidP="0077737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Even prior to the determination of the recognition application, the court has the power to grant the following interim measures; </w:t>
      </w:r>
    </w:p>
    <w:p w14:paraId="659E9533" w14:textId="6D95623E" w:rsidR="005823B3" w:rsidRDefault="005823B3" w:rsidP="005823B3">
      <w:pPr>
        <w:pStyle w:val="ListParagraph"/>
        <w:numPr>
          <w:ilvl w:val="0"/>
          <w:numId w:val="3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Staying execution against UFO Limited assets in Kenya;</w:t>
      </w:r>
    </w:p>
    <w:p w14:paraId="16E6C8B5" w14:textId="553857BF" w:rsidR="005823B3" w:rsidRDefault="005823B3" w:rsidP="005823B3">
      <w:pPr>
        <w:pStyle w:val="ListParagraph"/>
        <w:numPr>
          <w:ilvl w:val="0"/>
          <w:numId w:val="3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Entrusting the administration or realisation of all or part of UFO Limited assets located in Kenya to Mr. X or another person designated by the court, in order to protect and preserve the value of assets that by their nature or because of other circumstances, are perishable, susceptible to devaluation or otherwise in jeopardy;</w:t>
      </w:r>
    </w:p>
    <w:p w14:paraId="2E8C3E22" w14:textId="02B5E023" w:rsidR="005823B3" w:rsidRDefault="005823B3" w:rsidP="005823B3">
      <w:pPr>
        <w:pStyle w:val="ListParagraph"/>
        <w:numPr>
          <w:ilvl w:val="0"/>
          <w:numId w:val="3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Suspending the right to transfer, encumber, or otherwise dispose of any assets of UFO Limited; or </w:t>
      </w:r>
    </w:p>
    <w:p w14:paraId="16646081" w14:textId="319E88AC" w:rsidR="005823B3" w:rsidRDefault="005823B3" w:rsidP="005823B3">
      <w:pPr>
        <w:pStyle w:val="ListParagraph"/>
        <w:numPr>
          <w:ilvl w:val="0"/>
          <w:numId w:val="3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Providing for the examination of witnesses, the taking of evidence, or the delivery of information concerning UFO Limited assets, financial affairs, rights, obligations or liabilities.</w:t>
      </w:r>
      <w:r>
        <w:rPr>
          <w:rStyle w:val="FootnoteReference"/>
          <w:rFonts w:ascii="Arial" w:hAnsi="Arial" w:cs="Arial"/>
          <w:color w:val="7B7B7B" w:themeColor="accent3" w:themeShade="BF"/>
          <w:sz w:val="22"/>
          <w:szCs w:val="22"/>
          <w:lang w:val="en-GB"/>
        </w:rPr>
        <w:footnoteReference w:id="50"/>
      </w:r>
      <w:r>
        <w:rPr>
          <w:rFonts w:ascii="Arial" w:hAnsi="Arial" w:cs="Arial"/>
          <w:color w:val="7B7B7B" w:themeColor="accent3" w:themeShade="BF"/>
          <w:sz w:val="22"/>
          <w:szCs w:val="22"/>
          <w:lang w:val="en-GB"/>
        </w:rPr>
        <w:t xml:space="preserve"> </w:t>
      </w:r>
    </w:p>
    <w:p w14:paraId="29EDEA5B" w14:textId="51880A91" w:rsidR="005823B3" w:rsidRDefault="005823B3" w:rsidP="005823B3">
      <w:pPr>
        <w:autoSpaceDE w:val="0"/>
        <w:autoSpaceDN w:val="0"/>
        <w:adjustRightInd w:val="0"/>
        <w:jc w:val="both"/>
        <w:rPr>
          <w:rFonts w:ascii="Arial" w:hAnsi="Arial" w:cs="Arial"/>
          <w:color w:val="7B7B7B" w:themeColor="accent3" w:themeShade="BF"/>
          <w:sz w:val="22"/>
          <w:szCs w:val="22"/>
          <w:lang w:val="en-GB"/>
        </w:rPr>
      </w:pPr>
    </w:p>
    <w:p w14:paraId="0DF7030C" w14:textId="3B1F2AFF" w:rsidR="004B1559" w:rsidRDefault="005823B3">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In conclusion, the above process set out under the Insolvency Act of Kenya is how Mr. X can proceed with the realisation of UFO Limited’s assets in Kenya based on the relevant facts.</w:t>
      </w:r>
      <w:r w:rsidR="000E6C37">
        <w:rPr>
          <w:rFonts w:ascii="Arial" w:hAnsi="Arial" w:cs="Arial"/>
          <w:color w:val="7B7B7B" w:themeColor="accent3" w:themeShade="BF"/>
          <w:sz w:val="22"/>
          <w:szCs w:val="22"/>
          <w:lang w:val="en-GB"/>
        </w:rPr>
        <w:t>]</w:t>
      </w:r>
      <w:bookmarkEnd w:id="0"/>
    </w:p>
    <w:p w14:paraId="583C9423" w14:textId="77777777" w:rsidR="004B1559" w:rsidRDefault="004B1559">
      <w:pPr>
        <w:jc w:val="both"/>
        <w:rPr>
          <w:rFonts w:ascii="Arial" w:hAnsi="Arial" w:cs="Arial"/>
          <w:color w:val="000000" w:themeColor="text1"/>
          <w:sz w:val="22"/>
          <w:szCs w:val="22"/>
          <w:lang w:val="en-GB"/>
        </w:rPr>
      </w:pPr>
    </w:p>
    <w:p w14:paraId="270BE612" w14:textId="77777777" w:rsidR="004B1559" w:rsidRDefault="004B1559">
      <w:pPr>
        <w:jc w:val="both"/>
        <w:rPr>
          <w:rFonts w:ascii="Arial" w:hAnsi="Arial" w:cs="Arial"/>
          <w:color w:val="000000" w:themeColor="text1"/>
          <w:sz w:val="22"/>
          <w:szCs w:val="22"/>
          <w:lang w:val="en-GB"/>
        </w:rPr>
      </w:pPr>
    </w:p>
    <w:p w14:paraId="0E8614D6" w14:textId="77777777" w:rsidR="004B1559" w:rsidRDefault="004B1559">
      <w:pPr>
        <w:jc w:val="both"/>
        <w:rPr>
          <w:rFonts w:ascii="Arial" w:hAnsi="Arial" w:cs="Arial"/>
          <w:color w:val="000000" w:themeColor="text1"/>
          <w:sz w:val="22"/>
          <w:szCs w:val="22"/>
          <w:lang w:val="en-GB"/>
        </w:rPr>
      </w:pPr>
    </w:p>
    <w:p w14:paraId="48DA167B" w14:textId="77777777" w:rsidR="004B1559" w:rsidRDefault="000E6C37">
      <w:pPr>
        <w:jc w:val="center"/>
        <w:rPr>
          <w:rFonts w:ascii="Arial" w:hAnsi="Arial" w:cs="Arial"/>
          <w:b/>
          <w:bCs/>
          <w:sz w:val="22"/>
          <w:szCs w:val="22"/>
          <w:lang w:val="en-GB"/>
        </w:rPr>
      </w:pPr>
      <w:r>
        <w:rPr>
          <w:rFonts w:ascii="Arial" w:hAnsi="Arial" w:cs="Arial"/>
          <w:b/>
          <w:bCs/>
          <w:sz w:val="22"/>
          <w:szCs w:val="22"/>
          <w:lang w:val="en-GB"/>
        </w:rPr>
        <w:t>* End of Assessment *</w:t>
      </w:r>
    </w:p>
    <w:sectPr w:rsidR="004B1559">
      <w:footerReference w:type="even" r:id="rId9"/>
      <w:footerReference w:type="default" r:id="rId10"/>
      <w:pgSz w:w="11906" w:h="16838"/>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EFAB8" w14:textId="77777777" w:rsidR="003055EF" w:rsidRDefault="003055EF">
      <w:r>
        <w:separator/>
      </w:r>
    </w:p>
  </w:endnote>
  <w:endnote w:type="continuationSeparator" w:id="0">
    <w:p w14:paraId="32D02DC1" w14:textId="77777777" w:rsidR="003055EF" w:rsidRDefault="00305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AutoText"/>
      </w:docPartObj>
    </w:sdtPr>
    <w:sdtEndPr>
      <w:rPr>
        <w:rStyle w:val="PageNumber"/>
        <w:b w:val="0"/>
        <w:sz w:val="22"/>
        <w:szCs w:val="22"/>
      </w:rPr>
    </w:sdtEndPr>
    <w:sdtContent>
      <w:p w14:paraId="7C5B581A" w14:textId="77777777" w:rsidR="00346A9D" w:rsidRDefault="00346A9D">
        <w:pPr>
          <w:pStyle w:val="Footer"/>
          <w:framePr w:wrap="auto" w:vAnchor="text" w:hAnchor="margin" w:xAlign="right" w:y="1"/>
          <w:rPr>
            <w:rStyle w:val="PageNumber"/>
            <w:rFonts w:ascii="Arial" w:hAnsi="Arial" w:cs="Arial"/>
            <w:sz w:val="22"/>
            <w:szCs w:val="22"/>
          </w:rPr>
        </w:pPr>
        <w:r>
          <w:rPr>
            <w:rStyle w:val="PageNumber"/>
            <w:rFonts w:ascii="Arial" w:hAnsi="Arial" w:cs="Arial"/>
            <w:b/>
          </w:rPr>
          <w:t xml:space="preserve">Page </w:t>
        </w:r>
        <w:r>
          <w:rPr>
            <w:rStyle w:val="PageNumber"/>
            <w:rFonts w:ascii="Arial" w:hAnsi="Arial" w:cs="Arial"/>
            <w:b/>
            <w:sz w:val="22"/>
            <w:szCs w:val="22"/>
          </w:rPr>
          <w:fldChar w:fldCharType="begin"/>
        </w:r>
        <w:r>
          <w:rPr>
            <w:rStyle w:val="PageNumber"/>
            <w:rFonts w:ascii="Arial" w:hAnsi="Arial" w:cs="Arial"/>
            <w:b/>
            <w:sz w:val="22"/>
            <w:szCs w:val="22"/>
          </w:rPr>
          <w:instrText xml:space="preserve"> PAGE </w:instrText>
        </w:r>
        <w:r>
          <w:rPr>
            <w:rStyle w:val="PageNumber"/>
            <w:rFonts w:ascii="Arial" w:hAnsi="Arial" w:cs="Arial"/>
            <w:b/>
            <w:sz w:val="22"/>
            <w:szCs w:val="22"/>
          </w:rPr>
          <w:fldChar w:fldCharType="separate"/>
        </w:r>
        <w:r>
          <w:rPr>
            <w:rStyle w:val="PageNumber"/>
            <w:rFonts w:ascii="Arial" w:hAnsi="Arial" w:cs="Arial"/>
            <w:b/>
            <w:sz w:val="22"/>
            <w:szCs w:val="22"/>
          </w:rPr>
          <w:t>10</w:t>
        </w:r>
        <w:r>
          <w:rPr>
            <w:rStyle w:val="PageNumber"/>
            <w:rFonts w:ascii="Arial" w:hAnsi="Arial" w:cs="Arial"/>
            <w:b/>
            <w:sz w:val="22"/>
            <w:szCs w:val="22"/>
          </w:rPr>
          <w:fldChar w:fldCharType="end"/>
        </w:r>
      </w:p>
    </w:sdtContent>
  </w:sdt>
  <w:p w14:paraId="574FC5AB" w14:textId="77777777" w:rsidR="00346A9D" w:rsidRDefault="00346A9D">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AutoText"/>
      </w:docPartObj>
    </w:sdtPr>
    <w:sdtEndPr>
      <w:rPr>
        <w:rStyle w:val="PageNumber"/>
        <w:b w:val="0"/>
        <w:bCs w:val="0"/>
      </w:rPr>
    </w:sdtEndPr>
    <w:sdtContent>
      <w:p w14:paraId="1F05A512" w14:textId="77777777" w:rsidR="00346A9D" w:rsidRDefault="00346A9D">
        <w:pPr>
          <w:pStyle w:val="Footer"/>
          <w:framePr w:wrap="auto" w:vAnchor="text" w:hAnchor="margin" w:xAlign="right" w:y="1"/>
          <w:rPr>
            <w:rStyle w:val="PageNumber"/>
            <w:rFonts w:ascii="Arial" w:hAnsi="Arial" w:cs="Arial"/>
            <w:sz w:val="18"/>
            <w:szCs w:val="18"/>
          </w:rPr>
        </w:pPr>
        <w:r>
          <w:rPr>
            <w:rStyle w:val="PageNumber"/>
            <w:rFonts w:ascii="Arial" w:hAnsi="Arial" w:cs="Arial"/>
            <w:b/>
            <w:bCs/>
            <w:sz w:val="18"/>
            <w:szCs w:val="18"/>
          </w:rPr>
          <w:t xml:space="preserve">Page </w:t>
        </w:r>
        <w:r>
          <w:rPr>
            <w:rStyle w:val="PageNumber"/>
            <w:rFonts w:ascii="Arial" w:hAnsi="Arial" w:cs="Arial"/>
            <w:b/>
            <w:bCs/>
            <w:sz w:val="18"/>
            <w:szCs w:val="18"/>
          </w:rPr>
          <w:fldChar w:fldCharType="begin"/>
        </w:r>
        <w:r>
          <w:rPr>
            <w:rStyle w:val="PageNumber"/>
            <w:rFonts w:ascii="Arial" w:hAnsi="Arial" w:cs="Arial"/>
            <w:b/>
            <w:bCs/>
            <w:sz w:val="18"/>
            <w:szCs w:val="18"/>
          </w:rPr>
          <w:instrText xml:space="preserve"> PAGE </w:instrText>
        </w:r>
        <w:r>
          <w:rPr>
            <w:rStyle w:val="PageNumber"/>
            <w:rFonts w:ascii="Arial" w:hAnsi="Arial" w:cs="Arial"/>
            <w:b/>
            <w:bCs/>
            <w:sz w:val="18"/>
            <w:szCs w:val="18"/>
          </w:rPr>
          <w:fldChar w:fldCharType="separate"/>
        </w:r>
        <w:r>
          <w:rPr>
            <w:rStyle w:val="PageNumber"/>
            <w:rFonts w:ascii="Arial" w:hAnsi="Arial" w:cs="Arial"/>
            <w:b/>
            <w:bCs/>
            <w:sz w:val="18"/>
            <w:szCs w:val="18"/>
          </w:rPr>
          <w:t>2</w:t>
        </w:r>
        <w:r>
          <w:rPr>
            <w:rStyle w:val="PageNumber"/>
            <w:rFonts w:ascii="Arial" w:hAnsi="Arial" w:cs="Arial"/>
            <w:b/>
            <w:bCs/>
            <w:sz w:val="18"/>
            <w:szCs w:val="18"/>
          </w:rPr>
          <w:fldChar w:fldCharType="end"/>
        </w:r>
      </w:p>
    </w:sdtContent>
  </w:sdt>
  <w:p w14:paraId="369A68D9" w14:textId="77777777" w:rsidR="00346A9D" w:rsidRDefault="00346A9D">
    <w:pPr>
      <w:pStyle w:val="Footer"/>
      <w:ind w:right="360"/>
      <w:rPr>
        <w:rFonts w:ascii="Arial" w:hAnsi="Arial" w:cs="Arial"/>
        <w:sz w:val="18"/>
        <w:szCs w:val="18"/>
        <w:lang w:val="en-GB"/>
      </w:rPr>
    </w:pPr>
    <w:r>
      <w:rPr>
        <w:rFonts w:ascii="Arial" w:hAnsi="Arial" w:cs="Arial"/>
        <w:sz w:val="18"/>
        <w:szCs w:val="18"/>
        <w:lang w:val="en-GB"/>
      </w:rPr>
      <w:t>202122-365.assessment7B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8F0A3" w14:textId="77777777" w:rsidR="003055EF" w:rsidRDefault="003055EF">
      <w:r>
        <w:separator/>
      </w:r>
    </w:p>
  </w:footnote>
  <w:footnote w:type="continuationSeparator" w:id="0">
    <w:p w14:paraId="61E79D26" w14:textId="77777777" w:rsidR="003055EF" w:rsidRDefault="003055EF">
      <w:r>
        <w:continuationSeparator/>
      </w:r>
    </w:p>
  </w:footnote>
  <w:footnote w:id="1">
    <w:p w14:paraId="59D01B8D" w14:textId="55F5D11A" w:rsidR="00346A9D" w:rsidRPr="009809F1" w:rsidRDefault="00346A9D">
      <w:pPr>
        <w:pStyle w:val="FootnoteText"/>
        <w:rPr>
          <w:lang w:val="en-GB"/>
        </w:rPr>
      </w:pPr>
      <w:r>
        <w:rPr>
          <w:rStyle w:val="FootnoteReference"/>
        </w:rPr>
        <w:footnoteRef/>
      </w:r>
      <w:r>
        <w:t xml:space="preserve"> </w:t>
      </w:r>
      <w:r>
        <w:rPr>
          <w:lang w:val="en-GB"/>
        </w:rPr>
        <w:t>See, Kenya Insolvency Act, 2015, s226(2)(a)-(c)</w:t>
      </w:r>
    </w:p>
  </w:footnote>
  <w:footnote w:id="2">
    <w:p w14:paraId="01B3F6F0" w14:textId="64A8C3E9" w:rsidR="00346A9D" w:rsidRPr="00964532" w:rsidRDefault="00346A9D">
      <w:pPr>
        <w:pStyle w:val="FootnoteText"/>
        <w:rPr>
          <w:lang w:val="en-GB"/>
        </w:rPr>
      </w:pPr>
      <w:r>
        <w:rPr>
          <w:rStyle w:val="FootnoteReference"/>
        </w:rPr>
        <w:footnoteRef/>
      </w:r>
      <w:r>
        <w:t xml:space="preserve"> </w:t>
      </w:r>
      <w:r>
        <w:rPr>
          <w:lang w:val="en-GB"/>
        </w:rPr>
        <w:t>See, ibid, s226(3).</w:t>
      </w:r>
    </w:p>
  </w:footnote>
  <w:footnote w:id="3">
    <w:p w14:paraId="5AC3F0ED" w14:textId="034117D0" w:rsidR="00346A9D" w:rsidRPr="00562736" w:rsidRDefault="00346A9D">
      <w:pPr>
        <w:pStyle w:val="FootnoteText"/>
        <w:rPr>
          <w:lang w:val="en-GB"/>
        </w:rPr>
      </w:pPr>
      <w:r>
        <w:rPr>
          <w:rStyle w:val="FootnoteReference"/>
        </w:rPr>
        <w:footnoteRef/>
      </w:r>
      <w:r>
        <w:t xml:space="preserve"> </w:t>
      </w:r>
      <w:r>
        <w:rPr>
          <w:lang w:val="en-GB"/>
        </w:rPr>
        <w:t>Ibid, s228(3).</w:t>
      </w:r>
    </w:p>
  </w:footnote>
  <w:footnote w:id="4">
    <w:p w14:paraId="2E125E27" w14:textId="345969AF" w:rsidR="00346A9D" w:rsidRPr="00D26267" w:rsidRDefault="00346A9D">
      <w:pPr>
        <w:pStyle w:val="FootnoteText"/>
        <w:rPr>
          <w:lang w:val="en-GB"/>
        </w:rPr>
      </w:pPr>
      <w:r>
        <w:rPr>
          <w:rStyle w:val="FootnoteReference"/>
        </w:rPr>
        <w:footnoteRef/>
      </w:r>
      <w:r>
        <w:t xml:space="preserve"> </w:t>
      </w:r>
      <w:r>
        <w:rPr>
          <w:lang w:val="en-GB"/>
        </w:rPr>
        <w:t xml:space="preserve">See, Module 7B, Guidance Text, p12. </w:t>
      </w:r>
    </w:p>
  </w:footnote>
  <w:footnote w:id="5">
    <w:p w14:paraId="539F98F9" w14:textId="5C54B38A" w:rsidR="00346A9D" w:rsidRDefault="00346A9D">
      <w:pPr>
        <w:pStyle w:val="FootnoteText"/>
        <w:rPr>
          <w:lang w:val="en-GB"/>
        </w:rPr>
      </w:pPr>
      <w:r>
        <w:rPr>
          <w:rStyle w:val="FootnoteReference"/>
        </w:rPr>
        <w:footnoteRef/>
      </w:r>
      <w:r>
        <w:t xml:space="preserve"> </w:t>
      </w:r>
      <w:r>
        <w:rPr>
          <w:lang w:val="en-GB"/>
        </w:rPr>
        <w:t>“(1) within fourteen days after being served with the notice in accordance with section 49 (or within such extended period not exceeding sixty days as the Official Receiver may allow), the bankrupt shall lodge with the Official Receiver a statement of the bankrupt’s financial position setting out-</w:t>
      </w:r>
    </w:p>
    <w:p w14:paraId="38788E73" w14:textId="1EC1AD37" w:rsidR="00346A9D" w:rsidRDefault="00346A9D" w:rsidP="003163F5">
      <w:pPr>
        <w:pStyle w:val="FootnoteText"/>
        <w:numPr>
          <w:ilvl w:val="0"/>
          <w:numId w:val="15"/>
        </w:numPr>
        <w:rPr>
          <w:lang w:val="en-GB"/>
        </w:rPr>
      </w:pPr>
      <w:r>
        <w:rPr>
          <w:lang w:val="en-GB"/>
        </w:rPr>
        <w:t>Particulars of the bankrupt’s assets;</w:t>
      </w:r>
    </w:p>
    <w:p w14:paraId="071EDB2B" w14:textId="58BAA36A" w:rsidR="00346A9D" w:rsidRDefault="00346A9D" w:rsidP="003163F5">
      <w:pPr>
        <w:pStyle w:val="FootnoteText"/>
        <w:numPr>
          <w:ilvl w:val="0"/>
          <w:numId w:val="15"/>
        </w:numPr>
        <w:rPr>
          <w:lang w:val="en-GB"/>
        </w:rPr>
      </w:pPr>
      <w:r>
        <w:rPr>
          <w:lang w:val="en-GB"/>
        </w:rPr>
        <w:t>The bankrupt’s debts and liabilities;</w:t>
      </w:r>
    </w:p>
    <w:p w14:paraId="0B1BED35" w14:textId="06268B94" w:rsidR="00346A9D" w:rsidRDefault="00346A9D" w:rsidP="003163F5">
      <w:pPr>
        <w:pStyle w:val="FootnoteText"/>
        <w:numPr>
          <w:ilvl w:val="0"/>
          <w:numId w:val="15"/>
        </w:numPr>
        <w:rPr>
          <w:lang w:val="en-GB"/>
        </w:rPr>
      </w:pPr>
      <w:r>
        <w:rPr>
          <w:lang w:val="en-GB"/>
        </w:rPr>
        <w:t>The names, residences and occupations of the bankrupt’s creditors;</w:t>
      </w:r>
    </w:p>
    <w:p w14:paraId="0FC56FD4" w14:textId="7A6A8671" w:rsidR="00346A9D" w:rsidRDefault="00346A9D" w:rsidP="003163F5">
      <w:pPr>
        <w:pStyle w:val="FootnoteText"/>
        <w:numPr>
          <w:ilvl w:val="0"/>
          <w:numId w:val="15"/>
        </w:numPr>
        <w:rPr>
          <w:lang w:val="en-GB"/>
        </w:rPr>
      </w:pPr>
      <w:r>
        <w:rPr>
          <w:lang w:val="en-GB"/>
        </w:rPr>
        <w:t>The securities held by the bankrupt’s creditors;</w:t>
      </w:r>
    </w:p>
    <w:p w14:paraId="63B48EDD" w14:textId="45685EAF" w:rsidR="00346A9D" w:rsidRDefault="00346A9D" w:rsidP="003163F5">
      <w:pPr>
        <w:pStyle w:val="FootnoteText"/>
        <w:numPr>
          <w:ilvl w:val="0"/>
          <w:numId w:val="15"/>
        </w:numPr>
        <w:rPr>
          <w:lang w:val="en-GB"/>
        </w:rPr>
      </w:pPr>
      <w:r>
        <w:rPr>
          <w:lang w:val="en-GB"/>
        </w:rPr>
        <w:t xml:space="preserve">The dates when the securities were given; and </w:t>
      </w:r>
    </w:p>
    <w:p w14:paraId="00EF6F45" w14:textId="77777777" w:rsidR="00346A9D" w:rsidRDefault="00346A9D" w:rsidP="003163F5">
      <w:pPr>
        <w:pStyle w:val="FootnoteText"/>
        <w:numPr>
          <w:ilvl w:val="0"/>
          <w:numId w:val="15"/>
        </w:numPr>
        <w:rPr>
          <w:lang w:val="en-GB"/>
        </w:rPr>
      </w:pPr>
      <w:r>
        <w:rPr>
          <w:lang w:val="en-GB"/>
        </w:rPr>
        <w:t>Such other information as may be prescribed by the Insolvency regulations or as the bankruptcy trustee may reasonably require.</w:t>
      </w:r>
    </w:p>
    <w:p w14:paraId="50053956" w14:textId="1338B11D" w:rsidR="00346A9D" w:rsidRPr="00A441CD" w:rsidRDefault="00346A9D" w:rsidP="007B3FD8">
      <w:pPr>
        <w:pStyle w:val="FootnoteText"/>
        <w:ind w:left="360"/>
        <w:rPr>
          <w:lang w:val="en-GB"/>
        </w:rPr>
      </w:pPr>
      <w:r>
        <w:rPr>
          <w:lang w:val="en-GB"/>
        </w:rPr>
        <w:t xml:space="preserve"> </w:t>
      </w:r>
    </w:p>
  </w:footnote>
  <w:footnote w:id="6">
    <w:p w14:paraId="58375BF3" w14:textId="79483816" w:rsidR="00346A9D" w:rsidRPr="00E102BD" w:rsidRDefault="00346A9D">
      <w:pPr>
        <w:pStyle w:val="FootnoteText"/>
        <w:rPr>
          <w:lang w:val="en-GB"/>
        </w:rPr>
      </w:pPr>
      <w:r>
        <w:rPr>
          <w:rStyle w:val="FootnoteReference"/>
        </w:rPr>
        <w:footnoteRef/>
      </w:r>
      <w:r>
        <w:t xml:space="preserve"> </w:t>
      </w:r>
      <w:r>
        <w:rPr>
          <w:lang w:val="en-GB"/>
        </w:rPr>
        <w:t>See, the Act ibid, s254(1).</w:t>
      </w:r>
    </w:p>
  </w:footnote>
  <w:footnote w:id="7">
    <w:p w14:paraId="506ADF28" w14:textId="231A539D" w:rsidR="00346A9D" w:rsidRPr="009B58C7" w:rsidRDefault="00346A9D">
      <w:pPr>
        <w:pStyle w:val="FootnoteText"/>
        <w:rPr>
          <w:lang w:val="en-GB"/>
        </w:rPr>
      </w:pPr>
      <w:r>
        <w:rPr>
          <w:rStyle w:val="FootnoteReference"/>
        </w:rPr>
        <w:footnoteRef/>
      </w:r>
      <w:r>
        <w:t xml:space="preserve"> </w:t>
      </w:r>
      <w:r>
        <w:rPr>
          <w:lang w:val="en-GB"/>
        </w:rPr>
        <w:t>Section 180 of the Act relates to conduct of public examination before the court.</w:t>
      </w:r>
    </w:p>
  </w:footnote>
  <w:footnote w:id="8">
    <w:p w14:paraId="3F6A5078" w14:textId="7090139A" w:rsidR="00346A9D" w:rsidRPr="00025E05" w:rsidRDefault="00346A9D">
      <w:pPr>
        <w:pStyle w:val="FootnoteText"/>
        <w:rPr>
          <w:lang w:val="en-GB"/>
        </w:rPr>
      </w:pPr>
      <w:r>
        <w:rPr>
          <w:rStyle w:val="FootnoteReference"/>
        </w:rPr>
        <w:footnoteRef/>
      </w:r>
      <w:r>
        <w:t xml:space="preserve"> </w:t>
      </w:r>
      <w:r>
        <w:rPr>
          <w:lang w:val="en-GB"/>
        </w:rPr>
        <w:t>See, Insolvency Act ibid, s522(1).</w:t>
      </w:r>
    </w:p>
  </w:footnote>
  <w:footnote w:id="9">
    <w:p w14:paraId="16F46252" w14:textId="66650BC3" w:rsidR="00346A9D" w:rsidRPr="00F96F9E" w:rsidRDefault="00346A9D">
      <w:pPr>
        <w:pStyle w:val="FootnoteText"/>
        <w:rPr>
          <w:lang w:val="en-GB"/>
        </w:rPr>
      </w:pPr>
      <w:r>
        <w:rPr>
          <w:rStyle w:val="FootnoteReference"/>
        </w:rPr>
        <w:footnoteRef/>
      </w:r>
      <w:r>
        <w:t xml:space="preserve"> </w:t>
      </w:r>
      <w:r>
        <w:rPr>
          <w:lang w:val="en-GB"/>
        </w:rPr>
        <w:t>See, ibid, s522(3)(a)-(b).</w:t>
      </w:r>
    </w:p>
  </w:footnote>
  <w:footnote w:id="10">
    <w:p w14:paraId="1CC3B3A6" w14:textId="4B7A2906" w:rsidR="00346A9D" w:rsidRPr="005E5DD1" w:rsidRDefault="00346A9D">
      <w:pPr>
        <w:pStyle w:val="FootnoteText"/>
        <w:rPr>
          <w:lang w:val="en-GB"/>
        </w:rPr>
      </w:pPr>
      <w:r>
        <w:rPr>
          <w:rStyle w:val="FootnoteReference"/>
        </w:rPr>
        <w:footnoteRef/>
      </w:r>
      <w:r>
        <w:t xml:space="preserve"> </w:t>
      </w:r>
      <w:r>
        <w:rPr>
          <w:lang w:val="en-GB"/>
        </w:rPr>
        <w:t>Ibid, s522(4)(a) and (b).</w:t>
      </w:r>
    </w:p>
  </w:footnote>
  <w:footnote w:id="11">
    <w:p w14:paraId="6A3DBC12" w14:textId="36EF7834" w:rsidR="00346A9D" w:rsidRPr="006B1CAA" w:rsidRDefault="00346A9D">
      <w:pPr>
        <w:pStyle w:val="FootnoteText"/>
        <w:rPr>
          <w:lang w:val="en-GB"/>
        </w:rPr>
      </w:pPr>
      <w:r>
        <w:rPr>
          <w:rStyle w:val="FootnoteReference"/>
        </w:rPr>
        <w:footnoteRef/>
      </w:r>
      <w:r>
        <w:t xml:space="preserve"> Ibid, s534(1).</w:t>
      </w:r>
    </w:p>
  </w:footnote>
  <w:footnote w:id="12">
    <w:p w14:paraId="7673B577" w14:textId="3AEC10A2" w:rsidR="00346A9D" w:rsidRPr="005E669D" w:rsidRDefault="00346A9D">
      <w:pPr>
        <w:pStyle w:val="FootnoteText"/>
        <w:rPr>
          <w:lang w:val="en-GB"/>
        </w:rPr>
      </w:pPr>
      <w:r>
        <w:rPr>
          <w:rStyle w:val="FootnoteReference"/>
        </w:rPr>
        <w:footnoteRef/>
      </w:r>
      <w:r>
        <w:t xml:space="preserve"> </w:t>
      </w:r>
      <w:r>
        <w:rPr>
          <w:lang w:val="en-GB"/>
        </w:rPr>
        <w:t>Ibid, s534(2).</w:t>
      </w:r>
    </w:p>
  </w:footnote>
  <w:footnote w:id="13">
    <w:p w14:paraId="4CD9DA9A" w14:textId="77F55ECE" w:rsidR="00346A9D" w:rsidRPr="00EE4D5E" w:rsidRDefault="00346A9D">
      <w:pPr>
        <w:pStyle w:val="FootnoteText"/>
        <w:rPr>
          <w:lang w:val="en-GB"/>
        </w:rPr>
      </w:pPr>
      <w:r>
        <w:rPr>
          <w:rStyle w:val="FootnoteReference"/>
        </w:rPr>
        <w:footnoteRef/>
      </w:r>
      <w:r>
        <w:t xml:space="preserve"> </w:t>
      </w:r>
      <w:r>
        <w:rPr>
          <w:lang w:val="en-GB"/>
        </w:rPr>
        <w:t>Ibid, s534(3).</w:t>
      </w:r>
    </w:p>
  </w:footnote>
  <w:footnote w:id="14">
    <w:p w14:paraId="6631E0A6" w14:textId="1C0B2CA2" w:rsidR="00346A9D" w:rsidRPr="00EE4D5E" w:rsidRDefault="00346A9D">
      <w:pPr>
        <w:pStyle w:val="FootnoteText"/>
        <w:rPr>
          <w:lang w:val="en-GB"/>
        </w:rPr>
      </w:pPr>
      <w:r>
        <w:rPr>
          <w:rStyle w:val="FootnoteReference"/>
        </w:rPr>
        <w:footnoteRef/>
      </w:r>
      <w:r>
        <w:t xml:space="preserve"> </w:t>
      </w:r>
      <w:r>
        <w:rPr>
          <w:lang w:val="en-GB"/>
        </w:rPr>
        <w:t xml:space="preserve">Ibid, s535(1). </w:t>
      </w:r>
    </w:p>
  </w:footnote>
  <w:footnote w:id="15">
    <w:p w14:paraId="563ACC2A" w14:textId="4E16FDDB" w:rsidR="00346A9D" w:rsidRPr="004503A1" w:rsidRDefault="00346A9D">
      <w:pPr>
        <w:pStyle w:val="FootnoteText"/>
        <w:rPr>
          <w:lang w:val="en-GB"/>
        </w:rPr>
      </w:pPr>
      <w:r>
        <w:rPr>
          <w:rStyle w:val="FootnoteReference"/>
        </w:rPr>
        <w:footnoteRef/>
      </w:r>
      <w:r>
        <w:t xml:space="preserve"> </w:t>
      </w:r>
      <w:r>
        <w:rPr>
          <w:lang w:val="en-GB"/>
        </w:rPr>
        <w:t>[Act N0. 13 of 2017, Sch.]. See ibid, s535(2).</w:t>
      </w:r>
    </w:p>
  </w:footnote>
  <w:footnote w:id="16">
    <w:p w14:paraId="5DF9F3FD" w14:textId="188CD97F" w:rsidR="00346A9D" w:rsidRPr="004503A1" w:rsidRDefault="00346A9D">
      <w:pPr>
        <w:pStyle w:val="FootnoteText"/>
        <w:rPr>
          <w:lang w:val="en-GB"/>
        </w:rPr>
      </w:pPr>
      <w:r>
        <w:rPr>
          <w:rStyle w:val="FootnoteReference"/>
        </w:rPr>
        <w:footnoteRef/>
      </w:r>
      <w:r>
        <w:t xml:space="preserve"> </w:t>
      </w:r>
      <w:r>
        <w:rPr>
          <w:lang w:val="en-GB"/>
        </w:rPr>
        <w:t>Ibid, s536.</w:t>
      </w:r>
    </w:p>
  </w:footnote>
  <w:footnote w:id="17">
    <w:p w14:paraId="30374C9B" w14:textId="30FDC093" w:rsidR="00346A9D" w:rsidRPr="0016110C" w:rsidRDefault="00346A9D">
      <w:pPr>
        <w:pStyle w:val="FootnoteText"/>
        <w:rPr>
          <w:lang w:val="en-GB"/>
        </w:rPr>
      </w:pPr>
      <w:r>
        <w:rPr>
          <w:rStyle w:val="FootnoteReference"/>
        </w:rPr>
        <w:footnoteRef/>
      </w:r>
      <w:r>
        <w:t xml:space="preserve"> </w:t>
      </w:r>
      <w:r>
        <w:rPr>
          <w:lang w:val="en-GB"/>
        </w:rPr>
        <w:t>Ibid, s537(1).</w:t>
      </w:r>
    </w:p>
  </w:footnote>
  <w:footnote w:id="18">
    <w:p w14:paraId="13A85F2F" w14:textId="4D7EFC4B" w:rsidR="00346A9D" w:rsidRPr="00645C6D" w:rsidRDefault="00346A9D">
      <w:pPr>
        <w:pStyle w:val="FootnoteText"/>
        <w:rPr>
          <w:lang w:val="en-GB"/>
        </w:rPr>
      </w:pPr>
      <w:r>
        <w:rPr>
          <w:rStyle w:val="FootnoteReference"/>
        </w:rPr>
        <w:footnoteRef/>
      </w:r>
      <w:r>
        <w:t xml:space="preserve"> </w:t>
      </w:r>
      <w:r>
        <w:rPr>
          <w:lang w:val="en-GB"/>
        </w:rPr>
        <w:t>Ibid, s537(2). See also Form 35 Insolvency Regulation.</w:t>
      </w:r>
    </w:p>
  </w:footnote>
  <w:footnote w:id="19">
    <w:p w14:paraId="08BBE959" w14:textId="38883544" w:rsidR="00346A9D" w:rsidRPr="00F224F3" w:rsidRDefault="00346A9D">
      <w:pPr>
        <w:pStyle w:val="FootnoteText"/>
        <w:rPr>
          <w:lang w:val="en-GB"/>
        </w:rPr>
      </w:pPr>
      <w:r>
        <w:rPr>
          <w:rStyle w:val="FootnoteReference"/>
        </w:rPr>
        <w:footnoteRef/>
      </w:r>
      <w:r>
        <w:t xml:space="preserve"> </w:t>
      </w:r>
      <w:r>
        <w:rPr>
          <w:lang w:val="en-GB"/>
        </w:rPr>
        <w:t>Ibid, s537(3).</w:t>
      </w:r>
    </w:p>
  </w:footnote>
  <w:footnote w:id="20">
    <w:p w14:paraId="5989B079" w14:textId="6693D0AE" w:rsidR="00346A9D" w:rsidRPr="00191577" w:rsidRDefault="00346A9D">
      <w:pPr>
        <w:pStyle w:val="FootnoteText"/>
        <w:rPr>
          <w:lang w:val="en-GB"/>
        </w:rPr>
      </w:pPr>
      <w:r>
        <w:rPr>
          <w:rStyle w:val="FootnoteReference"/>
        </w:rPr>
        <w:footnoteRef/>
      </w:r>
      <w:r>
        <w:t xml:space="preserve"> </w:t>
      </w:r>
      <w:r>
        <w:rPr>
          <w:lang w:val="en-GB"/>
        </w:rPr>
        <w:t>Ibid, s539.</w:t>
      </w:r>
    </w:p>
  </w:footnote>
  <w:footnote w:id="21">
    <w:p w14:paraId="5BC815E1" w14:textId="23C38FDC" w:rsidR="00346A9D" w:rsidRPr="00191577" w:rsidRDefault="00346A9D">
      <w:pPr>
        <w:pStyle w:val="FootnoteText"/>
        <w:rPr>
          <w:lang w:val="en-GB"/>
        </w:rPr>
      </w:pPr>
      <w:r>
        <w:rPr>
          <w:rStyle w:val="FootnoteReference"/>
        </w:rPr>
        <w:footnoteRef/>
      </w:r>
      <w:r>
        <w:t xml:space="preserve"> </w:t>
      </w:r>
      <w:r>
        <w:rPr>
          <w:lang w:val="en-GB"/>
        </w:rPr>
        <w:t>Ibid, s539(2).</w:t>
      </w:r>
    </w:p>
  </w:footnote>
  <w:footnote w:id="22">
    <w:p w14:paraId="3F336EED" w14:textId="3A47D478" w:rsidR="00346A9D" w:rsidRPr="0029636F" w:rsidRDefault="00346A9D">
      <w:pPr>
        <w:pStyle w:val="FootnoteText"/>
        <w:rPr>
          <w:lang w:val="en-GB"/>
        </w:rPr>
      </w:pPr>
      <w:r>
        <w:rPr>
          <w:rStyle w:val="FootnoteReference"/>
        </w:rPr>
        <w:footnoteRef/>
      </w:r>
      <w:r>
        <w:t xml:space="preserve"> </w:t>
      </w:r>
      <w:r>
        <w:rPr>
          <w:lang w:val="en-GB"/>
        </w:rPr>
        <w:t>Ibid, s540(2).</w:t>
      </w:r>
    </w:p>
  </w:footnote>
  <w:footnote w:id="23">
    <w:p w14:paraId="706003B5" w14:textId="34487F80" w:rsidR="00346A9D" w:rsidRPr="005A3FDE" w:rsidRDefault="00346A9D">
      <w:pPr>
        <w:pStyle w:val="FootnoteText"/>
        <w:rPr>
          <w:lang w:val="en-GB"/>
        </w:rPr>
      </w:pPr>
      <w:r>
        <w:rPr>
          <w:rStyle w:val="FootnoteReference"/>
        </w:rPr>
        <w:footnoteRef/>
      </w:r>
      <w:r>
        <w:t xml:space="preserve"> </w:t>
      </w:r>
      <w:r>
        <w:rPr>
          <w:lang w:val="en-GB"/>
        </w:rPr>
        <w:t>See, Guidance Text, ibid, p36.</w:t>
      </w:r>
    </w:p>
  </w:footnote>
  <w:footnote w:id="24">
    <w:p w14:paraId="72BCC318" w14:textId="44AE1CB6" w:rsidR="00346A9D" w:rsidRPr="006C0153" w:rsidRDefault="00346A9D">
      <w:pPr>
        <w:pStyle w:val="FootnoteText"/>
        <w:rPr>
          <w:lang w:val="en-GB"/>
        </w:rPr>
      </w:pPr>
      <w:r>
        <w:rPr>
          <w:rStyle w:val="FootnoteReference"/>
        </w:rPr>
        <w:footnoteRef/>
      </w:r>
      <w:r>
        <w:t xml:space="preserve"> </w:t>
      </w:r>
      <w:r>
        <w:rPr>
          <w:lang w:val="en-GB"/>
        </w:rPr>
        <w:t>See ibid, p37</w:t>
      </w:r>
    </w:p>
  </w:footnote>
  <w:footnote w:id="25">
    <w:p w14:paraId="1DB24033" w14:textId="3B7E0836" w:rsidR="00346A9D" w:rsidRPr="002110FD" w:rsidRDefault="00346A9D">
      <w:pPr>
        <w:pStyle w:val="FootnoteText"/>
        <w:rPr>
          <w:lang w:val="en-GB"/>
        </w:rPr>
      </w:pPr>
      <w:r>
        <w:rPr>
          <w:rStyle w:val="FootnoteReference"/>
        </w:rPr>
        <w:footnoteRef/>
      </w:r>
      <w:r>
        <w:t xml:space="preserve"> </w:t>
      </w:r>
      <w:r>
        <w:rPr>
          <w:lang w:val="en-GB"/>
        </w:rPr>
        <w:t>Idem. See also Insolvency Regulations 108.</w:t>
      </w:r>
    </w:p>
  </w:footnote>
  <w:footnote w:id="26">
    <w:p w14:paraId="664119D2" w14:textId="7975DAF4" w:rsidR="00346A9D" w:rsidRPr="006F0B5D" w:rsidRDefault="00346A9D">
      <w:pPr>
        <w:pStyle w:val="FootnoteText"/>
        <w:rPr>
          <w:lang w:val="en-GB"/>
        </w:rPr>
      </w:pPr>
      <w:r>
        <w:rPr>
          <w:rStyle w:val="FootnoteReference"/>
        </w:rPr>
        <w:footnoteRef/>
      </w:r>
      <w:r>
        <w:t xml:space="preserve"> </w:t>
      </w:r>
      <w:r>
        <w:rPr>
          <w:lang w:val="en-GB"/>
        </w:rPr>
        <w:t>Idem, p37-38.</w:t>
      </w:r>
    </w:p>
  </w:footnote>
  <w:footnote w:id="27">
    <w:p w14:paraId="36C49DC9" w14:textId="08F6B2C3" w:rsidR="00346A9D" w:rsidRPr="00CD4F64" w:rsidRDefault="00346A9D">
      <w:pPr>
        <w:pStyle w:val="FootnoteText"/>
        <w:rPr>
          <w:lang w:val="en-GB"/>
        </w:rPr>
      </w:pPr>
      <w:r>
        <w:rPr>
          <w:rStyle w:val="FootnoteReference"/>
        </w:rPr>
        <w:footnoteRef/>
      </w:r>
      <w:r>
        <w:t xml:space="preserve"> </w:t>
      </w:r>
      <w:r>
        <w:rPr>
          <w:lang w:val="en-GB"/>
        </w:rPr>
        <w:t>Idem.</w:t>
      </w:r>
    </w:p>
  </w:footnote>
  <w:footnote w:id="28">
    <w:p w14:paraId="514BDB30" w14:textId="6AEBDE72" w:rsidR="00346A9D" w:rsidRPr="00D44BED" w:rsidRDefault="00346A9D">
      <w:pPr>
        <w:pStyle w:val="FootnoteText"/>
        <w:rPr>
          <w:lang w:val="en-GB"/>
        </w:rPr>
      </w:pPr>
      <w:r>
        <w:rPr>
          <w:rStyle w:val="FootnoteReference"/>
        </w:rPr>
        <w:footnoteRef/>
      </w:r>
      <w:r>
        <w:t xml:space="preserve"> </w:t>
      </w:r>
      <w:r>
        <w:rPr>
          <w:lang w:val="en-GB"/>
        </w:rPr>
        <w:t xml:space="preserve">Idem. </w:t>
      </w:r>
    </w:p>
  </w:footnote>
  <w:footnote w:id="29">
    <w:p w14:paraId="7795C812" w14:textId="437A2920" w:rsidR="00346A9D" w:rsidRPr="002E7C85" w:rsidRDefault="00346A9D">
      <w:pPr>
        <w:pStyle w:val="FootnoteText"/>
        <w:rPr>
          <w:lang w:val="en-GB"/>
        </w:rPr>
      </w:pPr>
      <w:r>
        <w:rPr>
          <w:rStyle w:val="FootnoteReference"/>
        </w:rPr>
        <w:footnoteRef/>
      </w:r>
      <w:r>
        <w:t xml:space="preserve"> </w:t>
      </w:r>
      <w:r>
        <w:rPr>
          <w:lang w:val="en-GB"/>
        </w:rPr>
        <w:t>Idem.</w:t>
      </w:r>
    </w:p>
  </w:footnote>
  <w:footnote w:id="30">
    <w:p w14:paraId="7DCAC502" w14:textId="0AF7F37A" w:rsidR="00346A9D" w:rsidRPr="00AA5AC9" w:rsidRDefault="00346A9D">
      <w:pPr>
        <w:pStyle w:val="FootnoteText"/>
        <w:rPr>
          <w:lang w:val="en-GB"/>
        </w:rPr>
      </w:pPr>
      <w:r>
        <w:rPr>
          <w:rStyle w:val="FootnoteReference"/>
        </w:rPr>
        <w:footnoteRef/>
      </w:r>
      <w:r>
        <w:t xml:space="preserve"> </w:t>
      </w:r>
      <w:r>
        <w:rPr>
          <w:lang w:val="en-GB"/>
        </w:rPr>
        <w:t>Ibid, p39.</w:t>
      </w:r>
    </w:p>
  </w:footnote>
  <w:footnote w:id="31">
    <w:p w14:paraId="07621DDA" w14:textId="51671440" w:rsidR="00346A9D" w:rsidRPr="001A2B90" w:rsidRDefault="00346A9D">
      <w:pPr>
        <w:pStyle w:val="FootnoteText"/>
        <w:rPr>
          <w:lang w:val="en-GB"/>
        </w:rPr>
      </w:pPr>
      <w:r>
        <w:rPr>
          <w:rStyle w:val="FootnoteReference"/>
        </w:rPr>
        <w:footnoteRef/>
      </w:r>
      <w:r>
        <w:t xml:space="preserve"> </w:t>
      </w:r>
      <w:r>
        <w:rPr>
          <w:lang w:val="en-GB"/>
        </w:rPr>
        <w:t>Idem. See also Insolvency Regulation 15, Third Sch.</w:t>
      </w:r>
    </w:p>
  </w:footnote>
  <w:footnote w:id="32">
    <w:p w14:paraId="5F702A6A" w14:textId="1D084781" w:rsidR="00346A9D" w:rsidRPr="005F1F23" w:rsidRDefault="00346A9D">
      <w:pPr>
        <w:pStyle w:val="FootnoteText"/>
        <w:rPr>
          <w:lang w:val="en-GB"/>
        </w:rPr>
      </w:pPr>
      <w:r>
        <w:rPr>
          <w:rStyle w:val="FootnoteReference"/>
        </w:rPr>
        <w:footnoteRef/>
      </w:r>
      <w:r>
        <w:t xml:space="preserve"> </w:t>
      </w:r>
      <w:r>
        <w:rPr>
          <w:lang w:val="en-GB"/>
        </w:rPr>
        <w:t>Idem, Regs 24 and 25, Third Sch.</w:t>
      </w:r>
    </w:p>
  </w:footnote>
  <w:footnote w:id="33">
    <w:p w14:paraId="5AA76DE8" w14:textId="3B4F3E32" w:rsidR="00346A9D" w:rsidRPr="0014144B" w:rsidRDefault="00346A9D">
      <w:pPr>
        <w:pStyle w:val="FootnoteText"/>
        <w:rPr>
          <w:lang w:val="en-GB"/>
        </w:rPr>
      </w:pPr>
      <w:r>
        <w:rPr>
          <w:rStyle w:val="FootnoteReference"/>
        </w:rPr>
        <w:footnoteRef/>
      </w:r>
      <w:r>
        <w:t xml:space="preserve"> </w:t>
      </w:r>
      <w:r>
        <w:rPr>
          <w:lang w:val="en-GB"/>
        </w:rPr>
        <w:t>Idem, Reg 30, Third Sch.</w:t>
      </w:r>
    </w:p>
  </w:footnote>
  <w:footnote w:id="34">
    <w:p w14:paraId="7D761F01" w14:textId="7D448B53" w:rsidR="00346A9D" w:rsidRPr="00F61028" w:rsidRDefault="00346A9D">
      <w:pPr>
        <w:pStyle w:val="FootnoteText"/>
        <w:rPr>
          <w:lang w:val="en-GB"/>
        </w:rPr>
      </w:pPr>
      <w:r>
        <w:rPr>
          <w:rStyle w:val="FootnoteReference"/>
        </w:rPr>
        <w:footnoteRef/>
      </w:r>
      <w:r>
        <w:t xml:space="preserve"> </w:t>
      </w:r>
      <w:r>
        <w:rPr>
          <w:lang w:val="en-GB"/>
        </w:rPr>
        <w:t>Idem.</w:t>
      </w:r>
    </w:p>
  </w:footnote>
  <w:footnote w:id="35">
    <w:p w14:paraId="43A70902" w14:textId="4DC451F0" w:rsidR="00346A9D" w:rsidRPr="003E53CD" w:rsidRDefault="00346A9D">
      <w:pPr>
        <w:pStyle w:val="FootnoteText"/>
        <w:rPr>
          <w:lang w:val="en-GB"/>
        </w:rPr>
      </w:pPr>
      <w:r>
        <w:rPr>
          <w:rStyle w:val="FootnoteReference"/>
        </w:rPr>
        <w:footnoteRef/>
      </w:r>
      <w:r>
        <w:t xml:space="preserve"> </w:t>
      </w:r>
      <w:r>
        <w:rPr>
          <w:lang w:val="en-GB"/>
        </w:rPr>
        <w:t xml:space="preserve">Idem. </w:t>
      </w:r>
    </w:p>
  </w:footnote>
  <w:footnote w:id="36">
    <w:p w14:paraId="273DAC49" w14:textId="52A6BAA8" w:rsidR="00346A9D" w:rsidRPr="00E23AD5" w:rsidRDefault="00346A9D">
      <w:pPr>
        <w:pStyle w:val="FootnoteText"/>
        <w:rPr>
          <w:lang w:val="en-GB"/>
        </w:rPr>
      </w:pPr>
      <w:r>
        <w:rPr>
          <w:rStyle w:val="FootnoteReference"/>
        </w:rPr>
        <w:footnoteRef/>
      </w:r>
      <w:r>
        <w:t xml:space="preserve"> </w:t>
      </w:r>
      <w:r>
        <w:rPr>
          <w:lang w:val="en-GB"/>
        </w:rPr>
        <w:t>See, Art. 3, Fifth Sch. Insolvency Act, 2015.</w:t>
      </w:r>
    </w:p>
  </w:footnote>
  <w:footnote w:id="37">
    <w:p w14:paraId="756CC841" w14:textId="29A5305F" w:rsidR="00346A9D" w:rsidRPr="00AD7A64" w:rsidRDefault="00346A9D">
      <w:pPr>
        <w:pStyle w:val="FootnoteText"/>
        <w:rPr>
          <w:lang w:val="en-GB"/>
        </w:rPr>
      </w:pPr>
      <w:r>
        <w:rPr>
          <w:rStyle w:val="FootnoteReference"/>
        </w:rPr>
        <w:footnoteRef/>
      </w:r>
      <w:r>
        <w:t xml:space="preserve"> </w:t>
      </w:r>
      <w:r>
        <w:rPr>
          <w:lang w:val="en-GB"/>
        </w:rPr>
        <w:t>Such a proceeding can be commenced where the foreign representative applies to the court of Kenya for recognition of the foreign proceeding in which the foreign representative has been appointed and the court recognise such proceeding. See, Articles 17 and 19 of Fifth Schedule of the Act.</w:t>
      </w:r>
    </w:p>
  </w:footnote>
  <w:footnote w:id="38">
    <w:p w14:paraId="3E21817A" w14:textId="2F04B887" w:rsidR="00346A9D" w:rsidRPr="00C73CEF" w:rsidRDefault="00346A9D">
      <w:pPr>
        <w:pStyle w:val="FootnoteText"/>
        <w:rPr>
          <w:lang w:val="en-GB"/>
        </w:rPr>
      </w:pPr>
      <w:r>
        <w:rPr>
          <w:rStyle w:val="FootnoteReference"/>
        </w:rPr>
        <w:footnoteRef/>
      </w:r>
      <w:r>
        <w:t xml:space="preserve"> </w:t>
      </w:r>
      <w:r>
        <w:rPr>
          <w:lang w:val="en-GB"/>
        </w:rPr>
        <w:t>See, Art. 17(2) and (3) of Fifth Sch. Of the Act.</w:t>
      </w:r>
    </w:p>
  </w:footnote>
  <w:footnote w:id="39">
    <w:p w14:paraId="67FB951D" w14:textId="47A31069" w:rsidR="00346A9D" w:rsidRPr="00D70926" w:rsidRDefault="00346A9D">
      <w:pPr>
        <w:pStyle w:val="FootnoteText"/>
        <w:rPr>
          <w:lang w:val="en-GB"/>
        </w:rPr>
      </w:pPr>
      <w:r>
        <w:rPr>
          <w:rStyle w:val="FootnoteReference"/>
        </w:rPr>
        <w:footnoteRef/>
      </w:r>
      <w:r>
        <w:t xml:space="preserve"> </w:t>
      </w:r>
      <w:r>
        <w:rPr>
          <w:lang w:val="en-GB"/>
        </w:rPr>
        <w:t>See, idem, Art 18(1).</w:t>
      </w:r>
    </w:p>
  </w:footnote>
  <w:footnote w:id="40">
    <w:p w14:paraId="0A21670F" w14:textId="7DA8D286" w:rsidR="00346A9D" w:rsidRPr="00B51B1C" w:rsidRDefault="00346A9D">
      <w:pPr>
        <w:pStyle w:val="FootnoteText"/>
        <w:rPr>
          <w:lang w:val="en-GB"/>
        </w:rPr>
      </w:pPr>
      <w:r>
        <w:rPr>
          <w:rStyle w:val="FootnoteReference"/>
        </w:rPr>
        <w:footnoteRef/>
      </w:r>
      <w:r>
        <w:t xml:space="preserve"> </w:t>
      </w:r>
      <w:r>
        <w:rPr>
          <w:lang w:val="en-GB"/>
        </w:rPr>
        <w:t>See, idem, Art 21.</w:t>
      </w:r>
    </w:p>
  </w:footnote>
  <w:footnote w:id="41">
    <w:p w14:paraId="31940882" w14:textId="76D942B3" w:rsidR="00346A9D" w:rsidRPr="00996776" w:rsidRDefault="00346A9D">
      <w:pPr>
        <w:pStyle w:val="FootnoteText"/>
        <w:rPr>
          <w:lang w:val="en-GB"/>
        </w:rPr>
      </w:pPr>
      <w:r>
        <w:rPr>
          <w:rStyle w:val="FootnoteReference"/>
        </w:rPr>
        <w:footnoteRef/>
      </w:r>
      <w:r>
        <w:t xml:space="preserve"> </w:t>
      </w:r>
      <w:r>
        <w:rPr>
          <w:lang w:val="en-GB"/>
        </w:rPr>
        <w:t>Idem, Art 23.</w:t>
      </w:r>
    </w:p>
  </w:footnote>
  <w:footnote w:id="42">
    <w:p w14:paraId="6AE4BD36" w14:textId="18420A41" w:rsidR="00346A9D" w:rsidRPr="00996776" w:rsidRDefault="00346A9D">
      <w:pPr>
        <w:pStyle w:val="FootnoteText"/>
        <w:rPr>
          <w:lang w:val="en-GB"/>
        </w:rPr>
      </w:pPr>
      <w:r>
        <w:rPr>
          <w:rStyle w:val="FootnoteReference"/>
        </w:rPr>
        <w:footnoteRef/>
      </w:r>
      <w:r>
        <w:t xml:space="preserve"> </w:t>
      </w:r>
      <w:r>
        <w:rPr>
          <w:lang w:val="en-GB"/>
        </w:rPr>
        <w:t>Idem, Art. 24.</w:t>
      </w:r>
    </w:p>
  </w:footnote>
  <w:footnote w:id="43">
    <w:p w14:paraId="1C196668" w14:textId="38AF6A16" w:rsidR="00346A9D" w:rsidRPr="00C75F2B" w:rsidRDefault="00346A9D">
      <w:pPr>
        <w:pStyle w:val="FootnoteText"/>
        <w:rPr>
          <w:lang w:val="en-GB"/>
        </w:rPr>
      </w:pPr>
      <w:r>
        <w:rPr>
          <w:rStyle w:val="FootnoteReference"/>
        </w:rPr>
        <w:footnoteRef/>
      </w:r>
      <w:r>
        <w:t xml:space="preserve"> </w:t>
      </w:r>
      <w:r>
        <w:rPr>
          <w:lang w:val="en-GB"/>
        </w:rPr>
        <w:t>Idem, Art 25.</w:t>
      </w:r>
    </w:p>
  </w:footnote>
  <w:footnote w:id="44">
    <w:p w14:paraId="4C0C4820" w14:textId="2B48EF8E" w:rsidR="00346A9D" w:rsidRPr="00FD1D47" w:rsidRDefault="00346A9D">
      <w:pPr>
        <w:pStyle w:val="FootnoteText"/>
        <w:rPr>
          <w:lang w:val="en-GB"/>
        </w:rPr>
      </w:pPr>
      <w:r>
        <w:rPr>
          <w:rStyle w:val="FootnoteReference"/>
        </w:rPr>
        <w:footnoteRef/>
      </w:r>
      <w:r>
        <w:t xml:space="preserve"> </w:t>
      </w:r>
      <w:r>
        <w:rPr>
          <w:lang w:val="en-GB"/>
        </w:rPr>
        <w:t>Idem, Art. 11.</w:t>
      </w:r>
    </w:p>
  </w:footnote>
  <w:footnote w:id="45">
    <w:p w14:paraId="32B19E4D" w14:textId="77BE6929" w:rsidR="00346A9D" w:rsidRPr="0028763B" w:rsidRDefault="00346A9D">
      <w:pPr>
        <w:pStyle w:val="FootnoteText"/>
        <w:rPr>
          <w:lang w:val="en-GB"/>
        </w:rPr>
      </w:pPr>
      <w:r>
        <w:rPr>
          <w:rStyle w:val="FootnoteReference"/>
        </w:rPr>
        <w:footnoteRef/>
      </w:r>
      <w:r>
        <w:t xml:space="preserve"> </w:t>
      </w:r>
      <w:r>
        <w:rPr>
          <w:lang w:val="en-GB"/>
        </w:rPr>
        <w:t>See idem, Art. 17(2) and (3).</w:t>
      </w:r>
    </w:p>
  </w:footnote>
  <w:footnote w:id="46">
    <w:p w14:paraId="732D27E0" w14:textId="365C77E4" w:rsidR="00346A9D" w:rsidRPr="001B452A" w:rsidRDefault="00346A9D">
      <w:pPr>
        <w:pStyle w:val="FootnoteText"/>
        <w:rPr>
          <w:lang w:val="en-GB"/>
        </w:rPr>
      </w:pPr>
      <w:r>
        <w:rPr>
          <w:rStyle w:val="FootnoteReference"/>
        </w:rPr>
        <w:footnoteRef/>
      </w:r>
      <w:r>
        <w:t xml:space="preserve"> </w:t>
      </w:r>
      <w:r>
        <w:rPr>
          <w:lang w:val="en-GB"/>
        </w:rPr>
        <w:t>Idem, Art 18(1).</w:t>
      </w:r>
    </w:p>
  </w:footnote>
  <w:footnote w:id="47">
    <w:p w14:paraId="09793FB0" w14:textId="07085027" w:rsidR="00346A9D" w:rsidRPr="00A64D2D" w:rsidRDefault="00346A9D">
      <w:pPr>
        <w:pStyle w:val="FootnoteText"/>
        <w:rPr>
          <w:lang w:val="en-GB"/>
        </w:rPr>
      </w:pPr>
      <w:r>
        <w:rPr>
          <w:rStyle w:val="FootnoteReference"/>
        </w:rPr>
        <w:footnoteRef/>
      </w:r>
      <w:r>
        <w:t xml:space="preserve"> </w:t>
      </w:r>
      <w:r>
        <w:rPr>
          <w:lang w:val="en-GB"/>
        </w:rPr>
        <w:t>Idem, Art. 23.</w:t>
      </w:r>
    </w:p>
  </w:footnote>
  <w:footnote w:id="48">
    <w:p w14:paraId="6F3E4F76" w14:textId="1C3CBE0E" w:rsidR="00346A9D" w:rsidRPr="00346A9D" w:rsidRDefault="00346A9D">
      <w:pPr>
        <w:pStyle w:val="FootnoteText"/>
        <w:rPr>
          <w:lang w:val="en-GB"/>
        </w:rPr>
      </w:pPr>
      <w:r>
        <w:rPr>
          <w:rStyle w:val="FootnoteReference"/>
        </w:rPr>
        <w:footnoteRef/>
      </w:r>
      <w:r>
        <w:t xml:space="preserve"> </w:t>
      </w:r>
      <w:r>
        <w:rPr>
          <w:lang w:val="en-GB"/>
        </w:rPr>
        <w:t>Idem, Art. 24.</w:t>
      </w:r>
    </w:p>
  </w:footnote>
  <w:footnote w:id="49">
    <w:p w14:paraId="22B18B56" w14:textId="562E8887" w:rsidR="00346A9D" w:rsidRPr="00855E71" w:rsidRDefault="00346A9D">
      <w:pPr>
        <w:pStyle w:val="FootnoteText"/>
        <w:rPr>
          <w:lang w:val="en-GB"/>
        </w:rPr>
      </w:pPr>
      <w:r>
        <w:rPr>
          <w:rStyle w:val="FootnoteReference"/>
        </w:rPr>
        <w:footnoteRef/>
      </w:r>
      <w:r>
        <w:t xml:space="preserve"> Idem, Art. 25.</w:t>
      </w:r>
    </w:p>
  </w:footnote>
  <w:footnote w:id="50">
    <w:p w14:paraId="0A58A74A" w14:textId="79B86242" w:rsidR="005823B3" w:rsidRPr="005823B3" w:rsidRDefault="005823B3">
      <w:pPr>
        <w:pStyle w:val="FootnoteText"/>
        <w:rPr>
          <w:lang w:val="en-GB"/>
        </w:rPr>
      </w:pPr>
      <w:r>
        <w:rPr>
          <w:rStyle w:val="FootnoteReference"/>
        </w:rPr>
        <w:footnoteRef/>
      </w:r>
      <w:r>
        <w:t xml:space="preserve"> </w:t>
      </w:r>
      <w:r>
        <w:rPr>
          <w:lang w:val="en-GB"/>
        </w:rPr>
        <w:t>Idem, Art. 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275B"/>
    <w:multiLevelType w:val="hybridMultilevel"/>
    <w:tmpl w:val="65C0F7B6"/>
    <w:lvl w:ilvl="0" w:tplc="A98E4F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C3953"/>
    <w:multiLevelType w:val="hybridMultilevel"/>
    <w:tmpl w:val="8EEC826C"/>
    <w:lvl w:ilvl="0" w:tplc="F1FCD4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A19B3"/>
    <w:multiLevelType w:val="multilevel"/>
    <w:tmpl w:val="067A19B3"/>
    <w:lvl w:ilvl="0">
      <w:start w:val="1"/>
      <w:numFmt w:val="lowerLetter"/>
      <w:lvlText w:val="(%1)"/>
      <w:lvlJc w:val="left"/>
      <w:pPr>
        <w:ind w:left="862" w:hanging="360"/>
      </w:pPr>
      <w:rPr>
        <w:rFonts w:hint="default"/>
        <w:i w:val="0"/>
        <w:iCs/>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 w15:restartNumberingAfterBreak="0">
    <w:nsid w:val="0CEE304B"/>
    <w:multiLevelType w:val="multilevel"/>
    <w:tmpl w:val="0CEE304B"/>
    <w:lvl w:ilvl="0">
      <w:start w:val="1"/>
      <w:numFmt w:val="lowerLetter"/>
      <w:lvlText w:val="(%1)"/>
      <w:lvlJc w:val="left"/>
      <w:pPr>
        <w:ind w:left="862" w:hanging="360"/>
      </w:pPr>
      <w:rPr>
        <w:rFonts w:hint="default"/>
        <w:i w:val="0"/>
        <w:iCs/>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 w15:restartNumberingAfterBreak="0">
    <w:nsid w:val="110A4F38"/>
    <w:multiLevelType w:val="hybridMultilevel"/>
    <w:tmpl w:val="5D840A36"/>
    <w:lvl w:ilvl="0" w:tplc="7CAC3A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AA6C65"/>
    <w:multiLevelType w:val="hybridMultilevel"/>
    <w:tmpl w:val="5D48E61A"/>
    <w:lvl w:ilvl="0" w:tplc="AE5693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8942A5A"/>
    <w:multiLevelType w:val="multilevel"/>
    <w:tmpl w:val="18942A5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2C33F8"/>
    <w:multiLevelType w:val="multilevel"/>
    <w:tmpl w:val="1A2C33F8"/>
    <w:lvl w:ilvl="0">
      <w:start w:val="1"/>
      <w:numFmt w:val="lowerLetter"/>
      <w:lvlText w:val="(%1)"/>
      <w:lvlJc w:val="left"/>
      <w:pPr>
        <w:ind w:left="862" w:hanging="360"/>
      </w:pPr>
      <w:rPr>
        <w:rFonts w:hint="default"/>
        <w:i w:val="0"/>
        <w:iCs/>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8" w15:restartNumberingAfterBreak="0">
    <w:nsid w:val="1C2B4A48"/>
    <w:multiLevelType w:val="hybridMultilevel"/>
    <w:tmpl w:val="CBE480B8"/>
    <w:lvl w:ilvl="0" w:tplc="02C6A5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E63ED2"/>
    <w:multiLevelType w:val="hybridMultilevel"/>
    <w:tmpl w:val="D7E4C332"/>
    <w:lvl w:ilvl="0" w:tplc="7B70D4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AE7CED"/>
    <w:multiLevelType w:val="hybridMultilevel"/>
    <w:tmpl w:val="BA7A6128"/>
    <w:lvl w:ilvl="0" w:tplc="BF8CE7C2">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8F2353"/>
    <w:multiLevelType w:val="multilevel"/>
    <w:tmpl w:val="218F2353"/>
    <w:lvl w:ilvl="0">
      <w:start w:val="1"/>
      <w:numFmt w:val="lowerLetter"/>
      <w:lvlText w:val="(%1)"/>
      <w:lvlJc w:val="left"/>
      <w:pPr>
        <w:ind w:left="862" w:hanging="360"/>
      </w:pPr>
      <w:rPr>
        <w:rFonts w:hint="default"/>
        <w:i w:val="0"/>
        <w:iCs/>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2" w15:restartNumberingAfterBreak="0">
    <w:nsid w:val="23BB02CF"/>
    <w:multiLevelType w:val="hybridMultilevel"/>
    <w:tmpl w:val="108620F0"/>
    <w:lvl w:ilvl="0" w:tplc="78363470">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3F62C2"/>
    <w:multiLevelType w:val="hybridMultilevel"/>
    <w:tmpl w:val="506CBB8E"/>
    <w:lvl w:ilvl="0" w:tplc="75F6D1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7F6924"/>
    <w:multiLevelType w:val="hybridMultilevel"/>
    <w:tmpl w:val="38A0D388"/>
    <w:lvl w:ilvl="0" w:tplc="99B08E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554EB3"/>
    <w:multiLevelType w:val="multilevel"/>
    <w:tmpl w:val="35554EB3"/>
    <w:lvl w:ilvl="0">
      <w:start w:val="1"/>
      <w:numFmt w:val="lowerLetter"/>
      <w:lvlText w:val="(%1)"/>
      <w:lvlJc w:val="left"/>
      <w:pPr>
        <w:ind w:left="862" w:hanging="360"/>
      </w:pPr>
      <w:rPr>
        <w:rFonts w:hint="default"/>
        <w:i w:val="0"/>
        <w:iCs/>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6" w15:restartNumberingAfterBreak="0">
    <w:nsid w:val="364D683F"/>
    <w:multiLevelType w:val="multilevel"/>
    <w:tmpl w:val="364D683F"/>
    <w:lvl w:ilvl="0">
      <w:start w:val="1"/>
      <w:numFmt w:val="bullet"/>
      <w:lvlText w:val=""/>
      <w:lvlJc w:val="left"/>
      <w:pPr>
        <w:ind w:left="862" w:hanging="360"/>
      </w:pPr>
      <w:rPr>
        <w:rFonts w:ascii="Symbol" w:hAnsi="Symbol" w:hint="default"/>
        <w:i w:val="0"/>
        <w:iCs/>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7" w15:restartNumberingAfterBreak="0">
    <w:nsid w:val="375F6780"/>
    <w:multiLevelType w:val="hybridMultilevel"/>
    <w:tmpl w:val="AECC680C"/>
    <w:lvl w:ilvl="0" w:tplc="0A2EC762">
      <w:start w:val="1"/>
      <w:numFmt w:val="lowerRoman"/>
      <w:lvlText w:val="(%1)"/>
      <w:lvlJc w:val="left"/>
      <w:pPr>
        <w:ind w:left="1080" w:hanging="72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705DB2"/>
    <w:multiLevelType w:val="multilevel"/>
    <w:tmpl w:val="3F705DB2"/>
    <w:lvl w:ilvl="0">
      <w:start w:val="1"/>
      <w:numFmt w:val="lowerLetter"/>
      <w:lvlText w:val="(%1)"/>
      <w:lvlJc w:val="left"/>
      <w:pPr>
        <w:ind w:left="862" w:hanging="360"/>
      </w:pPr>
      <w:rPr>
        <w:rFonts w:hint="default"/>
        <w:i w:val="0"/>
        <w:iCs/>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9" w15:restartNumberingAfterBreak="0">
    <w:nsid w:val="44F76AB4"/>
    <w:multiLevelType w:val="hybridMultilevel"/>
    <w:tmpl w:val="B2DC4C30"/>
    <w:lvl w:ilvl="0" w:tplc="783878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9343B4"/>
    <w:multiLevelType w:val="hybridMultilevel"/>
    <w:tmpl w:val="7FD2310A"/>
    <w:lvl w:ilvl="0" w:tplc="DF4015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E20897"/>
    <w:multiLevelType w:val="multilevel"/>
    <w:tmpl w:val="46E20897"/>
    <w:lvl w:ilvl="0">
      <w:start w:val="1"/>
      <w:numFmt w:val="lowerLetter"/>
      <w:lvlText w:val="(%1)"/>
      <w:lvlJc w:val="left"/>
      <w:pPr>
        <w:ind w:left="862" w:hanging="360"/>
      </w:pPr>
      <w:rPr>
        <w:rFonts w:hint="default"/>
        <w:i w:val="0"/>
        <w:iCs/>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2" w15:restartNumberingAfterBreak="0">
    <w:nsid w:val="47D028FF"/>
    <w:multiLevelType w:val="hybridMultilevel"/>
    <w:tmpl w:val="525AA058"/>
    <w:lvl w:ilvl="0" w:tplc="31BEA04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47B0BC5"/>
    <w:multiLevelType w:val="multilevel"/>
    <w:tmpl w:val="647B0BC5"/>
    <w:lvl w:ilvl="0">
      <w:start w:val="1"/>
      <w:numFmt w:val="lowerLetter"/>
      <w:lvlText w:val="(%1)"/>
      <w:lvlJc w:val="left"/>
      <w:pPr>
        <w:ind w:left="862" w:hanging="360"/>
      </w:pPr>
      <w:rPr>
        <w:rFonts w:hint="default"/>
        <w:i w:val="0"/>
        <w:iCs/>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4" w15:restartNumberingAfterBreak="0">
    <w:nsid w:val="672E1CD2"/>
    <w:multiLevelType w:val="hybridMultilevel"/>
    <w:tmpl w:val="B4DE2CB8"/>
    <w:lvl w:ilvl="0" w:tplc="CE7AB4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26349C"/>
    <w:multiLevelType w:val="multilevel"/>
    <w:tmpl w:val="6826349C"/>
    <w:lvl w:ilvl="0">
      <w:start w:val="1"/>
      <w:numFmt w:val="lowerLetter"/>
      <w:lvlText w:val="(%1)"/>
      <w:lvlJc w:val="left"/>
      <w:pPr>
        <w:ind w:left="862" w:hanging="360"/>
      </w:pPr>
      <w:rPr>
        <w:rFonts w:hint="default"/>
        <w:i w:val="0"/>
        <w:iCs/>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6" w15:restartNumberingAfterBreak="0">
    <w:nsid w:val="6929176E"/>
    <w:multiLevelType w:val="hybridMultilevel"/>
    <w:tmpl w:val="34808C2C"/>
    <w:lvl w:ilvl="0" w:tplc="C0A87D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9E3764D"/>
    <w:multiLevelType w:val="hybridMultilevel"/>
    <w:tmpl w:val="17FA1816"/>
    <w:lvl w:ilvl="0" w:tplc="05701B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484515"/>
    <w:multiLevelType w:val="hybridMultilevel"/>
    <w:tmpl w:val="081C81BE"/>
    <w:lvl w:ilvl="0" w:tplc="8E82B0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284B27"/>
    <w:multiLevelType w:val="multilevel"/>
    <w:tmpl w:val="79284B27"/>
    <w:lvl w:ilvl="0">
      <w:start w:val="1"/>
      <w:numFmt w:val="lowerLetter"/>
      <w:lvlText w:val="(%1)"/>
      <w:lvlJc w:val="left"/>
      <w:pPr>
        <w:ind w:left="862" w:hanging="360"/>
      </w:pPr>
      <w:rPr>
        <w:rFonts w:hint="default"/>
        <w:i w:val="0"/>
        <w:iCs/>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0" w15:restartNumberingAfterBreak="0">
    <w:nsid w:val="798E0005"/>
    <w:multiLevelType w:val="hybridMultilevel"/>
    <w:tmpl w:val="29C27F96"/>
    <w:lvl w:ilvl="0" w:tplc="69045A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3E7D3A"/>
    <w:multiLevelType w:val="hybridMultilevel"/>
    <w:tmpl w:val="129AF460"/>
    <w:lvl w:ilvl="0" w:tplc="3334DB7E">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830DA0"/>
    <w:multiLevelType w:val="hybridMultilevel"/>
    <w:tmpl w:val="F13663DC"/>
    <w:lvl w:ilvl="0" w:tplc="5A5605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9"/>
  </w:num>
  <w:num w:numId="3">
    <w:abstractNumId w:val="11"/>
  </w:num>
  <w:num w:numId="4">
    <w:abstractNumId w:val="15"/>
  </w:num>
  <w:num w:numId="5">
    <w:abstractNumId w:val="25"/>
  </w:num>
  <w:num w:numId="6">
    <w:abstractNumId w:val="3"/>
  </w:num>
  <w:num w:numId="7">
    <w:abstractNumId w:val="7"/>
  </w:num>
  <w:num w:numId="8">
    <w:abstractNumId w:val="18"/>
  </w:num>
  <w:num w:numId="9">
    <w:abstractNumId w:val="2"/>
  </w:num>
  <w:num w:numId="10">
    <w:abstractNumId w:val="21"/>
  </w:num>
  <w:num w:numId="11">
    <w:abstractNumId w:val="16"/>
  </w:num>
  <w:num w:numId="12">
    <w:abstractNumId w:val="6"/>
  </w:num>
  <w:num w:numId="13">
    <w:abstractNumId w:val="10"/>
  </w:num>
  <w:num w:numId="14">
    <w:abstractNumId w:val="0"/>
  </w:num>
  <w:num w:numId="15">
    <w:abstractNumId w:val="30"/>
  </w:num>
  <w:num w:numId="16">
    <w:abstractNumId w:val="27"/>
  </w:num>
  <w:num w:numId="17">
    <w:abstractNumId w:val="31"/>
  </w:num>
  <w:num w:numId="18">
    <w:abstractNumId w:val="17"/>
  </w:num>
  <w:num w:numId="19">
    <w:abstractNumId w:val="19"/>
  </w:num>
  <w:num w:numId="20">
    <w:abstractNumId w:val="12"/>
  </w:num>
  <w:num w:numId="21">
    <w:abstractNumId w:val="32"/>
  </w:num>
  <w:num w:numId="22">
    <w:abstractNumId w:val="4"/>
  </w:num>
  <w:num w:numId="23">
    <w:abstractNumId w:val="14"/>
  </w:num>
  <w:num w:numId="24">
    <w:abstractNumId w:val="20"/>
  </w:num>
  <w:num w:numId="25">
    <w:abstractNumId w:val="26"/>
  </w:num>
  <w:num w:numId="26">
    <w:abstractNumId w:val="22"/>
  </w:num>
  <w:num w:numId="27">
    <w:abstractNumId w:val="5"/>
  </w:num>
  <w:num w:numId="28">
    <w:abstractNumId w:val="24"/>
  </w:num>
  <w:num w:numId="29">
    <w:abstractNumId w:val="13"/>
  </w:num>
  <w:num w:numId="30">
    <w:abstractNumId w:val="1"/>
  </w:num>
  <w:num w:numId="31">
    <w:abstractNumId w:val="28"/>
  </w:num>
  <w:num w:numId="32">
    <w:abstractNumId w:val="8"/>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144A"/>
    <w:rsid w:val="00007BF3"/>
    <w:rsid w:val="00010BA0"/>
    <w:rsid w:val="00020557"/>
    <w:rsid w:val="00021FC2"/>
    <w:rsid w:val="0002409B"/>
    <w:rsid w:val="000250C7"/>
    <w:rsid w:val="00025E05"/>
    <w:rsid w:val="00026F16"/>
    <w:rsid w:val="00037621"/>
    <w:rsid w:val="00043961"/>
    <w:rsid w:val="00044D46"/>
    <w:rsid w:val="00045088"/>
    <w:rsid w:val="00045904"/>
    <w:rsid w:val="000502FD"/>
    <w:rsid w:val="00051B81"/>
    <w:rsid w:val="00065166"/>
    <w:rsid w:val="00082609"/>
    <w:rsid w:val="000851CC"/>
    <w:rsid w:val="00087F21"/>
    <w:rsid w:val="00093BE8"/>
    <w:rsid w:val="00094D33"/>
    <w:rsid w:val="000A407B"/>
    <w:rsid w:val="000A68ED"/>
    <w:rsid w:val="000B5A58"/>
    <w:rsid w:val="000B5FF1"/>
    <w:rsid w:val="000B609F"/>
    <w:rsid w:val="000D195D"/>
    <w:rsid w:val="000D55A8"/>
    <w:rsid w:val="000E4841"/>
    <w:rsid w:val="000E6C37"/>
    <w:rsid w:val="000F1677"/>
    <w:rsid w:val="000F3D6C"/>
    <w:rsid w:val="00101707"/>
    <w:rsid w:val="00102CC9"/>
    <w:rsid w:val="001049EA"/>
    <w:rsid w:val="0010593A"/>
    <w:rsid w:val="00112A34"/>
    <w:rsid w:val="0011473D"/>
    <w:rsid w:val="00115C85"/>
    <w:rsid w:val="00123855"/>
    <w:rsid w:val="00126A4D"/>
    <w:rsid w:val="0014144B"/>
    <w:rsid w:val="0014171F"/>
    <w:rsid w:val="0014622C"/>
    <w:rsid w:val="00152348"/>
    <w:rsid w:val="0015456D"/>
    <w:rsid w:val="00155FA2"/>
    <w:rsid w:val="0016110C"/>
    <w:rsid w:val="00161F1B"/>
    <w:rsid w:val="00162829"/>
    <w:rsid w:val="001711C1"/>
    <w:rsid w:val="0017622D"/>
    <w:rsid w:val="00180548"/>
    <w:rsid w:val="00180AC4"/>
    <w:rsid w:val="00180CCE"/>
    <w:rsid w:val="0018267A"/>
    <w:rsid w:val="00182779"/>
    <w:rsid w:val="001830DF"/>
    <w:rsid w:val="001879CA"/>
    <w:rsid w:val="00191577"/>
    <w:rsid w:val="001966D9"/>
    <w:rsid w:val="001A007A"/>
    <w:rsid w:val="001A2B90"/>
    <w:rsid w:val="001A7E9A"/>
    <w:rsid w:val="001B0F70"/>
    <w:rsid w:val="001B30C2"/>
    <w:rsid w:val="001B452A"/>
    <w:rsid w:val="001B5016"/>
    <w:rsid w:val="001B6E8D"/>
    <w:rsid w:val="001C45FC"/>
    <w:rsid w:val="001D0469"/>
    <w:rsid w:val="001D29C0"/>
    <w:rsid w:val="001D4862"/>
    <w:rsid w:val="001D77BA"/>
    <w:rsid w:val="001E25B9"/>
    <w:rsid w:val="001E3CE1"/>
    <w:rsid w:val="001E49E0"/>
    <w:rsid w:val="001E7B5A"/>
    <w:rsid w:val="001F1A35"/>
    <w:rsid w:val="001F6000"/>
    <w:rsid w:val="001F7412"/>
    <w:rsid w:val="0020090A"/>
    <w:rsid w:val="00202DFE"/>
    <w:rsid w:val="0020725B"/>
    <w:rsid w:val="002110F1"/>
    <w:rsid w:val="002110FD"/>
    <w:rsid w:val="002216E3"/>
    <w:rsid w:val="002356EA"/>
    <w:rsid w:val="00240C32"/>
    <w:rsid w:val="0024116D"/>
    <w:rsid w:val="00241B44"/>
    <w:rsid w:val="00241FA3"/>
    <w:rsid w:val="00245EFB"/>
    <w:rsid w:val="0025386E"/>
    <w:rsid w:val="00260493"/>
    <w:rsid w:val="002638B0"/>
    <w:rsid w:val="0026647A"/>
    <w:rsid w:val="002668D3"/>
    <w:rsid w:val="0027299F"/>
    <w:rsid w:val="00284EBE"/>
    <w:rsid w:val="0028763B"/>
    <w:rsid w:val="002903A7"/>
    <w:rsid w:val="00290629"/>
    <w:rsid w:val="0029433F"/>
    <w:rsid w:val="00294829"/>
    <w:rsid w:val="0029636F"/>
    <w:rsid w:val="0029690F"/>
    <w:rsid w:val="00297C8A"/>
    <w:rsid w:val="002A2A60"/>
    <w:rsid w:val="002A3267"/>
    <w:rsid w:val="002A37BB"/>
    <w:rsid w:val="002A38DB"/>
    <w:rsid w:val="002B1C45"/>
    <w:rsid w:val="002B7038"/>
    <w:rsid w:val="002C13C8"/>
    <w:rsid w:val="002C3547"/>
    <w:rsid w:val="002C3FF7"/>
    <w:rsid w:val="002C6790"/>
    <w:rsid w:val="002D0021"/>
    <w:rsid w:val="002D026E"/>
    <w:rsid w:val="002D299D"/>
    <w:rsid w:val="002D3473"/>
    <w:rsid w:val="002E61D6"/>
    <w:rsid w:val="002E7C85"/>
    <w:rsid w:val="002F1956"/>
    <w:rsid w:val="002F3440"/>
    <w:rsid w:val="002F66C2"/>
    <w:rsid w:val="002F75A3"/>
    <w:rsid w:val="00303C2F"/>
    <w:rsid w:val="003055EF"/>
    <w:rsid w:val="003144EF"/>
    <w:rsid w:val="003163F5"/>
    <w:rsid w:val="00326292"/>
    <w:rsid w:val="00326415"/>
    <w:rsid w:val="00330937"/>
    <w:rsid w:val="00330F31"/>
    <w:rsid w:val="00334648"/>
    <w:rsid w:val="0033768C"/>
    <w:rsid w:val="00337938"/>
    <w:rsid w:val="003400C0"/>
    <w:rsid w:val="00340769"/>
    <w:rsid w:val="00341AA6"/>
    <w:rsid w:val="00346A9D"/>
    <w:rsid w:val="00361A0A"/>
    <w:rsid w:val="00364836"/>
    <w:rsid w:val="0036565C"/>
    <w:rsid w:val="0036625E"/>
    <w:rsid w:val="003744DF"/>
    <w:rsid w:val="0037465A"/>
    <w:rsid w:val="00382C98"/>
    <w:rsid w:val="0038533C"/>
    <w:rsid w:val="00386568"/>
    <w:rsid w:val="00390B57"/>
    <w:rsid w:val="003948D5"/>
    <w:rsid w:val="00396821"/>
    <w:rsid w:val="00397D3A"/>
    <w:rsid w:val="003A051E"/>
    <w:rsid w:val="003A44EF"/>
    <w:rsid w:val="003B170F"/>
    <w:rsid w:val="003B3C5F"/>
    <w:rsid w:val="003B4604"/>
    <w:rsid w:val="003C4471"/>
    <w:rsid w:val="003D0A6D"/>
    <w:rsid w:val="003D0A7A"/>
    <w:rsid w:val="003D4C40"/>
    <w:rsid w:val="003D61DC"/>
    <w:rsid w:val="003E0B16"/>
    <w:rsid w:val="003E53CD"/>
    <w:rsid w:val="003E66C1"/>
    <w:rsid w:val="003E67D1"/>
    <w:rsid w:val="003F4886"/>
    <w:rsid w:val="00404329"/>
    <w:rsid w:val="00405DC1"/>
    <w:rsid w:val="00415F1F"/>
    <w:rsid w:val="0042108F"/>
    <w:rsid w:val="00430FED"/>
    <w:rsid w:val="00434A8C"/>
    <w:rsid w:val="00437297"/>
    <w:rsid w:val="00444284"/>
    <w:rsid w:val="00445CE6"/>
    <w:rsid w:val="004503A1"/>
    <w:rsid w:val="00452FED"/>
    <w:rsid w:val="004534C2"/>
    <w:rsid w:val="0045446F"/>
    <w:rsid w:val="0045683E"/>
    <w:rsid w:val="00477C72"/>
    <w:rsid w:val="00491675"/>
    <w:rsid w:val="00493855"/>
    <w:rsid w:val="00495E79"/>
    <w:rsid w:val="004A2D83"/>
    <w:rsid w:val="004A4D1A"/>
    <w:rsid w:val="004A57DD"/>
    <w:rsid w:val="004A5E89"/>
    <w:rsid w:val="004A7B51"/>
    <w:rsid w:val="004A7D71"/>
    <w:rsid w:val="004A7EF3"/>
    <w:rsid w:val="004B11FD"/>
    <w:rsid w:val="004B1559"/>
    <w:rsid w:val="004B23A2"/>
    <w:rsid w:val="004B2AB4"/>
    <w:rsid w:val="004B5B53"/>
    <w:rsid w:val="004B786F"/>
    <w:rsid w:val="004D1A5A"/>
    <w:rsid w:val="004D2FFF"/>
    <w:rsid w:val="004D3721"/>
    <w:rsid w:val="004D64F9"/>
    <w:rsid w:val="004E3A6B"/>
    <w:rsid w:val="004E49AB"/>
    <w:rsid w:val="004E622C"/>
    <w:rsid w:val="004F5FDF"/>
    <w:rsid w:val="004F7C7A"/>
    <w:rsid w:val="005032D1"/>
    <w:rsid w:val="0050566D"/>
    <w:rsid w:val="005177FE"/>
    <w:rsid w:val="0052263B"/>
    <w:rsid w:val="00524728"/>
    <w:rsid w:val="005331CA"/>
    <w:rsid w:val="00537970"/>
    <w:rsid w:val="00540E3A"/>
    <w:rsid w:val="00544127"/>
    <w:rsid w:val="005463A9"/>
    <w:rsid w:val="00553A61"/>
    <w:rsid w:val="00553EB2"/>
    <w:rsid w:val="00560534"/>
    <w:rsid w:val="00562736"/>
    <w:rsid w:val="0056391B"/>
    <w:rsid w:val="0056447C"/>
    <w:rsid w:val="005650E2"/>
    <w:rsid w:val="00567AD7"/>
    <w:rsid w:val="00567F4D"/>
    <w:rsid w:val="005757C0"/>
    <w:rsid w:val="00575B2D"/>
    <w:rsid w:val="005823B3"/>
    <w:rsid w:val="005833D0"/>
    <w:rsid w:val="005846F3"/>
    <w:rsid w:val="0058622F"/>
    <w:rsid w:val="00592F82"/>
    <w:rsid w:val="00593E62"/>
    <w:rsid w:val="005A0CCA"/>
    <w:rsid w:val="005A1E83"/>
    <w:rsid w:val="005A3FDE"/>
    <w:rsid w:val="005A6FF2"/>
    <w:rsid w:val="005A726D"/>
    <w:rsid w:val="005B25A2"/>
    <w:rsid w:val="005B67AC"/>
    <w:rsid w:val="005B79F4"/>
    <w:rsid w:val="005D16DD"/>
    <w:rsid w:val="005D43E0"/>
    <w:rsid w:val="005D58A3"/>
    <w:rsid w:val="005D5EE0"/>
    <w:rsid w:val="005E1B79"/>
    <w:rsid w:val="005E5DD1"/>
    <w:rsid w:val="005E6076"/>
    <w:rsid w:val="005E669D"/>
    <w:rsid w:val="005E7008"/>
    <w:rsid w:val="005E75B3"/>
    <w:rsid w:val="005F026D"/>
    <w:rsid w:val="005F1F23"/>
    <w:rsid w:val="005F2AEA"/>
    <w:rsid w:val="005F2D0B"/>
    <w:rsid w:val="005F4B31"/>
    <w:rsid w:val="00610388"/>
    <w:rsid w:val="00610AC7"/>
    <w:rsid w:val="00612CA5"/>
    <w:rsid w:val="006153EC"/>
    <w:rsid w:val="00621A17"/>
    <w:rsid w:val="00627CC9"/>
    <w:rsid w:val="00627E7B"/>
    <w:rsid w:val="00630542"/>
    <w:rsid w:val="00632E44"/>
    <w:rsid w:val="00634622"/>
    <w:rsid w:val="0063545A"/>
    <w:rsid w:val="00636808"/>
    <w:rsid w:val="00641515"/>
    <w:rsid w:val="0064559F"/>
    <w:rsid w:val="00645C6D"/>
    <w:rsid w:val="00654C2F"/>
    <w:rsid w:val="006566FA"/>
    <w:rsid w:val="00657087"/>
    <w:rsid w:val="006639DB"/>
    <w:rsid w:val="006661EF"/>
    <w:rsid w:val="00673DEA"/>
    <w:rsid w:val="00677AEB"/>
    <w:rsid w:val="00680EF2"/>
    <w:rsid w:val="006833A4"/>
    <w:rsid w:val="00686619"/>
    <w:rsid w:val="00687A1D"/>
    <w:rsid w:val="00697EA1"/>
    <w:rsid w:val="006A2646"/>
    <w:rsid w:val="006A6225"/>
    <w:rsid w:val="006A6530"/>
    <w:rsid w:val="006B1CAA"/>
    <w:rsid w:val="006B435A"/>
    <w:rsid w:val="006B4C64"/>
    <w:rsid w:val="006C0153"/>
    <w:rsid w:val="006C30D8"/>
    <w:rsid w:val="006D1F9A"/>
    <w:rsid w:val="006D6BD5"/>
    <w:rsid w:val="006E481A"/>
    <w:rsid w:val="006E5298"/>
    <w:rsid w:val="006E7E3C"/>
    <w:rsid w:val="006F0B5D"/>
    <w:rsid w:val="006F4A78"/>
    <w:rsid w:val="006F734A"/>
    <w:rsid w:val="00700D83"/>
    <w:rsid w:val="00704852"/>
    <w:rsid w:val="007074E9"/>
    <w:rsid w:val="00713DA4"/>
    <w:rsid w:val="00714BF1"/>
    <w:rsid w:val="00721383"/>
    <w:rsid w:val="0073158B"/>
    <w:rsid w:val="007333CC"/>
    <w:rsid w:val="0073399A"/>
    <w:rsid w:val="00735EEB"/>
    <w:rsid w:val="00740DAD"/>
    <w:rsid w:val="007477DB"/>
    <w:rsid w:val="00751DA2"/>
    <w:rsid w:val="007603F5"/>
    <w:rsid w:val="00764DB0"/>
    <w:rsid w:val="0076764D"/>
    <w:rsid w:val="007700CD"/>
    <w:rsid w:val="0077498C"/>
    <w:rsid w:val="00776695"/>
    <w:rsid w:val="0077737E"/>
    <w:rsid w:val="007809BC"/>
    <w:rsid w:val="00784128"/>
    <w:rsid w:val="00785527"/>
    <w:rsid w:val="00787BCC"/>
    <w:rsid w:val="00793173"/>
    <w:rsid w:val="007A2A33"/>
    <w:rsid w:val="007B3FD8"/>
    <w:rsid w:val="007B5C89"/>
    <w:rsid w:val="007B5EEC"/>
    <w:rsid w:val="007C1FCC"/>
    <w:rsid w:val="007C6201"/>
    <w:rsid w:val="007D63C8"/>
    <w:rsid w:val="007D7C92"/>
    <w:rsid w:val="007E1154"/>
    <w:rsid w:val="007E4853"/>
    <w:rsid w:val="007E6BA4"/>
    <w:rsid w:val="007E757E"/>
    <w:rsid w:val="007F41F8"/>
    <w:rsid w:val="007F659B"/>
    <w:rsid w:val="0080454E"/>
    <w:rsid w:val="00804C32"/>
    <w:rsid w:val="00805E20"/>
    <w:rsid w:val="00806302"/>
    <w:rsid w:val="00807119"/>
    <w:rsid w:val="00813849"/>
    <w:rsid w:val="0082483F"/>
    <w:rsid w:val="008279C0"/>
    <w:rsid w:val="00841CEE"/>
    <w:rsid w:val="008503CC"/>
    <w:rsid w:val="00855E71"/>
    <w:rsid w:val="00867701"/>
    <w:rsid w:val="008723F3"/>
    <w:rsid w:val="0087524E"/>
    <w:rsid w:val="00876F56"/>
    <w:rsid w:val="00881DE6"/>
    <w:rsid w:val="008837A6"/>
    <w:rsid w:val="00886AFD"/>
    <w:rsid w:val="0089013A"/>
    <w:rsid w:val="0089145D"/>
    <w:rsid w:val="008A4DF2"/>
    <w:rsid w:val="008A6450"/>
    <w:rsid w:val="008A6CFE"/>
    <w:rsid w:val="008B531F"/>
    <w:rsid w:val="008B5333"/>
    <w:rsid w:val="008B5E2A"/>
    <w:rsid w:val="008B6223"/>
    <w:rsid w:val="008C0671"/>
    <w:rsid w:val="008C4099"/>
    <w:rsid w:val="008C6457"/>
    <w:rsid w:val="008C66E0"/>
    <w:rsid w:val="008D3C63"/>
    <w:rsid w:val="008E3339"/>
    <w:rsid w:val="008F20FC"/>
    <w:rsid w:val="008F5FFE"/>
    <w:rsid w:val="00905A43"/>
    <w:rsid w:val="00912C79"/>
    <w:rsid w:val="00921B8C"/>
    <w:rsid w:val="009222B7"/>
    <w:rsid w:val="00942123"/>
    <w:rsid w:val="0095207B"/>
    <w:rsid w:val="00962045"/>
    <w:rsid w:val="00964532"/>
    <w:rsid w:val="0097331A"/>
    <w:rsid w:val="00973C75"/>
    <w:rsid w:val="009809F1"/>
    <w:rsid w:val="00980E61"/>
    <w:rsid w:val="00991428"/>
    <w:rsid w:val="00992676"/>
    <w:rsid w:val="009954B2"/>
    <w:rsid w:val="00996691"/>
    <w:rsid w:val="00996776"/>
    <w:rsid w:val="009A3AB7"/>
    <w:rsid w:val="009B0723"/>
    <w:rsid w:val="009B07AD"/>
    <w:rsid w:val="009B0883"/>
    <w:rsid w:val="009B15E2"/>
    <w:rsid w:val="009B4976"/>
    <w:rsid w:val="009B58C7"/>
    <w:rsid w:val="009C0B8E"/>
    <w:rsid w:val="009C1BC8"/>
    <w:rsid w:val="009C2442"/>
    <w:rsid w:val="009D0811"/>
    <w:rsid w:val="009D0EE1"/>
    <w:rsid w:val="009E2AEB"/>
    <w:rsid w:val="009E2E27"/>
    <w:rsid w:val="009E45DF"/>
    <w:rsid w:val="009E4DE3"/>
    <w:rsid w:val="009F0FF2"/>
    <w:rsid w:val="009F275E"/>
    <w:rsid w:val="00A047EE"/>
    <w:rsid w:val="00A04BC7"/>
    <w:rsid w:val="00A20447"/>
    <w:rsid w:val="00A2274A"/>
    <w:rsid w:val="00A235B7"/>
    <w:rsid w:val="00A27A7A"/>
    <w:rsid w:val="00A34ABE"/>
    <w:rsid w:val="00A407EF"/>
    <w:rsid w:val="00A441CD"/>
    <w:rsid w:val="00A46B4C"/>
    <w:rsid w:val="00A5117B"/>
    <w:rsid w:val="00A56D34"/>
    <w:rsid w:val="00A60074"/>
    <w:rsid w:val="00A64D2D"/>
    <w:rsid w:val="00A6627C"/>
    <w:rsid w:val="00A71019"/>
    <w:rsid w:val="00A71636"/>
    <w:rsid w:val="00A81029"/>
    <w:rsid w:val="00A82347"/>
    <w:rsid w:val="00A845F5"/>
    <w:rsid w:val="00A858F4"/>
    <w:rsid w:val="00A86726"/>
    <w:rsid w:val="00A96489"/>
    <w:rsid w:val="00AA11CE"/>
    <w:rsid w:val="00AA5AC9"/>
    <w:rsid w:val="00AB2425"/>
    <w:rsid w:val="00AB685C"/>
    <w:rsid w:val="00AB6C2D"/>
    <w:rsid w:val="00AB7C2B"/>
    <w:rsid w:val="00AC08F7"/>
    <w:rsid w:val="00AC3839"/>
    <w:rsid w:val="00AC49BF"/>
    <w:rsid w:val="00AC7082"/>
    <w:rsid w:val="00AD4BE8"/>
    <w:rsid w:val="00AD7A64"/>
    <w:rsid w:val="00AE146A"/>
    <w:rsid w:val="00AF228E"/>
    <w:rsid w:val="00B016A8"/>
    <w:rsid w:val="00B14819"/>
    <w:rsid w:val="00B14ACE"/>
    <w:rsid w:val="00B15E2F"/>
    <w:rsid w:val="00B17AA9"/>
    <w:rsid w:val="00B21B88"/>
    <w:rsid w:val="00B249E3"/>
    <w:rsid w:val="00B27098"/>
    <w:rsid w:val="00B27FB3"/>
    <w:rsid w:val="00B3311E"/>
    <w:rsid w:val="00B37306"/>
    <w:rsid w:val="00B44713"/>
    <w:rsid w:val="00B51B1C"/>
    <w:rsid w:val="00B51B95"/>
    <w:rsid w:val="00B56103"/>
    <w:rsid w:val="00B64929"/>
    <w:rsid w:val="00B6518E"/>
    <w:rsid w:val="00B736DF"/>
    <w:rsid w:val="00B743D6"/>
    <w:rsid w:val="00B74FBD"/>
    <w:rsid w:val="00B75E2C"/>
    <w:rsid w:val="00B77F46"/>
    <w:rsid w:val="00B82586"/>
    <w:rsid w:val="00B829A3"/>
    <w:rsid w:val="00B86DB1"/>
    <w:rsid w:val="00B87630"/>
    <w:rsid w:val="00B87869"/>
    <w:rsid w:val="00B9596E"/>
    <w:rsid w:val="00B9639B"/>
    <w:rsid w:val="00BB0F2B"/>
    <w:rsid w:val="00BC4099"/>
    <w:rsid w:val="00BE4FF3"/>
    <w:rsid w:val="00BF50F7"/>
    <w:rsid w:val="00C0267A"/>
    <w:rsid w:val="00C02F29"/>
    <w:rsid w:val="00C17718"/>
    <w:rsid w:val="00C17C56"/>
    <w:rsid w:val="00C17D51"/>
    <w:rsid w:val="00C20AFE"/>
    <w:rsid w:val="00C22A25"/>
    <w:rsid w:val="00C31BBC"/>
    <w:rsid w:val="00C35671"/>
    <w:rsid w:val="00C35B77"/>
    <w:rsid w:val="00C376EB"/>
    <w:rsid w:val="00C37AF3"/>
    <w:rsid w:val="00C46A92"/>
    <w:rsid w:val="00C46EC1"/>
    <w:rsid w:val="00C52796"/>
    <w:rsid w:val="00C53E2C"/>
    <w:rsid w:val="00C550C8"/>
    <w:rsid w:val="00C55824"/>
    <w:rsid w:val="00C56B61"/>
    <w:rsid w:val="00C606C3"/>
    <w:rsid w:val="00C620F4"/>
    <w:rsid w:val="00C72848"/>
    <w:rsid w:val="00C73CEF"/>
    <w:rsid w:val="00C749E7"/>
    <w:rsid w:val="00C75F2B"/>
    <w:rsid w:val="00C7736C"/>
    <w:rsid w:val="00C82D87"/>
    <w:rsid w:val="00C8712A"/>
    <w:rsid w:val="00C902C8"/>
    <w:rsid w:val="00C919D1"/>
    <w:rsid w:val="00C9584D"/>
    <w:rsid w:val="00C963D3"/>
    <w:rsid w:val="00CA7C3C"/>
    <w:rsid w:val="00CB1983"/>
    <w:rsid w:val="00CB2CBB"/>
    <w:rsid w:val="00CB7CAC"/>
    <w:rsid w:val="00CC2803"/>
    <w:rsid w:val="00CC3C21"/>
    <w:rsid w:val="00CC4527"/>
    <w:rsid w:val="00CC5335"/>
    <w:rsid w:val="00CC5BA4"/>
    <w:rsid w:val="00CC7B37"/>
    <w:rsid w:val="00CD4998"/>
    <w:rsid w:val="00CD4F64"/>
    <w:rsid w:val="00CE1035"/>
    <w:rsid w:val="00CE361A"/>
    <w:rsid w:val="00CE6E50"/>
    <w:rsid w:val="00CF2819"/>
    <w:rsid w:val="00CF4F9D"/>
    <w:rsid w:val="00CF70DC"/>
    <w:rsid w:val="00D07C72"/>
    <w:rsid w:val="00D148DC"/>
    <w:rsid w:val="00D17FDC"/>
    <w:rsid w:val="00D21D8C"/>
    <w:rsid w:val="00D21F36"/>
    <w:rsid w:val="00D23A0E"/>
    <w:rsid w:val="00D253A7"/>
    <w:rsid w:val="00D26267"/>
    <w:rsid w:val="00D44BED"/>
    <w:rsid w:val="00D53719"/>
    <w:rsid w:val="00D60A35"/>
    <w:rsid w:val="00D63EFD"/>
    <w:rsid w:val="00D70926"/>
    <w:rsid w:val="00D75CFC"/>
    <w:rsid w:val="00D80D31"/>
    <w:rsid w:val="00D84752"/>
    <w:rsid w:val="00D86B3B"/>
    <w:rsid w:val="00D8748A"/>
    <w:rsid w:val="00D93196"/>
    <w:rsid w:val="00DA0DC0"/>
    <w:rsid w:val="00DA65A3"/>
    <w:rsid w:val="00DB243C"/>
    <w:rsid w:val="00DB482A"/>
    <w:rsid w:val="00DB50FB"/>
    <w:rsid w:val="00DB56F2"/>
    <w:rsid w:val="00DB6EF5"/>
    <w:rsid w:val="00DC3089"/>
    <w:rsid w:val="00DC4420"/>
    <w:rsid w:val="00DC48CD"/>
    <w:rsid w:val="00DC70AF"/>
    <w:rsid w:val="00DD0802"/>
    <w:rsid w:val="00DD2E11"/>
    <w:rsid w:val="00DE03AF"/>
    <w:rsid w:val="00DE121C"/>
    <w:rsid w:val="00DE6633"/>
    <w:rsid w:val="00DE7CE0"/>
    <w:rsid w:val="00DF51B0"/>
    <w:rsid w:val="00DF75F8"/>
    <w:rsid w:val="00DF7A3A"/>
    <w:rsid w:val="00E00C00"/>
    <w:rsid w:val="00E07C5A"/>
    <w:rsid w:val="00E102BD"/>
    <w:rsid w:val="00E15BA9"/>
    <w:rsid w:val="00E23AD5"/>
    <w:rsid w:val="00E26E19"/>
    <w:rsid w:val="00E311FB"/>
    <w:rsid w:val="00E31DF3"/>
    <w:rsid w:val="00E41A8B"/>
    <w:rsid w:val="00E450A4"/>
    <w:rsid w:val="00E506BE"/>
    <w:rsid w:val="00E55341"/>
    <w:rsid w:val="00E55547"/>
    <w:rsid w:val="00E6302B"/>
    <w:rsid w:val="00E639B0"/>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4D5E"/>
    <w:rsid w:val="00EE6CB0"/>
    <w:rsid w:val="00EF090E"/>
    <w:rsid w:val="00EF12A1"/>
    <w:rsid w:val="00EF5572"/>
    <w:rsid w:val="00F033DA"/>
    <w:rsid w:val="00F13691"/>
    <w:rsid w:val="00F13FB1"/>
    <w:rsid w:val="00F224F3"/>
    <w:rsid w:val="00F27CD8"/>
    <w:rsid w:val="00F30351"/>
    <w:rsid w:val="00F3323E"/>
    <w:rsid w:val="00F341F4"/>
    <w:rsid w:val="00F34F9D"/>
    <w:rsid w:val="00F35CCE"/>
    <w:rsid w:val="00F47218"/>
    <w:rsid w:val="00F5524B"/>
    <w:rsid w:val="00F60538"/>
    <w:rsid w:val="00F61028"/>
    <w:rsid w:val="00F61DD2"/>
    <w:rsid w:val="00F66AFF"/>
    <w:rsid w:val="00F71433"/>
    <w:rsid w:val="00F96F9E"/>
    <w:rsid w:val="00F97C5B"/>
    <w:rsid w:val="00FA3D50"/>
    <w:rsid w:val="00FB7FBD"/>
    <w:rsid w:val="00FC374A"/>
    <w:rsid w:val="00FC74C8"/>
    <w:rsid w:val="00FC7B47"/>
    <w:rsid w:val="00FD031D"/>
    <w:rsid w:val="00FD035C"/>
    <w:rsid w:val="00FD1A35"/>
    <w:rsid w:val="00FD1D47"/>
    <w:rsid w:val="00FD2EA4"/>
    <w:rsid w:val="00FD36C5"/>
    <w:rsid w:val="00FD6310"/>
    <w:rsid w:val="00FD7C7B"/>
    <w:rsid w:val="00FE1D12"/>
    <w:rsid w:val="00FE2122"/>
    <w:rsid w:val="00FE2A86"/>
    <w:rsid w:val="00FE2DE2"/>
    <w:rsid w:val="00FE57A8"/>
    <w:rsid w:val="00FF296F"/>
    <w:rsid w:val="00FF5E23"/>
    <w:rsid w:val="00FF7578"/>
    <w:rsid w:val="0D1B4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02EC9"/>
  <w15:docId w15:val="{3AE87863-E896-4895-8656-D2F5A8FEA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paragraph" w:styleId="Footer">
    <w:name w:val="footer"/>
    <w:basedOn w:val="Normal"/>
    <w:link w:val="FooterChar"/>
    <w:uiPriority w:val="99"/>
    <w:unhideWhenUsed/>
    <w:qFormat/>
    <w:pPr>
      <w:tabs>
        <w:tab w:val="center" w:pos="4513"/>
        <w:tab w:val="right" w:pos="9026"/>
      </w:tabs>
    </w:pPr>
  </w:style>
  <w:style w:type="character" w:styleId="FootnoteReference">
    <w:name w:val="footnote reference"/>
    <w:basedOn w:val="DefaultParagraphFont"/>
    <w:unhideWhenUsed/>
    <w:qFormat/>
    <w:rPr>
      <w:vertAlign w:val="superscript"/>
    </w:rPr>
  </w:style>
  <w:style w:type="paragraph" w:styleId="FootnoteText">
    <w:name w:val="footnote text"/>
    <w:basedOn w:val="Normal"/>
    <w:link w:val="FootnoteTextChar"/>
    <w:unhideWhenUsed/>
    <w:rPr>
      <w:szCs w:val="20"/>
    </w:rPr>
  </w:style>
  <w:style w:type="paragraph" w:styleId="Header">
    <w:name w:val="header"/>
    <w:basedOn w:val="Normal"/>
    <w:link w:val="HeaderChar"/>
    <w:uiPriority w:val="99"/>
    <w:unhideWhenUsed/>
    <w:qFormat/>
    <w:pPr>
      <w:tabs>
        <w:tab w:val="center" w:pos="4513"/>
        <w:tab w:val="right" w:pos="9026"/>
      </w:tabs>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cs="Times New Roman"/>
      <w:sz w:val="24"/>
    </w:rPr>
  </w:style>
  <w:style w:type="character" w:styleId="PageNumber">
    <w:name w:val="page number"/>
    <w:basedOn w:val="DefaultParagraphFont"/>
    <w:uiPriority w:val="99"/>
    <w:semiHidden/>
    <w:unhideWhenUsed/>
    <w:qFormat/>
  </w:style>
  <w:style w:type="character" w:styleId="Strong">
    <w:name w:val="Strong"/>
    <w:basedOn w:val="DefaultParagraphFont"/>
    <w:uiPriority w:val="22"/>
    <w:qFormat/>
    <w:rPr>
      <w:b/>
      <w:bCs/>
    </w:rPr>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rPr>
      <w:sz w:val="20"/>
      <w:szCs w:val="20"/>
    </w:rPr>
  </w:style>
  <w:style w:type="character" w:customStyle="1" w:styleId="UnresolvedMention1">
    <w:name w:val="Unresolved Mention1"/>
    <w:basedOn w:val="DefaultParagraphFont"/>
    <w:uiPriority w:val="99"/>
    <w:qFormat/>
    <w:rPr>
      <w:color w:val="605E5C"/>
      <w:shd w:val="clear" w:color="auto" w:fill="E1DFDD"/>
    </w:rPr>
  </w:style>
  <w:style w:type="character" w:customStyle="1" w:styleId="CommentTextChar">
    <w:name w:val="Comment Text Char"/>
    <w:basedOn w:val="DefaultParagraphFont"/>
    <w:link w:val="CommentText"/>
    <w:uiPriority w:val="99"/>
    <w:semiHidden/>
    <w:qFormat/>
    <w:rPr>
      <w:rFonts w:eastAsia="Times New Roman"/>
      <w:sz w:val="20"/>
      <w:szCs w:val="20"/>
    </w:rPr>
  </w:style>
  <w:style w:type="character" w:customStyle="1" w:styleId="CommentSubjectChar">
    <w:name w:val="Comment Subject Char"/>
    <w:basedOn w:val="CommentTextChar"/>
    <w:link w:val="CommentSubject"/>
    <w:uiPriority w:val="99"/>
    <w:semiHidden/>
    <w:rPr>
      <w:rFonts w:eastAsia="Times New Roman"/>
      <w:b/>
      <w:bCs/>
      <w:sz w:val="20"/>
      <w:szCs w:val="20"/>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FooterChar">
    <w:name w:val="Footer Char"/>
    <w:basedOn w:val="DefaultParagraphFont"/>
    <w:link w:val="Footer"/>
    <w:uiPriority w:val="99"/>
    <w:qFormat/>
    <w:rPr>
      <w:rFonts w:eastAsia="Times New Roman"/>
      <w:sz w:val="20"/>
    </w:rPr>
  </w:style>
  <w:style w:type="character" w:customStyle="1" w:styleId="HeaderChar">
    <w:name w:val="Header Char"/>
    <w:basedOn w:val="DefaultParagraphFont"/>
    <w:link w:val="Header"/>
    <w:uiPriority w:val="99"/>
    <w:qFormat/>
    <w:rPr>
      <w:rFonts w:eastAsia="Times New Roman"/>
      <w:sz w:val="20"/>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INSOLstyleheading4">
    <w:name w:val="INSOL style heading 4"/>
    <w:next w:val="Normal"/>
    <w:qFormat/>
    <w:pPr>
      <w:ind w:left="720" w:right="851" w:hanging="720"/>
    </w:pPr>
    <w:rPr>
      <w:rFonts w:ascii="Arial" w:eastAsiaTheme="minorEastAsia" w:hAnsi="Arial" w:cs="Arial"/>
      <w: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4A6BF-C0EF-49D4-90A1-7C16BABCC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Pages>
  <Words>5774</Words>
  <Characters>32916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BENSON TEGU</cp:lastModifiedBy>
  <cp:revision>75</cp:revision>
  <cp:lastPrinted>2019-08-27T05:42:00Z</cp:lastPrinted>
  <dcterms:created xsi:type="dcterms:W3CDTF">2022-02-11T10:55:00Z</dcterms:created>
  <dcterms:modified xsi:type="dcterms:W3CDTF">2022-06-18T19:13:00Z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2057-11.2.0.11130</vt:lpwstr>
  </property>
  <property fmtid="{D5CDD505-2E9C-101B-9397-08002B2CF9AE}" pid="3" name="ICV">
    <vt:lpwstr>C9DEEC8007854E86B90E3BE1EB14E577</vt:lpwstr>
  </property>
</Properties>
</file>