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D30582" w:rsidRDefault="00A6325B" w:rsidP="006F4751">
      <w:pPr>
        <w:pStyle w:val="ListParagraph"/>
        <w:numPr>
          <w:ilvl w:val="1"/>
          <w:numId w:val="5"/>
        </w:numPr>
        <w:ind w:left="426"/>
        <w:jc w:val="both"/>
        <w:rPr>
          <w:rFonts w:ascii="Arial" w:hAnsi="Arial" w:cs="Arial"/>
          <w:sz w:val="22"/>
          <w:szCs w:val="22"/>
          <w:highlight w:val="yellow"/>
          <w:lang w:val="en-GB"/>
        </w:rPr>
      </w:pPr>
      <w:r w:rsidRPr="00D30582">
        <w:rPr>
          <w:rFonts w:ascii="Arial" w:hAnsi="Arial" w:cs="Arial"/>
          <w:sz w:val="22"/>
          <w:szCs w:val="22"/>
          <w:highlight w:val="yellow"/>
          <w:lang w:val="en-GB"/>
        </w:rPr>
        <w:t>a</w:t>
      </w:r>
      <w:r w:rsidR="00286642" w:rsidRPr="00D30582">
        <w:rPr>
          <w:rFonts w:ascii="Arial" w:hAnsi="Arial" w:cs="Arial"/>
          <w:sz w:val="22"/>
          <w:szCs w:val="22"/>
          <w:highlight w:val="yellow"/>
          <w:lang w:val="en-GB"/>
        </w:rPr>
        <w:t>ny of the above</w:t>
      </w:r>
      <w:r w:rsidRPr="00D30582">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F6671C" w:rsidRDefault="005D093D" w:rsidP="009578F6">
      <w:pPr>
        <w:pStyle w:val="ListParagraph"/>
        <w:numPr>
          <w:ilvl w:val="0"/>
          <w:numId w:val="6"/>
        </w:numPr>
        <w:ind w:left="426"/>
        <w:jc w:val="both"/>
        <w:rPr>
          <w:rFonts w:ascii="Arial" w:hAnsi="Arial" w:cs="Arial"/>
          <w:sz w:val="22"/>
          <w:szCs w:val="22"/>
          <w:highlight w:val="yellow"/>
          <w:lang w:val="en-GB"/>
        </w:rPr>
      </w:pPr>
      <w:r w:rsidRPr="00F6671C">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F6671C" w:rsidRDefault="005D093D" w:rsidP="009578F6">
      <w:pPr>
        <w:pStyle w:val="ListParagraph"/>
        <w:numPr>
          <w:ilvl w:val="0"/>
          <w:numId w:val="6"/>
        </w:numPr>
        <w:ind w:left="426"/>
        <w:jc w:val="both"/>
        <w:rPr>
          <w:rFonts w:ascii="Arial" w:hAnsi="Arial" w:cs="Arial"/>
          <w:sz w:val="22"/>
          <w:szCs w:val="22"/>
          <w:lang w:val="en-GB"/>
        </w:rPr>
      </w:pPr>
      <w:r w:rsidRPr="00F6671C">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705925" w:rsidRDefault="00B81F6E" w:rsidP="006F4751">
      <w:pPr>
        <w:pStyle w:val="ListParagraph"/>
        <w:numPr>
          <w:ilvl w:val="1"/>
          <w:numId w:val="7"/>
        </w:numPr>
        <w:ind w:left="426"/>
        <w:jc w:val="both"/>
        <w:rPr>
          <w:rFonts w:ascii="Arial" w:hAnsi="Arial" w:cs="Arial"/>
          <w:sz w:val="22"/>
          <w:szCs w:val="22"/>
          <w:highlight w:val="yellow"/>
          <w:lang w:val="en-GB"/>
        </w:rPr>
      </w:pPr>
      <w:r w:rsidRPr="00705925">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F02AD9" w:rsidRDefault="00FE53A3" w:rsidP="009578F6">
      <w:pPr>
        <w:pStyle w:val="ListParagraph"/>
        <w:numPr>
          <w:ilvl w:val="0"/>
          <w:numId w:val="8"/>
        </w:numPr>
        <w:ind w:left="426"/>
        <w:jc w:val="both"/>
        <w:rPr>
          <w:rFonts w:ascii="Arial" w:hAnsi="Arial" w:cs="Arial"/>
          <w:sz w:val="22"/>
          <w:szCs w:val="22"/>
          <w:highlight w:val="yellow"/>
          <w:lang w:val="en-GB"/>
        </w:rPr>
      </w:pPr>
      <w:r w:rsidRPr="00F02AD9">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685400" w:rsidRDefault="0041438F" w:rsidP="009578F6">
      <w:pPr>
        <w:pStyle w:val="ListParagraph"/>
        <w:numPr>
          <w:ilvl w:val="0"/>
          <w:numId w:val="9"/>
        </w:numPr>
        <w:ind w:left="426"/>
        <w:jc w:val="both"/>
        <w:rPr>
          <w:rFonts w:ascii="Arial" w:hAnsi="Arial" w:cs="Arial"/>
          <w:sz w:val="22"/>
          <w:szCs w:val="22"/>
          <w:highlight w:val="yellow"/>
          <w:lang w:val="en-GB"/>
        </w:rPr>
      </w:pPr>
      <w:r w:rsidRPr="00685400">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685400" w:rsidRDefault="006F4751" w:rsidP="009578F6">
      <w:pPr>
        <w:pStyle w:val="ListParagraph"/>
        <w:numPr>
          <w:ilvl w:val="0"/>
          <w:numId w:val="10"/>
        </w:numPr>
        <w:ind w:left="426"/>
        <w:jc w:val="both"/>
        <w:rPr>
          <w:rFonts w:ascii="Arial" w:hAnsi="Arial" w:cs="Arial"/>
          <w:sz w:val="22"/>
          <w:szCs w:val="22"/>
          <w:highlight w:val="yellow"/>
          <w:lang w:val="en-GB"/>
        </w:rPr>
      </w:pPr>
      <w:r w:rsidRPr="00685400">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685400"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685400">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856390" w:rsidRDefault="00B22016" w:rsidP="00B22016">
      <w:pPr>
        <w:pStyle w:val="ListParagraph"/>
        <w:numPr>
          <w:ilvl w:val="1"/>
          <w:numId w:val="14"/>
        </w:numPr>
        <w:ind w:left="426"/>
        <w:jc w:val="both"/>
        <w:rPr>
          <w:rFonts w:ascii="Arial" w:hAnsi="Arial" w:cs="Arial"/>
          <w:sz w:val="22"/>
          <w:szCs w:val="22"/>
          <w:highlight w:val="yellow"/>
          <w:lang w:val="en-GB"/>
        </w:rPr>
      </w:pPr>
      <w:r w:rsidRPr="00856390">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856390" w:rsidRDefault="005D54B3" w:rsidP="005D54B3">
      <w:pPr>
        <w:pStyle w:val="ListParagraph"/>
        <w:numPr>
          <w:ilvl w:val="0"/>
          <w:numId w:val="15"/>
        </w:numPr>
        <w:ind w:left="426"/>
        <w:jc w:val="both"/>
        <w:rPr>
          <w:rFonts w:ascii="Arial" w:hAnsi="Arial" w:cs="Arial"/>
          <w:sz w:val="22"/>
          <w:szCs w:val="22"/>
          <w:highlight w:val="yellow"/>
          <w:lang w:val="en-GB"/>
        </w:rPr>
      </w:pPr>
      <w:r w:rsidRPr="00856390">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C313BE" w:rsidRDefault="009578F6" w:rsidP="009578F6">
      <w:pPr>
        <w:pStyle w:val="ListParagraph"/>
        <w:numPr>
          <w:ilvl w:val="0"/>
          <w:numId w:val="18"/>
        </w:numPr>
        <w:ind w:left="426"/>
        <w:jc w:val="both"/>
        <w:rPr>
          <w:rFonts w:ascii="Arial" w:hAnsi="Arial" w:cs="Arial"/>
          <w:sz w:val="22"/>
          <w:szCs w:val="22"/>
          <w:highlight w:val="yellow"/>
          <w:lang w:val="en-GB"/>
        </w:rPr>
      </w:pPr>
      <w:r w:rsidRPr="00C313BE">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0A30D669" w14:textId="3055E7E0" w:rsidR="004319E5" w:rsidRPr="004319E5" w:rsidRDefault="004319E5" w:rsidP="00186ACC">
      <w:pPr>
        <w:contextualSpacing/>
        <w:jc w:val="both"/>
        <w:rPr>
          <w:rFonts w:ascii="Arial" w:hAnsi="Arial" w:cs="Arial"/>
          <w:color w:val="7B7B7B" w:themeColor="accent3" w:themeShade="BF"/>
          <w:sz w:val="22"/>
          <w:szCs w:val="22"/>
        </w:rPr>
      </w:pPr>
      <w:r>
        <w:rPr>
          <w:rFonts w:ascii="Arial" w:hAnsi="Arial" w:cs="Arial"/>
          <w:color w:val="7B7B7B" w:themeColor="accent3" w:themeShade="BF"/>
          <w:sz w:val="22"/>
          <w:szCs w:val="22"/>
        </w:rPr>
        <w:t>S</w:t>
      </w:r>
      <w:r w:rsidRPr="004319E5">
        <w:rPr>
          <w:rFonts w:ascii="Arial" w:hAnsi="Arial" w:cs="Arial"/>
          <w:color w:val="7B7B7B" w:themeColor="accent3" w:themeShade="BF"/>
          <w:sz w:val="22"/>
          <w:szCs w:val="22"/>
        </w:rPr>
        <w:t xml:space="preserve">ection 4 of the Bankruptcy Ordinance (Cap. 6) provides that a bankruptcy petition shall not be presented to the </w:t>
      </w:r>
      <w:r w:rsidR="00566507">
        <w:rPr>
          <w:rFonts w:ascii="Arial" w:hAnsi="Arial" w:cs="Arial"/>
          <w:color w:val="7B7B7B" w:themeColor="accent3" w:themeShade="BF"/>
          <w:sz w:val="22"/>
          <w:szCs w:val="22"/>
        </w:rPr>
        <w:t xml:space="preserve">Hong Kong </w:t>
      </w:r>
      <w:r w:rsidRPr="004319E5">
        <w:rPr>
          <w:rFonts w:ascii="Arial" w:hAnsi="Arial" w:cs="Arial"/>
          <w:color w:val="7B7B7B" w:themeColor="accent3" w:themeShade="BF"/>
          <w:sz w:val="22"/>
          <w:szCs w:val="22"/>
        </w:rPr>
        <w:t>Court unless the debtor:</w:t>
      </w:r>
    </w:p>
    <w:p w14:paraId="0E9E27EE" w14:textId="77777777" w:rsidR="004319E5" w:rsidRPr="004319E5" w:rsidRDefault="004319E5" w:rsidP="00186ACC">
      <w:pPr>
        <w:contextualSpacing/>
        <w:jc w:val="both"/>
        <w:rPr>
          <w:rFonts w:ascii="Arial" w:hAnsi="Arial" w:cs="Arial"/>
          <w:color w:val="7B7B7B" w:themeColor="accent3" w:themeShade="BF"/>
          <w:sz w:val="22"/>
          <w:szCs w:val="22"/>
        </w:rPr>
      </w:pPr>
    </w:p>
    <w:p w14:paraId="646E8843" w14:textId="6A695F3F" w:rsidR="004319E5" w:rsidRPr="00186ACC" w:rsidRDefault="004319E5" w:rsidP="00186ACC">
      <w:pPr>
        <w:pStyle w:val="ListParagraph"/>
        <w:numPr>
          <w:ilvl w:val="0"/>
          <w:numId w:val="28"/>
        </w:numPr>
        <w:jc w:val="both"/>
        <w:rPr>
          <w:rFonts w:ascii="Arial" w:hAnsi="Arial" w:cs="Arial"/>
          <w:color w:val="7B7B7B" w:themeColor="accent3" w:themeShade="BF"/>
          <w:sz w:val="22"/>
          <w:szCs w:val="22"/>
        </w:rPr>
      </w:pPr>
      <w:r w:rsidRPr="00186ACC">
        <w:rPr>
          <w:rFonts w:ascii="Arial" w:hAnsi="Arial" w:cs="Arial"/>
          <w:color w:val="7B7B7B" w:themeColor="accent3" w:themeShade="BF"/>
          <w:sz w:val="22"/>
          <w:szCs w:val="22"/>
        </w:rPr>
        <w:t>is domiciled in Hong Kong</w:t>
      </w:r>
    </w:p>
    <w:p w14:paraId="7F6E5205" w14:textId="49E29BF3" w:rsidR="004319E5" w:rsidRPr="00186ACC" w:rsidRDefault="004319E5" w:rsidP="00186ACC">
      <w:pPr>
        <w:pStyle w:val="ListParagraph"/>
        <w:numPr>
          <w:ilvl w:val="0"/>
          <w:numId w:val="28"/>
        </w:numPr>
        <w:jc w:val="both"/>
        <w:rPr>
          <w:rFonts w:ascii="Arial" w:hAnsi="Arial" w:cs="Arial"/>
          <w:color w:val="7B7B7B" w:themeColor="accent3" w:themeShade="BF"/>
          <w:sz w:val="22"/>
          <w:szCs w:val="22"/>
        </w:rPr>
      </w:pPr>
      <w:r w:rsidRPr="00186ACC">
        <w:rPr>
          <w:rFonts w:ascii="Arial" w:hAnsi="Arial" w:cs="Arial"/>
          <w:color w:val="7B7B7B" w:themeColor="accent3" w:themeShade="BF"/>
          <w:sz w:val="22"/>
          <w:szCs w:val="22"/>
        </w:rPr>
        <w:t>is personally present in Hong Kong on the day on which the petition is presented or</w:t>
      </w:r>
    </w:p>
    <w:p w14:paraId="464D884C" w14:textId="373569FD" w:rsidR="004319E5" w:rsidRPr="00186ACC" w:rsidRDefault="004319E5" w:rsidP="00186ACC">
      <w:pPr>
        <w:pStyle w:val="ListParagraph"/>
        <w:numPr>
          <w:ilvl w:val="0"/>
          <w:numId w:val="28"/>
        </w:numPr>
        <w:jc w:val="both"/>
        <w:rPr>
          <w:rFonts w:ascii="Arial" w:hAnsi="Arial" w:cs="Arial"/>
          <w:color w:val="7B7B7B" w:themeColor="accent3" w:themeShade="BF"/>
          <w:sz w:val="22"/>
          <w:szCs w:val="22"/>
        </w:rPr>
      </w:pPr>
      <w:r w:rsidRPr="00186ACC">
        <w:rPr>
          <w:rFonts w:ascii="Arial" w:hAnsi="Arial" w:cs="Arial"/>
          <w:color w:val="7B7B7B" w:themeColor="accent3" w:themeShade="BF"/>
          <w:sz w:val="22"/>
          <w:szCs w:val="22"/>
        </w:rPr>
        <w:t>at any time in the period of 3 years ending with that day:</w:t>
      </w:r>
    </w:p>
    <w:p w14:paraId="27729677" w14:textId="750CD5B1" w:rsidR="004319E5" w:rsidRPr="00186ACC" w:rsidRDefault="004319E5" w:rsidP="00186ACC">
      <w:pPr>
        <w:pStyle w:val="ListParagraph"/>
        <w:numPr>
          <w:ilvl w:val="0"/>
          <w:numId w:val="29"/>
        </w:numPr>
        <w:jc w:val="both"/>
        <w:rPr>
          <w:rFonts w:ascii="Arial" w:hAnsi="Arial" w:cs="Arial"/>
          <w:color w:val="7B7B7B" w:themeColor="accent3" w:themeShade="BF"/>
          <w:sz w:val="22"/>
          <w:szCs w:val="22"/>
        </w:rPr>
      </w:pPr>
      <w:r w:rsidRPr="00186ACC">
        <w:rPr>
          <w:rFonts w:ascii="Arial" w:hAnsi="Arial" w:cs="Arial"/>
          <w:color w:val="7B7B7B" w:themeColor="accent3" w:themeShade="BF"/>
          <w:sz w:val="22"/>
          <w:szCs w:val="22"/>
        </w:rPr>
        <w:t>has been ordinarily resident, or has had a place of residence, in Hong Kong or</w:t>
      </w:r>
    </w:p>
    <w:p w14:paraId="47227CF3" w14:textId="67567451" w:rsidR="00E15753" w:rsidRPr="00186ACC" w:rsidRDefault="004319E5" w:rsidP="00186ACC">
      <w:pPr>
        <w:pStyle w:val="ListParagraph"/>
        <w:numPr>
          <w:ilvl w:val="0"/>
          <w:numId w:val="29"/>
        </w:numPr>
        <w:jc w:val="both"/>
        <w:rPr>
          <w:rFonts w:ascii="Arial" w:hAnsi="Arial" w:cs="Arial"/>
          <w:color w:val="7B7B7B" w:themeColor="accent3" w:themeShade="BF"/>
          <w:sz w:val="22"/>
          <w:szCs w:val="22"/>
        </w:rPr>
      </w:pPr>
      <w:r w:rsidRPr="00186ACC">
        <w:rPr>
          <w:rFonts w:ascii="Arial" w:hAnsi="Arial" w:cs="Arial"/>
          <w:color w:val="7B7B7B" w:themeColor="accent3" w:themeShade="BF"/>
          <w:sz w:val="22"/>
          <w:szCs w:val="22"/>
        </w:rPr>
        <w:t xml:space="preserve">has carried on business in Hong Kong </w:t>
      </w:r>
    </w:p>
    <w:p w14:paraId="1F1047AF" w14:textId="6AAD5A68" w:rsidR="00E15753" w:rsidRDefault="00E15753" w:rsidP="00737749">
      <w:pPr>
        <w:ind w:left="720" w:hanging="720"/>
        <w:jc w:val="both"/>
        <w:rPr>
          <w:rFonts w:ascii="Arial" w:hAnsi="Arial" w:cs="Arial"/>
          <w:color w:val="808080" w:themeColor="background1" w:themeShade="80"/>
          <w:sz w:val="22"/>
          <w:szCs w:val="22"/>
          <w:lang w:val="en-GB"/>
        </w:rPr>
      </w:pPr>
    </w:p>
    <w:p w14:paraId="1772466A" w14:textId="77777777" w:rsidR="00566507" w:rsidRPr="00E15753" w:rsidRDefault="00566507"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7E2AEB">
      <w:pPr>
        <w:contextualSpacing/>
        <w:jc w:val="both"/>
        <w:rPr>
          <w:rFonts w:ascii="Arial" w:hAnsi="Arial" w:cs="Arial"/>
          <w:sz w:val="22"/>
          <w:szCs w:val="22"/>
        </w:rPr>
      </w:pPr>
    </w:p>
    <w:p w14:paraId="4377743C" w14:textId="3152578C" w:rsidR="003C10EB" w:rsidRPr="005D2CD6" w:rsidRDefault="007E2AEB" w:rsidP="007E2AEB">
      <w:pPr>
        <w:contextualSpacing/>
        <w:jc w:val="both"/>
        <w:rPr>
          <w:rFonts w:ascii="Arial" w:hAnsi="Arial" w:cs="Arial"/>
          <w:sz w:val="22"/>
          <w:szCs w:val="22"/>
        </w:rPr>
      </w:pPr>
      <w:r>
        <w:rPr>
          <w:rFonts w:ascii="Arial" w:hAnsi="Arial" w:cs="Arial"/>
          <w:color w:val="7B7B7B" w:themeColor="accent3" w:themeShade="BF"/>
          <w:sz w:val="22"/>
          <w:szCs w:val="22"/>
        </w:rPr>
        <w:t xml:space="preserve">Following are the 3 core requirements </w:t>
      </w:r>
      <w:r w:rsidRPr="007E2AEB">
        <w:rPr>
          <w:rFonts w:ascii="Arial" w:hAnsi="Arial" w:cs="Arial"/>
          <w:color w:val="7B7B7B" w:themeColor="accent3" w:themeShade="BF"/>
          <w:sz w:val="22"/>
          <w:szCs w:val="22"/>
        </w:rPr>
        <w:t>that enable the Hong Kong court to exercise its jurisdiction to wind up a non-Hong Kong company</w:t>
      </w:r>
    </w:p>
    <w:p w14:paraId="36C0E842" w14:textId="32A070A5" w:rsidR="00193428" w:rsidRPr="007E2AEB" w:rsidRDefault="00193428" w:rsidP="007E2AEB">
      <w:pPr>
        <w:contextualSpacing/>
        <w:jc w:val="both"/>
        <w:rPr>
          <w:rFonts w:ascii="Arial" w:hAnsi="Arial" w:cs="Arial"/>
          <w:color w:val="7B7B7B" w:themeColor="accent3" w:themeShade="BF"/>
          <w:sz w:val="22"/>
          <w:szCs w:val="22"/>
        </w:rPr>
      </w:pPr>
    </w:p>
    <w:p w14:paraId="500E2EBA" w14:textId="259F2A80" w:rsidR="007E2AEB" w:rsidRPr="007E2AEB" w:rsidRDefault="007E2AEB" w:rsidP="007E2AEB">
      <w:pPr>
        <w:pStyle w:val="ListParagraph"/>
        <w:numPr>
          <w:ilvl w:val="0"/>
          <w:numId w:val="30"/>
        </w:numPr>
        <w:jc w:val="both"/>
        <w:rPr>
          <w:rFonts w:ascii="Arial" w:hAnsi="Arial" w:cs="Arial"/>
          <w:color w:val="7B7B7B" w:themeColor="accent3" w:themeShade="BF"/>
          <w:sz w:val="22"/>
          <w:szCs w:val="22"/>
        </w:rPr>
      </w:pPr>
      <w:r w:rsidRPr="007E2AEB">
        <w:rPr>
          <w:rFonts w:ascii="Arial" w:hAnsi="Arial" w:cs="Arial"/>
          <w:color w:val="7B7B7B" w:themeColor="accent3" w:themeShade="BF"/>
          <w:sz w:val="22"/>
          <w:szCs w:val="22"/>
        </w:rPr>
        <w:t xml:space="preserve">There must be sufficient connection with Hong Kong </w:t>
      </w:r>
    </w:p>
    <w:p w14:paraId="662E4158" w14:textId="7A4D1964" w:rsidR="007E2AEB" w:rsidRPr="007E2AEB" w:rsidRDefault="007E2AEB" w:rsidP="007E2AEB">
      <w:pPr>
        <w:pStyle w:val="ListParagraph"/>
        <w:numPr>
          <w:ilvl w:val="0"/>
          <w:numId w:val="30"/>
        </w:numPr>
        <w:jc w:val="both"/>
        <w:rPr>
          <w:rFonts w:ascii="Arial" w:hAnsi="Arial" w:cs="Arial"/>
          <w:color w:val="7B7B7B" w:themeColor="accent3" w:themeShade="BF"/>
          <w:sz w:val="22"/>
          <w:szCs w:val="22"/>
        </w:rPr>
      </w:pPr>
      <w:r w:rsidRPr="007E2AEB">
        <w:rPr>
          <w:rFonts w:ascii="Arial" w:hAnsi="Arial" w:cs="Arial"/>
          <w:color w:val="7B7B7B" w:themeColor="accent3" w:themeShade="BF"/>
          <w:sz w:val="22"/>
          <w:szCs w:val="22"/>
        </w:rPr>
        <w:t xml:space="preserve">There must be a reasonable possibility that the winding up order would benefit those applying for it </w:t>
      </w:r>
    </w:p>
    <w:p w14:paraId="7AD4065D" w14:textId="2D8AD85C" w:rsidR="007E2AEB" w:rsidRPr="007E2AEB" w:rsidRDefault="007E2AEB" w:rsidP="007E2AEB">
      <w:pPr>
        <w:pStyle w:val="ListParagraph"/>
        <w:numPr>
          <w:ilvl w:val="0"/>
          <w:numId w:val="30"/>
        </w:numPr>
        <w:jc w:val="both"/>
        <w:rPr>
          <w:rFonts w:ascii="Arial" w:hAnsi="Arial" w:cs="Arial"/>
          <w:color w:val="7B7B7B" w:themeColor="accent3" w:themeShade="BF"/>
          <w:sz w:val="22"/>
          <w:szCs w:val="22"/>
        </w:rPr>
      </w:pPr>
      <w:r w:rsidRPr="007E2AEB">
        <w:rPr>
          <w:rFonts w:ascii="Arial" w:hAnsi="Arial" w:cs="Arial"/>
          <w:color w:val="7B7B7B" w:themeColor="accent3" w:themeShade="BF"/>
          <w:sz w:val="22"/>
          <w:szCs w:val="22"/>
        </w:rPr>
        <w:t xml:space="preserve">The court must be able to exercise jurisdiction over one or mor persons interested in the distribution of the company’s assets. </w:t>
      </w:r>
    </w:p>
    <w:p w14:paraId="429B0E39" w14:textId="77777777" w:rsidR="007E2AEB" w:rsidRPr="007E2AEB" w:rsidRDefault="007E2AEB" w:rsidP="007E2AEB">
      <w:pPr>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E2C97">
      <w:pPr>
        <w:contextualSpacing/>
        <w:jc w:val="both"/>
        <w:rPr>
          <w:rFonts w:ascii="Arial" w:hAnsi="Arial" w:cs="Arial"/>
          <w:sz w:val="22"/>
          <w:szCs w:val="22"/>
          <w:lang w:val="en-GB"/>
        </w:rPr>
      </w:pPr>
    </w:p>
    <w:p w14:paraId="44529CED" w14:textId="6CBBA0A5" w:rsidR="003C10EB" w:rsidRDefault="002E2C97" w:rsidP="002E2C97">
      <w:pPr>
        <w:contextualSpacing/>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Provisional Liquidator can be appointed pursuant to section 193 of CWUMPO. </w:t>
      </w:r>
    </w:p>
    <w:p w14:paraId="750EC623" w14:textId="3A768A12" w:rsidR="002E2C97" w:rsidRPr="005D2CD6" w:rsidRDefault="002E2C97" w:rsidP="002E2C97">
      <w:pPr>
        <w:contextualSpacing/>
        <w:jc w:val="both"/>
        <w:rPr>
          <w:rFonts w:ascii="Arial" w:hAnsi="Arial" w:cs="Arial"/>
          <w:sz w:val="22"/>
          <w:szCs w:val="22"/>
        </w:rPr>
      </w:pPr>
      <w:r>
        <w:rPr>
          <w:rFonts w:ascii="Arial" w:hAnsi="Arial" w:cs="Arial"/>
          <w:color w:val="7B7B7B" w:themeColor="accent3" w:themeShade="BF"/>
          <w:sz w:val="22"/>
          <w:szCs w:val="22"/>
        </w:rPr>
        <w:t>Court can appoint provisional liquidator anytime between the winding up petition is presented and winding up order is made. The main purpose of the provisional liquidator is to preserve the assets of debtor. However, provisional liquidator can be appointed to facilitate the restructuring proposal although that cannot be the sole reason for appointment.</w:t>
      </w:r>
      <w:r w:rsidR="009E2502">
        <w:rPr>
          <w:rFonts w:ascii="Arial" w:hAnsi="Arial" w:cs="Arial"/>
          <w:color w:val="7B7B7B" w:themeColor="accent3" w:themeShade="BF"/>
          <w:sz w:val="22"/>
          <w:szCs w:val="22"/>
        </w:rPr>
        <w:t xml:space="preserve"> Provisional liquidator is not allowed to sell any assets of debtor without specific orders from the court. </w:t>
      </w:r>
      <w:r>
        <w:rPr>
          <w:rFonts w:ascii="Arial" w:hAnsi="Arial" w:cs="Arial"/>
          <w:color w:val="7B7B7B" w:themeColor="accent3" w:themeShade="BF"/>
          <w:sz w:val="22"/>
          <w:szCs w:val="22"/>
        </w:rPr>
        <w:t xml:space="preserve">The court may limit and restructure the powers of the provisional liquidator. </w:t>
      </w:r>
    </w:p>
    <w:p w14:paraId="73BA0D33" w14:textId="7BE21CFF" w:rsidR="00893B7C" w:rsidRDefault="00893B7C" w:rsidP="002E2C97">
      <w:pPr>
        <w:contextualSpacing/>
        <w:jc w:val="both"/>
        <w:rPr>
          <w:rFonts w:ascii="Arial" w:hAnsi="Arial" w:cs="Arial"/>
          <w:color w:val="7B7B7B" w:themeColor="accent3" w:themeShade="BF"/>
          <w:sz w:val="22"/>
          <w:szCs w:val="22"/>
          <w:lang w:val="en-GB"/>
        </w:rPr>
      </w:pPr>
    </w:p>
    <w:p w14:paraId="2C7F5BDF" w14:textId="44B3179F" w:rsidR="002E2C97" w:rsidRDefault="002E2C97" w:rsidP="002E2C97">
      <w:pPr>
        <w:contextualSpacing/>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com</w:t>
      </w:r>
      <w:r w:rsidR="009E2502">
        <w:rPr>
          <w:rFonts w:ascii="Arial" w:hAnsi="Arial" w:cs="Arial"/>
          <w:color w:val="7B7B7B" w:themeColor="accent3" w:themeShade="BF"/>
          <w:sz w:val="22"/>
          <w:szCs w:val="22"/>
          <w:lang w:val="en-GB"/>
        </w:rPr>
        <w:t xml:space="preserve">pulsory liquidation following winding up order, </w:t>
      </w:r>
      <w:r w:rsidR="009E2502" w:rsidRPr="009E2502">
        <w:rPr>
          <w:rFonts w:ascii="Arial" w:hAnsi="Arial" w:cs="Arial"/>
          <w:color w:val="7B7B7B" w:themeColor="accent3" w:themeShade="BF"/>
          <w:sz w:val="22"/>
          <w:szCs w:val="22"/>
          <w:lang w:val="en-GB"/>
        </w:rPr>
        <w:t>Official Receiver shall by virtue of his office become the provisional liquidator and shall continue until he or another person becomes liquidator</w:t>
      </w:r>
      <w:r w:rsidR="009E2502">
        <w:rPr>
          <w:rFonts w:ascii="Arial" w:hAnsi="Arial" w:cs="Arial"/>
          <w:color w:val="7B7B7B" w:themeColor="accent3" w:themeShade="BF"/>
          <w:sz w:val="22"/>
          <w:szCs w:val="22"/>
          <w:lang w:val="en-GB"/>
        </w:rPr>
        <w:t>.</w:t>
      </w:r>
    </w:p>
    <w:p w14:paraId="259E1B09" w14:textId="77777777" w:rsidR="009E2502" w:rsidRPr="00386801" w:rsidRDefault="009E2502" w:rsidP="002E2C97">
      <w:pPr>
        <w:contextualSpacing/>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lastRenderedPageBreak/>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A7691DA" w:rsidR="003765EF" w:rsidRDefault="003765EF" w:rsidP="00E14FA7">
      <w:pPr>
        <w:jc w:val="both"/>
        <w:rPr>
          <w:rFonts w:ascii="Arial" w:hAnsi="Arial" w:cs="Arial"/>
          <w:sz w:val="22"/>
          <w:szCs w:val="22"/>
        </w:rPr>
      </w:pPr>
    </w:p>
    <w:p w14:paraId="31C6606B" w14:textId="03742C24" w:rsidR="00DD16B8" w:rsidRPr="00DD16B8" w:rsidRDefault="00DD16B8" w:rsidP="00E14FA7">
      <w:pPr>
        <w:jc w:val="both"/>
        <w:rPr>
          <w:rFonts w:ascii="Arial" w:hAnsi="Arial" w:cs="Arial"/>
          <w:color w:val="7B7B7B" w:themeColor="accent3" w:themeShade="BF"/>
          <w:sz w:val="22"/>
          <w:szCs w:val="22"/>
        </w:rPr>
      </w:pPr>
      <w:r w:rsidRPr="00DD16B8">
        <w:rPr>
          <w:rFonts w:ascii="Arial" w:hAnsi="Arial" w:cs="Arial"/>
          <w:color w:val="7B7B7B" w:themeColor="accent3" w:themeShade="BF"/>
          <w:sz w:val="22"/>
          <w:szCs w:val="22"/>
        </w:rPr>
        <w:t xml:space="preserve">The powers of the liquidators are set out in section 199 and schedule 25 of CWUMPO. One of the powers is to investigate transactions/payments made by company within certain period prior to winding up to determine if these transactions should be avoided. </w:t>
      </w:r>
    </w:p>
    <w:p w14:paraId="63614500" w14:textId="77777777" w:rsidR="00DD16B8" w:rsidRPr="005D446E" w:rsidRDefault="00DD16B8" w:rsidP="00E14FA7">
      <w:pPr>
        <w:jc w:val="both"/>
        <w:rPr>
          <w:rFonts w:ascii="Arial" w:hAnsi="Arial" w:cs="Arial"/>
          <w:sz w:val="22"/>
          <w:szCs w:val="22"/>
        </w:rPr>
      </w:pPr>
    </w:p>
    <w:p w14:paraId="3D8965ED" w14:textId="74FE2530" w:rsidR="003C10EB" w:rsidRDefault="00B91824" w:rsidP="00B9182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Unfair Preference is when an insolvent company acts to place a creditor in a better position than it would have been upon the company’s insolvency. </w:t>
      </w:r>
    </w:p>
    <w:p w14:paraId="54E58E7C" w14:textId="77777777" w:rsidR="00AA5161" w:rsidRDefault="00AA5161" w:rsidP="00B91824">
      <w:pPr>
        <w:jc w:val="both"/>
        <w:rPr>
          <w:rFonts w:ascii="Arial" w:hAnsi="Arial" w:cs="Arial"/>
          <w:color w:val="7B7B7B" w:themeColor="accent3" w:themeShade="BF"/>
          <w:sz w:val="22"/>
          <w:szCs w:val="22"/>
        </w:rPr>
      </w:pPr>
    </w:p>
    <w:p w14:paraId="3AA9FAE1" w14:textId="7DC30B94" w:rsidR="00B91824" w:rsidRDefault="00B91824" w:rsidP="00B9182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liquidator can make an application to set aside such transactions. Such transaction should have occurred six months (2 years if connected beneficiary) prior to the commencement of winding up.</w:t>
      </w:r>
    </w:p>
    <w:p w14:paraId="46EFD977" w14:textId="05980231" w:rsidR="00DD16B8" w:rsidRDefault="00B91824" w:rsidP="00B9182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Liquidator must show that</w:t>
      </w:r>
      <w:r w:rsidR="00DD16B8">
        <w:rPr>
          <w:rFonts w:ascii="Arial" w:hAnsi="Arial" w:cs="Arial"/>
          <w:color w:val="7B7B7B" w:themeColor="accent3" w:themeShade="BF"/>
          <w:sz w:val="22"/>
          <w:szCs w:val="22"/>
        </w:rPr>
        <w:t xml:space="preserve"> when the</w:t>
      </w:r>
      <w:r>
        <w:rPr>
          <w:rFonts w:ascii="Arial" w:hAnsi="Arial" w:cs="Arial"/>
          <w:color w:val="7B7B7B" w:themeColor="accent3" w:themeShade="BF"/>
          <w:sz w:val="22"/>
          <w:szCs w:val="22"/>
        </w:rPr>
        <w:t xml:space="preserve"> unfair preference was given</w:t>
      </w:r>
      <w:r w:rsidR="00DD16B8">
        <w:rPr>
          <w:rFonts w:ascii="Arial" w:hAnsi="Arial" w:cs="Arial"/>
          <w:color w:val="7B7B7B" w:themeColor="accent3" w:themeShade="BF"/>
          <w:sz w:val="22"/>
          <w:szCs w:val="22"/>
        </w:rPr>
        <w:t xml:space="preserve"> at that time the company was either unable to pay its debts or became unable to pay its debt because of this transaction. Additionally, the liquidator must also prove that the company was driven by desire to improve the beneficiary’s position in the event of a liquidation. </w:t>
      </w:r>
    </w:p>
    <w:p w14:paraId="3398CECB" w14:textId="77777777" w:rsidR="00AA5161" w:rsidRDefault="00AA5161" w:rsidP="00B91824">
      <w:pPr>
        <w:jc w:val="both"/>
        <w:rPr>
          <w:rFonts w:ascii="Arial" w:hAnsi="Arial" w:cs="Arial"/>
          <w:color w:val="7B7B7B" w:themeColor="accent3" w:themeShade="BF"/>
          <w:sz w:val="22"/>
          <w:szCs w:val="22"/>
        </w:rPr>
      </w:pPr>
    </w:p>
    <w:p w14:paraId="3EA0161D" w14:textId="4674FD67" w:rsidR="00B91824" w:rsidRPr="005D2CD6" w:rsidRDefault="00AA5161" w:rsidP="00B91824">
      <w:pPr>
        <w:jc w:val="both"/>
        <w:rPr>
          <w:rFonts w:ascii="Arial" w:hAnsi="Arial" w:cs="Arial"/>
          <w:sz w:val="22"/>
          <w:szCs w:val="22"/>
        </w:rPr>
      </w:pPr>
      <w:r>
        <w:rPr>
          <w:rFonts w:ascii="Arial" w:hAnsi="Arial" w:cs="Arial"/>
          <w:color w:val="7B7B7B" w:themeColor="accent3" w:themeShade="BF"/>
          <w:sz w:val="22"/>
          <w:szCs w:val="22"/>
        </w:rPr>
        <w:t xml:space="preserve">In practice this desire of the company is very difficult to prove in court and transactions will not be set aside without </w:t>
      </w:r>
      <w:r w:rsidR="00D84F52">
        <w:rPr>
          <w:rFonts w:ascii="Arial" w:hAnsi="Arial" w:cs="Arial"/>
          <w:color w:val="7B7B7B" w:themeColor="accent3" w:themeShade="BF"/>
          <w:sz w:val="22"/>
          <w:szCs w:val="22"/>
        </w:rPr>
        <w:t>such proof</w:t>
      </w:r>
      <w:r>
        <w:rPr>
          <w:rFonts w:ascii="Arial" w:hAnsi="Arial" w:cs="Arial"/>
          <w:color w:val="7B7B7B" w:themeColor="accent3" w:themeShade="BF"/>
          <w:sz w:val="22"/>
          <w:szCs w:val="22"/>
        </w:rPr>
        <w:t xml:space="preserve">. </w:t>
      </w:r>
      <w:r w:rsidR="00B91824">
        <w:rPr>
          <w:rFonts w:ascii="Arial" w:hAnsi="Arial" w:cs="Arial"/>
          <w:color w:val="7B7B7B" w:themeColor="accent3" w:themeShade="BF"/>
          <w:sz w:val="22"/>
          <w:szCs w:val="22"/>
        </w:rPr>
        <w:t xml:space="preserve"> </w:t>
      </w:r>
    </w:p>
    <w:p w14:paraId="57CBC3D6" w14:textId="3F24D756" w:rsidR="005D446E" w:rsidRPr="00D84F52" w:rsidRDefault="005D446E" w:rsidP="00E14FA7">
      <w:pPr>
        <w:jc w:val="both"/>
        <w:rPr>
          <w:rFonts w:ascii="Arial" w:hAnsi="Arial" w:cs="Arial"/>
          <w:color w:val="808080" w:themeColor="background1" w:themeShade="80"/>
          <w:sz w:val="22"/>
          <w:szCs w:val="22"/>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75D4B8A9" w:rsidR="003C10EB" w:rsidRDefault="002B7D15" w:rsidP="002B7D1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While Hong Kong and Mainland are one country. But due to Hong Kong’s history, HK has a different and separate governance and legal system then PRC. This is quite popularly referred to as “one country two system”. </w:t>
      </w:r>
    </w:p>
    <w:p w14:paraId="7B39CB02" w14:textId="732E161E" w:rsidR="002B7D15" w:rsidRDefault="002B7D15" w:rsidP="002B7D15">
      <w:pPr>
        <w:jc w:val="both"/>
        <w:rPr>
          <w:rFonts w:ascii="Arial" w:hAnsi="Arial" w:cs="Arial"/>
          <w:color w:val="7B7B7B" w:themeColor="accent3" w:themeShade="BF"/>
          <w:sz w:val="22"/>
          <w:szCs w:val="22"/>
        </w:rPr>
      </w:pPr>
    </w:p>
    <w:p w14:paraId="4A1DBEA2" w14:textId="27F43B70" w:rsidR="002B7D15" w:rsidRDefault="002B7D15" w:rsidP="002B7D1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HK does not have any statutory framework to deal with cross border insolvency. HK has not adopted the UNCITRAL Model Law on Cross-border framework and not party to any bilateral agreements/treaties with any country (including mainland). </w:t>
      </w:r>
    </w:p>
    <w:p w14:paraId="62C208F2" w14:textId="52BC412A" w:rsidR="002B7D15" w:rsidRDefault="002B7D15" w:rsidP="002B7D15">
      <w:pPr>
        <w:jc w:val="both"/>
        <w:rPr>
          <w:rFonts w:ascii="Arial" w:hAnsi="Arial" w:cs="Arial"/>
          <w:color w:val="7B7B7B" w:themeColor="accent3" w:themeShade="BF"/>
          <w:sz w:val="22"/>
          <w:szCs w:val="22"/>
        </w:rPr>
      </w:pPr>
    </w:p>
    <w:p w14:paraId="3CF82098" w14:textId="745266DD" w:rsidR="003D2A0B" w:rsidRDefault="003D2A0B" w:rsidP="003D2A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HK courts use common law developments with issues related cross border insolvency issues. HK courts have already, in 2 separate occasion, recognised the appointment of officeholders appointed in the mainland. </w:t>
      </w:r>
    </w:p>
    <w:p w14:paraId="1B1CDA87" w14:textId="0235D157" w:rsidR="003D2A0B" w:rsidRDefault="003D2A0B" w:rsidP="002B7D15">
      <w:pPr>
        <w:jc w:val="both"/>
        <w:rPr>
          <w:rFonts w:ascii="Arial" w:hAnsi="Arial" w:cs="Arial"/>
          <w:color w:val="7B7B7B" w:themeColor="accent3" w:themeShade="BF"/>
          <w:sz w:val="22"/>
          <w:szCs w:val="22"/>
          <w:lang w:val="en-GB"/>
        </w:rPr>
      </w:pPr>
    </w:p>
    <w:p w14:paraId="65ACABA7" w14:textId="5EEB974A" w:rsidR="002B769F" w:rsidRDefault="002B769F" w:rsidP="002B7D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Mainland Judgements (Reciprocal Enforcement ) Ordinance (Cap 597) is a mechanism to help with enforcement of PRC judgement in HK under certain specific conditions. These conditions are </w:t>
      </w:r>
    </w:p>
    <w:p w14:paraId="71F8310A" w14:textId="5B42E5EA" w:rsidR="002B769F" w:rsidRDefault="00D7429A" w:rsidP="00D7429A">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are in relation to commercial courts</w:t>
      </w:r>
    </w:p>
    <w:p w14:paraId="307B213E" w14:textId="69D8079D" w:rsidR="00D7429A" w:rsidRDefault="00D7429A" w:rsidP="00D7429A">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valid agreement on choice of mainland court</w:t>
      </w:r>
    </w:p>
    <w:p w14:paraId="1FA904E7" w14:textId="1DDA03E1" w:rsidR="00D7429A" w:rsidRDefault="00D7429A" w:rsidP="00D7429A">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 money judgement</w:t>
      </w:r>
    </w:p>
    <w:p w14:paraId="4FD39372" w14:textId="0A2D777C" w:rsidR="00D7429A" w:rsidRDefault="00D7429A" w:rsidP="00D7429A">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Judgement is final and conclusive</w:t>
      </w:r>
    </w:p>
    <w:p w14:paraId="0D4D754A" w14:textId="0C2D2AE8" w:rsidR="00D7429A" w:rsidRPr="00D7429A" w:rsidRDefault="00D7429A" w:rsidP="00D7429A">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Judgement is being enforced within 2 years</w:t>
      </w:r>
    </w:p>
    <w:p w14:paraId="5E4234E2" w14:textId="77777777" w:rsidR="002B769F" w:rsidRDefault="002B769F" w:rsidP="002B7D15">
      <w:pPr>
        <w:jc w:val="both"/>
        <w:rPr>
          <w:rFonts w:ascii="Arial" w:hAnsi="Arial" w:cs="Arial"/>
          <w:color w:val="7B7B7B" w:themeColor="accent3" w:themeShade="BF"/>
          <w:sz w:val="22"/>
          <w:szCs w:val="22"/>
          <w:lang w:val="en-GB"/>
        </w:rPr>
      </w:pPr>
    </w:p>
    <w:p w14:paraId="7E695F11" w14:textId="77777777" w:rsidR="002B769F" w:rsidRPr="003D2A0B" w:rsidRDefault="002B769F" w:rsidP="002B7D15">
      <w:pPr>
        <w:jc w:val="both"/>
        <w:rPr>
          <w:rFonts w:ascii="Arial" w:hAnsi="Arial" w:cs="Arial"/>
          <w:color w:val="7B7B7B" w:themeColor="accent3" w:themeShade="BF"/>
          <w:sz w:val="22"/>
          <w:szCs w:val="22"/>
          <w:lang w:val="en-GB"/>
        </w:rPr>
      </w:pPr>
    </w:p>
    <w:p w14:paraId="4A13699E" w14:textId="22B9F0F2" w:rsidR="002B7D15" w:rsidRDefault="002B7D15" w:rsidP="002B7D1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However, recently in May 2021, a new pilot program has commenced with an arrangement between HK and some provinces</w:t>
      </w:r>
      <w:r w:rsidR="003D2A0B">
        <w:rPr>
          <w:rFonts w:ascii="Arial" w:hAnsi="Arial" w:cs="Arial"/>
          <w:color w:val="7B7B7B" w:themeColor="accent3" w:themeShade="BF"/>
          <w:sz w:val="22"/>
          <w:szCs w:val="22"/>
        </w:rPr>
        <w:t xml:space="preserve"> (as pilot)</w:t>
      </w:r>
      <w:r>
        <w:rPr>
          <w:rFonts w:ascii="Arial" w:hAnsi="Arial" w:cs="Arial"/>
          <w:color w:val="7B7B7B" w:themeColor="accent3" w:themeShade="BF"/>
          <w:sz w:val="22"/>
          <w:szCs w:val="22"/>
        </w:rPr>
        <w:t xml:space="preserve"> of mainland for mutual recognition and assistance in </w:t>
      </w:r>
      <w:r w:rsidR="003D2A0B">
        <w:rPr>
          <w:rFonts w:ascii="Arial" w:hAnsi="Arial" w:cs="Arial"/>
          <w:color w:val="7B7B7B" w:themeColor="accent3" w:themeShade="BF"/>
          <w:sz w:val="22"/>
          <w:szCs w:val="22"/>
        </w:rPr>
        <w:t>bankruptcy proceedings</w:t>
      </w:r>
      <w:r>
        <w:rPr>
          <w:rFonts w:ascii="Arial" w:hAnsi="Arial" w:cs="Arial"/>
          <w:color w:val="7B7B7B" w:themeColor="accent3" w:themeShade="BF"/>
          <w:sz w:val="22"/>
          <w:szCs w:val="22"/>
        </w:rPr>
        <w:t xml:space="preserve">.  </w:t>
      </w:r>
      <w:r w:rsidR="003D2A0B">
        <w:rPr>
          <w:rFonts w:ascii="Arial" w:hAnsi="Arial" w:cs="Arial"/>
          <w:color w:val="7B7B7B" w:themeColor="accent3" w:themeShade="BF"/>
          <w:sz w:val="22"/>
          <w:szCs w:val="22"/>
        </w:rPr>
        <w:t xml:space="preserve">This allows for HK appointed Liquidators/provisional liquidators in insolvency proceedings to apply for recognition in the Mainland and vice versa. A letter of request for the respective court is required. </w:t>
      </w:r>
    </w:p>
    <w:p w14:paraId="6B7DF247" w14:textId="77777777" w:rsidR="002B7D15" w:rsidRPr="002B7D15" w:rsidRDefault="002B7D15" w:rsidP="002B7D15">
      <w:pPr>
        <w:jc w:val="both"/>
        <w:rPr>
          <w:rFonts w:ascii="Arial" w:hAnsi="Arial" w:cs="Arial"/>
          <w:color w:val="7B7B7B" w:themeColor="accent3" w:themeShade="BF"/>
          <w:sz w:val="22"/>
          <w:szCs w:val="22"/>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AE20BC3" w14:textId="1604AAF2" w:rsidR="00D14632" w:rsidRDefault="00D14632" w:rsidP="009D377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HK does not have a formal corporate rescue regime such as Chapter 11 in US. Instead, the only mechanism for restructuring in HK is the Scheme of Arrangement. </w:t>
      </w:r>
    </w:p>
    <w:p w14:paraId="0353AADE" w14:textId="0E4E1F16" w:rsidR="003C10EB" w:rsidRDefault="00D14632" w:rsidP="009D377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660B4DA1" w14:textId="5DE2BCD0" w:rsidR="00D14632" w:rsidRDefault="00D14632" w:rsidP="009D377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is a statutory mechanism under HK law allowing debtors to arrive at a compromise/restructuring with members/creditors and make this binding in law on all stakeholders. This is laid out in part 12, Division 2 of the companies Ordinance (668-677) while the court procedures are governed by O.102 r 2 and r5 of the Rules of the High Court. </w:t>
      </w:r>
    </w:p>
    <w:p w14:paraId="6341F6CD" w14:textId="758F7299" w:rsidR="00D14632" w:rsidRDefault="00D14632" w:rsidP="009D377C">
      <w:pPr>
        <w:jc w:val="both"/>
        <w:rPr>
          <w:rFonts w:ascii="Arial" w:hAnsi="Arial" w:cs="Arial"/>
          <w:color w:val="7B7B7B" w:themeColor="accent3" w:themeShade="BF"/>
          <w:sz w:val="22"/>
          <w:szCs w:val="22"/>
        </w:rPr>
      </w:pPr>
    </w:p>
    <w:p w14:paraId="6738B995" w14:textId="602FC941" w:rsidR="00D14632" w:rsidRDefault="00D14632" w:rsidP="009D377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Procedure </w:t>
      </w:r>
      <w:r w:rsidR="009C24A5">
        <w:rPr>
          <w:rFonts w:ascii="Arial" w:hAnsi="Arial" w:cs="Arial"/>
          <w:color w:val="7B7B7B" w:themeColor="accent3" w:themeShade="BF"/>
          <w:sz w:val="22"/>
          <w:szCs w:val="22"/>
        </w:rPr>
        <w:t>–</w:t>
      </w:r>
    </w:p>
    <w:p w14:paraId="55A1E41E" w14:textId="12003058" w:rsidR="009C24A5" w:rsidRDefault="009C24A5" w:rsidP="009C24A5">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Debtor submits to the court an explanatory Statement which gives details of the background, why scheme is needed and details of the scheme. </w:t>
      </w:r>
    </w:p>
    <w:p w14:paraId="43711E78" w14:textId="0FA81B5F" w:rsidR="009C24A5" w:rsidRDefault="009C24A5" w:rsidP="009C24A5">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Court is request for permission to convene meetings of the scheme creditors</w:t>
      </w:r>
    </w:p>
    <w:p w14:paraId="3F2EB625" w14:textId="0A4A36E4" w:rsidR="009C24A5" w:rsidRDefault="009C24A5" w:rsidP="009C24A5">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With this permission, creditors are given notice of meeting</w:t>
      </w:r>
    </w:p>
    <w:p w14:paraId="2C904B88" w14:textId="2C4B5AA4" w:rsidR="009C24A5" w:rsidRDefault="009C24A5" w:rsidP="009C24A5">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the meeting the creditors, the scheme needs to be approved by Majority creditors in numbers with at least 75% in value by each class of creditors. </w:t>
      </w:r>
    </w:p>
    <w:p w14:paraId="043C5D2F" w14:textId="34D618E4" w:rsidR="009C24A5" w:rsidRDefault="009C24A5" w:rsidP="009C24A5">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result of the meeting is then reported to the court.</w:t>
      </w:r>
    </w:p>
    <w:p w14:paraId="6A58C082" w14:textId="26CB7314" w:rsidR="009C24A5" w:rsidRDefault="009C24A5" w:rsidP="009C24A5">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Courts will then satisfy itself that the classes of creditors were appropriate, and the scheme is reasonable and fair before granting approval.</w:t>
      </w:r>
    </w:p>
    <w:p w14:paraId="2CC84650" w14:textId="4059A13B" w:rsidR="009C24A5" w:rsidRPr="009C24A5" w:rsidRDefault="009C24A5" w:rsidP="009C24A5">
      <w:pPr>
        <w:pStyle w:val="ListParagraph"/>
        <w:numPr>
          <w:ilvl w:val="0"/>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Once the court approves, the scheme is then registered with the companies registered and becomes effective binding all stake holders.</w:t>
      </w:r>
    </w:p>
    <w:p w14:paraId="24ED7CF0" w14:textId="77777777" w:rsidR="00D14632" w:rsidRDefault="00D14632" w:rsidP="009D377C">
      <w:pPr>
        <w:jc w:val="both"/>
        <w:rPr>
          <w:rFonts w:ascii="Arial" w:hAnsi="Arial" w:cs="Arial"/>
          <w:color w:val="7B7B7B" w:themeColor="accent3" w:themeShade="BF"/>
          <w:sz w:val="22"/>
          <w:szCs w:val="22"/>
        </w:rPr>
      </w:pPr>
    </w:p>
    <w:p w14:paraId="51116AA1" w14:textId="32308EEB" w:rsidR="00D14632" w:rsidRDefault="00D14632" w:rsidP="009D377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Moratorium – While HK law did not provide for a formal moratorium on creditor actions when scheme of arrangement </w:t>
      </w:r>
      <w:r w:rsidR="001265EE">
        <w:rPr>
          <w:rFonts w:ascii="Arial" w:hAnsi="Arial" w:cs="Arial"/>
          <w:color w:val="7B7B7B" w:themeColor="accent3" w:themeShade="BF"/>
          <w:sz w:val="22"/>
          <w:szCs w:val="22"/>
        </w:rPr>
        <w:t>is</w:t>
      </w:r>
      <w:r>
        <w:rPr>
          <w:rFonts w:ascii="Arial" w:hAnsi="Arial" w:cs="Arial"/>
          <w:color w:val="7B7B7B" w:themeColor="accent3" w:themeShade="BF"/>
          <w:sz w:val="22"/>
          <w:szCs w:val="22"/>
        </w:rPr>
        <w:t xml:space="preserve"> in progress. Now, post amendments to the Rules of the High court, courts have the power to stay proceedings.</w:t>
      </w:r>
    </w:p>
    <w:p w14:paraId="7A8F0EB8" w14:textId="5D349F87" w:rsidR="00D14632" w:rsidRDefault="00D14632" w:rsidP="009D377C">
      <w:pPr>
        <w:jc w:val="both"/>
        <w:rPr>
          <w:rFonts w:ascii="Arial" w:hAnsi="Arial" w:cs="Arial"/>
          <w:color w:val="7B7B7B" w:themeColor="accent3" w:themeShade="BF"/>
          <w:sz w:val="22"/>
          <w:szCs w:val="22"/>
        </w:rPr>
      </w:pPr>
    </w:p>
    <w:p w14:paraId="46D8F375" w14:textId="0CBE9C8B" w:rsidR="00D14632" w:rsidRPr="009D377C" w:rsidRDefault="009C24A5" w:rsidP="009D377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HK governed debt – The Scheme of Arrangement binds only debt which is governed by HK law </w:t>
      </w:r>
      <w:r w:rsidR="003146D0">
        <w:rPr>
          <w:rFonts w:ascii="Arial" w:hAnsi="Arial" w:cs="Arial"/>
          <w:color w:val="7B7B7B" w:themeColor="accent3" w:themeShade="BF"/>
          <w:sz w:val="22"/>
          <w:szCs w:val="22"/>
        </w:rPr>
        <w:t>or</w:t>
      </w:r>
      <w:r>
        <w:rPr>
          <w:rFonts w:ascii="Arial" w:hAnsi="Arial" w:cs="Arial"/>
          <w:color w:val="7B7B7B" w:themeColor="accent3" w:themeShade="BF"/>
          <w:sz w:val="22"/>
          <w:szCs w:val="22"/>
        </w:rPr>
        <w:t xml:space="preserve"> those non-HK governed creditors who choose to take part in the scheme. </w:t>
      </w:r>
    </w:p>
    <w:p w14:paraId="60ADAAB6" w14:textId="75A0B1F2" w:rsidR="00711999" w:rsidRDefault="00711999" w:rsidP="00E14FA7">
      <w:pPr>
        <w:jc w:val="both"/>
        <w:rPr>
          <w:rFonts w:ascii="Arial" w:hAnsi="Arial" w:cs="Arial"/>
          <w:color w:val="808080" w:themeColor="background1" w:themeShade="80"/>
          <w:sz w:val="22"/>
          <w:szCs w:val="22"/>
          <w:lang w:val="en-GB"/>
        </w:rPr>
      </w:pPr>
    </w:p>
    <w:p w14:paraId="7EF6832B" w14:textId="0242E11B" w:rsidR="00B43AB8" w:rsidRDefault="00B43AB8" w:rsidP="00E14FA7">
      <w:pPr>
        <w:jc w:val="both"/>
        <w:rPr>
          <w:rFonts w:ascii="Arial" w:hAnsi="Arial" w:cs="Arial"/>
          <w:color w:val="7B7B7B" w:themeColor="accent3" w:themeShade="BF"/>
          <w:sz w:val="22"/>
          <w:szCs w:val="22"/>
        </w:rPr>
      </w:pPr>
      <w:r>
        <w:rPr>
          <w:rFonts w:ascii="Arial" w:hAnsi="Arial" w:cs="Arial"/>
          <w:color w:val="808080" w:themeColor="background1" w:themeShade="80"/>
          <w:sz w:val="22"/>
          <w:szCs w:val="22"/>
          <w:lang w:val="en-GB"/>
        </w:rPr>
        <w:t xml:space="preserve">Classes of Creditor – The scheme of arrangement allows debtor to classify creditors basis their legal rights and offer differential treatment in the restructuring. The court will decide if the classification is appropriate at a later stage while approving the scheme rather than initially when debtor makes the first application to court in form of </w:t>
      </w:r>
      <w:r>
        <w:rPr>
          <w:rFonts w:ascii="Arial" w:hAnsi="Arial" w:cs="Arial"/>
          <w:color w:val="7B7B7B" w:themeColor="accent3" w:themeShade="BF"/>
          <w:sz w:val="22"/>
          <w:szCs w:val="22"/>
        </w:rPr>
        <w:t>explanatory statement. Thus</w:t>
      </w:r>
      <w:r w:rsidR="003146D0">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there is a risk of the restructuring not being allowed by the court due to mis classification of creditors thereby wasting time, money and resources. </w:t>
      </w:r>
    </w:p>
    <w:p w14:paraId="7F94E5B8" w14:textId="0E3DCA6B" w:rsidR="00B43AB8" w:rsidRDefault="00B43AB8" w:rsidP="00E14FA7">
      <w:pPr>
        <w:jc w:val="both"/>
        <w:rPr>
          <w:rFonts w:ascii="Arial" w:hAnsi="Arial" w:cs="Arial"/>
          <w:color w:val="7B7B7B" w:themeColor="accent3" w:themeShade="BF"/>
          <w:sz w:val="22"/>
          <w:szCs w:val="22"/>
        </w:rPr>
      </w:pPr>
    </w:p>
    <w:p w14:paraId="738B2709" w14:textId="329742E6" w:rsidR="00B43AB8" w:rsidRDefault="00B43AB8"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Creditor approval – In the scheme of arrangement procedure the debtor needs to obtain approval of majority creditors in numbers with at least 75% in value by each class of creditors. Outside the scheme of arrangement debtor will need to obtain 100% creditor approval for the restructuring to be binding.</w:t>
      </w:r>
    </w:p>
    <w:p w14:paraId="3CB13625" w14:textId="77777777" w:rsidR="00B43AB8" w:rsidRDefault="00B43AB8" w:rsidP="00E14FA7">
      <w:pPr>
        <w:jc w:val="both"/>
        <w:rPr>
          <w:rFonts w:ascii="Arial" w:hAnsi="Arial" w:cs="Arial"/>
          <w:color w:val="7B7B7B" w:themeColor="accent3" w:themeShade="BF"/>
          <w:sz w:val="22"/>
          <w:szCs w:val="22"/>
        </w:rPr>
      </w:pPr>
    </w:p>
    <w:p w14:paraId="6B61805B" w14:textId="77777777" w:rsidR="00B43AB8" w:rsidRDefault="00B43AB8"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Hold out creditors/members – The scheme of arrangement once approved by the requisite number/value of creditors and court is binding on all. Hence makes it easier for debtor to deal with the hold out creditor/members.</w:t>
      </w:r>
    </w:p>
    <w:p w14:paraId="2E046CB7" w14:textId="77777777" w:rsidR="00B43AB8" w:rsidRDefault="00B43AB8" w:rsidP="00E14FA7">
      <w:pPr>
        <w:jc w:val="both"/>
        <w:rPr>
          <w:rFonts w:ascii="Arial" w:hAnsi="Arial" w:cs="Arial"/>
          <w:color w:val="7B7B7B" w:themeColor="accent3" w:themeShade="BF"/>
          <w:sz w:val="22"/>
          <w:szCs w:val="22"/>
        </w:rPr>
      </w:pPr>
    </w:p>
    <w:p w14:paraId="30D798FC" w14:textId="2AF78E43" w:rsidR="00B43AB8" w:rsidRDefault="00B43AB8"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r w:rsidR="003146D0">
        <w:rPr>
          <w:rFonts w:ascii="Arial" w:hAnsi="Arial" w:cs="Arial"/>
          <w:color w:val="7B7B7B" w:themeColor="accent3" w:themeShade="BF"/>
          <w:sz w:val="22"/>
          <w:szCs w:val="22"/>
        </w:rPr>
        <w:t>Consent fee – Debtor can offer consent fee to creditors for voting in favour of the scheme. However, such fee should be offered to all.</w:t>
      </w:r>
    </w:p>
    <w:p w14:paraId="76196BCA" w14:textId="48492137" w:rsidR="003146D0" w:rsidRDefault="003146D0" w:rsidP="00E14FA7">
      <w:pPr>
        <w:jc w:val="both"/>
        <w:rPr>
          <w:rFonts w:ascii="Arial" w:hAnsi="Arial" w:cs="Arial"/>
          <w:color w:val="7B7B7B" w:themeColor="accent3" w:themeShade="BF"/>
          <w:sz w:val="22"/>
          <w:szCs w:val="22"/>
        </w:rPr>
      </w:pPr>
    </w:p>
    <w:p w14:paraId="388C0622" w14:textId="1314B40C" w:rsidR="003146D0" w:rsidRPr="00711999" w:rsidRDefault="003146D0" w:rsidP="00E14FA7">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rPr>
        <w:t xml:space="preserve">Third Party Obligation – Scheme of arrangement allows for release of third party obligation to creditors in certain conditions.   </w:t>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DD4B838" w14:textId="2EBE7187" w:rsidR="003C10EB" w:rsidRDefault="0038258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Chan’s friend is </w:t>
      </w:r>
      <w:r w:rsidR="00E74CD3">
        <w:rPr>
          <w:rFonts w:ascii="Arial" w:hAnsi="Arial" w:cs="Arial"/>
          <w:color w:val="7B7B7B" w:themeColor="accent3" w:themeShade="BF"/>
          <w:sz w:val="22"/>
          <w:szCs w:val="22"/>
        </w:rPr>
        <w:t xml:space="preserve">NOT </w:t>
      </w:r>
      <w:r>
        <w:rPr>
          <w:rFonts w:ascii="Arial" w:hAnsi="Arial" w:cs="Arial"/>
          <w:color w:val="7B7B7B" w:themeColor="accent3" w:themeShade="BF"/>
          <w:sz w:val="22"/>
          <w:szCs w:val="22"/>
        </w:rPr>
        <w:t xml:space="preserve">correct. </w:t>
      </w:r>
    </w:p>
    <w:p w14:paraId="78B9A29C" w14:textId="3AFA4202" w:rsidR="00382581" w:rsidRDefault="00382581" w:rsidP="00382581">
      <w:pPr>
        <w:pStyle w:val="ListParagraph"/>
        <w:numPr>
          <w:ilvl w:val="0"/>
          <w:numId w:val="32"/>
        </w:numPr>
        <w:jc w:val="both"/>
        <w:rPr>
          <w:rFonts w:ascii="Arial" w:hAnsi="Arial" w:cs="Arial"/>
          <w:color w:val="7B7B7B" w:themeColor="accent3" w:themeShade="BF"/>
          <w:sz w:val="22"/>
          <w:szCs w:val="22"/>
        </w:rPr>
      </w:pPr>
      <w:r w:rsidRPr="00382581">
        <w:rPr>
          <w:rFonts w:ascii="Arial" w:hAnsi="Arial" w:cs="Arial"/>
          <w:color w:val="7B7B7B" w:themeColor="accent3" w:themeShade="BF"/>
          <w:sz w:val="22"/>
          <w:szCs w:val="22"/>
        </w:rPr>
        <w:t>Winding up</w:t>
      </w:r>
      <w:r>
        <w:rPr>
          <w:rFonts w:ascii="Arial" w:hAnsi="Arial" w:cs="Arial"/>
          <w:color w:val="7B7B7B" w:themeColor="accent3" w:themeShade="BF"/>
          <w:sz w:val="22"/>
          <w:szCs w:val="22"/>
        </w:rPr>
        <w:t xml:space="preserve"> petition is not the only option for Mr. Chan. While HK does not have a formal corporate rescue mechanism, Mr. Chan can use the scheme of arrangement mechanism to restructure the business liabilities. </w:t>
      </w:r>
    </w:p>
    <w:p w14:paraId="2DC31B9F" w14:textId="53236C61" w:rsidR="00382581" w:rsidRPr="00382581" w:rsidRDefault="00382581" w:rsidP="00382581">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 appointment of “Friendly” liquidator – Since Mr. Chan is in financial difficulties, the creditors will have the right to appoint a liquidator even if it is a voluntary liquidation. One of the most important powers and duties of the liquidator is </w:t>
      </w:r>
      <w:r w:rsidR="00E74CD3">
        <w:rPr>
          <w:rFonts w:ascii="Arial" w:hAnsi="Arial" w:cs="Arial"/>
          <w:color w:val="7B7B7B" w:themeColor="accent3" w:themeShade="BF"/>
          <w:sz w:val="22"/>
          <w:szCs w:val="22"/>
        </w:rPr>
        <w:t xml:space="preserve">to </w:t>
      </w:r>
      <w:r>
        <w:rPr>
          <w:rFonts w:ascii="Arial" w:hAnsi="Arial" w:cs="Arial"/>
          <w:color w:val="7B7B7B" w:themeColor="accent3" w:themeShade="BF"/>
          <w:sz w:val="22"/>
          <w:szCs w:val="22"/>
        </w:rPr>
        <w:t xml:space="preserve">assess if there were any financial irregularities and report it to the court. Hence voluntary winding up will not help.    </w:t>
      </w:r>
    </w:p>
    <w:p w14:paraId="292D979B" w14:textId="6EB25169"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445F9712" w14:textId="6BEE85A1" w:rsidR="00382581" w:rsidRDefault="00382581"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Mr. Chan could use the Scheme of Arrangement mechanism to restructure the liabilities and post court’s approval it will become binding on all stakeholders.</w:t>
      </w:r>
    </w:p>
    <w:p w14:paraId="38896A80" w14:textId="6D01840B" w:rsidR="00382581" w:rsidRDefault="00382581" w:rsidP="00382581">
      <w:pPr>
        <w:pStyle w:val="ListParagraph"/>
        <w:numPr>
          <w:ilvl w:val="0"/>
          <w:numId w:val="3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Chan needs to prepare a plan and make an application to court for convening creditor meeting. </w:t>
      </w:r>
    </w:p>
    <w:p w14:paraId="6E339480" w14:textId="5015FF23" w:rsidR="00382581" w:rsidRPr="00382581" w:rsidRDefault="00382581" w:rsidP="00382581">
      <w:pPr>
        <w:pStyle w:val="ListParagraph"/>
        <w:numPr>
          <w:ilvl w:val="0"/>
          <w:numId w:val="3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Get the plan approved by all class of creditors. Threshold for approval is </w:t>
      </w:r>
      <w:r>
        <w:rPr>
          <w:rFonts w:ascii="Arial" w:hAnsi="Arial" w:cs="Arial"/>
          <w:color w:val="7B7B7B" w:themeColor="accent3" w:themeShade="BF"/>
          <w:sz w:val="22"/>
          <w:szCs w:val="22"/>
        </w:rPr>
        <w:t>majority creditors in numbers with at least 75% in value by each class of creditors.</w:t>
      </w:r>
    </w:p>
    <w:p w14:paraId="76E9D194" w14:textId="45413DEC" w:rsidR="00382581" w:rsidRPr="00382581" w:rsidRDefault="00382581" w:rsidP="00382581">
      <w:pPr>
        <w:pStyle w:val="ListParagraph"/>
        <w:numPr>
          <w:ilvl w:val="0"/>
          <w:numId w:val="3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rPr>
        <w:t xml:space="preserve">Then seek court approval on the plan. </w:t>
      </w:r>
    </w:p>
    <w:p w14:paraId="72F15E8C" w14:textId="49D40A54" w:rsidR="00382581" w:rsidRPr="00382581" w:rsidRDefault="00382581" w:rsidP="00382581">
      <w:pPr>
        <w:pStyle w:val="ListParagraph"/>
        <w:numPr>
          <w:ilvl w:val="0"/>
          <w:numId w:val="33"/>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rPr>
        <w:t xml:space="preserve">Once the court approves, register the plan with the </w:t>
      </w:r>
      <w:r w:rsidR="00D77D02">
        <w:rPr>
          <w:rFonts w:ascii="Arial" w:hAnsi="Arial" w:cs="Arial"/>
          <w:color w:val="7B7B7B" w:themeColor="accent3" w:themeShade="BF"/>
          <w:sz w:val="22"/>
          <w:szCs w:val="22"/>
        </w:rPr>
        <w:t>company’s</w:t>
      </w:r>
      <w:r>
        <w:rPr>
          <w:rFonts w:ascii="Arial" w:hAnsi="Arial" w:cs="Arial"/>
          <w:color w:val="7B7B7B" w:themeColor="accent3" w:themeShade="BF"/>
          <w:sz w:val="22"/>
          <w:szCs w:val="22"/>
        </w:rPr>
        <w:t xml:space="preserve"> registrar and the plan is binding on all stakeholders. </w:t>
      </w:r>
    </w:p>
    <w:p w14:paraId="2058A837" w14:textId="002088BE" w:rsidR="00382581" w:rsidRDefault="00382581" w:rsidP="00E14FA7">
      <w:pPr>
        <w:autoSpaceDE w:val="0"/>
        <w:autoSpaceDN w:val="0"/>
        <w:adjustRightInd w:val="0"/>
        <w:jc w:val="both"/>
        <w:rPr>
          <w:rFonts w:ascii="Arial" w:hAnsi="Arial" w:cs="Arial"/>
          <w:color w:val="808080" w:themeColor="background1" w:themeShade="80"/>
          <w:sz w:val="22"/>
          <w:szCs w:val="22"/>
          <w:lang w:val="en-GB"/>
        </w:rPr>
      </w:pPr>
    </w:p>
    <w:p w14:paraId="7B2A98B1" w14:textId="1C8CA483" w:rsidR="00382581" w:rsidRDefault="00D77D02"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w:t>
      </w:r>
      <w:r w:rsidR="00C07988">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there are many nuances such as debt should be bound by HK laws, creditor classes should be determined by their rights</w:t>
      </w:r>
      <w:r w:rsidR="00E74CD3">
        <w:rPr>
          <w:rFonts w:ascii="Arial" w:hAnsi="Arial" w:cs="Arial"/>
          <w:color w:val="808080" w:themeColor="background1" w:themeShade="80"/>
          <w:sz w:val="22"/>
          <w:szCs w:val="22"/>
          <w:lang w:val="en-GB"/>
        </w:rPr>
        <w:t>, proper procedure needs to be followed</w:t>
      </w:r>
      <w:r>
        <w:rPr>
          <w:rFonts w:ascii="Arial" w:hAnsi="Arial" w:cs="Arial"/>
          <w:color w:val="808080" w:themeColor="background1" w:themeShade="80"/>
          <w:sz w:val="22"/>
          <w:szCs w:val="22"/>
          <w:lang w:val="en-GB"/>
        </w:rPr>
        <w:t xml:space="preserve"> etc which needs to be looked at. </w:t>
      </w:r>
    </w:p>
    <w:p w14:paraId="2A08FACA" w14:textId="77777777" w:rsidR="00382581" w:rsidRDefault="00382581"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lastRenderedPageBreak/>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C07988" w:rsidRDefault="003765EF" w:rsidP="007E1E1F">
      <w:pPr>
        <w:autoSpaceDE w:val="0"/>
        <w:autoSpaceDN w:val="0"/>
        <w:adjustRightInd w:val="0"/>
        <w:jc w:val="both"/>
        <w:rPr>
          <w:rFonts w:ascii="Arial" w:hAnsi="Arial" w:cs="Arial"/>
          <w:color w:val="808080" w:themeColor="background1" w:themeShade="80"/>
          <w:sz w:val="22"/>
          <w:szCs w:val="22"/>
          <w:lang w:val="en-GB"/>
        </w:rPr>
      </w:pPr>
    </w:p>
    <w:p w14:paraId="15465516" w14:textId="0D0B846B" w:rsidR="003C10EB" w:rsidRPr="00C07988" w:rsidRDefault="00C07988" w:rsidP="00C07988">
      <w:pPr>
        <w:ind w:left="720" w:hanging="720"/>
        <w:contextualSpacing/>
        <w:jc w:val="both"/>
        <w:rPr>
          <w:rFonts w:ascii="Arial" w:hAnsi="Arial" w:cs="Arial"/>
          <w:color w:val="808080" w:themeColor="background1" w:themeShade="80"/>
          <w:sz w:val="22"/>
          <w:szCs w:val="22"/>
          <w:lang w:val="en-GB"/>
        </w:rPr>
      </w:pPr>
      <w:r w:rsidRPr="00C07988">
        <w:rPr>
          <w:rFonts w:ascii="Arial" w:hAnsi="Arial" w:cs="Arial"/>
          <w:color w:val="808080" w:themeColor="background1" w:themeShade="80"/>
          <w:sz w:val="22"/>
          <w:szCs w:val="22"/>
          <w:lang w:val="en-GB"/>
        </w:rPr>
        <w:t xml:space="preserve">Fixed or Floating Charge – </w:t>
      </w:r>
    </w:p>
    <w:p w14:paraId="236AF43F" w14:textId="1620A0FB" w:rsidR="00C07988" w:rsidRDefault="00C07988" w:rsidP="00C07988">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Liquidator first needs to investigate if GFL has a fixed charge or a floating charge on the receivables. While the executed documents might say fixed charge but the fact that Kite continued to operate the receivables from a non-controlled account with</w:t>
      </w:r>
      <w:r w:rsidR="00E65C15">
        <w:rPr>
          <w:rFonts w:ascii="Arial" w:hAnsi="Arial" w:cs="Arial"/>
          <w:color w:val="808080" w:themeColor="background1" w:themeShade="80"/>
          <w:sz w:val="22"/>
          <w:szCs w:val="22"/>
          <w:lang w:val="en-GB"/>
        </w:rPr>
        <w:t>out</w:t>
      </w:r>
      <w:r>
        <w:rPr>
          <w:rFonts w:ascii="Arial" w:hAnsi="Arial" w:cs="Arial"/>
          <w:color w:val="808080" w:themeColor="background1" w:themeShade="80"/>
          <w:sz w:val="22"/>
          <w:szCs w:val="22"/>
          <w:lang w:val="en-GB"/>
        </w:rPr>
        <w:t xml:space="preserve"> explicit permission from GFL for realisation, might make it a floating charge. For a fixed charge, the debtor cannot deal with asset without the consent of the charge creditor. </w:t>
      </w:r>
    </w:p>
    <w:p w14:paraId="609EE3CF" w14:textId="77777777" w:rsidR="00C07988" w:rsidRPr="00C07988" w:rsidRDefault="00C07988" w:rsidP="00C07988">
      <w:pPr>
        <w:ind w:left="720" w:hanging="720"/>
        <w:contextualSpacing/>
        <w:jc w:val="both"/>
        <w:rPr>
          <w:rFonts w:ascii="Arial" w:hAnsi="Arial" w:cs="Arial"/>
          <w:color w:val="808080" w:themeColor="background1" w:themeShade="80"/>
          <w:sz w:val="22"/>
          <w:szCs w:val="22"/>
          <w:lang w:val="en-GB"/>
        </w:rPr>
      </w:pPr>
    </w:p>
    <w:p w14:paraId="43F6C7D1" w14:textId="63743D58" w:rsidR="00C07988" w:rsidRPr="00C07988" w:rsidRDefault="00C07988" w:rsidP="00C07988">
      <w:pPr>
        <w:ind w:left="720" w:hanging="720"/>
        <w:contextualSpacing/>
        <w:jc w:val="both"/>
        <w:rPr>
          <w:rFonts w:ascii="Arial" w:hAnsi="Arial" w:cs="Arial"/>
          <w:color w:val="808080" w:themeColor="background1" w:themeShade="80"/>
          <w:sz w:val="22"/>
          <w:szCs w:val="22"/>
          <w:lang w:val="en-GB"/>
        </w:rPr>
      </w:pPr>
      <w:r w:rsidRPr="00C07988">
        <w:rPr>
          <w:rFonts w:ascii="Arial" w:hAnsi="Arial" w:cs="Arial"/>
          <w:color w:val="808080" w:themeColor="background1" w:themeShade="80"/>
          <w:sz w:val="22"/>
          <w:szCs w:val="22"/>
          <w:lang w:val="en-GB"/>
        </w:rPr>
        <w:t xml:space="preserve">Registration of Charge -- </w:t>
      </w:r>
    </w:p>
    <w:p w14:paraId="196B2152" w14:textId="71BE3CF2" w:rsidR="00C07988" w:rsidRDefault="00E65C15" w:rsidP="00E65C15">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Any charge on company’s assets needs to be perfected by registration with the companies registry (Section 333-356). Such registration must be done within one month of the date of the execution of the documents. If the charge is not registered or not registered within the time is then considered void against the liquidator. Hence liquidator can investigate if the charge is perfected and if not, can take control of the receivables or the recovery from it. </w:t>
      </w:r>
    </w:p>
    <w:p w14:paraId="6299A31F" w14:textId="77777777" w:rsidR="00C07988" w:rsidRPr="00C07988" w:rsidRDefault="00C07988" w:rsidP="00C07988">
      <w:pPr>
        <w:ind w:left="720" w:hanging="720"/>
        <w:contextualSpacing/>
        <w:jc w:val="both"/>
        <w:rPr>
          <w:rFonts w:ascii="Arial" w:hAnsi="Arial" w:cs="Arial"/>
          <w:color w:val="808080" w:themeColor="background1" w:themeShade="80"/>
          <w:sz w:val="22"/>
          <w:szCs w:val="22"/>
          <w:lang w:val="en-GB"/>
        </w:rPr>
      </w:pPr>
    </w:p>
    <w:p w14:paraId="545272F4" w14:textId="7AE04270" w:rsidR="00C07988" w:rsidRDefault="00C07988" w:rsidP="00E65C15">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Time validity of Charge – </w:t>
      </w:r>
    </w:p>
    <w:p w14:paraId="372EFAE4" w14:textId="5A9DE640" w:rsidR="00C07988" w:rsidRDefault="00E65C15" w:rsidP="00E65C15">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267 of CWUMPO states that the floating charge will not be valid if it is entered into within 12 months prior to the commencement of liquidation and the company was unable ti pay its debt at the time the charge was created or became unable to pay its debts because of the charge. However, floating charge is valid if new money was provided by the creditor. Liquidator can investigate this aspect before challenging the receiver’s right on the receivables. </w:t>
      </w:r>
    </w:p>
    <w:p w14:paraId="501A07AF" w14:textId="77777777" w:rsidR="00E65C15" w:rsidRDefault="00E65C15" w:rsidP="00C07988">
      <w:pPr>
        <w:ind w:left="720" w:hanging="720"/>
        <w:contextualSpacing/>
        <w:jc w:val="both"/>
        <w:rPr>
          <w:rFonts w:ascii="Arial" w:hAnsi="Arial" w:cs="Arial"/>
          <w:color w:val="808080" w:themeColor="background1" w:themeShade="80"/>
          <w:sz w:val="22"/>
          <w:szCs w:val="22"/>
          <w:lang w:val="en-GB"/>
        </w:rPr>
      </w:pPr>
    </w:p>
    <w:p w14:paraId="2B6160DA" w14:textId="7C672894" w:rsidR="00C07988" w:rsidRDefault="00C07988" w:rsidP="00C07988">
      <w:pPr>
        <w:ind w:left="720" w:hanging="720"/>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Enforcement of charge – </w:t>
      </w:r>
    </w:p>
    <w:p w14:paraId="77E35A86" w14:textId="221F18B0" w:rsidR="00C07988" w:rsidRPr="00C07988" w:rsidRDefault="00252783" w:rsidP="00252783">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Any realisation from floating charges must be first used to pay preferential creditors unless there are other assets to make such payment. In this case, we understand that the company is in liquidation and there are no other assets but these receivables. Hence, once liquidation proves this to be floating charge or void charge, preferential and other creditors might be paid out.  </w:t>
      </w:r>
    </w:p>
    <w:p w14:paraId="5E8F92C5" w14:textId="1F028D5D" w:rsidR="007E1E1F" w:rsidRDefault="007E1E1F" w:rsidP="00C07988">
      <w:pPr>
        <w:autoSpaceDE w:val="0"/>
        <w:autoSpaceDN w:val="0"/>
        <w:adjustRightInd w:val="0"/>
        <w:contextualSpacing/>
        <w:jc w:val="both"/>
        <w:rPr>
          <w:rFonts w:ascii="Arial" w:hAnsi="Arial" w:cs="Arial"/>
          <w:color w:val="808080" w:themeColor="background1" w:themeShade="80"/>
          <w:sz w:val="22"/>
          <w:szCs w:val="22"/>
          <w:lang w:val="en-GB"/>
        </w:rPr>
      </w:pPr>
    </w:p>
    <w:p w14:paraId="3FF5EA7F" w14:textId="130F2C6A" w:rsidR="00252783" w:rsidRDefault="00252783" w:rsidP="00C07988">
      <w:pPr>
        <w:autoSpaceDE w:val="0"/>
        <w:autoSpaceDN w:val="0"/>
        <w:adjustRightInd w:val="0"/>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Unfair preference – </w:t>
      </w:r>
    </w:p>
    <w:p w14:paraId="59BFC762" w14:textId="6B7AB94D" w:rsidR="00252783" w:rsidRDefault="00252783" w:rsidP="00C07988">
      <w:pPr>
        <w:autoSpaceDE w:val="0"/>
        <w:autoSpaceDN w:val="0"/>
        <w:adjustRightInd w:val="0"/>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is a long shot but if liquidator can prove that GFL was given undue preference by Kite when creating these charges to the detrimental of other stakeholders, the charge can be void and liquidator might be able to take control of the receivables/recoveries from it. However, practically this is very difficult to prove. </w:t>
      </w:r>
    </w:p>
    <w:p w14:paraId="0EBB8BB5" w14:textId="77777777" w:rsidR="00252783" w:rsidRDefault="00252783" w:rsidP="00C07988">
      <w:pPr>
        <w:autoSpaceDE w:val="0"/>
        <w:autoSpaceDN w:val="0"/>
        <w:adjustRightInd w:val="0"/>
        <w:contextualSpacing/>
        <w:jc w:val="both"/>
        <w:rPr>
          <w:rFonts w:ascii="Arial" w:hAnsi="Arial" w:cs="Arial"/>
          <w:color w:val="808080" w:themeColor="background1" w:themeShade="80"/>
          <w:sz w:val="22"/>
          <w:szCs w:val="22"/>
          <w:lang w:val="en-GB"/>
        </w:rPr>
      </w:pPr>
    </w:p>
    <w:p w14:paraId="10796BEA" w14:textId="77777777" w:rsidR="003C10EB" w:rsidRPr="007E1E1F" w:rsidRDefault="003C10EB" w:rsidP="00C07988">
      <w:pPr>
        <w:autoSpaceDE w:val="0"/>
        <w:autoSpaceDN w:val="0"/>
        <w:adjustRightInd w:val="0"/>
        <w:contextualSpacing/>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 xml:space="preserve">Mr Xu entered into a Framework Agreement (FA) with his business associate, Mr Qi.  The FA is governed by Hong Kong law.  The idea was to develop a resort project in Fiji.  The FA provided that Mr Qi would incorporate a BVI company to purchase a 100% interest in the </w:t>
      </w:r>
      <w:r w:rsidRPr="007E1E1F">
        <w:rPr>
          <w:rFonts w:ascii="Arial" w:hAnsi="Arial" w:cs="Arial"/>
          <w:sz w:val="22"/>
          <w:szCs w:val="22"/>
        </w:rPr>
        <w:lastRenderedPageBreak/>
        <w:t>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2567E8B2" w14:textId="4D290117" w:rsidR="00BB7410" w:rsidRDefault="00BB7410" w:rsidP="00BB7410">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 can himself initiate ancillary liquidation proceedings against SPL in the HK court. </w:t>
      </w:r>
    </w:p>
    <w:p w14:paraId="1E84AC1B" w14:textId="3458ADF6" w:rsidR="00BB7410" w:rsidRDefault="00BB7410" w:rsidP="00BB7410">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BVI liquidator will be able to get recognition for being in control of the company post his appointment in BVI insolvency process. </w:t>
      </w:r>
    </w:p>
    <w:p w14:paraId="491687E4" w14:textId="6D24F27B" w:rsidR="00BB7410" w:rsidRDefault="00BB7410" w:rsidP="00BB7410">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SPL meets all the</w:t>
      </w:r>
      <w:r w:rsidR="002B0F8F">
        <w:rPr>
          <w:rFonts w:ascii="Arial" w:hAnsi="Arial" w:cs="Arial"/>
          <w:color w:val="808080" w:themeColor="background1" w:themeShade="80"/>
          <w:sz w:val="22"/>
          <w:szCs w:val="22"/>
          <w:lang w:val="en-GB"/>
        </w:rPr>
        <w:t xml:space="preserve"> following</w:t>
      </w:r>
      <w:r>
        <w:rPr>
          <w:rFonts w:ascii="Arial" w:hAnsi="Arial" w:cs="Arial"/>
          <w:color w:val="808080" w:themeColor="background1" w:themeShade="80"/>
          <w:sz w:val="22"/>
          <w:szCs w:val="22"/>
          <w:lang w:val="en-GB"/>
        </w:rPr>
        <w:t xml:space="preserve"> 3 core requirements </w:t>
      </w:r>
      <w:r w:rsidR="002B0F8F">
        <w:rPr>
          <w:rFonts w:ascii="Arial" w:hAnsi="Arial" w:cs="Arial"/>
          <w:color w:val="808080" w:themeColor="background1" w:themeShade="80"/>
          <w:sz w:val="22"/>
          <w:szCs w:val="22"/>
          <w:lang w:val="en-GB"/>
        </w:rPr>
        <w:t>for initiation winding up of an unregistered company in Hong Kong</w:t>
      </w:r>
    </w:p>
    <w:p w14:paraId="3D774E52" w14:textId="25048086" w:rsidR="002B0F8F" w:rsidRDefault="002B0F8F" w:rsidP="00BB7410">
      <w:pPr>
        <w:contextualSpacing/>
        <w:jc w:val="both"/>
        <w:rPr>
          <w:rFonts w:ascii="Arial" w:hAnsi="Arial" w:cs="Arial"/>
          <w:color w:val="808080" w:themeColor="background1" w:themeShade="80"/>
          <w:sz w:val="22"/>
          <w:szCs w:val="22"/>
          <w:lang w:val="en-GB"/>
        </w:rPr>
      </w:pPr>
    </w:p>
    <w:p w14:paraId="38C35B43" w14:textId="4DEA7CD9" w:rsidR="002B0F8F" w:rsidRDefault="002B0F8F" w:rsidP="002B0F8F">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sufficient connect with HK as independent director is in HK, Book keeper is in HK, Mr Q is an HK resident</w:t>
      </w:r>
      <w:r w:rsidR="009140FD">
        <w:rPr>
          <w:rFonts w:ascii="Arial" w:hAnsi="Arial" w:cs="Arial"/>
          <w:color w:val="808080" w:themeColor="background1" w:themeShade="80"/>
          <w:sz w:val="22"/>
          <w:szCs w:val="22"/>
          <w:lang w:val="en-GB"/>
        </w:rPr>
        <w:t xml:space="preserve">. SPL has bank account in HK. </w:t>
      </w:r>
    </w:p>
    <w:p w14:paraId="09B36D99" w14:textId="34261E72" w:rsidR="002B0F8F" w:rsidRDefault="002B0F8F" w:rsidP="002B0F8F">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Winding up order will benefit liquidator as he will be able to use this to trace and recovery assets in mainland (under the new </w:t>
      </w:r>
      <w:r w:rsidRPr="002B0F8F">
        <w:rPr>
          <w:rFonts w:ascii="Arial" w:hAnsi="Arial" w:cs="Arial"/>
          <w:color w:val="808080" w:themeColor="background1" w:themeShade="80"/>
          <w:sz w:val="22"/>
          <w:szCs w:val="22"/>
          <w:lang w:val="en-GB"/>
        </w:rPr>
        <w:t>“co-operation mechanism” between Hong Kong and the Mainland</w:t>
      </w:r>
      <w:r>
        <w:rPr>
          <w:rFonts w:ascii="Arial" w:hAnsi="Arial" w:cs="Arial"/>
          <w:color w:val="808080" w:themeColor="background1" w:themeShade="80"/>
          <w:sz w:val="22"/>
          <w:szCs w:val="22"/>
          <w:lang w:val="en-GB"/>
        </w:rPr>
        <w:t xml:space="preserve">). </w:t>
      </w:r>
    </w:p>
    <w:p w14:paraId="2880E389" w14:textId="401822B3" w:rsidR="002B0F8F" w:rsidRPr="002B0F8F" w:rsidRDefault="002B0F8F" w:rsidP="002B0F8F">
      <w:pPr>
        <w:pStyle w:val="ListParagraph"/>
        <w:numPr>
          <w:ilvl w:val="0"/>
          <w:numId w:val="3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courts will be able to exercise jurisdiction over all persons interest in the distribution as it seems there is only one share holder loan which has already settled </w:t>
      </w:r>
      <w:r>
        <w:rPr>
          <w:rFonts w:ascii="Arial" w:hAnsi="Arial" w:cs="Arial"/>
          <w:color w:val="808080" w:themeColor="background1" w:themeShade="80"/>
          <w:sz w:val="22"/>
          <w:szCs w:val="22"/>
          <w:lang w:val="en-GB"/>
        </w:rPr>
        <w:lastRenderedPageBreak/>
        <w:t xml:space="preserve">by vesting of assets to Mr. Qi who is HK resident . Mr. Xu and liability under FA is governed by HK law.  </w:t>
      </w:r>
    </w:p>
    <w:p w14:paraId="6660A733" w14:textId="37C46414" w:rsidR="003765EF" w:rsidRDefault="003765EF" w:rsidP="00E14FA7">
      <w:pPr>
        <w:contextualSpacing/>
        <w:jc w:val="both"/>
        <w:rPr>
          <w:rFonts w:ascii="Arial" w:hAnsi="Arial" w:cs="Arial"/>
          <w:color w:val="808080" w:themeColor="background1" w:themeShade="80"/>
          <w:sz w:val="22"/>
          <w:szCs w:val="22"/>
          <w:lang w:val="en-GB"/>
        </w:rPr>
      </w:pPr>
    </w:p>
    <w:p w14:paraId="0440258A" w14:textId="27A852B7" w:rsidR="009140FD" w:rsidRDefault="00EA4289" w:rsidP="00E14FA7">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HK liquidator will have to check if Mr Xu is a creditor of SPL considering the clause in the FA. </w:t>
      </w:r>
    </w:p>
    <w:p w14:paraId="7F79FB09" w14:textId="05A09031" w:rsidR="00EA4289" w:rsidRDefault="00EA4289" w:rsidP="00E14FA7">
      <w:pPr>
        <w:contextualSpacing/>
        <w:jc w:val="both"/>
        <w:rPr>
          <w:rFonts w:ascii="Arial" w:hAnsi="Arial" w:cs="Arial"/>
          <w:color w:val="808080" w:themeColor="background1" w:themeShade="80"/>
          <w:sz w:val="22"/>
          <w:szCs w:val="22"/>
          <w:lang w:val="en-GB"/>
        </w:rPr>
      </w:pPr>
    </w:p>
    <w:p w14:paraId="7BC86E74" w14:textId="29E7B8AE" w:rsidR="00EA4289" w:rsidRDefault="00EA4289" w:rsidP="00E14FA7">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HK liquidation can investigate if there were any under value or unfair preference or extortionate transactions undertaken by SPL (Mr. Qi) within the stipulated time period. If yes, these transactions can be void and reversed by making suitable application to the court. </w:t>
      </w:r>
    </w:p>
    <w:p w14:paraId="39E21F1E" w14:textId="77777777" w:rsidR="009140FD" w:rsidRDefault="009140FD" w:rsidP="00E14FA7">
      <w:pPr>
        <w:contextualSpacing/>
        <w:jc w:val="both"/>
        <w:rPr>
          <w:rFonts w:ascii="Arial" w:hAnsi="Arial" w:cs="Arial"/>
          <w:color w:val="808080" w:themeColor="background1" w:themeShade="80"/>
          <w:sz w:val="22"/>
          <w:szCs w:val="22"/>
          <w:lang w:val="en-GB"/>
        </w:rPr>
      </w:pPr>
    </w:p>
    <w:p w14:paraId="0D920985" w14:textId="2E1F97C9" w:rsidR="002B0F8F" w:rsidRPr="008974BB" w:rsidRDefault="00EA4289" w:rsidP="00E14FA7">
      <w:pPr>
        <w:contextualSpacing/>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Additionally, o</w:t>
      </w:r>
      <w:r w:rsidR="002B0F8F">
        <w:rPr>
          <w:rFonts w:ascii="Arial" w:hAnsi="Arial" w:cs="Arial"/>
          <w:color w:val="808080" w:themeColor="background1" w:themeShade="80"/>
          <w:sz w:val="22"/>
          <w:szCs w:val="22"/>
          <w:lang w:val="en-GB"/>
        </w:rPr>
        <w:t>nce winding up order from HK is obtained, the HK liquidator can use the</w:t>
      </w:r>
      <w:r w:rsidR="002B0F8F">
        <w:rPr>
          <w:rFonts w:ascii="Arial" w:hAnsi="Arial" w:cs="Arial"/>
          <w:color w:val="7B7B7B" w:themeColor="accent3" w:themeShade="BF"/>
          <w:sz w:val="22"/>
          <w:szCs w:val="22"/>
        </w:rPr>
        <w:t xml:space="preserve"> new pilot program</w:t>
      </w:r>
      <w:r w:rsidR="002B0F8F">
        <w:rPr>
          <w:rFonts w:ascii="Arial" w:hAnsi="Arial" w:cs="Arial"/>
          <w:color w:val="7B7B7B" w:themeColor="accent3" w:themeShade="BF"/>
          <w:sz w:val="22"/>
          <w:szCs w:val="22"/>
        </w:rPr>
        <w:t xml:space="preserve">, signed </w:t>
      </w:r>
      <w:r w:rsidR="002B0F8F">
        <w:rPr>
          <w:rFonts w:ascii="Arial" w:hAnsi="Arial" w:cs="Arial"/>
          <w:color w:val="7B7B7B" w:themeColor="accent3" w:themeShade="BF"/>
          <w:sz w:val="22"/>
          <w:szCs w:val="22"/>
        </w:rPr>
        <w:t xml:space="preserve">recently in May </w:t>
      </w:r>
      <w:r>
        <w:rPr>
          <w:rFonts w:ascii="Arial" w:hAnsi="Arial" w:cs="Arial"/>
          <w:color w:val="7B7B7B" w:themeColor="accent3" w:themeShade="BF"/>
          <w:sz w:val="22"/>
          <w:szCs w:val="22"/>
        </w:rPr>
        <w:t>2021, between</w:t>
      </w:r>
      <w:r w:rsidR="002B0F8F">
        <w:rPr>
          <w:rFonts w:ascii="Arial" w:hAnsi="Arial" w:cs="Arial"/>
          <w:color w:val="7B7B7B" w:themeColor="accent3" w:themeShade="BF"/>
          <w:sz w:val="22"/>
          <w:szCs w:val="22"/>
        </w:rPr>
        <w:t xml:space="preserve"> HK and some provinces of mainland for mutual recognition and assistance in bankruptcy proceedings.  This</w:t>
      </w:r>
      <w:r>
        <w:rPr>
          <w:rFonts w:ascii="Arial" w:hAnsi="Arial" w:cs="Arial"/>
          <w:color w:val="7B7B7B" w:themeColor="accent3" w:themeShade="BF"/>
          <w:sz w:val="22"/>
          <w:szCs w:val="22"/>
        </w:rPr>
        <w:t xml:space="preserve"> will</w:t>
      </w:r>
      <w:r w:rsidR="002B0F8F">
        <w:rPr>
          <w:rFonts w:ascii="Arial" w:hAnsi="Arial" w:cs="Arial"/>
          <w:color w:val="7B7B7B" w:themeColor="accent3" w:themeShade="BF"/>
          <w:sz w:val="22"/>
          <w:szCs w:val="22"/>
        </w:rPr>
        <w:t xml:space="preserve"> allow for HK appointed Liquidators/provisional liquidators in insolvency proceedings to apply for recognition in the Mainland and vice versa.</w:t>
      </w:r>
      <w:r w:rsidR="002B0F8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Thus,</w:t>
      </w:r>
      <w:r w:rsidR="002B0F8F">
        <w:rPr>
          <w:rFonts w:ascii="Arial" w:hAnsi="Arial" w:cs="Arial"/>
          <w:color w:val="7B7B7B" w:themeColor="accent3" w:themeShade="BF"/>
          <w:sz w:val="22"/>
          <w:szCs w:val="22"/>
        </w:rPr>
        <w:t xml:space="preserve"> HK liquidator can take control of assets at least in few provinces of PRC. </w:t>
      </w:r>
    </w:p>
    <w:p w14:paraId="57D57819" w14:textId="77777777" w:rsidR="00C328C8" w:rsidRPr="008974BB" w:rsidRDefault="00C328C8" w:rsidP="00E14FA7">
      <w:pPr>
        <w:contextualSpacing/>
        <w:jc w:val="both"/>
        <w:rPr>
          <w:rFonts w:ascii="Arial" w:hAnsi="Arial" w:cs="Arial"/>
          <w:color w:val="808080" w:themeColor="background1" w:themeShade="80"/>
          <w:sz w:val="22"/>
          <w:szCs w:val="22"/>
          <w:lang w:val="en-GB"/>
        </w:rPr>
      </w:pPr>
    </w:p>
    <w:p w14:paraId="24FB40BF" w14:textId="77777777" w:rsidR="003765EF" w:rsidRPr="008974BB" w:rsidRDefault="003765EF" w:rsidP="00E14FA7">
      <w:pPr>
        <w:contextualSpacing/>
        <w:jc w:val="both"/>
        <w:rPr>
          <w:rFonts w:ascii="Arial" w:hAnsi="Arial" w:cs="Arial"/>
          <w:color w:val="808080" w:themeColor="background1" w:themeShade="80"/>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430D" w14:textId="77777777" w:rsidR="00C07988" w:rsidRDefault="00C07988" w:rsidP="00241B44">
      <w:r>
        <w:separator/>
      </w:r>
    </w:p>
  </w:endnote>
  <w:endnote w:type="continuationSeparator" w:id="0">
    <w:p w14:paraId="6625C609" w14:textId="77777777" w:rsidR="00C07988" w:rsidRDefault="00C0798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C07988" w:rsidRPr="00FC7B47" w:rsidRDefault="00C0798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C07988" w:rsidRPr="00FC7B47" w:rsidRDefault="00C0798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F8FD" w14:textId="34EC3654" w:rsidR="00C07988" w:rsidRPr="009B4976" w:rsidRDefault="00C07988" w:rsidP="00C07988">
    <w:pPr>
      <w:pStyle w:val="Footer"/>
      <w:framePr w:wrap="none" w:vAnchor="text" w:hAnchor="margin" w:xAlign="right" w:y="1"/>
      <w:rPr>
        <w:rStyle w:val="PageNumber"/>
        <w:rFonts w:ascii="Arial" w:hAnsi="Arial" w:cs="Arial"/>
        <w:sz w:val="18"/>
        <w:szCs w:val="18"/>
      </w:rPr>
    </w:pPr>
    <w:r>
      <w:rPr>
        <w:rFonts w:ascii="Arial" w:hAnsi="Arial" w:cs="Arial"/>
        <w:b/>
        <w:bCs/>
        <w:noProof/>
        <w:sz w:val="18"/>
        <w:szCs w:val="18"/>
      </w:rPr>
      <mc:AlternateContent>
        <mc:Choice Requires="wps">
          <w:drawing>
            <wp:anchor distT="0" distB="0" distL="114300" distR="114300" simplePos="0" relativeHeight="251656192" behindDoc="0" locked="0" layoutInCell="0" allowOverlap="1" wp14:anchorId="64ED10D3" wp14:editId="78254B1C">
              <wp:simplePos x="0" y="0"/>
              <wp:positionH relativeFrom="page">
                <wp:posOffset>0</wp:posOffset>
              </wp:positionH>
              <wp:positionV relativeFrom="page">
                <wp:posOffset>10227945</wp:posOffset>
              </wp:positionV>
              <wp:extent cx="7560310" cy="273050"/>
              <wp:effectExtent l="0" t="0" r="0" b="12700"/>
              <wp:wrapNone/>
              <wp:docPr id="1" name="MSIPCM616940a085ca91db1242ec29" descr="{&quot;HashCode&quot;:-18640962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4526E9" w14:textId="7847E993" w:rsidR="00C07988" w:rsidRPr="002D74D6" w:rsidRDefault="00C07988" w:rsidP="002D74D6">
                          <w:pPr>
                            <w:jc w:val="center"/>
                            <w:rPr>
                              <w:rFonts w:ascii="Calibri" w:hAnsi="Calibri" w:cs="Calibri"/>
                              <w:color w:val="000000"/>
                            </w:rPr>
                          </w:pPr>
                          <w:r w:rsidRPr="002D74D6">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ED10D3" id="_x0000_t202" coordsize="21600,21600" o:spt="202" path="m,l,21600r21600,l21600,xe">
              <v:stroke joinstyle="miter"/>
              <v:path gradientshapeok="t" o:connecttype="rect"/>
            </v:shapetype>
            <v:shape id="MSIPCM616940a085ca91db1242ec29" o:spid="_x0000_s1026" type="#_x0000_t202" alt="{&quot;HashCode&quot;:-1864096203,&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AmxPUargIAAEcFAAAOAAAA&#10;AAAAAAAAAAAAAC4CAABkcnMvZTJvRG9jLnhtbFBLAQItABQABgAIAAAAIQCf1UHs3wAAAAsBAAAP&#10;AAAAAAAAAAAAAAAAAAgFAABkcnMvZG93bnJldi54bWxQSwUGAAAAAAQABADzAAAAFAYAAAAA&#10;" o:allowincell="f" filled="f" stroked="f" strokeweight=".5pt">
              <v:textbox inset=",0,,0">
                <w:txbxContent>
                  <w:p w14:paraId="424526E9" w14:textId="7847E993" w:rsidR="00C07988" w:rsidRPr="002D74D6" w:rsidRDefault="00C07988" w:rsidP="002D74D6">
                    <w:pPr>
                      <w:jc w:val="center"/>
                      <w:rPr>
                        <w:rFonts w:ascii="Calibri" w:hAnsi="Calibri" w:cs="Calibri"/>
                        <w:color w:val="000000"/>
                      </w:rPr>
                    </w:pPr>
                    <w:r w:rsidRPr="002D74D6">
                      <w:rPr>
                        <w:rFonts w:ascii="Calibri" w:hAnsi="Calibri" w:cs="Calibri"/>
                        <w:color w:val="000000"/>
                      </w:rPr>
                      <w:t xml:space="preserve"> </w:t>
                    </w:r>
                  </w:p>
                </w:txbxContent>
              </v:textbox>
              <w10:wrap anchorx="page" anchory="page"/>
            </v:shape>
          </w:pict>
        </mc:Fallback>
      </mc:AlternateContent>
    </w: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sdtContent>
    </w:sdt>
  </w:p>
  <w:p w14:paraId="30F05E79" w14:textId="305F523C" w:rsidR="00C07988" w:rsidRDefault="0042644F" w:rsidP="009B4976">
    <w:pPr>
      <w:pStyle w:val="Footer"/>
      <w:ind w:right="360"/>
      <w:rPr>
        <w:rFonts w:ascii="Arial" w:hAnsi="Arial" w:cs="Arial"/>
        <w:sz w:val="18"/>
        <w:szCs w:val="18"/>
        <w:lang w:val="en-GB"/>
      </w:rPr>
    </w:pPr>
    <w:r w:rsidRPr="0042644F">
      <w:rPr>
        <w:rFonts w:ascii="Arial" w:hAnsi="Arial" w:cs="Arial"/>
        <w:sz w:val="18"/>
        <w:szCs w:val="18"/>
        <w:lang w:val="en-GB"/>
      </w:rPr>
      <w:t>202122-546</w:t>
    </w:r>
    <w:r w:rsidR="00C07988" w:rsidRPr="009B4976">
      <w:rPr>
        <w:rFonts w:ascii="Arial" w:hAnsi="Arial" w:cs="Arial"/>
        <w:sz w:val="18"/>
        <w:szCs w:val="18"/>
        <w:lang w:val="en-GB"/>
      </w:rPr>
      <w:t>.assessment</w:t>
    </w:r>
    <w:r w:rsidR="00C07988">
      <w:rPr>
        <w:rFonts w:ascii="Arial" w:hAnsi="Arial" w:cs="Arial"/>
        <w:sz w:val="18"/>
        <w:szCs w:val="18"/>
        <w:lang w:val="en-GB"/>
      </w:rPr>
      <w:t>8C.docx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D7DD" w14:textId="4DC9BFF0" w:rsidR="00C07988" w:rsidRPr="003D7879" w:rsidRDefault="00C07988" w:rsidP="003D7879">
    <w:pPr>
      <w:pStyle w:val="Footer"/>
    </w:pPr>
    <w:bookmarkStart w:id="2" w:name="FIRSTPAGEFOOTERSPECEND1"/>
    <w:bookmarkEnd w:id="2"/>
    <w:r>
      <w:rPr>
        <w:noProof/>
      </w:rPr>
      <mc:AlternateContent>
        <mc:Choice Requires="wps">
          <w:drawing>
            <wp:anchor distT="0" distB="0" distL="114300" distR="114300" simplePos="0" relativeHeight="251689984" behindDoc="0" locked="0" layoutInCell="0" allowOverlap="1" wp14:anchorId="4FD53CF1" wp14:editId="2CDDAD25">
              <wp:simplePos x="0" y="0"/>
              <wp:positionH relativeFrom="page">
                <wp:posOffset>0</wp:posOffset>
              </wp:positionH>
              <wp:positionV relativeFrom="page">
                <wp:posOffset>10227945</wp:posOffset>
              </wp:positionV>
              <wp:extent cx="7560310" cy="273050"/>
              <wp:effectExtent l="0" t="0" r="0" b="12700"/>
              <wp:wrapNone/>
              <wp:docPr id="2" name="MSIPCMab0e4f7d919a74698404dabe" descr="{&quot;HashCode&quot;:-18640962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3AFFDE" w14:textId="197EA671" w:rsidR="00C07988" w:rsidRPr="002D74D6" w:rsidRDefault="00C07988" w:rsidP="002D74D6">
                          <w:pPr>
                            <w:jc w:val="center"/>
                            <w:rPr>
                              <w:rFonts w:ascii="Calibri" w:hAnsi="Calibri" w:cs="Calibri"/>
                              <w:color w:val="000000"/>
                            </w:rPr>
                          </w:pPr>
                          <w:r w:rsidRPr="002D74D6">
                            <w:rPr>
                              <w:rFonts w:ascii="Calibri" w:hAnsi="Calibri" w:cs="Calibri"/>
                              <w:color w:val="000000"/>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D53CF1" id="_x0000_t202" coordsize="21600,21600" o:spt="202" path="m,l,21600r21600,l21600,xe">
              <v:stroke joinstyle="miter"/>
              <v:path gradientshapeok="t" o:connecttype="rect"/>
            </v:shapetype>
            <v:shape id="MSIPCMab0e4f7d919a74698404dabe" o:spid="_x0000_s1027" type="#_x0000_t202" alt="{&quot;HashCode&quot;:-1864096203,&quot;Height&quot;:841.0,&quot;Width&quot;:595.0,&quot;Placement&quot;:&quot;Footer&quot;,&quot;Index&quot;:&quot;FirstPage&quot;,&quot;Section&quot;:1,&quot;Top&quot;:0.0,&quot;Left&quot;:0.0}" style="position:absolute;margin-left:0;margin-top:805.35pt;width:595.3pt;height:21.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JhQTEsQIAAFAFAAAO&#10;AAAAAAAAAAAAAAAAAC4CAABkcnMvZTJvRG9jLnhtbFBLAQItABQABgAIAAAAIQCf1UHs3wAAAAsB&#10;AAAPAAAAAAAAAAAAAAAAAAsFAABkcnMvZG93bnJldi54bWxQSwUGAAAAAAQABADzAAAAFwYAAAAA&#10;" o:allowincell="f" filled="f" stroked="f" strokeweight=".5pt">
              <v:textbox inset=",0,,0">
                <w:txbxContent>
                  <w:p w14:paraId="343AFFDE" w14:textId="197EA671" w:rsidR="00C07988" w:rsidRPr="002D74D6" w:rsidRDefault="00C07988" w:rsidP="002D74D6">
                    <w:pPr>
                      <w:jc w:val="center"/>
                      <w:rPr>
                        <w:rFonts w:ascii="Calibri" w:hAnsi="Calibri" w:cs="Calibri"/>
                        <w:color w:val="000000"/>
                      </w:rPr>
                    </w:pPr>
                    <w:r w:rsidRPr="002D74D6">
                      <w:rPr>
                        <w:rFonts w:ascii="Calibri" w:hAnsi="Calibri" w:cs="Calibri"/>
                        <w:color w:val="00000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41D9" w14:textId="77777777" w:rsidR="00C07988" w:rsidRDefault="00C07988" w:rsidP="00241B44">
      <w:r>
        <w:separator/>
      </w:r>
    </w:p>
  </w:footnote>
  <w:footnote w:type="continuationSeparator" w:id="0">
    <w:p w14:paraId="7C52732E" w14:textId="77777777" w:rsidR="00C07988" w:rsidRDefault="00C0798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D90674"/>
    <w:multiLevelType w:val="hybridMultilevel"/>
    <w:tmpl w:val="C4EA00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CF2D12"/>
    <w:multiLevelType w:val="hybridMultilevel"/>
    <w:tmpl w:val="F8EAB0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9A5BEA"/>
    <w:multiLevelType w:val="hybridMultilevel"/>
    <w:tmpl w:val="DF0461D6"/>
    <w:lvl w:ilvl="0" w:tplc="02E09EC2">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99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DCD75B8"/>
    <w:multiLevelType w:val="hybridMultilevel"/>
    <w:tmpl w:val="772A2B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607116B"/>
    <w:multiLevelType w:val="hybridMultilevel"/>
    <w:tmpl w:val="5150D8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1F462E"/>
    <w:multiLevelType w:val="hybridMultilevel"/>
    <w:tmpl w:val="0BAC29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DA0C35"/>
    <w:multiLevelType w:val="hybridMultilevel"/>
    <w:tmpl w:val="C96841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FB53D28"/>
    <w:multiLevelType w:val="hybridMultilevel"/>
    <w:tmpl w:val="7CBA70CE"/>
    <w:lvl w:ilvl="0" w:tplc="B2341658">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0"/>
  </w:num>
  <w:num w:numId="3">
    <w:abstractNumId w:val="13"/>
  </w:num>
  <w:num w:numId="4">
    <w:abstractNumId w:val="17"/>
  </w:num>
  <w:num w:numId="5">
    <w:abstractNumId w:val="9"/>
  </w:num>
  <w:num w:numId="6">
    <w:abstractNumId w:val="8"/>
  </w:num>
  <w:num w:numId="7">
    <w:abstractNumId w:val="7"/>
  </w:num>
  <w:num w:numId="8">
    <w:abstractNumId w:val="16"/>
  </w:num>
  <w:num w:numId="9">
    <w:abstractNumId w:val="4"/>
  </w:num>
  <w:num w:numId="10">
    <w:abstractNumId w:val="23"/>
  </w:num>
  <w:num w:numId="11">
    <w:abstractNumId w:val="12"/>
  </w:num>
  <w:num w:numId="12">
    <w:abstractNumId w:val="18"/>
  </w:num>
  <w:num w:numId="13">
    <w:abstractNumId w:val="34"/>
  </w:num>
  <w:num w:numId="14">
    <w:abstractNumId w:val="25"/>
  </w:num>
  <w:num w:numId="15">
    <w:abstractNumId w:val="20"/>
  </w:num>
  <w:num w:numId="16">
    <w:abstractNumId w:val="19"/>
  </w:num>
  <w:num w:numId="17">
    <w:abstractNumId w:val="5"/>
  </w:num>
  <w:num w:numId="18">
    <w:abstractNumId w:val="33"/>
  </w:num>
  <w:num w:numId="19">
    <w:abstractNumId w:val="26"/>
  </w:num>
  <w:num w:numId="20">
    <w:abstractNumId w:val="31"/>
  </w:num>
  <w:num w:numId="21">
    <w:abstractNumId w:val="11"/>
  </w:num>
  <w:num w:numId="22">
    <w:abstractNumId w:val="14"/>
  </w:num>
  <w:num w:numId="23">
    <w:abstractNumId w:val="0"/>
  </w:num>
  <w:num w:numId="24">
    <w:abstractNumId w:val="27"/>
  </w:num>
  <w:num w:numId="25">
    <w:abstractNumId w:val="6"/>
  </w:num>
  <w:num w:numId="26">
    <w:abstractNumId w:val="2"/>
  </w:num>
  <w:num w:numId="27">
    <w:abstractNumId w:val="3"/>
  </w:num>
  <w:num w:numId="28">
    <w:abstractNumId w:val="21"/>
  </w:num>
  <w:num w:numId="29">
    <w:abstractNumId w:val="15"/>
  </w:num>
  <w:num w:numId="30">
    <w:abstractNumId w:val="22"/>
  </w:num>
  <w:num w:numId="31">
    <w:abstractNumId w:val="28"/>
  </w:num>
  <w:num w:numId="32">
    <w:abstractNumId w:val="29"/>
  </w:num>
  <w:num w:numId="33">
    <w:abstractNumId w:val="24"/>
  </w:num>
  <w:num w:numId="34">
    <w:abstractNumId w:val="10"/>
  </w:num>
  <w:num w:numId="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5EE"/>
    <w:rsid w:val="00126A4D"/>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86ACC"/>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4116D"/>
    <w:rsid w:val="002414D3"/>
    <w:rsid w:val="00241B44"/>
    <w:rsid w:val="00241FA3"/>
    <w:rsid w:val="00245EFB"/>
    <w:rsid w:val="00252783"/>
    <w:rsid w:val="0025386E"/>
    <w:rsid w:val="002638B0"/>
    <w:rsid w:val="0026647A"/>
    <w:rsid w:val="002668D3"/>
    <w:rsid w:val="0027299F"/>
    <w:rsid w:val="00284617"/>
    <w:rsid w:val="00284EBE"/>
    <w:rsid w:val="00286642"/>
    <w:rsid w:val="002903A7"/>
    <w:rsid w:val="002908C7"/>
    <w:rsid w:val="0029433F"/>
    <w:rsid w:val="00294829"/>
    <w:rsid w:val="0029690F"/>
    <w:rsid w:val="00297C8A"/>
    <w:rsid w:val="002A2A60"/>
    <w:rsid w:val="002A37BB"/>
    <w:rsid w:val="002B0F8F"/>
    <w:rsid w:val="002B1C45"/>
    <w:rsid w:val="002B769F"/>
    <w:rsid w:val="002B7D15"/>
    <w:rsid w:val="002C13C8"/>
    <w:rsid w:val="002C3547"/>
    <w:rsid w:val="002C6462"/>
    <w:rsid w:val="002D0021"/>
    <w:rsid w:val="002D299D"/>
    <w:rsid w:val="002D30E7"/>
    <w:rsid w:val="002D3473"/>
    <w:rsid w:val="002D74D6"/>
    <w:rsid w:val="002E2C97"/>
    <w:rsid w:val="002F1956"/>
    <w:rsid w:val="002F3440"/>
    <w:rsid w:val="002F75A3"/>
    <w:rsid w:val="0030392B"/>
    <w:rsid w:val="00303C2F"/>
    <w:rsid w:val="003144EF"/>
    <w:rsid w:val="003146D0"/>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581"/>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2A0B"/>
    <w:rsid w:val="003D7879"/>
    <w:rsid w:val="003E0B16"/>
    <w:rsid w:val="003E10A7"/>
    <w:rsid w:val="003E220B"/>
    <w:rsid w:val="003E67D1"/>
    <w:rsid w:val="003F73C7"/>
    <w:rsid w:val="004017D4"/>
    <w:rsid w:val="00404329"/>
    <w:rsid w:val="00405ACB"/>
    <w:rsid w:val="00405DC1"/>
    <w:rsid w:val="00411D40"/>
    <w:rsid w:val="0041438F"/>
    <w:rsid w:val="00415F1F"/>
    <w:rsid w:val="0042108F"/>
    <w:rsid w:val="0042644F"/>
    <w:rsid w:val="00430FED"/>
    <w:rsid w:val="004319E5"/>
    <w:rsid w:val="00434A8C"/>
    <w:rsid w:val="0043616E"/>
    <w:rsid w:val="00437297"/>
    <w:rsid w:val="00444284"/>
    <w:rsid w:val="00445CE6"/>
    <w:rsid w:val="004534C2"/>
    <w:rsid w:val="0045446F"/>
    <w:rsid w:val="0045683E"/>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6507"/>
    <w:rsid w:val="00567AD7"/>
    <w:rsid w:val="00575B2D"/>
    <w:rsid w:val="005778B6"/>
    <w:rsid w:val="005833D0"/>
    <w:rsid w:val="005846F3"/>
    <w:rsid w:val="0058622F"/>
    <w:rsid w:val="00592F82"/>
    <w:rsid w:val="005A0CCA"/>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5400"/>
    <w:rsid w:val="00687A1D"/>
    <w:rsid w:val="00690B0B"/>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5925"/>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1FCC"/>
    <w:rsid w:val="007C21A7"/>
    <w:rsid w:val="007C4AE9"/>
    <w:rsid w:val="007C6201"/>
    <w:rsid w:val="007C625D"/>
    <w:rsid w:val="007D7C92"/>
    <w:rsid w:val="007E1154"/>
    <w:rsid w:val="007E1E1F"/>
    <w:rsid w:val="007E2AEB"/>
    <w:rsid w:val="007E6BA4"/>
    <w:rsid w:val="007F39C7"/>
    <w:rsid w:val="007F41F8"/>
    <w:rsid w:val="007F659B"/>
    <w:rsid w:val="008023B6"/>
    <w:rsid w:val="00802E21"/>
    <w:rsid w:val="0080454E"/>
    <w:rsid w:val="00804C32"/>
    <w:rsid w:val="00806302"/>
    <w:rsid w:val="00807119"/>
    <w:rsid w:val="0081669A"/>
    <w:rsid w:val="0082483F"/>
    <w:rsid w:val="008279C0"/>
    <w:rsid w:val="00841D90"/>
    <w:rsid w:val="00844E12"/>
    <w:rsid w:val="00852D90"/>
    <w:rsid w:val="00856390"/>
    <w:rsid w:val="00867701"/>
    <w:rsid w:val="008723F3"/>
    <w:rsid w:val="00876F56"/>
    <w:rsid w:val="00881DE6"/>
    <w:rsid w:val="008837A6"/>
    <w:rsid w:val="00884C75"/>
    <w:rsid w:val="0089145D"/>
    <w:rsid w:val="00893B7C"/>
    <w:rsid w:val="008974BB"/>
    <w:rsid w:val="00897D68"/>
    <w:rsid w:val="008A298C"/>
    <w:rsid w:val="008A4DF2"/>
    <w:rsid w:val="008A6CFE"/>
    <w:rsid w:val="008B5333"/>
    <w:rsid w:val="008B6223"/>
    <w:rsid w:val="008C66E0"/>
    <w:rsid w:val="008E3339"/>
    <w:rsid w:val="008F20FC"/>
    <w:rsid w:val="008F4673"/>
    <w:rsid w:val="008F5FFE"/>
    <w:rsid w:val="00905A43"/>
    <w:rsid w:val="00912C79"/>
    <w:rsid w:val="009140FD"/>
    <w:rsid w:val="00921B8C"/>
    <w:rsid w:val="009337CE"/>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C24A5"/>
    <w:rsid w:val="009D0811"/>
    <w:rsid w:val="009D0EE1"/>
    <w:rsid w:val="009D377C"/>
    <w:rsid w:val="009E2502"/>
    <w:rsid w:val="009E2AEB"/>
    <w:rsid w:val="009E2E27"/>
    <w:rsid w:val="009E45DF"/>
    <w:rsid w:val="009E4DE3"/>
    <w:rsid w:val="009F275E"/>
    <w:rsid w:val="00A0319B"/>
    <w:rsid w:val="00A047EE"/>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A5161"/>
    <w:rsid w:val="00AB2425"/>
    <w:rsid w:val="00AB685C"/>
    <w:rsid w:val="00AB6C2D"/>
    <w:rsid w:val="00AC08F7"/>
    <w:rsid w:val="00AC3839"/>
    <w:rsid w:val="00AC7082"/>
    <w:rsid w:val="00AD4BE8"/>
    <w:rsid w:val="00AF228E"/>
    <w:rsid w:val="00B016A8"/>
    <w:rsid w:val="00B14819"/>
    <w:rsid w:val="00B15E2F"/>
    <w:rsid w:val="00B17AA9"/>
    <w:rsid w:val="00B22016"/>
    <w:rsid w:val="00B25814"/>
    <w:rsid w:val="00B43AB8"/>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1824"/>
    <w:rsid w:val="00B9639B"/>
    <w:rsid w:val="00BA05C6"/>
    <w:rsid w:val="00BB0F2B"/>
    <w:rsid w:val="00BB16E8"/>
    <w:rsid w:val="00BB48AA"/>
    <w:rsid w:val="00BB7410"/>
    <w:rsid w:val="00BC2EDB"/>
    <w:rsid w:val="00BD2F2E"/>
    <w:rsid w:val="00BE4E50"/>
    <w:rsid w:val="00BE4FF3"/>
    <w:rsid w:val="00BF04AE"/>
    <w:rsid w:val="00BF50F7"/>
    <w:rsid w:val="00BF5746"/>
    <w:rsid w:val="00C02F29"/>
    <w:rsid w:val="00C07988"/>
    <w:rsid w:val="00C17718"/>
    <w:rsid w:val="00C20AFE"/>
    <w:rsid w:val="00C22A25"/>
    <w:rsid w:val="00C313BE"/>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4998"/>
    <w:rsid w:val="00CE1035"/>
    <w:rsid w:val="00CE6C50"/>
    <w:rsid w:val="00CE6E50"/>
    <w:rsid w:val="00CE7AFA"/>
    <w:rsid w:val="00CF1E7A"/>
    <w:rsid w:val="00CF2819"/>
    <w:rsid w:val="00CF4F9D"/>
    <w:rsid w:val="00CF70DC"/>
    <w:rsid w:val="00D027D9"/>
    <w:rsid w:val="00D14632"/>
    <w:rsid w:val="00D148DC"/>
    <w:rsid w:val="00D17FDC"/>
    <w:rsid w:val="00D21D8C"/>
    <w:rsid w:val="00D27A96"/>
    <w:rsid w:val="00D30582"/>
    <w:rsid w:val="00D423E5"/>
    <w:rsid w:val="00D53719"/>
    <w:rsid w:val="00D63EFD"/>
    <w:rsid w:val="00D7429A"/>
    <w:rsid w:val="00D759CE"/>
    <w:rsid w:val="00D77D02"/>
    <w:rsid w:val="00D832A3"/>
    <w:rsid w:val="00D84752"/>
    <w:rsid w:val="00D84F52"/>
    <w:rsid w:val="00D86B3B"/>
    <w:rsid w:val="00D8748A"/>
    <w:rsid w:val="00D92542"/>
    <w:rsid w:val="00D93196"/>
    <w:rsid w:val="00D94882"/>
    <w:rsid w:val="00D94F60"/>
    <w:rsid w:val="00DA0DC0"/>
    <w:rsid w:val="00DB243C"/>
    <w:rsid w:val="00DB482A"/>
    <w:rsid w:val="00DB50FB"/>
    <w:rsid w:val="00DB56F2"/>
    <w:rsid w:val="00DB6026"/>
    <w:rsid w:val="00DB6EF5"/>
    <w:rsid w:val="00DC3089"/>
    <w:rsid w:val="00DC4420"/>
    <w:rsid w:val="00DD0802"/>
    <w:rsid w:val="00DD16B8"/>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5547"/>
    <w:rsid w:val="00E6302B"/>
    <w:rsid w:val="00E6452F"/>
    <w:rsid w:val="00E64F45"/>
    <w:rsid w:val="00E65C15"/>
    <w:rsid w:val="00E6742D"/>
    <w:rsid w:val="00E71CB0"/>
    <w:rsid w:val="00E71E80"/>
    <w:rsid w:val="00E74CD3"/>
    <w:rsid w:val="00E76657"/>
    <w:rsid w:val="00E77C3D"/>
    <w:rsid w:val="00E90991"/>
    <w:rsid w:val="00E909F0"/>
    <w:rsid w:val="00E90D47"/>
    <w:rsid w:val="00E93993"/>
    <w:rsid w:val="00E9597C"/>
    <w:rsid w:val="00EA0913"/>
    <w:rsid w:val="00EA4289"/>
    <w:rsid w:val="00EA5B00"/>
    <w:rsid w:val="00EB146B"/>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2AD9"/>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71C"/>
    <w:rsid w:val="00F66AFF"/>
    <w:rsid w:val="00F66F36"/>
    <w:rsid w:val="00F71433"/>
    <w:rsid w:val="00F946AC"/>
    <w:rsid w:val="00F97C5B"/>
    <w:rsid w:val="00FA3D5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57378329">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99930020">
      <w:bodyDiv w:val="1"/>
      <w:marLeft w:val="0"/>
      <w:marRight w:val="0"/>
      <w:marTop w:val="0"/>
      <w:marBottom w:val="0"/>
      <w:divBdr>
        <w:top w:val="none" w:sz="0" w:space="0" w:color="auto"/>
        <w:left w:val="none" w:sz="0" w:space="0" w:color="auto"/>
        <w:bottom w:val="none" w:sz="0" w:space="0" w:color="auto"/>
        <w:right w:val="none" w:sz="0" w:space="0" w:color="auto"/>
      </w:divBdr>
      <w:divsChild>
        <w:div w:id="116604561">
          <w:marLeft w:val="-90"/>
          <w:marRight w:val="90"/>
          <w:marTop w:val="0"/>
          <w:marBottom w:val="0"/>
          <w:divBdr>
            <w:top w:val="none" w:sz="0" w:space="0" w:color="auto"/>
            <w:left w:val="none" w:sz="0" w:space="0" w:color="auto"/>
            <w:bottom w:val="none" w:sz="0" w:space="0" w:color="auto"/>
            <w:right w:val="none" w:sz="0" w:space="0" w:color="auto"/>
          </w:divBdr>
          <w:divsChild>
            <w:div w:id="26179646">
              <w:marLeft w:val="-60"/>
              <w:marRight w:val="-60"/>
              <w:marTop w:val="0"/>
              <w:marBottom w:val="0"/>
              <w:divBdr>
                <w:top w:val="none" w:sz="0" w:space="0" w:color="auto"/>
                <w:left w:val="none" w:sz="0" w:space="0" w:color="auto"/>
                <w:bottom w:val="none" w:sz="0" w:space="0" w:color="auto"/>
                <w:right w:val="none" w:sz="0" w:space="0" w:color="auto"/>
              </w:divBdr>
              <w:divsChild>
                <w:div w:id="163633364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956910634">
          <w:marLeft w:val="0"/>
          <w:marRight w:val="0"/>
          <w:marTop w:val="0"/>
          <w:marBottom w:val="0"/>
          <w:divBdr>
            <w:top w:val="none" w:sz="0" w:space="0" w:color="auto"/>
            <w:left w:val="none" w:sz="0" w:space="0" w:color="auto"/>
            <w:bottom w:val="none" w:sz="0" w:space="0" w:color="auto"/>
            <w:right w:val="none" w:sz="0" w:space="0" w:color="auto"/>
          </w:divBdr>
          <w:divsChild>
            <w:div w:id="1264604369">
              <w:marLeft w:val="0"/>
              <w:marRight w:val="0"/>
              <w:marTop w:val="0"/>
              <w:marBottom w:val="0"/>
              <w:divBdr>
                <w:top w:val="none" w:sz="0" w:space="0" w:color="auto"/>
                <w:left w:val="none" w:sz="0" w:space="0" w:color="auto"/>
                <w:bottom w:val="none" w:sz="0" w:space="0" w:color="auto"/>
                <w:right w:val="none" w:sz="0" w:space="0" w:color="auto"/>
              </w:divBdr>
              <w:divsChild>
                <w:div w:id="14671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Vaibhav</cp:lastModifiedBy>
  <cp:revision>30</cp:revision>
  <cp:lastPrinted>2020-06-08T04:09:00Z</cp:lastPrinted>
  <dcterms:created xsi:type="dcterms:W3CDTF">2022-05-08T14:22:00Z</dcterms:created>
  <dcterms:modified xsi:type="dcterms:W3CDTF">2022-06-11T09:14:00Z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MSIP_Label_958510b9-3810-472f-9abf-3a689c488070_Enabled">
    <vt:lpwstr>true</vt:lpwstr>
  </property>
  <property fmtid="{D5CDD505-2E9C-101B-9397-08002B2CF9AE}" pid="17" name="MSIP_Label_958510b9-3810-472f-9abf-3a689c488070_SetDate">
    <vt:lpwstr>2022-06-11T09:14:01Z</vt:lpwstr>
  </property>
  <property fmtid="{D5CDD505-2E9C-101B-9397-08002B2CF9AE}" pid="18" name="MSIP_Label_958510b9-3810-472f-9abf-3a689c488070_Method">
    <vt:lpwstr>Privileged</vt:lpwstr>
  </property>
  <property fmtid="{D5CDD505-2E9C-101B-9397-08002B2CF9AE}" pid="19" name="MSIP_Label_958510b9-3810-472f-9abf-3a689c488070_Name">
    <vt:lpwstr>958510b9-3810-472f-9abf-3a689c488070</vt:lpwstr>
  </property>
  <property fmtid="{D5CDD505-2E9C-101B-9397-08002B2CF9AE}" pid="20" name="MSIP_Label_958510b9-3810-472f-9abf-3a689c488070_SiteId">
    <vt:lpwstr>1e9b61e8-e590-4abc-b1af-24125e330d2a</vt:lpwstr>
  </property>
  <property fmtid="{D5CDD505-2E9C-101B-9397-08002B2CF9AE}" pid="21" name="MSIP_Label_958510b9-3810-472f-9abf-3a689c488070_ActionId">
    <vt:lpwstr>7dcf298c-c6e8-4488-8b83-49296a04d82f</vt:lpwstr>
  </property>
  <property fmtid="{D5CDD505-2E9C-101B-9397-08002B2CF9AE}" pid="22" name="MSIP_Label_958510b9-3810-472f-9abf-3a689c488070_ContentBits">
    <vt:lpwstr>3</vt:lpwstr>
  </property>
  <property fmtid="{D5CDD505-2E9C-101B-9397-08002B2CF9AE}" pid="23" name="db.comClassification">
    <vt:lpwstr>Public</vt:lpwstr>
  </property>
</Properties>
</file>