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317496" w:rsidRDefault="000F6063" w:rsidP="007E03FA">
      <w:pPr>
        <w:pStyle w:val="ListParagraph"/>
        <w:numPr>
          <w:ilvl w:val="0"/>
          <w:numId w:val="31"/>
        </w:numPr>
        <w:ind w:left="426"/>
        <w:rPr>
          <w:rFonts w:ascii="Arial" w:hAnsi="Arial" w:cs="Arial"/>
          <w:sz w:val="22"/>
          <w:szCs w:val="22"/>
          <w:highlight w:val="yellow"/>
          <w:lang w:val="en-GB"/>
        </w:rPr>
      </w:pPr>
      <w:r w:rsidRPr="00317496">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13618A" w:rsidRDefault="000F6063" w:rsidP="007E03FA">
      <w:pPr>
        <w:pStyle w:val="ListParagraph"/>
        <w:numPr>
          <w:ilvl w:val="0"/>
          <w:numId w:val="32"/>
        </w:numPr>
        <w:ind w:left="426"/>
        <w:rPr>
          <w:rFonts w:ascii="Arial" w:hAnsi="Arial" w:cs="Arial"/>
          <w:sz w:val="22"/>
          <w:szCs w:val="22"/>
          <w:highlight w:val="yellow"/>
          <w:lang w:val="en-GB"/>
        </w:rPr>
      </w:pPr>
      <w:r w:rsidRPr="0013618A">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4E4E54"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4E4E54">
        <w:rPr>
          <w:rFonts w:ascii="Arial" w:hAnsi="Arial" w:cs="Arial"/>
          <w:color w:val="000000" w:themeColor="text1"/>
          <w:sz w:val="22"/>
          <w:szCs w:val="22"/>
          <w:highlight w:val="yellow"/>
          <w:lang w:val="en-GB"/>
        </w:rPr>
        <w:t>The company must cease trading except where it is necessary and beneficial to the liquidation</w:t>
      </w:r>
      <w:r w:rsidR="00A46FE2" w:rsidRPr="004E4E54">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BB1803" w:rsidRDefault="00CB2364" w:rsidP="00924973">
      <w:pPr>
        <w:pStyle w:val="ListParagraph"/>
        <w:numPr>
          <w:ilvl w:val="0"/>
          <w:numId w:val="34"/>
        </w:numPr>
        <w:ind w:left="426"/>
        <w:rPr>
          <w:rFonts w:ascii="Arial" w:hAnsi="Arial" w:cs="Arial"/>
          <w:sz w:val="22"/>
          <w:szCs w:val="22"/>
          <w:highlight w:val="yellow"/>
          <w:lang w:val="en-GB"/>
        </w:rPr>
      </w:pPr>
      <w:r w:rsidRPr="00BB1803">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B44AEC" w:rsidRDefault="000F6063" w:rsidP="00924973">
      <w:pPr>
        <w:pStyle w:val="ListParagraph"/>
        <w:numPr>
          <w:ilvl w:val="0"/>
          <w:numId w:val="35"/>
        </w:numPr>
        <w:ind w:left="426"/>
        <w:rPr>
          <w:rFonts w:ascii="Arial" w:hAnsi="Arial" w:cs="Arial"/>
          <w:sz w:val="22"/>
          <w:szCs w:val="22"/>
          <w:highlight w:val="yellow"/>
          <w:lang w:val="en-GB"/>
        </w:rPr>
      </w:pPr>
      <w:r w:rsidRPr="00B44AEC">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C17A1D" w:rsidRDefault="00E177F0" w:rsidP="00924973">
      <w:pPr>
        <w:pStyle w:val="ListParagraph"/>
        <w:numPr>
          <w:ilvl w:val="0"/>
          <w:numId w:val="36"/>
        </w:numPr>
        <w:ind w:left="426"/>
        <w:rPr>
          <w:rFonts w:ascii="Arial" w:hAnsi="Arial" w:cs="Arial"/>
          <w:sz w:val="22"/>
          <w:szCs w:val="22"/>
          <w:highlight w:val="yellow"/>
          <w:lang w:val="en-GB"/>
        </w:rPr>
      </w:pPr>
      <w:r w:rsidRPr="00C17A1D">
        <w:rPr>
          <w:rFonts w:ascii="Arial" w:hAnsi="Arial" w:cs="Arial"/>
          <w:sz w:val="22"/>
          <w:szCs w:val="22"/>
          <w:highlight w:val="yellow"/>
          <w:lang w:val="en-GB"/>
        </w:rPr>
        <w:t>May enforce their security without leave of the court</w:t>
      </w:r>
      <w:r w:rsidR="00803C72" w:rsidRPr="00C17A1D">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A71DF7" w:rsidRDefault="000F6063" w:rsidP="00924973">
      <w:pPr>
        <w:pStyle w:val="ListParagraph"/>
        <w:numPr>
          <w:ilvl w:val="0"/>
          <w:numId w:val="37"/>
        </w:numPr>
        <w:ind w:left="426"/>
        <w:jc w:val="both"/>
        <w:rPr>
          <w:rFonts w:ascii="Arial" w:hAnsi="Arial" w:cs="Arial"/>
          <w:sz w:val="22"/>
          <w:szCs w:val="22"/>
          <w:highlight w:val="yellow"/>
          <w:lang w:val="en-GB"/>
        </w:rPr>
      </w:pPr>
      <w:r w:rsidRPr="00A71DF7">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424E0C" w:rsidRDefault="00853B56" w:rsidP="00924973">
      <w:pPr>
        <w:pStyle w:val="ListParagraph"/>
        <w:numPr>
          <w:ilvl w:val="0"/>
          <w:numId w:val="38"/>
        </w:numPr>
        <w:ind w:left="426"/>
        <w:jc w:val="both"/>
        <w:rPr>
          <w:rFonts w:ascii="Arial" w:hAnsi="Arial" w:cs="Arial"/>
          <w:sz w:val="22"/>
          <w:szCs w:val="22"/>
          <w:highlight w:val="yellow"/>
          <w:lang w:val="en-GB"/>
        </w:rPr>
      </w:pPr>
      <w:r w:rsidRPr="00424E0C">
        <w:rPr>
          <w:rFonts w:ascii="Arial" w:hAnsi="Arial" w:cs="Arial"/>
          <w:sz w:val="22"/>
          <w:szCs w:val="22"/>
          <w:highlight w:val="yellow"/>
          <w:lang w:val="en-GB"/>
        </w:rPr>
        <w:t>Amounts due to p</w:t>
      </w:r>
      <w:r w:rsidR="005327B7" w:rsidRPr="00424E0C">
        <w:rPr>
          <w:rFonts w:ascii="Arial" w:hAnsi="Arial" w:cs="Arial"/>
          <w:sz w:val="22"/>
          <w:szCs w:val="22"/>
          <w:highlight w:val="yellow"/>
          <w:lang w:val="en-GB"/>
        </w:rPr>
        <w:t>referred shareholders</w:t>
      </w:r>
      <w:r w:rsidR="00803C72" w:rsidRPr="00424E0C">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board of directors decides it is “just and equitable” for the company to be wound up</w:t>
      </w:r>
      <w:r w:rsidR="00D06A87" w:rsidRPr="00924973">
        <w:rPr>
          <w:rFonts w:ascii="Arial" w:hAnsi="Arial" w:cs="Arial"/>
          <w:sz w:val="22"/>
          <w:szCs w:val="22"/>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B33035" w:rsidRDefault="005327B7" w:rsidP="00924973">
      <w:pPr>
        <w:pStyle w:val="ListParagraph"/>
        <w:numPr>
          <w:ilvl w:val="0"/>
          <w:numId w:val="39"/>
        </w:numPr>
        <w:ind w:left="426"/>
        <w:jc w:val="both"/>
        <w:rPr>
          <w:rFonts w:ascii="Arial" w:hAnsi="Arial" w:cs="Arial"/>
          <w:sz w:val="22"/>
          <w:szCs w:val="22"/>
          <w:highlight w:val="yellow"/>
          <w:lang w:val="en-GB"/>
        </w:rPr>
      </w:pPr>
      <w:r w:rsidRPr="00B33035">
        <w:rPr>
          <w:rFonts w:ascii="Arial" w:hAnsi="Arial" w:cs="Arial"/>
          <w:sz w:val="22"/>
          <w:szCs w:val="22"/>
          <w:highlight w:val="yellow"/>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EE7CF6" w:rsidRDefault="000F6063" w:rsidP="00924973">
      <w:pPr>
        <w:pStyle w:val="ListParagraph"/>
        <w:numPr>
          <w:ilvl w:val="0"/>
          <w:numId w:val="40"/>
        </w:numPr>
        <w:ind w:left="426"/>
        <w:jc w:val="both"/>
        <w:rPr>
          <w:rFonts w:ascii="Arial" w:hAnsi="Arial" w:cs="Arial"/>
          <w:sz w:val="22"/>
          <w:szCs w:val="22"/>
          <w:highlight w:val="yellow"/>
          <w:lang w:val="en-GB"/>
        </w:rPr>
      </w:pPr>
      <w:r w:rsidRPr="00EE7CF6">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7A05752E" w:rsidR="002B3A96" w:rsidRDefault="00645990"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Yes, t</w:t>
      </w:r>
      <w:r w:rsidR="00D929BB">
        <w:rPr>
          <w:rFonts w:ascii="Arial" w:hAnsi="Arial" w:cs="Arial"/>
          <w:color w:val="808080" w:themeColor="background1" w:themeShade="80"/>
          <w:sz w:val="22"/>
          <w:szCs w:val="22"/>
          <w:lang w:val="en-GB"/>
        </w:rPr>
        <w:t>he Cayman Islands has ownership</w:t>
      </w:r>
      <w:r w:rsidR="00E9224B">
        <w:rPr>
          <w:rFonts w:ascii="Arial" w:hAnsi="Arial" w:cs="Arial"/>
          <w:color w:val="808080" w:themeColor="background1" w:themeShade="80"/>
          <w:sz w:val="22"/>
          <w:szCs w:val="22"/>
          <w:lang w:val="en-GB"/>
        </w:rPr>
        <w:t xml:space="preserve"> registers</w:t>
      </w:r>
      <w:r w:rsidR="00D929BB">
        <w:rPr>
          <w:rFonts w:ascii="Arial" w:hAnsi="Arial" w:cs="Arial"/>
          <w:color w:val="808080" w:themeColor="background1" w:themeShade="80"/>
          <w:sz w:val="22"/>
          <w:szCs w:val="22"/>
          <w:lang w:val="en-GB"/>
        </w:rPr>
        <w:t xml:space="preserve"> for real estate, ships, aircraft, motor vehicles and intellectual property. A creditor can register charges ag</w:t>
      </w:r>
      <w:r w:rsidR="004D00BE">
        <w:rPr>
          <w:rFonts w:ascii="Arial" w:hAnsi="Arial" w:cs="Arial"/>
          <w:color w:val="808080" w:themeColor="background1" w:themeShade="80"/>
          <w:sz w:val="22"/>
          <w:szCs w:val="22"/>
          <w:lang w:val="en-GB"/>
        </w:rPr>
        <w:t xml:space="preserve">ainst the aforementioned assets, and any third party purchaser would buy the asset subject to the creditor's </w:t>
      </w:r>
      <w:r w:rsidR="00F4394E">
        <w:rPr>
          <w:rFonts w:ascii="Arial" w:hAnsi="Arial" w:cs="Arial"/>
          <w:color w:val="808080" w:themeColor="background1" w:themeShade="80"/>
          <w:sz w:val="22"/>
          <w:szCs w:val="22"/>
          <w:lang w:val="en-GB"/>
        </w:rPr>
        <w:t xml:space="preserve">security </w:t>
      </w:r>
      <w:r w:rsidR="004D00BE">
        <w:rPr>
          <w:rFonts w:ascii="Arial" w:hAnsi="Arial" w:cs="Arial"/>
          <w:color w:val="808080" w:themeColor="background1" w:themeShade="80"/>
          <w:sz w:val="22"/>
          <w:szCs w:val="22"/>
          <w:lang w:val="en-GB"/>
        </w:rPr>
        <w:t xml:space="preserve">interest. However, there is no public security registration in the Cayman Islands for other assets. A creditor would therefore need to ensure it has sufficient control over other assets to prevent those assets from being bought without </w:t>
      </w:r>
      <w:r w:rsidR="00F4394E">
        <w:rPr>
          <w:rFonts w:ascii="Arial" w:hAnsi="Arial" w:cs="Arial"/>
          <w:color w:val="808080" w:themeColor="background1" w:themeShade="80"/>
          <w:sz w:val="22"/>
          <w:szCs w:val="22"/>
          <w:lang w:val="en-GB"/>
        </w:rPr>
        <w:t>consideration for the</w:t>
      </w:r>
      <w:r w:rsidR="004D00BE">
        <w:rPr>
          <w:rFonts w:ascii="Arial" w:hAnsi="Arial" w:cs="Arial"/>
          <w:color w:val="808080" w:themeColor="background1" w:themeShade="80"/>
          <w:sz w:val="22"/>
          <w:szCs w:val="22"/>
          <w:lang w:val="en-GB"/>
        </w:rPr>
        <w:t xml:space="preserve"> creditor's </w:t>
      </w:r>
      <w:r w:rsidR="00F4394E">
        <w:rPr>
          <w:rFonts w:ascii="Arial" w:hAnsi="Arial" w:cs="Arial"/>
          <w:color w:val="808080" w:themeColor="background1" w:themeShade="80"/>
          <w:sz w:val="22"/>
          <w:szCs w:val="22"/>
          <w:lang w:val="en-GB"/>
        </w:rPr>
        <w:t xml:space="preserve">security </w:t>
      </w:r>
      <w:r w:rsidR="004D00BE">
        <w:rPr>
          <w:rFonts w:ascii="Arial" w:hAnsi="Arial" w:cs="Arial"/>
          <w:color w:val="808080" w:themeColor="background1" w:themeShade="80"/>
          <w:sz w:val="22"/>
          <w:szCs w:val="22"/>
          <w:lang w:val="en-GB"/>
        </w:rPr>
        <w:t>interest.</w:t>
      </w:r>
      <w:r w:rsidR="00F4394E">
        <w:rPr>
          <w:rFonts w:ascii="Arial" w:hAnsi="Arial" w:cs="Arial"/>
          <w:color w:val="808080" w:themeColor="background1" w:themeShade="80"/>
          <w:sz w:val="22"/>
          <w:szCs w:val="22"/>
          <w:lang w:val="en-GB"/>
        </w:rPr>
        <w:t xml:space="preserve"> Section 54 of the Companies Act requires security interests to be entered</w:t>
      </w:r>
      <w:r w:rsidR="004D00BE">
        <w:rPr>
          <w:rFonts w:ascii="Arial" w:hAnsi="Arial" w:cs="Arial"/>
          <w:color w:val="808080" w:themeColor="background1" w:themeShade="80"/>
          <w:sz w:val="22"/>
          <w:szCs w:val="22"/>
          <w:lang w:val="en-GB"/>
        </w:rPr>
        <w:t xml:space="preserve"> </w:t>
      </w:r>
      <w:r w:rsidR="00F4394E">
        <w:rPr>
          <w:rFonts w:ascii="Arial" w:hAnsi="Arial" w:cs="Arial"/>
          <w:color w:val="808080" w:themeColor="background1" w:themeShade="80"/>
          <w:sz w:val="22"/>
          <w:szCs w:val="22"/>
          <w:lang w:val="en-GB"/>
        </w:rPr>
        <w:t>in the register of mortgages and charges of the company. That register must be kept updated at t</w:t>
      </w:r>
      <w:r w:rsidR="00E9224B">
        <w:rPr>
          <w:rFonts w:ascii="Arial" w:hAnsi="Arial" w:cs="Arial"/>
          <w:color w:val="808080" w:themeColor="background1" w:themeShade="80"/>
          <w:sz w:val="22"/>
          <w:szCs w:val="22"/>
          <w:lang w:val="en-GB"/>
        </w:rPr>
        <w:t xml:space="preserve">he company's registered office, although failure by a company to keep the register updated does not in and of itself, invalidate any security interests. </w:t>
      </w:r>
      <w:r w:rsidR="0083623E">
        <w:rPr>
          <w:rFonts w:ascii="Arial" w:hAnsi="Arial" w:cs="Arial"/>
          <w:color w:val="808080" w:themeColor="background1" w:themeShade="80"/>
          <w:sz w:val="22"/>
          <w:szCs w:val="22"/>
          <w:lang w:val="en-GB"/>
        </w:rPr>
        <w:t>The effect of registration is putting third parties on notice of the security interest. It does not create priority.</w:t>
      </w:r>
      <w:r w:rsidR="00F651A5">
        <w:rPr>
          <w:rStyle w:val="FootnoteReference"/>
          <w:rFonts w:ascii="Arial" w:hAnsi="Arial" w:cs="Arial"/>
          <w:color w:val="808080" w:themeColor="background1" w:themeShade="80"/>
          <w:sz w:val="22"/>
          <w:szCs w:val="22"/>
          <w:lang w:val="en-GB"/>
        </w:rPr>
        <w:footnoteReference w:id="1"/>
      </w:r>
      <w:r w:rsidR="0083623E">
        <w:rPr>
          <w:rFonts w:ascii="Arial" w:hAnsi="Arial" w:cs="Arial"/>
          <w:color w:val="808080" w:themeColor="background1" w:themeShade="80"/>
          <w:sz w:val="22"/>
          <w:szCs w:val="22"/>
          <w:lang w:val="en-GB"/>
        </w:rPr>
        <w:t xml:space="preserve"> </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3AFC64B5" w14:textId="0C51CF11" w:rsidR="00BE6B30" w:rsidRDefault="003E52E0" w:rsidP="00BE6B3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Islands Grand Court </w:t>
      </w:r>
      <w:r w:rsidR="00DF02FF">
        <w:rPr>
          <w:rFonts w:ascii="Arial" w:hAnsi="Arial" w:cs="Arial"/>
          <w:color w:val="808080" w:themeColor="background1" w:themeShade="80"/>
          <w:sz w:val="22"/>
          <w:szCs w:val="22"/>
          <w:lang w:val="en-GB"/>
        </w:rPr>
        <w:t xml:space="preserve">has statutory power to assist foreign bankruptcy proceedings in the form of </w:t>
      </w:r>
      <w:r w:rsidR="008D1599">
        <w:rPr>
          <w:rFonts w:ascii="Arial" w:hAnsi="Arial" w:cs="Arial"/>
          <w:color w:val="808080" w:themeColor="background1" w:themeShade="80"/>
          <w:sz w:val="22"/>
          <w:szCs w:val="22"/>
          <w:lang w:val="en-GB"/>
        </w:rPr>
        <w:t xml:space="preserve">Part XVII of the Companies Law (2018 Revision) and </w:t>
      </w:r>
      <w:r w:rsidR="00DF02FF">
        <w:rPr>
          <w:rFonts w:ascii="Arial" w:hAnsi="Arial" w:cs="Arial"/>
          <w:color w:val="808080" w:themeColor="background1" w:themeShade="80"/>
          <w:sz w:val="22"/>
          <w:szCs w:val="22"/>
          <w:lang w:val="en-GB"/>
        </w:rPr>
        <w:t>the Foreign Bankruptcy Proceedings (International Cooperation) Rules 2018 (the "FBPR 2018")</w:t>
      </w:r>
      <w:r w:rsidR="0085724C">
        <w:rPr>
          <w:rStyle w:val="FootnoteReference"/>
          <w:rFonts w:ascii="Arial" w:hAnsi="Arial" w:cs="Arial"/>
          <w:color w:val="808080" w:themeColor="background1" w:themeShade="80"/>
          <w:sz w:val="22"/>
          <w:szCs w:val="22"/>
          <w:lang w:val="en-GB"/>
        </w:rPr>
        <w:footnoteReference w:id="2"/>
      </w:r>
      <w:r w:rsidR="00DF02FF">
        <w:rPr>
          <w:rFonts w:ascii="Arial" w:hAnsi="Arial" w:cs="Arial"/>
          <w:color w:val="808080" w:themeColor="background1" w:themeShade="80"/>
          <w:sz w:val="22"/>
          <w:szCs w:val="22"/>
          <w:lang w:val="en-GB"/>
        </w:rPr>
        <w:t xml:space="preserve">. </w:t>
      </w:r>
      <w:r w:rsidR="008D1599">
        <w:rPr>
          <w:rFonts w:ascii="Arial" w:hAnsi="Arial" w:cs="Arial"/>
          <w:color w:val="808080" w:themeColor="background1" w:themeShade="80"/>
          <w:sz w:val="22"/>
          <w:szCs w:val="22"/>
          <w:lang w:val="en-GB"/>
        </w:rPr>
        <w:t>Together, this legislation sets</w:t>
      </w:r>
      <w:r w:rsidR="008042B7">
        <w:rPr>
          <w:rFonts w:ascii="Arial" w:hAnsi="Arial" w:cs="Arial"/>
          <w:color w:val="808080" w:themeColor="background1" w:themeShade="80"/>
          <w:sz w:val="22"/>
          <w:szCs w:val="22"/>
          <w:lang w:val="en-GB"/>
        </w:rPr>
        <w:t xml:space="preserve"> out the statutory mechanisms </w:t>
      </w:r>
      <w:r w:rsidR="008D1599">
        <w:rPr>
          <w:rFonts w:ascii="Arial" w:hAnsi="Arial" w:cs="Arial"/>
          <w:color w:val="808080" w:themeColor="background1" w:themeShade="80"/>
          <w:sz w:val="22"/>
          <w:szCs w:val="22"/>
          <w:lang w:val="en-GB"/>
        </w:rPr>
        <w:t xml:space="preserve">and procedures </w:t>
      </w:r>
      <w:r w:rsidR="008042B7">
        <w:rPr>
          <w:rFonts w:ascii="Arial" w:hAnsi="Arial" w:cs="Arial"/>
          <w:color w:val="808080" w:themeColor="background1" w:themeShade="80"/>
          <w:sz w:val="22"/>
          <w:szCs w:val="22"/>
          <w:lang w:val="en-GB"/>
        </w:rPr>
        <w:t xml:space="preserve">by which a foreign representative can be recognised in the Cayman Islands and seek the assistance of the </w:t>
      </w:r>
      <w:r>
        <w:rPr>
          <w:rFonts w:ascii="Arial" w:hAnsi="Arial" w:cs="Arial"/>
          <w:color w:val="808080" w:themeColor="background1" w:themeShade="80"/>
          <w:sz w:val="22"/>
          <w:szCs w:val="22"/>
          <w:lang w:val="en-GB"/>
        </w:rPr>
        <w:t xml:space="preserve">Grand </w:t>
      </w:r>
      <w:r w:rsidR="00B23015">
        <w:rPr>
          <w:rFonts w:ascii="Arial" w:hAnsi="Arial" w:cs="Arial"/>
          <w:color w:val="808080" w:themeColor="background1" w:themeShade="80"/>
          <w:sz w:val="22"/>
          <w:szCs w:val="22"/>
          <w:lang w:val="en-GB"/>
        </w:rPr>
        <w:t xml:space="preserve">Court, pursuant to section 103 of the </w:t>
      </w:r>
      <w:r w:rsidR="008D1599">
        <w:rPr>
          <w:rFonts w:ascii="Arial" w:hAnsi="Arial" w:cs="Arial"/>
          <w:color w:val="808080" w:themeColor="background1" w:themeShade="80"/>
          <w:sz w:val="22"/>
          <w:szCs w:val="22"/>
          <w:lang w:val="en-GB"/>
        </w:rPr>
        <w:t xml:space="preserve">Companies Law. Part XVII </w:t>
      </w:r>
      <w:r w:rsidR="008E3413">
        <w:rPr>
          <w:rFonts w:ascii="Arial" w:hAnsi="Arial" w:cs="Arial"/>
          <w:color w:val="808080" w:themeColor="background1" w:themeShade="80"/>
          <w:sz w:val="22"/>
          <w:szCs w:val="22"/>
          <w:lang w:val="en-GB"/>
        </w:rPr>
        <w:t>gives the Grand Court a discretionary power to provide assistance for the purposes of</w:t>
      </w:r>
      <w:r w:rsidR="00D77B61">
        <w:rPr>
          <w:rStyle w:val="FootnoteReference"/>
          <w:rFonts w:ascii="Arial" w:hAnsi="Arial" w:cs="Arial"/>
          <w:color w:val="808080" w:themeColor="background1" w:themeShade="80"/>
          <w:sz w:val="22"/>
          <w:szCs w:val="22"/>
          <w:lang w:val="en-GB"/>
        </w:rPr>
        <w:footnoteReference w:id="3"/>
      </w:r>
      <w:r w:rsidR="008E3413">
        <w:rPr>
          <w:rFonts w:ascii="Arial" w:hAnsi="Arial" w:cs="Arial"/>
          <w:color w:val="808080" w:themeColor="background1" w:themeShade="80"/>
          <w:sz w:val="22"/>
          <w:szCs w:val="22"/>
          <w:lang w:val="en-GB"/>
        </w:rPr>
        <w:t xml:space="preserve">: </w:t>
      </w:r>
    </w:p>
    <w:p w14:paraId="4BB3AA78" w14:textId="43C92591" w:rsidR="00B23015" w:rsidRDefault="00BE6B30" w:rsidP="00BE6B30">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w:t>
      </w:r>
      <w:r w:rsidR="008E3413" w:rsidRPr="00BE6B30">
        <w:rPr>
          <w:rFonts w:ascii="Arial" w:hAnsi="Arial" w:cs="Arial"/>
          <w:color w:val="808080" w:themeColor="background1" w:themeShade="80"/>
          <w:sz w:val="22"/>
          <w:szCs w:val="22"/>
          <w:lang w:val="en-GB"/>
        </w:rPr>
        <w:t xml:space="preserve">ecognising the right of a foreign representative to act in the Cayman Islands </w:t>
      </w:r>
      <w:r>
        <w:rPr>
          <w:rFonts w:ascii="Arial" w:hAnsi="Arial" w:cs="Arial"/>
          <w:color w:val="808080" w:themeColor="background1" w:themeShade="80"/>
          <w:sz w:val="22"/>
          <w:szCs w:val="22"/>
          <w:lang w:val="en-GB"/>
        </w:rPr>
        <w:t>on behalf of or in the name of the foreign company;</w:t>
      </w:r>
    </w:p>
    <w:p w14:paraId="16B2F928" w14:textId="463653E1" w:rsidR="00BE6B30" w:rsidRDefault="00BE6B30" w:rsidP="00BE6B30">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enjoining the commencement or staying the continuation of legal proceedings against the foreign company;</w:t>
      </w:r>
    </w:p>
    <w:p w14:paraId="2D3CAA31" w14:textId="1AB2A6D8" w:rsidR="00BE6B30" w:rsidRDefault="00BE6B30" w:rsidP="00BE6B30">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staying the enforcement of any judgment against the foreign company;</w:t>
      </w:r>
    </w:p>
    <w:p w14:paraId="52B75C7F" w14:textId="4D572301" w:rsidR="00BE6B30" w:rsidRDefault="00BE6B30" w:rsidP="00BE6B30">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requiring a person in possession of information relating to the business or affairs of the foreign company to be examined by and produce documents to its foreign representative; and </w:t>
      </w:r>
    </w:p>
    <w:p w14:paraId="22E6CB5C" w14:textId="008FADD6" w:rsidR="00BE6B30" w:rsidRDefault="00BE6B30" w:rsidP="00BE6B30">
      <w:pPr>
        <w:pStyle w:val="ListParagraph"/>
        <w:numPr>
          <w:ilvl w:val="0"/>
          <w:numId w:val="43"/>
        </w:num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ordering</w:t>
      </w:r>
      <w:proofErr w:type="gramEnd"/>
      <w:r>
        <w:rPr>
          <w:rFonts w:ascii="Arial" w:hAnsi="Arial" w:cs="Arial"/>
          <w:color w:val="808080" w:themeColor="background1" w:themeShade="80"/>
          <w:sz w:val="22"/>
          <w:szCs w:val="22"/>
          <w:lang w:val="en-GB"/>
        </w:rPr>
        <w:t xml:space="preserve"> the turnover to the foreign representative of any property belonging to the foreign company</w:t>
      </w:r>
      <w:r w:rsidR="00EC2B61">
        <w:rPr>
          <w:rFonts w:ascii="Arial" w:hAnsi="Arial" w:cs="Arial"/>
          <w:color w:val="808080" w:themeColor="background1" w:themeShade="80"/>
          <w:sz w:val="22"/>
          <w:szCs w:val="22"/>
          <w:lang w:val="en-GB"/>
        </w:rPr>
        <w:t xml:space="preserve">. </w:t>
      </w:r>
    </w:p>
    <w:p w14:paraId="230CA929" w14:textId="7716F7AB" w:rsidR="00EC2B61" w:rsidRDefault="00EC2B61" w:rsidP="00EC2B6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determining whether to provide assistance, the Grand Court is guided by 'matters which will best assure an economic and expeditious administration…" of the foreign company's estate, consistent with the following Cayman Islands policy objectives</w:t>
      </w:r>
      <w:r w:rsidR="00D77B61">
        <w:rPr>
          <w:rStyle w:val="FootnoteReference"/>
          <w:rFonts w:ascii="Arial" w:hAnsi="Arial" w:cs="Arial"/>
          <w:color w:val="808080" w:themeColor="background1" w:themeShade="80"/>
          <w:sz w:val="22"/>
          <w:szCs w:val="22"/>
          <w:lang w:val="en-GB"/>
        </w:rPr>
        <w:footnoteReference w:id="4"/>
      </w:r>
      <w:r>
        <w:rPr>
          <w:rFonts w:ascii="Arial" w:hAnsi="Arial" w:cs="Arial"/>
          <w:color w:val="808080" w:themeColor="background1" w:themeShade="80"/>
          <w:sz w:val="22"/>
          <w:szCs w:val="22"/>
          <w:lang w:val="en-GB"/>
        </w:rPr>
        <w:t>:</w:t>
      </w:r>
    </w:p>
    <w:p w14:paraId="45F34049" w14:textId="0F674D42" w:rsidR="00EC2B61" w:rsidRDefault="00EC2B61" w:rsidP="00EC2B61">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just treatment of all holders of claims or interests in the foreign company's estate wherever they may be domiciled;</w:t>
      </w:r>
    </w:p>
    <w:p w14:paraId="090B9DDE" w14:textId="1AA48ACB" w:rsidR="00EC2B61" w:rsidRDefault="00EC2B61" w:rsidP="00EC2B61">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protection of claim holders in the Cayman Islands against prejudice and inconvenience in the processing of claims in the foreign bankruptcy proceeding;</w:t>
      </w:r>
    </w:p>
    <w:p w14:paraId="356D4784" w14:textId="43EE1B53" w:rsidR="00EC2B61" w:rsidRDefault="00EC2B61" w:rsidP="00EC2B61">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prevention of </w:t>
      </w:r>
      <w:r w:rsidR="00861F42">
        <w:rPr>
          <w:rFonts w:ascii="Arial" w:hAnsi="Arial" w:cs="Arial"/>
          <w:color w:val="808080" w:themeColor="background1" w:themeShade="80"/>
          <w:sz w:val="22"/>
          <w:szCs w:val="22"/>
          <w:lang w:val="en-GB"/>
        </w:rPr>
        <w:t>preferential or fraudulent dispositions of property comprised in the foreign company's estate;</w:t>
      </w:r>
    </w:p>
    <w:p w14:paraId="209B0AD5" w14:textId="71176D11" w:rsidR="00861F42" w:rsidRDefault="00861F42" w:rsidP="00EC2B61">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distribution of the foreign company's estate amongst creditors substantially in accordance with the order prescribed by Part V of the Companies Law (i.e. the order of distribution applicable to a liquidation commenced in the Cayman Islands); </w:t>
      </w:r>
    </w:p>
    <w:p w14:paraId="2AC0290D" w14:textId="19BFEA44" w:rsidR="00861F42" w:rsidRDefault="00861F42" w:rsidP="00EC2B61">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recognition and enforcement of security interests created by the foreign company;</w:t>
      </w:r>
    </w:p>
    <w:p w14:paraId="728AF636" w14:textId="02F49B6B" w:rsidR="00861F42" w:rsidRDefault="00861F42" w:rsidP="00EC2B61">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non-enforcement of foreign taxes, fines and penalties; and </w:t>
      </w:r>
    </w:p>
    <w:p w14:paraId="7CFB147C" w14:textId="7D23B780" w:rsidR="00861F42" w:rsidRPr="00EC2B61" w:rsidRDefault="00D77B61" w:rsidP="00EC2B61">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comity</w:t>
      </w:r>
      <w:r>
        <w:rPr>
          <w:rStyle w:val="FootnoteReference"/>
          <w:rFonts w:ascii="Arial" w:hAnsi="Arial" w:cs="Arial"/>
          <w:color w:val="808080" w:themeColor="background1" w:themeShade="80"/>
          <w:sz w:val="22"/>
          <w:szCs w:val="22"/>
          <w:lang w:val="en-GB"/>
        </w:rPr>
        <w:footnoteReference w:id="5"/>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495DB932" w:rsidR="00E4294D" w:rsidRDefault="002E1D1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Judgments Reciprocal Enforcement Act (1996 Revision) provides the statutory framework for recognition of foreign judgments, where the jurisdiction that issued the judgment assures substantial reciprocity of treatment regarding the enforcement of Cayman Islands judgments</w:t>
      </w:r>
      <w:r>
        <w:rPr>
          <w:rStyle w:val="FootnoteReference"/>
          <w:rFonts w:ascii="Arial" w:hAnsi="Arial" w:cs="Arial"/>
          <w:color w:val="808080" w:themeColor="background1" w:themeShade="80"/>
          <w:sz w:val="22"/>
          <w:szCs w:val="22"/>
          <w:lang w:val="en-GB"/>
        </w:rPr>
        <w:footnoteReference w:id="6"/>
      </w:r>
      <w:r w:rsidR="00C931BC">
        <w:rPr>
          <w:rFonts w:ascii="Arial" w:hAnsi="Arial" w:cs="Arial"/>
          <w:color w:val="808080" w:themeColor="background1" w:themeShade="80"/>
          <w:sz w:val="22"/>
          <w:szCs w:val="22"/>
          <w:lang w:val="en-GB"/>
        </w:rPr>
        <w:t xml:space="preserve">. </w:t>
      </w:r>
      <w:r w:rsidR="008B6074">
        <w:rPr>
          <w:rFonts w:ascii="Arial" w:hAnsi="Arial" w:cs="Arial"/>
          <w:color w:val="808080" w:themeColor="background1" w:themeShade="80"/>
          <w:sz w:val="22"/>
          <w:szCs w:val="22"/>
          <w:lang w:val="en-GB"/>
        </w:rPr>
        <w:t>The Act has only been extended to judgments of the Superior Courts of Australia. That procedure is governed by Order 71 of the Grand Court Rules</w:t>
      </w:r>
      <w:r w:rsidR="008B6074">
        <w:rPr>
          <w:rStyle w:val="FootnoteReference"/>
          <w:rFonts w:ascii="Arial" w:hAnsi="Arial" w:cs="Arial"/>
          <w:color w:val="808080" w:themeColor="background1" w:themeShade="80"/>
          <w:sz w:val="22"/>
          <w:szCs w:val="22"/>
          <w:lang w:val="en-GB"/>
        </w:rPr>
        <w:footnoteReference w:id="7"/>
      </w:r>
      <w:r w:rsidR="008B6074">
        <w:rPr>
          <w:rFonts w:ascii="Arial" w:hAnsi="Arial" w:cs="Arial"/>
          <w:color w:val="808080" w:themeColor="background1" w:themeShade="80"/>
          <w:sz w:val="22"/>
          <w:szCs w:val="22"/>
          <w:lang w:val="en-GB"/>
        </w:rPr>
        <w:t xml:space="preserve">. In order to be enforced by the Act, the foreign judgment must be final, a money judgment and made after the 1996 Act was extended to the relevant foreign country. </w:t>
      </w:r>
      <w:r w:rsidR="00C931BC">
        <w:rPr>
          <w:rFonts w:ascii="Arial" w:hAnsi="Arial" w:cs="Arial"/>
          <w:color w:val="808080" w:themeColor="background1" w:themeShade="80"/>
          <w:sz w:val="22"/>
          <w:szCs w:val="22"/>
          <w:lang w:val="en-GB"/>
        </w:rPr>
        <w:t>The UK has extended its ratification of the New York Convention on the Recognition and Enforcement of Foreign Arbitral Awards to the Cayman Islands</w:t>
      </w:r>
      <w:r w:rsidR="00C931BC">
        <w:rPr>
          <w:rStyle w:val="FootnoteReference"/>
          <w:rFonts w:ascii="Arial" w:hAnsi="Arial" w:cs="Arial"/>
          <w:color w:val="808080" w:themeColor="background1" w:themeShade="80"/>
          <w:sz w:val="22"/>
          <w:szCs w:val="22"/>
          <w:lang w:val="en-GB"/>
        </w:rPr>
        <w:footnoteReference w:id="8"/>
      </w:r>
      <w:r w:rsidR="00C931BC">
        <w:rPr>
          <w:rFonts w:ascii="Arial" w:hAnsi="Arial" w:cs="Arial"/>
          <w:color w:val="808080" w:themeColor="background1" w:themeShade="80"/>
          <w:sz w:val="22"/>
          <w:szCs w:val="22"/>
          <w:lang w:val="en-GB"/>
        </w:rPr>
        <w:t xml:space="preserve">. </w:t>
      </w:r>
      <w:r w:rsidR="00881605">
        <w:rPr>
          <w:rFonts w:ascii="Arial" w:hAnsi="Arial" w:cs="Arial"/>
          <w:color w:val="808080" w:themeColor="background1" w:themeShade="80"/>
          <w:sz w:val="22"/>
          <w:szCs w:val="22"/>
          <w:lang w:val="en-GB"/>
        </w:rPr>
        <w:t>Given the very limited application of the Act, foreign judgments are usually enforced under common law by commencing a new claim in the Cayman Islands, based on the unsatisfied debt or other obligation that was determined by the foreign judgment.</w:t>
      </w:r>
      <w:r w:rsidR="00D42606">
        <w:rPr>
          <w:rStyle w:val="FootnoteReference"/>
          <w:rFonts w:ascii="Arial" w:hAnsi="Arial" w:cs="Arial"/>
          <w:color w:val="808080" w:themeColor="background1" w:themeShade="80"/>
          <w:sz w:val="22"/>
          <w:szCs w:val="22"/>
          <w:lang w:val="en-GB"/>
        </w:rPr>
        <w:footnoteReference w:id="9"/>
      </w:r>
      <w:r w:rsidR="00881605">
        <w:rPr>
          <w:rFonts w:ascii="Arial" w:hAnsi="Arial" w:cs="Arial"/>
          <w:color w:val="808080" w:themeColor="background1" w:themeShade="80"/>
          <w:sz w:val="22"/>
          <w:szCs w:val="22"/>
          <w:lang w:val="en-GB"/>
        </w:rPr>
        <w:t xml:space="preserve"> Both money and non-money judgments are enforceable under common law</w:t>
      </w:r>
      <w:r w:rsidR="00881605">
        <w:rPr>
          <w:rStyle w:val="FootnoteReference"/>
          <w:rFonts w:ascii="Arial" w:hAnsi="Arial" w:cs="Arial"/>
          <w:color w:val="808080" w:themeColor="background1" w:themeShade="80"/>
          <w:sz w:val="22"/>
          <w:szCs w:val="22"/>
          <w:lang w:val="en-GB"/>
        </w:rPr>
        <w:footnoteReference w:id="10"/>
      </w:r>
      <w:r w:rsidR="00D42606">
        <w:rPr>
          <w:rFonts w:ascii="Arial" w:hAnsi="Arial" w:cs="Arial"/>
          <w:color w:val="808080" w:themeColor="background1" w:themeShade="80"/>
          <w:sz w:val="22"/>
          <w:szCs w:val="22"/>
          <w:lang w:val="en-GB"/>
        </w:rPr>
        <w:t xml:space="preserve">. The common law action is conducted under the normal procedural rules applicable to litigation in the Cayman Islands, the Grand Court Rules. The mandatory requirements for enforcement of a foreign judgment at common law are: </w:t>
      </w:r>
    </w:p>
    <w:p w14:paraId="2B969326" w14:textId="50209A5D" w:rsidR="00D42606" w:rsidRDefault="00D42606" w:rsidP="00D42606">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judgment is final;</w:t>
      </w:r>
    </w:p>
    <w:p w14:paraId="59596CDA" w14:textId="77777777" w:rsidR="00B70C40" w:rsidRDefault="00D42606" w:rsidP="00D42606">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court had jurisdiction over the debtor; </w:t>
      </w:r>
    </w:p>
    <w:p w14:paraId="0DCECD03" w14:textId="0D2B8351" w:rsidR="00D42606" w:rsidRDefault="00D42606" w:rsidP="00D42606">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judgment was not obtained by fraud;</w:t>
      </w:r>
    </w:p>
    <w:p w14:paraId="48A3E119" w14:textId="6BC7D9DF" w:rsidR="00D42606" w:rsidRDefault="00B70C40" w:rsidP="00D42606">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judgment is not contrary to public policy of the Cayman Islands; and </w:t>
      </w:r>
    </w:p>
    <w:p w14:paraId="6CFE31E6" w14:textId="2D5048CB" w:rsidR="00B70C40" w:rsidRDefault="00B70C40" w:rsidP="00D42606">
      <w:pPr>
        <w:pStyle w:val="ListParagraph"/>
        <w:numPr>
          <w:ilvl w:val="0"/>
          <w:numId w:val="45"/>
        </w:num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the</w:t>
      </w:r>
      <w:proofErr w:type="gramEnd"/>
      <w:r>
        <w:rPr>
          <w:rFonts w:ascii="Arial" w:hAnsi="Arial" w:cs="Arial"/>
          <w:color w:val="808080" w:themeColor="background1" w:themeShade="80"/>
          <w:sz w:val="22"/>
          <w:szCs w:val="22"/>
          <w:lang w:val="en-GB"/>
        </w:rPr>
        <w:t xml:space="preserve"> foreign judgment was not obtained contrary to the rules of natural justice. </w:t>
      </w:r>
    </w:p>
    <w:p w14:paraId="7C054D70" w14:textId="54CC001A" w:rsidR="00B70C40" w:rsidRPr="00B70C40" w:rsidRDefault="00B70C40" w:rsidP="00B70C4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Once a judgment is obtained from the Grand Court, domestic enforcement remedies are available</w:t>
      </w:r>
      <w:r>
        <w:rPr>
          <w:rStyle w:val="FootnoteReference"/>
          <w:rFonts w:ascii="Arial" w:hAnsi="Arial" w:cs="Arial"/>
          <w:color w:val="808080" w:themeColor="background1" w:themeShade="80"/>
          <w:sz w:val="22"/>
          <w:szCs w:val="22"/>
          <w:lang w:val="en-GB"/>
        </w:rPr>
        <w:footnoteReference w:id="11"/>
      </w:r>
      <w:r>
        <w:rPr>
          <w:rFonts w:ascii="Arial" w:hAnsi="Arial" w:cs="Arial"/>
          <w:color w:val="808080" w:themeColor="background1" w:themeShade="80"/>
          <w:sz w:val="22"/>
          <w:szCs w:val="22"/>
          <w:lang w:val="en-GB"/>
        </w:rPr>
        <w:t xml:space="preserve">. </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0931787C" w:rsidR="00DF75F8" w:rsidRDefault="00DF75F8" w:rsidP="002A37BB">
      <w:pPr>
        <w:jc w:val="both"/>
        <w:rPr>
          <w:rFonts w:ascii="Arial" w:hAnsi="Arial" w:cs="Arial"/>
          <w:sz w:val="22"/>
          <w:szCs w:val="22"/>
        </w:rPr>
      </w:pPr>
    </w:p>
    <w:p w14:paraId="00AFC46A" w14:textId="450A7C40" w:rsidR="00294F10" w:rsidRDefault="00294F10" w:rsidP="00294F10">
      <w:pPr>
        <w:jc w:val="both"/>
        <w:rPr>
          <w:rFonts w:ascii="Arial" w:hAnsi="Arial" w:cs="Arial"/>
          <w:color w:val="808080" w:themeColor="background1" w:themeShade="80"/>
          <w:sz w:val="22"/>
          <w:szCs w:val="22"/>
          <w:lang w:val="en-GB"/>
        </w:rPr>
      </w:pPr>
    </w:p>
    <w:p w14:paraId="720EBDEB" w14:textId="5CC1589A" w:rsidR="00294F10" w:rsidRDefault="00294F10" w:rsidP="00294F1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Directors can be made personally liable to a company for any losses they cause the company by acting in breach of their fiduciary duty to act in the best interest of the company</w:t>
      </w:r>
      <w:r>
        <w:rPr>
          <w:rStyle w:val="FootnoteReference"/>
          <w:rFonts w:ascii="Arial" w:hAnsi="Arial" w:cs="Arial"/>
          <w:color w:val="808080" w:themeColor="background1" w:themeShade="80"/>
          <w:sz w:val="22"/>
          <w:szCs w:val="22"/>
          <w:lang w:val="en-GB"/>
        </w:rPr>
        <w:footnoteReference w:id="12"/>
      </w:r>
      <w:r>
        <w:rPr>
          <w:rFonts w:ascii="Arial" w:hAnsi="Arial" w:cs="Arial"/>
          <w:color w:val="808080" w:themeColor="background1" w:themeShade="80"/>
          <w:sz w:val="22"/>
          <w:szCs w:val="22"/>
          <w:lang w:val="en-GB"/>
        </w:rPr>
        <w:t xml:space="preserve">. </w:t>
      </w:r>
      <w:r w:rsidR="00613E63">
        <w:rPr>
          <w:rFonts w:ascii="Arial" w:hAnsi="Arial" w:cs="Arial"/>
          <w:color w:val="808080" w:themeColor="background1" w:themeShade="80"/>
          <w:sz w:val="22"/>
          <w:szCs w:val="22"/>
          <w:lang w:val="en-GB"/>
        </w:rPr>
        <w:t xml:space="preserve">Where a company is insolvent, a director's duty to act in the best interest of the company requires them to have regard to the interests of the creditors of the company. Once appointed, the official liquidator can pursue claims against the former directors of a company for </w:t>
      </w:r>
      <w:r w:rsidR="00F62196">
        <w:rPr>
          <w:rFonts w:ascii="Arial" w:hAnsi="Arial" w:cs="Arial"/>
          <w:color w:val="808080" w:themeColor="background1" w:themeShade="80"/>
          <w:sz w:val="22"/>
          <w:szCs w:val="22"/>
          <w:lang w:val="en-GB"/>
        </w:rPr>
        <w:t>such breaches</w:t>
      </w:r>
      <w:r w:rsidR="00613E63">
        <w:rPr>
          <w:rFonts w:ascii="Arial" w:hAnsi="Arial" w:cs="Arial"/>
          <w:color w:val="808080" w:themeColor="background1" w:themeShade="80"/>
          <w:sz w:val="22"/>
          <w:szCs w:val="22"/>
          <w:lang w:val="en-GB"/>
        </w:rPr>
        <w:t xml:space="preserve"> of </w:t>
      </w:r>
      <w:r w:rsidR="00CC1990">
        <w:rPr>
          <w:rFonts w:ascii="Arial" w:hAnsi="Arial" w:cs="Arial"/>
          <w:color w:val="808080" w:themeColor="background1" w:themeShade="80"/>
          <w:sz w:val="22"/>
          <w:szCs w:val="22"/>
          <w:lang w:val="en-GB"/>
        </w:rPr>
        <w:t>fiduciary duty</w:t>
      </w:r>
      <w:r w:rsidR="00CC1990">
        <w:rPr>
          <w:rStyle w:val="FootnoteReference"/>
          <w:rFonts w:ascii="Arial" w:hAnsi="Arial" w:cs="Arial"/>
          <w:color w:val="808080" w:themeColor="background1" w:themeShade="80"/>
          <w:sz w:val="22"/>
          <w:szCs w:val="22"/>
          <w:lang w:val="en-GB"/>
        </w:rPr>
        <w:footnoteReference w:id="13"/>
      </w:r>
      <w:r w:rsidR="00A7565B">
        <w:rPr>
          <w:rFonts w:ascii="Arial" w:hAnsi="Arial" w:cs="Arial"/>
          <w:color w:val="808080" w:themeColor="background1" w:themeShade="80"/>
          <w:sz w:val="22"/>
          <w:szCs w:val="22"/>
          <w:lang w:val="en-GB"/>
        </w:rPr>
        <w:t xml:space="preserve"> </w:t>
      </w:r>
      <w:r w:rsidR="00CC1990">
        <w:rPr>
          <w:rStyle w:val="FootnoteReference"/>
          <w:rFonts w:ascii="Arial" w:hAnsi="Arial" w:cs="Arial"/>
          <w:color w:val="808080" w:themeColor="background1" w:themeShade="80"/>
          <w:sz w:val="22"/>
          <w:szCs w:val="22"/>
          <w:lang w:val="en-GB"/>
        </w:rPr>
        <w:footnoteReference w:id="14"/>
      </w:r>
      <w:r w:rsidR="00A7565B">
        <w:rPr>
          <w:rFonts w:ascii="Arial" w:hAnsi="Arial" w:cs="Arial"/>
          <w:color w:val="808080" w:themeColor="background1" w:themeShade="80"/>
          <w:sz w:val="22"/>
          <w:szCs w:val="22"/>
          <w:lang w:val="en-GB"/>
        </w:rPr>
        <w:t>.</w:t>
      </w:r>
    </w:p>
    <w:p w14:paraId="58ED33EB" w14:textId="145A4771" w:rsidR="00E143B3" w:rsidRDefault="00E143B3" w:rsidP="00294F10">
      <w:pPr>
        <w:jc w:val="both"/>
        <w:rPr>
          <w:rFonts w:ascii="Arial" w:hAnsi="Arial" w:cs="Arial"/>
          <w:color w:val="808080" w:themeColor="background1" w:themeShade="80"/>
          <w:sz w:val="22"/>
          <w:szCs w:val="22"/>
          <w:lang w:val="en-GB"/>
        </w:rPr>
      </w:pPr>
    </w:p>
    <w:p w14:paraId="66737C36" w14:textId="71990D71" w:rsidR="00E143B3" w:rsidRDefault="00E143B3" w:rsidP="00294F1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problem faced by liquidators issuing claims against former directors for damages is the issue of costs. Former directors would often apply for security for their costs of defending those proce</w:t>
      </w:r>
      <w:r w:rsidR="004360A5">
        <w:rPr>
          <w:rFonts w:ascii="Arial" w:hAnsi="Arial" w:cs="Arial"/>
          <w:color w:val="808080" w:themeColor="background1" w:themeShade="80"/>
          <w:sz w:val="22"/>
          <w:szCs w:val="22"/>
          <w:lang w:val="en-GB"/>
        </w:rPr>
        <w:t xml:space="preserve">edings, which acted as a deterrent to such claims. However, a </w:t>
      </w:r>
      <w:r>
        <w:rPr>
          <w:rFonts w:ascii="Arial" w:hAnsi="Arial" w:cs="Arial"/>
          <w:color w:val="808080" w:themeColor="background1" w:themeShade="80"/>
          <w:sz w:val="22"/>
          <w:szCs w:val="22"/>
          <w:lang w:val="en-GB"/>
        </w:rPr>
        <w:t>recent</w:t>
      </w:r>
      <w:r w:rsidR="004360A5">
        <w:rPr>
          <w:rFonts w:ascii="Arial" w:hAnsi="Arial" w:cs="Arial"/>
          <w:color w:val="808080" w:themeColor="background1" w:themeShade="80"/>
          <w:sz w:val="22"/>
          <w:szCs w:val="22"/>
          <w:lang w:val="en-GB"/>
        </w:rPr>
        <w:t xml:space="preserve"> decision of the Cayman Islands Court of Appeal in </w:t>
      </w:r>
      <w:r w:rsidR="004360A5" w:rsidRPr="004360A5">
        <w:rPr>
          <w:rFonts w:ascii="Arial" w:hAnsi="Arial" w:cs="Arial"/>
          <w:i/>
          <w:color w:val="808080" w:themeColor="background1" w:themeShade="80"/>
          <w:sz w:val="22"/>
          <w:szCs w:val="22"/>
          <w:lang w:val="en-GB"/>
        </w:rPr>
        <w:t>Trade Life Policies Fund (In Official Liquidation) &amp; Anor v Jeremy Leach et al</w:t>
      </w:r>
      <w:r w:rsidR="002F2D8B">
        <w:rPr>
          <w:rFonts w:ascii="Arial" w:hAnsi="Arial" w:cs="Arial"/>
          <w:color w:val="808080" w:themeColor="background1" w:themeShade="80"/>
          <w:sz w:val="22"/>
          <w:szCs w:val="22"/>
          <w:lang w:val="en-GB"/>
        </w:rPr>
        <w:t xml:space="preserve"> held that a party can be denied security for costs if the undisputed facts about the directors' management of the company disclose that the directors are responsible for the company's impecuniosity</w:t>
      </w:r>
      <w:r w:rsidR="002F2D8B">
        <w:rPr>
          <w:rStyle w:val="FootnoteReference"/>
          <w:rFonts w:ascii="Arial" w:hAnsi="Arial" w:cs="Arial"/>
          <w:color w:val="808080" w:themeColor="background1" w:themeShade="80"/>
          <w:sz w:val="22"/>
          <w:szCs w:val="22"/>
          <w:lang w:val="en-GB"/>
        </w:rPr>
        <w:footnoteReference w:id="15"/>
      </w:r>
      <w:r w:rsidR="004360A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 </w:t>
      </w:r>
    </w:p>
    <w:p w14:paraId="31ABDAAD" w14:textId="77777777" w:rsidR="00294F10" w:rsidRDefault="00294F10" w:rsidP="003818B3">
      <w:pPr>
        <w:jc w:val="both"/>
        <w:rPr>
          <w:rFonts w:ascii="Arial" w:hAnsi="Arial" w:cs="Arial"/>
          <w:color w:val="808080" w:themeColor="background1" w:themeShade="80"/>
          <w:sz w:val="22"/>
          <w:szCs w:val="22"/>
          <w:lang w:val="en-GB"/>
        </w:rPr>
      </w:pPr>
    </w:p>
    <w:p w14:paraId="26E42451" w14:textId="4EDF3AC9" w:rsidR="003818B3" w:rsidRDefault="007042DF" w:rsidP="003818B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are a range of claw-back mechanisms </w:t>
      </w:r>
      <w:r w:rsidR="00F84855">
        <w:rPr>
          <w:rFonts w:ascii="Arial" w:hAnsi="Arial" w:cs="Arial"/>
          <w:color w:val="808080" w:themeColor="background1" w:themeShade="80"/>
          <w:sz w:val="22"/>
          <w:szCs w:val="22"/>
          <w:lang w:val="en-GB"/>
        </w:rPr>
        <w:t xml:space="preserve">available </w:t>
      </w:r>
      <w:r w:rsidR="00AC7C37">
        <w:rPr>
          <w:rFonts w:ascii="Arial" w:hAnsi="Arial" w:cs="Arial"/>
          <w:color w:val="808080" w:themeColor="background1" w:themeShade="80"/>
          <w:sz w:val="22"/>
          <w:szCs w:val="22"/>
          <w:lang w:val="en-GB"/>
        </w:rPr>
        <w:t xml:space="preserve">to liquidators </w:t>
      </w:r>
      <w:r w:rsidR="008B16A4">
        <w:rPr>
          <w:rFonts w:ascii="Arial" w:hAnsi="Arial" w:cs="Arial"/>
          <w:color w:val="808080" w:themeColor="background1" w:themeShade="80"/>
          <w:sz w:val="22"/>
          <w:szCs w:val="22"/>
          <w:lang w:val="en-GB"/>
        </w:rPr>
        <w:t>and</w:t>
      </w:r>
      <w:r w:rsidR="00F84855">
        <w:rPr>
          <w:rFonts w:ascii="Arial" w:hAnsi="Arial" w:cs="Arial"/>
          <w:color w:val="808080" w:themeColor="background1" w:themeShade="80"/>
          <w:sz w:val="22"/>
          <w:szCs w:val="22"/>
          <w:lang w:val="en-GB"/>
        </w:rPr>
        <w:t xml:space="preserve"> creditors</w:t>
      </w:r>
      <w:r w:rsidR="00F62196">
        <w:rPr>
          <w:rFonts w:ascii="Arial" w:hAnsi="Arial" w:cs="Arial"/>
          <w:color w:val="808080" w:themeColor="background1" w:themeShade="80"/>
          <w:sz w:val="22"/>
          <w:szCs w:val="22"/>
          <w:lang w:val="en-GB"/>
        </w:rPr>
        <w:t>, in relation to transactions made by</w:t>
      </w:r>
      <w:r w:rsidR="003818B3">
        <w:rPr>
          <w:rFonts w:ascii="Arial" w:hAnsi="Arial" w:cs="Arial"/>
          <w:color w:val="808080" w:themeColor="background1" w:themeShade="80"/>
          <w:sz w:val="22"/>
          <w:szCs w:val="22"/>
          <w:lang w:val="en-GB"/>
        </w:rPr>
        <w:t xml:space="preserve"> a company's former directors</w:t>
      </w:r>
      <w:r w:rsidR="007006AA">
        <w:rPr>
          <w:rFonts w:ascii="Arial" w:hAnsi="Arial" w:cs="Arial"/>
          <w:color w:val="808080" w:themeColor="background1" w:themeShade="80"/>
          <w:sz w:val="22"/>
          <w:szCs w:val="22"/>
          <w:lang w:val="en-GB"/>
        </w:rPr>
        <w:t xml:space="preserve"> as described below</w:t>
      </w:r>
      <w:r w:rsidR="003818B3">
        <w:rPr>
          <w:rFonts w:ascii="Arial" w:hAnsi="Arial" w:cs="Arial"/>
          <w:color w:val="808080" w:themeColor="background1" w:themeShade="80"/>
          <w:sz w:val="22"/>
          <w:szCs w:val="22"/>
          <w:lang w:val="en-GB"/>
        </w:rPr>
        <w:t xml:space="preserve">. </w:t>
      </w:r>
      <w:r w:rsidR="007006AA">
        <w:rPr>
          <w:rFonts w:ascii="Arial" w:hAnsi="Arial" w:cs="Arial"/>
          <w:color w:val="808080" w:themeColor="background1" w:themeShade="80"/>
          <w:sz w:val="22"/>
          <w:szCs w:val="22"/>
          <w:lang w:val="en-GB"/>
        </w:rPr>
        <w:t xml:space="preserve">Where the directors were themselves a party to those transactions, </w:t>
      </w:r>
      <w:proofErr w:type="spellStart"/>
      <w:r w:rsidR="007006AA">
        <w:rPr>
          <w:rFonts w:ascii="Arial" w:hAnsi="Arial" w:cs="Arial"/>
          <w:color w:val="808080" w:themeColor="background1" w:themeShade="80"/>
          <w:sz w:val="22"/>
          <w:szCs w:val="22"/>
          <w:lang w:val="en-GB"/>
        </w:rPr>
        <w:t>eg</w:t>
      </w:r>
      <w:proofErr w:type="spellEnd"/>
      <w:r w:rsidR="007006AA">
        <w:rPr>
          <w:rFonts w:ascii="Arial" w:hAnsi="Arial" w:cs="Arial"/>
          <w:color w:val="808080" w:themeColor="background1" w:themeShade="80"/>
          <w:sz w:val="22"/>
          <w:szCs w:val="22"/>
          <w:lang w:val="en-GB"/>
        </w:rPr>
        <w:t xml:space="preserve"> on a disposal of a company asset to a director, this may result in financial obligations on them personally.</w:t>
      </w:r>
    </w:p>
    <w:p w14:paraId="447B76EB" w14:textId="77777777" w:rsidR="003818B3" w:rsidRDefault="003818B3" w:rsidP="003818B3">
      <w:pPr>
        <w:jc w:val="both"/>
        <w:rPr>
          <w:rFonts w:ascii="Arial" w:hAnsi="Arial" w:cs="Arial"/>
          <w:color w:val="808080" w:themeColor="background1" w:themeShade="80"/>
          <w:sz w:val="22"/>
          <w:szCs w:val="22"/>
          <w:lang w:val="en-GB"/>
        </w:rPr>
      </w:pPr>
    </w:p>
    <w:p w14:paraId="74E5FEDC" w14:textId="32D59F4E" w:rsidR="00924973" w:rsidRDefault="003818B3" w:rsidP="003818B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Vo</w:t>
      </w:r>
      <w:r w:rsidR="00F84855" w:rsidRPr="003818B3">
        <w:rPr>
          <w:rFonts w:ascii="Arial" w:hAnsi="Arial" w:cs="Arial"/>
          <w:color w:val="808080" w:themeColor="background1" w:themeShade="80"/>
          <w:sz w:val="22"/>
          <w:szCs w:val="22"/>
          <w:lang w:val="en-GB"/>
        </w:rPr>
        <w:t>idable preference. Section</w:t>
      </w:r>
      <w:r w:rsidR="006240F3">
        <w:rPr>
          <w:rFonts w:ascii="Arial" w:hAnsi="Arial" w:cs="Arial"/>
          <w:color w:val="808080" w:themeColor="background1" w:themeShade="80"/>
          <w:sz w:val="22"/>
          <w:szCs w:val="22"/>
          <w:lang w:val="en-GB"/>
        </w:rPr>
        <w:t xml:space="preserve"> 145 of the Companies Act provides</w:t>
      </w:r>
      <w:r w:rsidR="00F84855" w:rsidRPr="003818B3">
        <w:rPr>
          <w:rFonts w:ascii="Arial" w:hAnsi="Arial" w:cs="Arial"/>
          <w:color w:val="808080" w:themeColor="background1" w:themeShade="80"/>
          <w:sz w:val="22"/>
          <w:szCs w:val="22"/>
          <w:lang w:val="en-GB"/>
        </w:rPr>
        <w:t xml:space="preserve"> that any payment or disposal of property to a creditor constitutes a voidable preference if: it occurs in the six months before the deemed commencement of the company's liquidation and at a time when it is unable to pay its debts; and </w:t>
      </w:r>
      <w:r w:rsidRPr="003818B3">
        <w:rPr>
          <w:rFonts w:ascii="Arial" w:hAnsi="Arial" w:cs="Arial"/>
          <w:color w:val="808080" w:themeColor="background1" w:themeShade="80"/>
          <w:sz w:val="22"/>
          <w:szCs w:val="22"/>
          <w:lang w:val="en-GB"/>
        </w:rPr>
        <w:t>the dominant intention of the company's directors was to give the applicable creditor a preference over other creditors</w:t>
      </w:r>
      <w:r>
        <w:rPr>
          <w:rStyle w:val="FootnoteReference"/>
          <w:rFonts w:ascii="Arial" w:hAnsi="Arial" w:cs="Arial"/>
          <w:color w:val="808080" w:themeColor="background1" w:themeShade="80"/>
          <w:sz w:val="22"/>
          <w:szCs w:val="22"/>
          <w:lang w:val="en-GB"/>
        </w:rPr>
        <w:footnoteReference w:id="16"/>
      </w:r>
      <w:r w:rsidR="002D2A29">
        <w:rPr>
          <w:rFonts w:ascii="Arial" w:hAnsi="Arial" w:cs="Arial"/>
          <w:color w:val="808080" w:themeColor="background1" w:themeShade="80"/>
          <w:sz w:val="22"/>
          <w:szCs w:val="22"/>
          <w:lang w:val="en-GB"/>
        </w:rPr>
        <w:t xml:space="preserve"> </w:t>
      </w:r>
      <w:r w:rsidR="002D2A29">
        <w:rPr>
          <w:rStyle w:val="FootnoteReference"/>
          <w:rFonts w:ascii="Arial" w:hAnsi="Arial" w:cs="Arial"/>
          <w:color w:val="808080" w:themeColor="background1" w:themeShade="80"/>
          <w:sz w:val="22"/>
          <w:szCs w:val="22"/>
          <w:lang w:val="en-GB"/>
        </w:rPr>
        <w:footnoteReference w:id="17"/>
      </w:r>
      <w:r w:rsidRPr="003818B3">
        <w:rPr>
          <w:rFonts w:ascii="Arial" w:hAnsi="Arial" w:cs="Arial"/>
          <w:color w:val="808080" w:themeColor="background1" w:themeShade="80"/>
          <w:sz w:val="22"/>
          <w:szCs w:val="22"/>
          <w:lang w:val="en-GB"/>
        </w:rPr>
        <w:t xml:space="preserve">. </w:t>
      </w:r>
    </w:p>
    <w:p w14:paraId="3EEEDBCF" w14:textId="73606FCA" w:rsidR="00071BF8" w:rsidRDefault="00071BF8" w:rsidP="003818B3">
      <w:pPr>
        <w:jc w:val="both"/>
        <w:rPr>
          <w:rFonts w:ascii="Arial" w:hAnsi="Arial" w:cs="Arial"/>
          <w:color w:val="808080" w:themeColor="background1" w:themeShade="80"/>
          <w:sz w:val="22"/>
          <w:szCs w:val="22"/>
          <w:lang w:val="en-GB"/>
        </w:rPr>
      </w:pPr>
    </w:p>
    <w:p w14:paraId="55AD7D03" w14:textId="5000BE81" w:rsidR="00071BF8" w:rsidRDefault="006240F3" w:rsidP="003818B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Avoidance of dispositions made at undervalue. Section 146 of the Companies Act provides that a transaction in which property </w:t>
      </w:r>
      <w:r w:rsidR="008B16A4">
        <w:rPr>
          <w:rFonts w:ascii="Arial" w:hAnsi="Arial" w:cs="Arial"/>
          <w:color w:val="808080" w:themeColor="background1" w:themeShade="80"/>
          <w:sz w:val="22"/>
          <w:szCs w:val="22"/>
          <w:lang w:val="en-GB"/>
        </w:rPr>
        <w:t xml:space="preserve">is disposed of at </w:t>
      </w:r>
      <w:r>
        <w:rPr>
          <w:rFonts w:ascii="Arial" w:hAnsi="Arial" w:cs="Arial"/>
          <w:color w:val="808080" w:themeColor="background1" w:themeShade="80"/>
          <w:sz w:val="22"/>
          <w:szCs w:val="22"/>
          <w:lang w:val="en-GB"/>
        </w:rPr>
        <w:t>undervalue and with the intention of wilfully defeating an obligation owed to a creditor</w:t>
      </w:r>
      <w:r w:rsidR="00AC7C37">
        <w:rPr>
          <w:rFonts w:ascii="Arial" w:hAnsi="Arial" w:cs="Arial"/>
          <w:color w:val="808080" w:themeColor="background1" w:themeShade="80"/>
          <w:sz w:val="22"/>
          <w:szCs w:val="22"/>
          <w:lang w:val="en-GB"/>
        </w:rPr>
        <w:t>, is voidable on application of the liquidator</w:t>
      </w:r>
      <w:r w:rsidR="008B16A4">
        <w:rPr>
          <w:rStyle w:val="FootnoteReference"/>
          <w:rFonts w:ascii="Arial" w:hAnsi="Arial" w:cs="Arial"/>
          <w:color w:val="808080" w:themeColor="background1" w:themeShade="80"/>
          <w:sz w:val="22"/>
          <w:szCs w:val="22"/>
          <w:lang w:val="en-GB"/>
        </w:rPr>
        <w:footnoteReference w:id="18"/>
      </w:r>
      <w:r w:rsidR="00AC7C37">
        <w:rPr>
          <w:rFonts w:ascii="Arial" w:hAnsi="Arial" w:cs="Arial"/>
          <w:color w:val="808080" w:themeColor="background1" w:themeShade="80"/>
          <w:sz w:val="22"/>
          <w:szCs w:val="22"/>
          <w:lang w:val="en-GB"/>
        </w:rPr>
        <w:t xml:space="preserve">. </w:t>
      </w:r>
    </w:p>
    <w:p w14:paraId="47992C4F" w14:textId="3BB7CEA2" w:rsidR="008B16A4" w:rsidRDefault="008B16A4" w:rsidP="003818B3">
      <w:pPr>
        <w:jc w:val="both"/>
        <w:rPr>
          <w:rFonts w:ascii="Arial" w:hAnsi="Arial" w:cs="Arial"/>
          <w:color w:val="808080" w:themeColor="background1" w:themeShade="80"/>
          <w:sz w:val="22"/>
          <w:szCs w:val="22"/>
          <w:lang w:val="en-GB"/>
        </w:rPr>
      </w:pPr>
    </w:p>
    <w:p w14:paraId="157EFA71" w14:textId="28B44EC0" w:rsidR="008B16A4" w:rsidRDefault="008B16A4" w:rsidP="003818B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Fraudulent trading</w:t>
      </w:r>
      <w:r w:rsidR="00DC7B8C">
        <w:rPr>
          <w:rFonts w:ascii="Arial" w:hAnsi="Arial" w:cs="Arial"/>
          <w:color w:val="808080" w:themeColor="background1" w:themeShade="80"/>
          <w:sz w:val="22"/>
          <w:szCs w:val="22"/>
          <w:lang w:val="en-GB"/>
        </w:rPr>
        <w:t xml:space="preserve">. Section 147 of the Companies Act provides that if a company's business is carried on with the intent to defraud creditors or for any fraudulent purpose, a liquidator may apply for an order requiring </w:t>
      </w:r>
      <w:r w:rsidR="005B49FD">
        <w:rPr>
          <w:rFonts w:ascii="Arial" w:hAnsi="Arial" w:cs="Arial"/>
          <w:color w:val="808080" w:themeColor="background1" w:themeShade="80"/>
          <w:sz w:val="22"/>
          <w:szCs w:val="22"/>
          <w:lang w:val="en-GB"/>
        </w:rPr>
        <w:t>any persons who were knowingly parties to such conduct to make such contributions to the company's assets as the Court sees fit</w:t>
      </w:r>
      <w:r w:rsidR="005B49FD">
        <w:rPr>
          <w:rStyle w:val="FootnoteReference"/>
          <w:rFonts w:ascii="Arial" w:hAnsi="Arial" w:cs="Arial"/>
          <w:color w:val="808080" w:themeColor="background1" w:themeShade="80"/>
          <w:sz w:val="22"/>
          <w:szCs w:val="22"/>
          <w:lang w:val="en-GB"/>
        </w:rPr>
        <w:footnoteReference w:id="19"/>
      </w:r>
      <w:r w:rsidR="005B49FD">
        <w:rPr>
          <w:rFonts w:ascii="Arial" w:hAnsi="Arial" w:cs="Arial"/>
          <w:color w:val="808080" w:themeColor="background1" w:themeShade="80"/>
          <w:sz w:val="22"/>
          <w:szCs w:val="22"/>
          <w:lang w:val="en-GB"/>
        </w:rPr>
        <w:t>.</w:t>
      </w:r>
      <w:r w:rsidR="007006AA">
        <w:rPr>
          <w:rFonts w:ascii="Arial" w:hAnsi="Arial" w:cs="Arial"/>
          <w:color w:val="808080" w:themeColor="background1" w:themeShade="80"/>
          <w:sz w:val="22"/>
          <w:szCs w:val="22"/>
          <w:lang w:val="en-GB"/>
        </w:rPr>
        <w:t xml:space="preserve"> This could make a director liable even where they did not directly </w:t>
      </w:r>
      <w:r w:rsidR="00AF4B03">
        <w:rPr>
          <w:rFonts w:ascii="Arial" w:hAnsi="Arial" w:cs="Arial"/>
          <w:color w:val="808080" w:themeColor="background1" w:themeShade="80"/>
          <w:sz w:val="22"/>
          <w:szCs w:val="22"/>
          <w:lang w:val="en-GB"/>
        </w:rPr>
        <w:t>benefit from the transaction.</w:t>
      </w:r>
    </w:p>
    <w:p w14:paraId="608C1DA1" w14:textId="57E4C774" w:rsidR="005B49FD" w:rsidRDefault="005B49FD" w:rsidP="003818B3">
      <w:pPr>
        <w:jc w:val="both"/>
        <w:rPr>
          <w:rFonts w:ascii="Arial" w:hAnsi="Arial" w:cs="Arial"/>
          <w:color w:val="808080" w:themeColor="background1" w:themeShade="80"/>
          <w:sz w:val="22"/>
          <w:szCs w:val="22"/>
          <w:lang w:val="en-GB"/>
        </w:rPr>
      </w:pPr>
    </w:p>
    <w:p w14:paraId="672A818A" w14:textId="7BDC444B"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363726EE" w14:textId="034385A3" w:rsidR="00A64752" w:rsidRDefault="00E244BB"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Whilst it is true that receivers are not explicitly referred to in the Cayman </w:t>
      </w:r>
      <w:r w:rsidR="00A64752">
        <w:rPr>
          <w:rFonts w:ascii="Arial" w:hAnsi="Arial" w:cs="Arial"/>
          <w:color w:val="808080" w:themeColor="background1" w:themeShade="80"/>
          <w:sz w:val="22"/>
          <w:szCs w:val="22"/>
          <w:lang w:val="en-GB"/>
        </w:rPr>
        <w:t>Islands insolvency legislation</w:t>
      </w:r>
      <w:r>
        <w:rPr>
          <w:rFonts w:ascii="Arial" w:hAnsi="Arial" w:cs="Arial"/>
          <w:color w:val="808080" w:themeColor="background1" w:themeShade="80"/>
          <w:sz w:val="22"/>
          <w:szCs w:val="22"/>
          <w:lang w:val="en-GB"/>
        </w:rPr>
        <w:t>, they are mentioned in the Grand Court Rules</w:t>
      </w:r>
      <w:r w:rsidR="00D03346">
        <w:rPr>
          <w:rFonts w:ascii="Arial" w:hAnsi="Arial" w:cs="Arial"/>
          <w:color w:val="808080" w:themeColor="background1" w:themeShade="80"/>
          <w:sz w:val="22"/>
          <w:szCs w:val="22"/>
          <w:lang w:val="en-GB"/>
        </w:rPr>
        <w:t xml:space="preserve"> and there is scope for their involvement in an insolvency situation</w:t>
      </w:r>
      <w:r>
        <w:rPr>
          <w:rFonts w:ascii="Arial" w:hAnsi="Arial" w:cs="Arial"/>
          <w:color w:val="808080" w:themeColor="background1" w:themeShade="80"/>
          <w:sz w:val="22"/>
          <w:szCs w:val="22"/>
          <w:lang w:val="en-GB"/>
        </w:rPr>
        <w:t>.</w:t>
      </w:r>
      <w:r w:rsidR="00674534">
        <w:rPr>
          <w:rFonts w:ascii="Arial" w:hAnsi="Arial" w:cs="Arial"/>
          <w:color w:val="808080" w:themeColor="background1" w:themeShade="80"/>
          <w:sz w:val="22"/>
          <w:szCs w:val="22"/>
          <w:lang w:val="en-GB"/>
        </w:rPr>
        <w:t xml:space="preserve"> </w:t>
      </w:r>
    </w:p>
    <w:p w14:paraId="64606B58" w14:textId="77777777" w:rsidR="00A64752" w:rsidRDefault="00A64752" w:rsidP="00E4294D">
      <w:pPr>
        <w:jc w:val="both"/>
        <w:rPr>
          <w:rFonts w:ascii="Arial" w:hAnsi="Arial" w:cs="Arial"/>
          <w:color w:val="808080" w:themeColor="background1" w:themeShade="80"/>
          <w:sz w:val="22"/>
          <w:szCs w:val="22"/>
          <w:lang w:val="en-GB"/>
        </w:rPr>
      </w:pPr>
    </w:p>
    <w:p w14:paraId="0847CADA" w14:textId="0F624623" w:rsidR="00E4294D" w:rsidRDefault="0067453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D03346">
        <w:rPr>
          <w:rFonts w:ascii="Arial" w:hAnsi="Arial" w:cs="Arial"/>
          <w:color w:val="808080" w:themeColor="background1" w:themeShade="80"/>
          <w:sz w:val="22"/>
          <w:szCs w:val="22"/>
          <w:lang w:val="en-GB"/>
        </w:rPr>
        <w:t>he GCR</w:t>
      </w:r>
      <w:r w:rsidR="00C3329C">
        <w:rPr>
          <w:rFonts w:ascii="Arial" w:hAnsi="Arial" w:cs="Arial"/>
          <w:color w:val="808080" w:themeColor="background1" w:themeShade="80"/>
          <w:sz w:val="22"/>
          <w:szCs w:val="22"/>
          <w:lang w:val="en-GB"/>
        </w:rPr>
        <w:t xml:space="preserve"> make provision for the appointment and duties of receivers</w:t>
      </w:r>
      <w:r w:rsidR="00D03346">
        <w:rPr>
          <w:rFonts w:ascii="Arial" w:hAnsi="Arial" w:cs="Arial"/>
          <w:color w:val="808080" w:themeColor="background1" w:themeShade="80"/>
          <w:sz w:val="22"/>
          <w:szCs w:val="22"/>
          <w:lang w:val="en-GB"/>
        </w:rPr>
        <w:t xml:space="preserve"> and </w:t>
      </w:r>
      <w:r w:rsidR="00C3329C">
        <w:rPr>
          <w:rFonts w:ascii="Arial" w:hAnsi="Arial" w:cs="Arial"/>
          <w:color w:val="808080" w:themeColor="background1" w:themeShade="80"/>
          <w:sz w:val="22"/>
          <w:szCs w:val="22"/>
          <w:lang w:val="en-GB"/>
        </w:rPr>
        <w:t>receivers' ability to be a</w:t>
      </w:r>
      <w:r w:rsidR="00D03346">
        <w:rPr>
          <w:rFonts w:ascii="Arial" w:hAnsi="Arial" w:cs="Arial"/>
          <w:color w:val="808080" w:themeColor="background1" w:themeShade="80"/>
          <w:sz w:val="22"/>
          <w:szCs w:val="22"/>
          <w:lang w:val="en-GB"/>
        </w:rPr>
        <w:t>ppointed to enforce court orders for the payment of</w:t>
      </w:r>
      <w:r>
        <w:rPr>
          <w:rFonts w:ascii="Arial" w:hAnsi="Arial" w:cs="Arial"/>
          <w:color w:val="808080" w:themeColor="background1" w:themeShade="80"/>
          <w:sz w:val="22"/>
          <w:szCs w:val="22"/>
          <w:lang w:val="en-GB"/>
        </w:rPr>
        <w:t xml:space="preserve"> money</w:t>
      </w:r>
      <w:r w:rsidR="00D03346">
        <w:rPr>
          <w:rFonts w:ascii="Arial" w:hAnsi="Arial" w:cs="Arial"/>
          <w:color w:val="808080" w:themeColor="background1" w:themeShade="80"/>
          <w:sz w:val="22"/>
          <w:szCs w:val="22"/>
          <w:lang w:val="en-GB"/>
        </w:rPr>
        <w:t>. Receivers may also be appointed</w:t>
      </w:r>
      <w:r>
        <w:rPr>
          <w:rFonts w:ascii="Arial" w:hAnsi="Arial" w:cs="Arial"/>
          <w:color w:val="808080" w:themeColor="background1" w:themeShade="80"/>
          <w:sz w:val="22"/>
          <w:szCs w:val="22"/>
          <w:lang w:val="en-GB"/>
        </w:rPr>
        <w:t xml:space="preserve"> to carry out </w:t>
      </w:r>
      <w:r w:rsidR="00EB753B">
        <w:rPr>
          <w:rFonts w:ascii="Arial" w:hAnsi="Arial" w:cs="Arial"/>
          <w:color w:val="808080" w:themeColor="background1" w:themeShade="80"/>
          <w:sz w:val="22"/>
          <w:szCs w:val="22"/>
          <w:lang w:val="en-GB"/>
        </w:rPr>
        <w:t>other acts,</w:t>
      </w:r>
      <w:r>
        <w:rPr>
          <w:rFonts w:ascii="Arial" w:hAnsi="Arial" w:cs="Arial"/>
          <w:color w:val="808080" w:themeColor="background1" w:themeShade="80"/>
          <w:sz w:val="22"/>
          <w:szCs w:val="22"/>
          <w:lang w:val="en-GB"/>
        </w:rPr>
        <w:t xml:space="preserve"> including, for example, to execute a contract</w:t>
      </w:r>
      <w:r>
        <w:rPr>
          <w:rStyle w:val="FootnoteReference"/>
          <w:rFonts w:ascii="Arial" w:hAnsi="Arial" w:cs="Arial"/>
          <w:color w:val="808080" w:themeColor="background1" w:themeShade="80"/>
          <w:sz w:val="22"/>
          <w:szCs w:val="22"/>
          <w:lang w:val="en-GB"/>
        </w:rPr>
        <w:footnoteReference w:id="20"/>
      </w:r>
      <w:r>
        <w:rPr>
          <w:rFonts w:ascii="Arial" w:hAnsi="Arial" w:cs="Arial"/>
          <w:color w:val="808080" w:themeColor="background1" w:themeShade="80"/>
          <w:sz w:val="22"/>
          <w:szCs w:val="22"/>
          <w:lang w:val="en-GB"/>
        </w:rPr>
        <w:t xml:space="preserve">. </w:t>
      </w:r>
      <w:r w:rsidR="0049651C">
        <w:rPr>
          <w:rFonts w:ascii="Arial" w:hAnsi="Arial" w:cs="Arial"/>
          <w:color w:val="808080" w:themeColor="background1" w:themeShade="80"/>
          <w:sz w:val="22"/>
          <w:szCs w:val="22"/>
          <w:lang w:val="en-GB"/>
        </w:rPr>
        <w:t xml:space="preserve">Receivers may also be appointed pursuant to a contractual right to appoint a receiver, for example by secured creditors pursuant to a security document. This may well arise in an insolvency or near insolvency situation, not least as companies which are insolvent are likely to trip events of default </w:t>
      </w:r>
      <w:r w:rsidR="00F51098">
        <w:rPr>
          <w:rFonts w:ascii="Arial" w:hAnsi="Arial" w:cs="Arial"/>
          <w:color w:val="808080" w:themeColor="background1" w:themeShade="80"/>
          <w:sz w:val="22"/>
          <w:szCs w:val="22"/>
          <w:lang w:val="en-GB"/>
        </w:rPr>
        <w:t xml:space="preserve">in their financing documents (while companies which are solvent are likely to pay their debts without the deed for security enforcement). </w:t>
      </w:r>
    </w:p>
    <w:p w14:paraId="64CA4013" w14:textId="54127BC9" w:rsidR="00DD21F3" w:rsidRDefault="00DD21F3" w:rsidP="00E4294D">
      <w:pPr>
        <w:jc w:val="both"/>
        <w:rPr>
          <w:rFonts w:ascii="Arial" w:hAnsi="Arial" w:cs="Arial"/>
          <w:color w:val="808080" w:themeColor="background1" w:themeShade="80"/>
          <w:sz w:val="22"/>
          <w:szCs w:val="22"/>
          <w:lang w:val="en-GB"/>
        </w:rPr>
      </w:pPr>
    </w:p>
    <w:p w14:paraId="6423A6F5" w14:textId="1FDBC2E1" w:rsidR="00DD21F3" w:rsidRDefault="00DD21F3"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Where a receiver has been appointed over certain assets of a company</w:t>
      </w:r>
      <w:r w:rsidR="0049651C">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by secured creditors</w:t>
      </w:r>
      <w:r w:rsidR="00F51098">
        <w:rPr>
          <w:rFonts w:ascii="Arial" w:hAnsi="Arial" w:cs="Arial"/>
          <w:color w:val="808080" w:themeColor="background1" w:themeShade="80"/>
          <w:sz w:val="22"/>
          <w:szCs w:val="22"/>
          <w:lang w:val="en-GB"/>
        </w:rPr>
        <w:t>, and other creditors seek to appoint a liquidator, complex issues may arise.</w:t>
      </w:r>
    </w:p>
    <w:p w14:paraId="31A49A46" w14:textId="622F3856" w:rsidR="00674534" w:rsidRDefault="00674534" w:rsidP="00E4294D">
      <w:pPr>
        <w:jc w:val="both"/>
        <w:rPr>
          <w:rFonts w:ascii="Arial" w:hAnsi="Arial" w:cs="Arial"/>
          <w:color w:val="808080" w:themeColor="background1" w:themeShade="80"/>
          <w:sz w:val="22"/>
          <w:szCs w:val="22"/>
          <w:lang w:val="en-GB"/>
        </w:rPr>
      </w:pPr>
    </w:p>
    <w:p w14:paraId="48911694" w14:textId="05278B4F" w:rsidR="00674534" w:rsidRDefault="00EB753B"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Receivers and receivership orders are also specifically addressed and provided for in legislation created for segregated portfolio companies</w:t>
      </w:r>
      <w:r w:rsidR="00004B20">
        <w:rPr>
          <w:rFonts w:ascii="Arial" w:hAnsi="Arial" w:cs="Arial"/>
          <w:color w:val="808080" w:themeColor="background1" w:themeShade="80"/>
          <w:sz w:val="22"/>
          <w:szCs w:val="22"/>
          <w:lang w:val="en-GB"/>
        </w:rPr>
        <w:t>. Where the Grand Court is satisfied that an SPC's assets in respect of a particular portfolio are insufficient to discharge creditors' claims in relation to that portfolio, the court may make a receivership order in relation to that portfolio. The role is ana</w:t>
      </w:r>
      <w:r w:rsidR="00A64752">
        <w:rPr>
          <w:rFonts w:ascii="Arial" w:hAnsi="Arial" w:cs="Arial"/>
          <w:color w:val="808080" w:themeColor="background1" w:themeShade="80"/>
          <w:sz w:val="22"/>
          <w:szCs w:val="22"/>
          <w:lang w:val="en-GB"/>
        </w:rPr>
        <w:t>logous to that of a liquidator</w:t>
      </w:r>
      <w:r w:rsidR="00004B20">
        <w:rPr>
          <w:rStyle w:val="FootnoteReference"/>
          <w:rFonts w:ascii="Arial" w:hAnsi="Arial" w:cs="Arial"/>
          <w:color w:val="808080" w:themeColor="background1" w:themeShade="80"/>
          <w:sz w:val="22"/>
          <w:szCs w:val="22"/>
          <w:lang w:val="en-GB"/>
        </w:rPr>
        <w:footnoteReference w:id="21"/>
      </w:r>
      <w:r w:rsidR="00004B20">
        <w:rPr>
          <w:rFonts w:ascii="Arial" w:hAnsi="Arial" w:cs="Arial"/>
          <w:color w:val="808080" w:themeColor="background1" w:themeShade="80"/>
          <w:sz w:val="22"/>
          <w:szCs w:val="22"/>
          <w:lang w:val="en-GB"/>
        </w:rPr>
        <w:t xml:space="preserve"> </w:t>
      </w:r>
      <w:r w:rsidR="00004B20">
        <w:rPr>
          <w:rStyle w:val="FootnoteReference"/>
          <w:rFonts w:ascii="Arial" w:hAnsi="Arial" w:cs="Arial"/>
          <w:color w:val="808080" w:themeColor="background1" w:themeShade="80"/>
          <w:sz w:val="22"/>
          <w:szCs w:val="22"/>
          <w:lang w:val="en-GB"/>
        </w:rPr>
        <w:footnoteReference w:id="22"/>
      </w:r>
      <w:r w:rsidR="00004B20">
        <w:rPr>
          <w:rFonts w:ascii="Arial" w:hAnsi="Arial" w:cs="Arial"/>
          <w:color w:val="808080" w:themeColor="background1" w:themeShade="80"/>
          <w:sz w:val="22"/>
          <w:szCs w:val="22"/>
          <w:lang w:val="en-GB"/>
        </w:rPr>
        <w:t>.</w:t>
      </w:r>
    </w:p>
    <w:p w14:paraId="31815193" w14:textId="46D4CBC7" w:rsidR="00E244BB" w:rsidRDefault="00E244BB" w:rsidP="00E4294D">
      <w:pPr>
        <w:jc w:val="both"/>
        <w:rPr>
          <w:rFonts w:ascii="Arial" w:hAnsi="Arial" w:cs="Arial"/>
          <w:color w:val="808080" w:themeColor="background1" w:themeShade="80"/>
          <w:sz w:val="22"/>
          <w:szCs w:val="22"/>
          <w:lang w:val="en-GB"/>
        </w:rPr>
      </w:pPr>
    </w:p>
    <w:p w14:paraId="6C9A79D1" w14:textId="77777777" w:rsidR="00E244BB" w:rsidRPr="00AB0E3A" w:rsidRDefault="00E244BB" w:rsidP="00E4294D">
      <w:pPr>
        <w:jc w:val="both"/>
        <w:rPr>
          <w:rFonts w:ascii="Arial" w:hAnsi="Arial" w:cs="Arial"/>
          <w:color w:val="808080" w:themeColor="background1" w:themeShade="80"/>
          <w:sz w:val="22"/>
          <w:szCs w:val="22"/>
          <w:lang w:val="en-GB"/>
        </w:rPr>
      </w:pPr>
    </w:p>
    <w:p w14:paraId="6B4C4CB7" w14:textId="129B7CBA"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proofErr w:type="gramStart"/>
      <w:r w:rsidR="00924973">
        <w:rPr>
          <w:rFonts w:ascii="Arial" w:hAnsi="Arial" w:cs="Arial"/>
          <w:sz w:val="22"/>
          <w:szCs w:val="22"/>
          <w:lang w:val="en-GB"/>
        </w:rPr>
        <w:t>)</w:t>
      </w:r>
      <w:r w:rsidR="004D4774">
        <w:rPr>
          <w:rFonts w:ascii="Arial" w:hAnsi="Arial" w:cs="Arial"/>
          <w:sz w:val="22"/>
          <w:szCs w:val="22"/>
          <w:lang w:val="en-GB"/>
        </w:rPr>
        <w:t>is</w:t>
      </w:r>
      <w:proofErr w:type="gramEnd"/>
      <w:r w:rsidR="004D4774">
        <w:rPr>
          <w:rFonts w:ascii="Arial" w:hAnsi="Arial" w:cs="Arial"/>
          <w:sz w:val="22"/>
          <w:szCs w:val="22"/>
          <w:lang w:val="en-GB"/>
        </w:rPr>
        <w:t xml:space="preserve">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w:t>
      </w:r>
      <w:proofErr w:type="gramStart"/>
      <w:r>
        <w:rPr>
          <w:rFonts w:ascii="Arial" w:hAnsi="Arial" w:cs="Arial"/>
          <w:sz w:val="22"/>
          <w:szCs w:val="22"/>
          <w:lang w:val="en-GB"/>
        </w:rPr>
        <w:t>central</w:t>
      </w:r>
      <w:proofErr w:type="gramEnd"/>
      <w:r>
        <w:rPr>
          <w:rFonts w:ascii="Arial" w:hAnsi="Arial" w:cs="Arial"/>
          <w:sz w:val="22"/>
          <w:szCs w:val="22"/>
          <w:lang w:val="en-GB"/>
        </w:rPr>
        <w:t xml:space="preserve">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DAAD71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r w:rsidR="0023256B">
        <w:rPr>
          <w:rFonts w:ascii="Arial" w:hAnsi="Arial" w:cs="Arial"/>
          <w:sz w:val="22"/>
          <w:szCs w:val="22"/>
          <w:lang w:val="en-GB"/>
        </w:rPr>
        <w:t xml:space="preserve"> </w:t>
      </w:r>
    </w:p>
    <w:p w14:paraId="60988ABD" w14:textId="77777777" w:rsidR="00952187" w:rsidRPr="00952187" w:rsidRDefault="00952187" w:rsidP="00924973">
      <w:pPr>
        <w:ind w:left="426"/>
        <w:jc w:val="both"/>
        <w:rPr>
          <w:rFonts w:ascii="Arial" w:hAnsi="Arial" w:cs="Arial"/>
          <w:sz w:val="22"/>
          <w:szCs w:val="22"/>
          <w:lang w:val="en-GB"/>
        </w:rPr>
      </w:pPr>
    </w:p>
    <w:p w14:paraId="5C96F779" w14:textId="65E1B280" w:rsidR="00952187" w:rsidRDefault="002A2C21" w:rsidP="001C1125">
      <w:pPr>
        <w:pStyle w:val="ListParagraph"/>
        <w:numPr>
          <w:ilvl w:val="0"/>
          <w:numId w:val="41"/>
        </w:numPr>
        <w:ind w:left="426"/>
        <w:jc w:val="both"/>
        <w:rPr>
          <w:rFonts w:ascii="Arial" w:hAnsi="Arial" w:cs="Arial"/>
          <w:sz w:val="22"/>
          <w:szCs w:val="22"/>
          <w:lang w:val="en-GB"/>
        </w:rPr>
      </w:pPr>
      <w:r w:rsidRPr="00E87889">
        <w:rPr>
          <w:rFonts w:ascii="Arial" w:hAnsi="Arial" w:cs="Arial"/>
          <w:sz w:val="22"/>
          <w:szCs w:val="22"/>
          <w:lang w:val="en-GB"/>
        </w:rPr>
        <w:t xml:space="preserve">What action can </w:t>
      </w:r>
      <w:r w:rsidR="00C41A0C" w:rsidRPr="00E87889">
        <w:rPr>
          <w:rFonts w:ascii="Arial" w:hAnsi="Arial" w:cs="Arial"/>
          <w:sz w:val="22"/>
          <w:szCs w:val="22"/>
          <w:lang w:val="en-GB"/>
        </w:rPr>
        <w:t xml:space="preserve">Roger </w:t>
      </w:r>
      <w:r w:rsidR="008D7C65" w:rsidRPr="00E87889">
        <w:rPr>
          <w:rFonts w:ascii="Arial" w:hAnsi="Arial" w:cs="Arial"/>
          <w:sz w:val="22"/>
          <w:szCs w:val="22"/>
          <w:lang w:val="en-GB"/>
        </w:rPr>
        <w:t xml:space="preserve">Jolly </w:t>
      </w:r>
      <w:r w:rsidRPr="00E87889">
        <w:rPr>
          <w:rFonts w:ascii="Arial" w:hAnsi="Arial" w:cs="Arial"/>
          <w:sz w:val="22"/>
          <w:szCs w:val="22"/>
          <w:lang w:val="en-GB"/>
        </w:rPr>
        <w:t xml:space="preserve">take </w:t>
      </w:r>
      <w:r w:rsidR="007D11EE" w:rsidRPr="00E87889">
        <w:rPr>
          <w:rFonts w:ascii="Arial" w:hAnsi="Arial" w:cs="Arial"/>
          <w:sz w:val="22"/>
          <w:szCs w:val="22"/>
          <w:lang w:val="en-GB"/>
        </w:rPr>
        <w:t>to protect its interests</w:t>
      </w:r>
      <w:r w:rsidRPr="00E87889">
        <w:rPr>
          <w:rFonts w:ascii="Arial" w:hAnsi="Arial" w:cs="Arial"/>
          <w:sz w:val="22"/>
          <w:szCs w:val="22"/>
          <w:lang w:val="en-GB"/>
        </w:rPr>
        <w:t>?</w:t>
      </w:r>
      <w:r w:rsidR="0023256B" w:rsidRPr="00E87889">
        <w:rPr>
          <w:rFonts w:ascii="Arial" w:hAnsi="Arial" w:cs="Arial"/>
          <w:sz w:val="22"/>
          <w:szCs w:val="22"/>
          <w:lang w:val="en-GB"/>
        </w:rPr>
        <w:t xml:space="preserve"> </w:t>
      </w:r>
    </w:p>
    <w:p w14:paraId="1E89BEEE" w14:textId="505A1CDB" w:rsidR="00E87889" w:rsidRPr="00E87889" w:rsidRDefault="00E87889" w:rsidP="00E87889">
      <w:pPr>
        <w:jc w:val="both"/>
        <w:rPr>
          <w:rFonts w:ascii="Arial" w:hAnsi="Arial" w:cs="Arial"/>
          <w:sz w:val="22"/>
          <w:szCs w:val="22"/>
          <w:lang w:val="en-GB"/>
        </w:rPr>
      </w:pPr>
    </w:p>
    <w:p w14:paraId="786BD95B" w14:textId="33857903"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r w:rsidR="0023256B">
        <w:rPr>
          <w:rFonts w:ascii="Arial" w:hAnsi="Arial" w:cs="Arial"/>
          <w:sz w:val="22"/>
          <w:szCs w:val="22"/>
          <w:lang w:val="en-GB"/>
        </w:rPr>
        <w:t xml:space="preserve"> </w:t>
      </w:r>
    </w:p>
    <w:p w14:paraId="2D2F4E09" w14:textId="77777777" w:rsidR="00952187" w:rsidRPr="00952187" w:rsidRDefault="00952187" w:rsidP="00924973">
      <w:pPr>
        <w:ind w:left="426"/>
        <w:jc w:val="both"/>
        <w:rPr>
          <w:rFonts w:ascii="Arial" w:hAnsi="Arial" w:cs="Arial"/>
          <w:sz w:val="22"/>
          <w:szCs w:val="22"/>
          <w:lang w:val="en-GB"/>
        </w:rPr>
      </w:pPr>
    </w:p>
    <w:p w14:paraId="50895D5F" w14:textId="76160352"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r w:rsidR="00C54E96">
        <w:rPr>
          <w:rFonts w:ascii="Arial" w:hAnsi="Arial" w:cs="Arial"/>
          <w:sz w:val="22"/>
          <w:szCs w:val="22"/>
          <w:lang w:val="en-GB"/>
        </w:rPr>
        <w:t xml:space="preserve"> </w:t>
      </w:r>
    </w:p>
    <w:p w14:paraId="43E439C8" w14:textId="77777777" w:rsidR="00952187" w:rsidRPr="00952187" w:rsidRDefault="00952187" w:rsidP="00924973">
      <w:pPr>
        <w:ind w:left="426"/>
        <w:jc w:val="both"/>
        <w:rPr>
          <w:rFonts w:ascii="Arial" w:hAnsi="Arial" w:cs="Arial"/>
          <w:sz w:val="22"/>
          <w:szCs w:val="22"/>
          <w:lang w:val="en-GB"/>
        </w:rPr>
      </w:pPr>
    </w:p>
    <w:p w14:paraId="24A6BD44" w14:textId="7583455B"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6CBFCE0B"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r w:rsidR="00C54E96">
        <w:rPr>
          <w:rFonts w:ascii="Arial" w:hAnsi="Arial" w:cs="Arial"/>
          <w:sz w:val="22"/>
          <w:szCs w:val="22"/>
          <w:lang w:val="en-GB"/>
        </w:rPr>
        <w:t xml:space="preserve"> </w:t>
      </w:r>
    </w:p>
    <w:p w14:paraId="7ADDA549" w14:textId="77777777" w:rsidR="00952187" w:rsidRPr="00952187" w:rsidRDefault="00952187" w:rsidP="00924973">
      <w:pPr>
        <w:ind w:left="426"/>
        <w:jc w:val="both"/>
        <w:rPr>
          <w:rFonts w:ascii="Arial" w:hAnsi="Arial" w:cs="Arial"/>
          <w:sz w:val="22"/>
          <w:szCs w:val="22"/>
          <w:lang w:val="en-GB"/>
        </w:rPr>
      </w:pPr>
    </w:p>
    <w:p w14:paraId="5144D848" w14:textId="6D6E72F6" w:rsidR="00BC3A55"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r w:rsidR="00C54E96">
        <w:rPr>
          <w:rFonts w:ascii="Arial" w:hAnsi="Arial" w:cs="Arial"/>
          <w:sz w:val="22"/>
          <w:szCs w:val="22"/>
          <w:lang w:val="en-GB"/>
        </w:rPr>
        <w:t xml:space="preserve"> </w:t>
      </w:r>
    </w:p>
    <w:p w14:paraId="09FE8E6A" w14:textId="77777777" w:rsidR="002D0CB5" w:rsidRPr="002D0CB5" w:rsidRDefault="002D0CB5" w:rsidP="002D0CB5">
      <w:pPr>
        <w:pStyle w:val="ListParagraph"/>
        <w:rPr>
          <w:rFonts w:ascii="Arial" w:hAnsi="Arial" w:cs="Arial"/>
          <w:sz w:val="22"/>
          <w:szCs w:val="22"/>
          <w:lang w:val="en-GB"/>
        </w:rPr>
      </w:pPr>
    </w:p>
    <w:p w14:paraId="413D3836" w14:textId="77777777" w:rsidR="002D0CB5" w:rsidRPr="00924973" w:rsidRDefault="002D0CB5" w:rsidP="002D0CB5">
      <w:pPr>
        <w:pStyle w:val="ListParagraph"/>
        <w:ind w:left="426"/>
        <w:jc w:val="both"/>
        <w:rPr>
          <w:rFonts w:ascii="Arial" w:hAnsi="Arial" w:cs="Arial"/>
          <w:sz w:val="22"/>
          <w:szCs w:val="22"/>
          <w:lang w:val="en-GB"/>
        </w:rPr>
      </w:pPr>
    </w:p>
    <w:bookmarkEnd w:id="0"/>
    <w:p w14:paraId="06689831" w14:textId="0F017EEC" w:rsidR="00385435" w:rsidRDefault="001001AB" w:rsidP="001001AB">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Potential actions open to Sparrow to protect its interests. We are told that S&amp;C has a mortgage with Sparrow, secured using four of S&amp;C's largest party boats. Generally, the mortgagee, Sparrow, does not have a right to simply take possession of the collateral (i.e. the four boats). However, the mortgage agreement may contain a power of attorney in favour of Sparrow, permitting Spa</w:t>
      </w:r>
      <w:r w:rsidR="00B31963">
        <w:rPr>
          <w:rFonts w:ascii="Arial" w:hAnsi="Arial" w:cs="Arial"/>
          <w:color w:val="808080" w:themeColor="background1" w:themeShade="80"/>
          <w:sz w:val="22"/>
          <w:szCs w:val="22"/>
          <w:lang w:val="en-GB"/>
        </w:rPr>
        <w:t>rrow to execute a transfer document to transfer the boats into Sparrow's name upon default of the loan</w:t>
      </w:r>
      <w:r w:rsidR="005C5464">
        <w:rPr>
          <w:rFonts w:ascii="Arial" w:hAnsi="Arial" w:cs="Arial"/>
          <w:color w:val="808080" w:themeColor="background1" w:themeShade="80"/>
          <w:sz w:val="22"/>
          <w:szCs w:val="22"/>
          <w:lang w:val="en-GB"/>
        </w:rPr>
        <w:t>, or to appoint a receiver over the boats</w:t>
      </w:r>
      <w:r w:rsidR="00B31963">
        <w:rPr>
          <w:rFonts w:ascii="Arial" w:hAnsi="Arial" w:cs="Arial"/>
          <w:color w:val="808080" w:themeColor="background1" w:themeShade="80"/>
          <w:sz w:val="22"/>
          <w:szCs w:val="22"/>
          <w:lang w:val="en-GB"/>
        </w:rPr>
        <w:t>. Therefore, the first thing Sparrow should do is to take a look at the options available to it in the mortgage agreement</w:t>
      </w:r>
      <w:r w:rsidR="00BF0C06">
        <w:rPr>
          <w:rStyle w:val="FootnoteReference"/>
          <w:rFonts w:ascii="Arial" w:hAnsi="Arial" w:cs="Arial"/>
          <w:color w:val="808080" w:themeColor="background1" w:themeShade="80"/>
          <w:sz w:val="22"/>
          <w:szCs w:val="22"/>
          <w:lang w:val="en-GB"/>
        </w:rPr>
        <w:footnoteReference w:id="23"/>
      </w:r>
      <w:r w:rsidR="00B31963">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 </w:t>
      </w:r>
    </w:p>
    <w:p w14:paraId="225C1EBF" w14:textId="3AD7AB87" w:rsidR="00385435" w:rsidRDefault="00385435" w:rsidP="00385435">
      <w:pPr>
        <w:pStyle w:val="ListParagraph"/>
        <w:jc w:val="both"/>
        <w:rPr>
          <w:rFonts w:ascii="Arial" w:hAnsi="Arial" w:cs="Arial"/>
          <w:color w:val="808080" w:themeColor="background1" w:themeShade="80"/>
          <w:sz w:val="22"/>
          <w:szCs w:val="22"/>
          <w:lang w:val="en-GB"/>
        </w:rPr>
      </w:pPr>
    </w:p>
    <w:p w14:paraId="51911D9F" w14:textId="674FC765" w:rsidR="00952187" w:rsidRDefault="00A2161A" w:rsidP="00385435">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Another option </w:t>
      </w:r>
      <w:r w:rsidRPr="00385435">
        <w:rPr>
          <w:rFonts w:ascii="Arial" w:hAnsi="Arial" w:cs="Arial"/>
          <w:color w:val="808080" w:themeColor="background1" w:themeShade="80"/>
          <w:sz w:val="22"/>
          <w:szCs w:val="22"/>
          <w:lang w:val="en-GB"/>
        </w:rPr>
        <w:t xml:space="preserve">open to Sparrow is to apply to have S&amp;C </w:t>
      </w:r>
      <w:r w:rsidR="004B7359" w:rsidRPr="00385435">
        <w:rPr>
          <w:rFonts w:ascii="Arial" w:hAnsi="Arial" w:cs="Arial"/>
          <w:color w:val="808080" w:themeColor="background1" w:themeShade="80"/>
          <w:sz w:val="22"/>
          <w:szCs w:val="22"/>
          <w:lang w:val="en-GB"/>
        </w:rPr>
        <w:t>wound up</w:t>
      </w:r>
      <w:r w:rsidRPr="00385435">
        <w:rPr>
          <w:rFonts w:ascii="Arial" w:hAnsi="Arial" w:cs="Arial"/>
          <w:color w:val="808080" w:themeColor="background1" w:themeShade="80"/>
          <w:sz w:val="22"/>
          <w:szCs w:val="22"/>
          <w:lang w:val="en-GB"/>
        </w:rPr>
        <w:t>, and then try to enforce its security</w:t>
      </w:r>
      <w:r w:rsidR="004B7359" w:rsidRPr="00385435">
        <w:rPr>
          <w:rFonts w:ascii="Arial" w:hAnsi="Arial" w:cs="Arial"/>
          <w:color w:val="808080" w:themeColor="background1" w:themeShade="80"/>
          <w:sz w:val="22"/>
          <w:szCs w:val="22"/>
          <w:lang w:val="en-GB"/>
        </w:rPr>
        <w:t xml:space="preserve"> for the US$80m</w:t>
      </w:r>
      <w:r w:rsidRPr="00385435">
        <w:rPr>
          <w:rFonts w:ascii="Arial" w:hAnsi="Arial" w:cs="Arial"/>
          <w:color w:val="808080" w:themeColor="background1" w:themeShade="80"/>
          <w:sz w:val="22"/>
          <w:szCs w:val="22"/>
          <w:lang w:val="en-GB"/>
        </w:rPr>
        <w:t xml:space="preserve">. As </w:t>
      </w:r>
      <w:r w:rsidR="008F5F21" w:rsidRPr="00385435">
        <w:rPr>
          <w:rFonts w:ascii="Arial" w:hAnsi="Arial" w:cs="Arial"/>
          <w:color w:val="808080" w:themeColor="background1" w:themeShade="80"/>
          <w:sz w:val="22"/>
          <w:szCs w:val="22"/>
          <w:lang w:val="en-GB"/>
        </w:rPr>
        <w:t xml:space="preserve">the </w:t>
      </w:r>
      <w:r w:rsidR="004B7359" w:rsidRPr="00385435">
        <w:rPr>
          <w:rFonts w:ascii="Arial" w:hAnsi="Arial" w:cs="Arial"/>
          <w:color w:val="808080" w:themeColor="background1" w:themeShade="80"/>
          <w:sz w:val="22"/>
          <w:szCs w:val="22"/>
          <w:lang w:val="en-GB"/>
        </w:rPr>
        <w:t xml:space="preserve">overall </w:t>
      </w:r>
      <w:r w:rsidR="008F5F21" w:rsidRPr="00385435">
        <w:rPr>
          <w:rFonts w:ascii="Arial" w:hAnsi="Arial" w:cs="Arial"/>
          <w:color w:val="808080" w:themeColor="background1" w:themeShade="80"/>
          <w:sz w:val="22"/>
          <w:szCs w:val="22"/>
          <w:lang w:val="en-GB"/>
        </w:rPr>
        <w:t xml:space="preserve">debt owed to Sparrow </w:t>
      </w:r>
      <w:r w:rsidRPr="00385435">
        <w:rPr>
          <w:rFonts w:ascii="Arial" w:hAnsi="Arial" w:cs="Arial"/>
          <w:color w:val="808080" w:themeColor="background1" w:themeShade="80"/>
          <w:sz w:val="22"/>
          <w:szCs w:val="22"/>
          <w:lang w:val="en-GB"/>
        </w:rPr>
        <w:t xml:space="preserve">(US$200m) is </w:t>
      </w:r>
      <w:r w:rsidR="008F5F21" w:rsidRPr="00385435">
        <w:rPr>
          <w:rFonts w:ascii="Arial" w:hAnsi="Arial" w:cs="Arial"/>
          <w:color w:val="808080" w:themeColor="background1" w:themeShade="80"/>
          <w:sz w:val="22"/>
          <w:szCs w:val="22"/>
          <w:lang w:val="en-GB"/>
        </w:rPr>
        <w:t xml:space="preserve">very likely to be </w:t>
      </w:r>
      <w:r w:rsidRPr="00385435">
        <w:rPr>
          <w:rFonts w:ascii="Arial" w:hAnsi="Arial" w:cs="Arial"/>
          <w:color w:val="808080" w:themeColor="background1" w:themeShade="80"/>
          <w:sz w:val="22"/>
          <w:szCs w:val="22"/>
          <w:lang w:val="en-GB"/>
        </w:rPr>
        <w:t xml:space="preserve">more than the value of the security in the four boats </w:t>
      </w:r>
      <w:r w:rsidR="008F5F21" w:rsidRPr="00385435">
        <w:rPr>
          <w:rFonts w:ascii="Arial" w:hAnsi="Arial" w:cs="Arial"/>
          <w:color w:val="808080" w:themeColor="background1" w:themeShade="80"/>
          <w:sz w:val="22"/>
          <w:szCs w:val="22"/>
          <w:lang w:val="en-GB"/>
        </w:rPr>
        <w:t xml:space="preserve">(as a US$80m mortgage was granted), </w:t>
      </w:r>
      <w:r w:rsidR="004B7359" w:rsidRPr="00385435">
        <w:rPr>
          <w:rFonts w:ascii="Arial" w:hAnsi="Arial" w:cs="Arial"/>
          <w:color w:val="808080" w:themeColor="background1" w:themeShade="80"/>
          <w:sz w:val="22"/>
          <w:szCs w:val="22"/>
          <w:lang w:val="en-GB"/>
        </w:rPr>
        <w:t>Sparrow may prove in the liquidation for the unsecured balance of the loan</w:t>
      </w:r>
      <w:r w:rsidR="00BF0C06">
        <w:rPr>
          <w:rStyle w:val="FootnoteReference"/>
          <w:rFonts w:ascii="Arial" w:hAnsi="Arial" w:cs="Arial"/>
          <w:color w:val="808080" w:themeColor="background1" w:themeShade="80"/>
          <w:sz w:val="22"/>
          <w:szCs w:val="22"/>
          <w:lang w:val="en-GB"/>
        </w:rPr>
        <w:footnoteReference w:id="24"/>
      </w:r>
      <w:r w:rsidR="004B7359" w:rsidRPr="00385435">
        <w:rPr>
          <w:rFonts w:ascii="Arial" w:hAnsi="Arial" w:cs="Arial"/>
          <w:color w:val="808080" w:themeColor="background1" w:themeShade="80"/>
          <w:sz w:val="22"/>
          <w:szCs w:val="22"/>
          <w:lang w:val="en-GB"/>
        </w:rPr>
        <w:t xml:space="preserve">. </w:t>
      </w:r>
    </w:p>
    <w:p w14:paraId="0AA69E91" w14:textId="77777777" w:rsidR="004531DA" w:rsidRPr="00385435" w:rsidRDefault="004531DA" w:rsidP="00385435">
      <w:pPr>
        <w:pStyle w:val="ListParagraph"/>
        <w:jc w:val="both"/>
        <w:rPr>
          <w:rFonts w:ascii="Arial" w:hAnsi="Arial" w:cs="Arial"/>
          <w:color w:val="808080" w:themeColor="background1" w:themeShade="80"/>
          <w:sz w:val="22"/>
          <w:szCs w:val="22"/>
          <w:lang w:val="en-GB"/>
        </w:rPr>
      </w:pPr>
      <w:bookmarkStart w:id="1" w:name="_GoBack"/>
      <w:bookmarkEnd w:id="1"/>
    </w:p>
    <w:p w14:paraId="6F5E830D" w14:textId="42B92987" w:rsidR="0032554E" w:rsidRDefault="004531DA" w:rsidP="001001AB">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Potential actions open to Roger Jolly. We are told that Roger Jolly has the benefit of an ICC arbitration award. </w:t>
      </w:r>
      <w:r w:rsidR="00E87889">
        <w:rPr>
          <w:rFonts w:ascii="Arial" w:hAnsi="Arial" w:cs="Arial"/>
          <w:color w:val="808080" w:themeColor="background1" w:themeShade="80"/>
          <w:sz w:val="22"/>
          <w:szCs w:val="22"/>
          <w:lang w:val="en-GB"/>
        </w:rPr>
        <w:t xml:space="preserve">It is owed damages of US$50m. </w:t>
      </w:r>
      <w:r>
        <w:rPr>
          <w:rFonts w:ascii="Arial" w:hAnsi="Arial" w:cs="Arial"/>
          <w:color w:val="808080" w:themeColor="background1" w:themeShade="80"/>
          <w:sz w:val="22"/>
          <w:szCs w:val="22"/>
          <w:lang w:val="en-GB"/>
        </w:rPr>
        <w:t xml:space="preserve">It can therefore apply to domesticate the judgment under common law, if </w:t>
      </w:r>
      <w:r w:rsidR="00512C62">
        <w:rPr>
          <w:rFonts w:ascii="Arial" w:hAnsi="Arial" w:cs="Arial"/>
          <w:color w:val="808080" w:themeColor="background1" w:themeShade="80"/>
          <w:sz w:val="22"/>
          <w:szCs w:val="22"/>
          <w:lang w:val="en-GB"/>
        </w:rPr>
        <w:t xml:space="preserve">it cannot be domesticated pursuant to the New </w:t>
      </w:r>
      <w:r w:rsidR="00472D02">
        <w:rPr>
          <w:rFonts w:ascii="Arial" w:hAnsi="Arial" w:cs="Arial"/>
          <w:color w:val="808080" w:themeColor="background1" w:themeShade="80"/>
          <w:sz w:val="22"/>
          <w:szCs w:val="22"/>
          <w:lang w:val="en-GB"/>
        </w:rPr>
        <w:t xml:space="preserve">York Convention on the </w:t>
      </w:r>
      <w:r w:rsidR="003300AB">
        <w:rPr>
          <w:rFonts w:ascii="Arial" w:hAnsi="Arial" w:cs="Arial"/>
          <w:color w:val="808080" w:themeColor="background1" w:themeShade="80"/>
          <w:sz w:val="22"/>
          <w:szCs w:val="22"/>
          <w:lang w:val="en-GB"/>
        </w:rPr>
        <w:t>r</w:t>
      </w:r>
      <w:r w:rsidR="00512C62">
        <w:rPr>
          <w:rFonts w:ascii="Arial" w:hAnsi="Arial" w:cs="Arial"/>
          <w:color w:val="808080" w:themeColor="background1" w:themeShade="80"/>
          <w:sz w:val="22"/>
          <w:szCs w:val="22"/>
          <w:lang w:val="en-GB"/>
        </w:rPr>
        <w:t xml:space="preserve">ecognition and Enforcement of Foreign Arbitral Awards. Once the ICC award is domesticated, Roger Jolly can apply to </w:t>
      </w:r>
      <w:r>
        <w:rPr>
          <w:rFonts w:ascii="Arial" w:hAnsi="Arial" w:cs="Arial"/>
          <w:color w:val="808080" w:themeColor="background1" w:themeShade="80"/>
          <w:sz w:val="22"/>
          <w:szCs w:val="22"/>
          <w:lang w:val="en-GB"/>
        </w:rPr>
        <w:t>appoint a receiver to enforce that judgment, pursuant to Order 45 of the GCR. Roger Jolly may alterna</w:t>
      </w:r>
      <w:r w:rsidR="00512C62">
        <w:rPr>
          <w:rFonts w:ascii="Arial" w:hAnsi="Arial" w:cs="Arial"/>
          <w:color w:val="808080" w:themeColor="background1" w:themeShade="80"/>
          <w:sz w:val="22"/>
          <w:szCs w:val="22"/>
          <w:lang w:val="en-GB"/>
        </w:rPr>
        <w:t>tively apply to wind up S&amp;C on the basis of the domesticated judgment. Additionally, we are told that Roger Jolly were commissioned to build the ten boats. If the boats are</w:t>
      </w:r>
      <w:r w:rsidR="00E87889">
        <w:rPr>
          <w:rFonts w:ascii="Arial" w:hAnsi="Arial" w:cs="Arial"/>
          <w:color w:val="808080" w:themeColor="background1" w:themeShade="80"/>
          <w:sz w:val="22"/>
          <w:szCs w:val="22"/>
          <w:lang w:val="en-GB"/>
        </w:rPr>
        <w:t xml:space="preserve"> completed and </w:t>
      </w:r>
      <w:r w:rsidR="00512C62">
        <w:rPr>
          <w:rFonts w:ascii="Arial" w:hAnsi="Arial" w:cs="Arial"/>
          <w:color w:val="808080" w:themeColor="background1" w:themeShade="80"/>
          <w:sz w:val="22"/>
          <w:szCs w:val="22"/>
          <w:lang w:val="en-GB"/>
        </w:rPr>
        <w:t xml:space="preserve">still within Roger Jolly's possession (we are not told that they were </w:t>
      </w:r>
      <w:r w:rsidR="00E87889">
        <w:rPr>
          <w:rFonts w:ascii="Arial" w:hAnsi="Arial" w:cs="Arial"/>
          <w:color w:val="808080" w:themeColor="background1" w:themeShade="80"/>
          <w:sz w:val="22"/>
          <w:szCs w:val="22"/>
          <w:lang w:val="en-GB"/>
        </w:rPr>
        <w:t xml:space="preserve">completed or </w:t>
      </w:r>
      <w:r w:rsidR="00512C62">
        <w:rPr>
          <w:rFonts w:ascii="Arial" w:hAnsi="Arial" w:cs="Arial"/>
          <w:color w:val="808080" w:themeColor="background1" w:themeShade="80"/>
          <w:sz w:val="22"/>
          <w:szCs w:val="22"/>
          <w:lang w:val="en-GB"/>
        </w:rPr>
        <w:t>delivered to S&amp;C), then it can consider its options under t</w:t>
      </w:r>
      <w:r w:rsidR="00E87889">
        <w:rPr>
          <w:rFonts w:ascii="Arial" w:hAnsi="Arial" w:cs="Arial"/>
          <w:color w:val="808080" w:themeColor="background1" w:themeShade="80"/>
          <w:sz w:val="22"/>
          <w:szCs w:val="22"/>
          <w:lang w:val="en-GB"/>
        </w:rPr>
        <w:t>he contract to retain the boats or to seek the appointment of a receiver to sell the boats</w:t>
      </w:r>
      <w:r w:rsidR="006121C4">
        <w:rPr>
          <w:rStyle w:val="FootnoteReference"/>
          <w:rFonts w:ascii="Arial" w:hAnsi="Arial" w:cs="Arial"/>
          <w:color w:val="808080" w:themeColor="background1" w:themeShade="80"/>
          <w:sz w:val="22"/>
          <w:szCs w:val="22"/>
          <w:lang w:val="en-GB"/>
        </w:rPr>
        <w:footnoteReference w:id="25"/>
      </w:r>
      <w:r w:rsidR="00E87889">
        <w:rPr>
          <w:rFonts w:ascii="Arial" w:hAnsi="Arial" w:cs="Arial"/>
          <w:color w:val="808080" w:themeColor="background1" w:themeShade="80"/>
          <w:sz w:val="22"/>
          <w:szCs w:val="22"/>
          <w:lang w:val="en-GB"/>
        </w:rPr>
        <w:t xml:space="preserve">. </w:t>
      </w:r>
    </w:p>
    <w:p w14:paraId="49057B42" w14:textId="77777777" w:rsidR="00E87889" w:rsidRDefault="00E87889" w:rsidP="00E87889">
      <w:pPr>
        <w:pStyle w:val="ListParagraph"/>
        <w:jc w:val="both"/>
        <w:rPr>
          <w:rFonts w:ascii="Arial" w:hAnsi="Arial" w:cs="Arial"/>
          <w:color w:val="808080" w:themeColor="background1" w:themeShade="80"/>
          <w:sz w:val="22"/>
          <w:szCs w:val="22"/>
          <w:lang w:val="en-GB"/>
        </w:rPr>
      </w:pPr>
    </w:p>
    <w:p w14:paraId="47F91FAE" w14:textId="4B8A2E01" w:rsidR="006D40DB" w:rsidRDefault="000E4E7C" w:rsidP="006D40DB">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unpaid employees can </w:t>
      </w:r>
      <w:r w:rsidR="006D40DB">
        <w:rPr>
          <w:rFonts w:ascii="Arial" w:hAnsi="Arial" w:cs="Arial"/>
          <w:color w:val="808080" w:themeColor="background1" w:themeShade="80"/>
          <w:sz w:val="22"/>
          <w:szCs w:val="22"/>
          <w:lang w:val="en-GB"/>
        </w:rPr>
        <w:t>apply to have S&amp;C wound up. The order of priorities in an official liquidation mean that the employees will be first in line when it comes to the distribution of sums owed in relation to preferential debts, after the liquidation expenses have been paid</w:t>
      </w:r>
      <w:r w:rsidR="006121C4">
        <w:rPr>
          <w:rStyle w:val="FootnoteReference"/>
          <w:rFonts w:ascii="Arial" w:hAnsi="Arial" w:cs="Arial"/>
          <w:color w:val="808080" w:themeColor="background1" w:themeShade="80"/>
          <w:sz w:val="22"/>
          <w:szCs w:val="22"/>
          <w:lang w:val="en-GB"/>
        </w:rPr>
        <w:footnoteReference w:id="26"/>
      </w:r>
      <w:r w:rsidR="006D40DB">
        <w:rPr>
          <w:rFonts w:ascii="Arial" w:hAnsi="Arial" w:cs="Arial"/>
          <w:color w:val="808080" w:themeColor="background1" w:themeShade="80"/>
          <w:sz w:val="22"/>
          <w:szCs w:val="22"/>
          <w:lang w:val="en-GB"/>
        </w:rPr>
        <w:t xml:space="preserve">. </w:t>
      </w:r>
    </w:p>
    <w:p w14:paraId="00E5B2DB" w14:textId="57B450A4" w:rsidR="006D40DB" w:rsidRPr="006D40DB" w:rsidRDefault="006D40DB" w:rsidP="006D40DB">
      <w:pPr>
        <w:pStyle w:val="ListParagraph"/>
        <w:rPr>
          <w:rFonts w:ascii="Arial" w:hAnsi="Arial" w:cs="Arial"/>
          <w:color w:val="808080" w:themeColor="background1" w:themeShade="80"/>
          <w:sz w:val="22"/>
          <w:szCs w:val="22"/>
          <w:lang w:val="en-GB"/>
        </w:rPr>
      </w:pPr>
    </w:p>
    <w:p w14:paraId="2B42AEF9" w14:textId="78559891" w:rsidR="006D40DB" w:rsidRDefault="00A51A14" w:rsidP="006D40DB">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Cayman Islands Court has jurisdiction over S&amp;C, as it is a company incorporated in the Cayman islands, has property (boats) located in the Islands and is carrying on business in the Islands</w:t>
      </w:r>
      <w:r w:rsidR="006121C4">
        <w:rPr>
          <w:rStyle w:val="FootnoteReference"/>
          <w:rFonts w:ascii="Arial" w:hAnsi="Arial" w:cs="Arial"/>
          <w:color w:val="808080" w:themeColor="background1" w:themeShade="80"/>
          <w:sz w:val="22"/>
          <w:szCs w:val="22"/>
          <w:lang w:val="en-GB"/>
        </w:rPr>
        <w:footnoteReference w:id="27"/>
      </w:r>
      <w:r>
        <w:rPr>
          <w:rFonts w:ascii="Arial" w:hAnsi="Arial" w:cs="Arial"/>
          <w:color w:val="808080" w:themeColor="background1" w:themeShade="80"/>
          <w:sz w:val="22"/>
          <w:szCs w:val="22"/>
          <w:lang w:val="en-GB"/>
        </w:rPr>
        <w:t xml:space="preserve">. </w:t>
      </w:r>
    </w:p>
    <w:p w14:paraId="71AB129A" w14:textId="77777777" w:rsidR="00A51A14" w:rsidRPr="00A51A14" w:rsidRDefault="00A51A14" w:rsidP="00A51A14">
      <w:pPr>
        <w:pStyle w:val="ListParagraph"/>
        <w:rPr>
          <w:rFonts w:ascii="Arial" w:hAnsi="Arial" w:cs="Arial"/>
          <w:color w:val="808080" w:themeColor="background1" w:themeShade="80"/>
          <w:sz w:val="22"/>
          <w:szCs w:val="22"/>
          <w:lang w:val="en-GB"/>
        </w:rPr>
      </w:pPr>
    </w:p>
    <w:p w14:paraId="30BA83FC" w14:textId="65E8E98A" w:rsidR="00A51A14" w:rsidRDefault="00A51A14" w:rsidP="006D40DB">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S&amp;C can attempt informal restructuring </w:t>
      </w:r>
      <w:r w:rsidR="009B1F05">
        <w:rPr>
          <w:rFonts w:ascii="Arial" w:hAnsi="Arial" w:cs="Arial"/>
          <w:color w:val="808080" w:themeColor="background1" w:themeShade="80"/>
          <w:sz w:val="22"/>
          <w:szCs w:val="22"/>
          <w:lang w:val="en-GB"/>
        </w:rPr>
        <w:t xml:space="preserve">by engaging in consensual restructuring negotiations with its creditors. If this does not work, S&amp;C can apply to the Cayman court for permission to commence a formal restructuring such as a scheme of arrangement, which can be coupled with an order for provisional liquidation. It is helpful to show the court that an attempt was made to restructure prior to the court application. </w:t>
      </w:r>
      <w:r w:rsidR="00BF0C06">
        <w:rPr>
          <w:rFonts w:ascii="Arial" w:hAnsi="Arial" w:cs="Arial"/>
          <w:color w:val="808080" w:themeColor="background1" w:themeShade="80"/>
          <w:sz w:val="22"/>
          <w:szCs w:val="22"/>
          <w:lang w:val="en-GB"/>
        </w:rPr>
        <w:t>The provisional liquidation will trigger a stay or moratorium on creditor enforcement or further actions by creditors, even in foreign courts</w:t>
      </w:r>
      <w:r w:rsidR="006121C4">
        <w:rPr>
          <w:rStyle w:val="FootnoteReference"/>
          <w:rFonts w:ascii="Arial" w:hAnsi="Arial" w:cs="Arial"/>
          <w:color w:val="808080" w:themeColor="background1" w:themeShade="80"/>
          <w:sz w:val="22"/>
          <w:szCs w:val="22"/>
          <w:lang w:val="en-GB"/>
        </w:rPr>
        <w:footnoteReference w:id="28"/>
      </w:r>
      <w:r w:rsidR="00BF0C06">
        <w:rPr>
          <w:rFonts w:ascii="Arial" w:hAnsi="Arial" w:cs="Arial"/>
          <w:color w:val="808080" w:themeColor="background1" w:themeShade="80"/>
          <w:sz w:val="22"/>
          <w:szCs w:val="22"/>
          <w:lang w:val="en-GB"/>
        </w:rPr>
        <w:t xml:space="preserve">. </w:t>
      </w:r>
      <w:r w:rsidR="007F699C">
        <w:rPr>
          <w:rFonts w:ascii="Arial" w:hAnsi="Arial" w:cs="Arial"/>
          <w:color w:val="808080" w:themeColor="background1" w:themeShade="80"/>
          <w:sz w:val="22"/>
          <w:szCs w:val="22"/>
          <w:lang w:val="en-GB"/>
        </w:rPr>
        <w:t>Alternatively, S&amp;C may petition the court for the appointment of a restructuring offic</w:t>
      </w:r>
      <w:r w:rsidR="001B02F4">
        <w:rPr>
          <w:rFonts w:ascii="Arial" w:hAnsi="Arial" w:cs="Arial"/>
          <w:color w:val="808080" w:themeColor="background1" w:themeShade="80"/>
          <w:sz w:val="22"/>
          <w:szCs w:val="22"/>
          <w:lang w:val="en-GB"/>
        </w:rPr>
        <w:t xml:space="preserve">er which should address stakeholder concerns arising from any provisional liquidation. </w:t>
      </w:r>
    </w:p>
    <w:p w14:paraId="710765F5" w14:textId="77777777" w:rsidR="004B012B" w:rsidRPr="004B012B" w:rsidRDefault="004B012B" w:rsidP="004B012B">
      <w:pPr>
        <w:pStyle w:val="ListParagraph"/>
        <w:rPr>
          <w:rFonts w:ascii="Arial" w:hAnsi="Arial" w:cs="Arial"/>
          <w:color w:val="808080" w:themeColor="background1" w:themeShade="80"/>
          <w:sz w:val="22"/>
          <w:szCs w:val="22"/>
          <w:lang w:val="en-GB"/>
        </w:rPr>
      </w:pPr>
    </w:p>
    <w:p w14:paraId="18BAD546" w14:textId="707B7FCE" w:rsidR="004B012B" w:rsidRDefault="004B012B" w:rsidP="006D40DB">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Rackham family would be able to continue participating in the running of S&amp;C whilst the company is being informally restructured. They may also be able to participate in the running of the company during a formal restructuring. </w:t>
      </w:r>
    </w:p>
    <w:p w14:paraId="013FFD28" w14:textId="77777777" w:rsidR="00472D02" w:rsidRPr="00472D02" w:rsidRDefault="00472D02" w:rsidP="00472D02">
      <w:pPr>
        <w:pStyle w:val="ListParagraph"/>
        <w:rPr>
          <w:rFonts w:ascii="Arial" w:hAnsi="Arial" w:cs="Arial"/>
          <w:color w:val="808080" w:themeColor="background1" w:themeShade="80"/>
          <w:sz w:val="22"/>
          <w:szCs w:val="22"/>
          <w:lang w:val="en-GB"/>
        </w:rPr>
      </w:pPr>
    </w:p>
    <w:p w14:paraId="154681F0" w14:textId="2D03BA8A" w:rsidR="009D20B1" w:rsidRPr="00472D02" w:rsidRDefault="00472D02" w:rsidP="00087F21">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factors the Cayman Islands court will take into consideration before approving a proposed restructuring are: </w:t>
      </w:r>
      <w:r w:rsidR="001B02F4">
        <w:rPr>
          <w:rFonts w:ascii="Arial" w:hAnsi="Arial" w:cs="Arial"/>
          <w:color w:val="808080" w:themeColor="background1" w:themeShade="80"/>
          <w:sz w:val="22"/>
          <w:szCs w:val="22"/>
          <w:lang w:val="en-GB"/>
        </w:rPr>
        <w:t xml:space="preserve">that the company is or is likely to become unable to pay its debts, </w:t>
      </w:r>
      <w:r w:rsidR="00C850C1">
        <w:rPr>
          <w:rFonts w:ascii="Arial" w:hAnsi="Arial" w:cs="Arial"/>
          <w:color w:val="808080" w:themeColor="background1" w:themeShade="80"/>
          <w:sz w:val="22"/>
          <w:szCs w:val="22"/>
          <w:lang w:val="en-GB"/>
        </w:rPr>
        <w:t>the company intends to present a compromise or arrangement to its creditors, the rights of creditors are adequately protected by the proposed arrangement and the proposed arrangement is viable</w:t>
      </w:r>
      <w:r w:rsidR="00C850C1">
        <w:rPr>
          <w:rStyle w:val="FootnoteReference"/>
          <w:rFonts w:ascii="Arial" w:hAnsi="Arial" w:cs="Arial"/>
          <w:color w:val="808080" w:themeColor="background1" w:themeShade="80"/>
          <w:sz w:val="22"/>
          <w:szCs w:val="22"/>
          <w:lang w:val="en-GB"/>
        </w:rPr>
        <w:footnoteReference w:id="29"/>
      </w:r>
      <w:r w:rsidR="00C850C1">
        <w:rPr>
          <w:rFonts w:ascii="Arial" w:hAnsi="Arial" w:cs="Arial"/>
          <w:color w:val="808080" w:themeColor="background1" w:themeShade="80"/>
          <w:sz w:val="22"/>
          <w:szCs w:val="22"/>
          <w:lang w:val="en-GB"/>
        </w:rPr>
        <w:t xml:space="preserve">.  </w:t>
      </w: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401539E1"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E634A">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4652DD67" w14:textId="3F2205A2"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E3528C">
      <w:rPr>
        <w:rFonts w:ascii="Arial" w:hAnsi="Arial" w:cs="Arial"/>
        <w:sz w:val="18"/>
        <w:szCs w:val="18"/>
        <w:lang w:val="en-GB"/>
      </w:rPr>
      <w:t>202122-348</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 w:id="1">
    <w:p w14:paraId="3E6D5F3F" w14:textId="5B013231" w:rsidR="00F651A5" w:rsidRDefault="00F651A5">
      <w:pPr>
        <w:pStyle w:val="FootnoteText"/>
      </w:pPr>
      <w:r>
        <w:rPr>
          <w:rStyle w:val="FootnoteReference"/>
        </w:rPr>
        <w:footnoteRef/>
      </w:r>
      <w:r>
        <w:t xml:space="preserve"> INSOL Guidance Text Module 5C Cayman Islands Chapters 5.3</w:t>
      </w:r>
    </w:p>
  </w:footnote>
  <w:footnote w:id="2">
    <w:p w14:paraId="398180D0" w14:textId="6ADC486C" w:rsidR="0085724C" w:rsidRDefault="0085724C">
      <w:pPr>
        <w:pStyle w:val="FootnoteText"/>
      </w:pPr>
      <w:r>
        <w:rPr>
          <w:rStyle w:val="FootnoteReference"/>
        </w:rPr>
        <w:footnoteRef/>
      </w:r>
      <w:r>
        <w:t xml:space="preserve"> INSOL Guidance Text Module 5C Cayman Islands Chapters 6; 7.5; 9.3</w:t>
      </w:r>
    </w:p>
  </w:footnote>
  <w:footnote w:id="3">
    <w:p w14:paraId="226AC362" w14:textId="3D1C1B3A" w:rsidR="00D77B61" w:rsidRDefault="00D77B61">
      <w:pPr>
        <w:pStyle w:val="FootnoteText"/>
      </w:pPr>
      <w:r>
        <w:rPr>
          <w:rStyle w:val="FootnoteReference"/>
        </w:rPr>
        <w:footnoteRef/>
      </w:r>
      <w:r>
        <w:t xml:space="preserve"> </w:t>
      </w:r>
      <w:hyperlink r:id="rId1" w:history="1">
        <w:r w:rsidRPr="00D416C5">
          <w:rPr>
            <w:rStyle w:val="Hyperlink"/>
          </w:rPr>
          <w:t>https://www.walkersglobal.com/images/Publications/Articles/2018/09.10.2018_Two_Islands_ICR.pdf</w:t>
        </w:r>
      </w:hyperlink>
      <w:r>
        <w:t xml:space="preserve"> </w:t>
      </w:r>
    </w:p>
  </w:footnote>
  <w:footnote w:id="4">
    <w:p w14:paraId="47285567" w14:textId="637FFE56" w:rsidR="00D77B61" w:rsidRDefault="00D77B61">
      <w:pPr>
        <w:pStyle w:val="FootnoteText"/>
      </w:pPr>
      <w:r>
        <w:rPr>
          <w:rStyle w:val="FootnoteReference"/>
        </w:rPr>
        <w:footnoteRef/>
      </w:r>
      <w:r>
        <w:t xml:space="preserve"> Section 242 of the Companies Law </w:t>
      </w:r>
    </w:p>
  </w:footnote>
  <w:footnote w:id="5">
    <w:p w14:paraId="5E4397B8" w14:textId="1F7B9F87" w:rsidR="00D77B61" w:rsidRDefault="00D77B61">
      <w:pPr>
        <w:pStyle w:val="FootnoteText"/>
      </w:pPr>
      <w:r>
        <w:rPr>
          <w:rStyle w:val="FootnoteReference"/>
        </w:rPr>
        <w:footnoteRef/>
      </w:r>
      <w:r>
        <w:t xml:space="preserve"> </w:t>
      </w:r>
      <w:hyperlink r:id="rId2" w:history="1">
        <w:r w:rsidRPr="00D416C5">
          <w:rPr>
            <w:rStyle w:val="Hyperlink"/>
          </w:rPr>
          <w:t>https://www.walkersglobal.com/images/Publications/Articles/2018/09.10.2018_Two_Islands_ICR.pdf</w:t>
        </w:r>
      </w:hyperlink>
      <w:r>
        <w:t xml:space="preserve"> </w:t>
      </w:r>
    </w:p>
  </w:footnote>
  <w:footnote w:id="6">
    <w:p w14:paraId="6829DD30" w14:textId="793AE071" w:rsidR="002E1D12" w:rsidRDefault="002E1D12">
      <w:pPr>
        <w:pStyle w:val="FootnoteText"/>
      </w:pPr>
      <w:r>
        <w:rPr>
          <w:rStyle w:val="FootnoteReference"/>
        </w:rPr>
        <w:footnoteRef/>
      </w:r>
      <w:r>
        <w:t xml:space="preserve"> </w:t>
      </w:r>
      <w:r w:rsidR="00FE0157">
        <w:t>I</w:t>
      </w:r>
      <w:r w:rsidR="00C931BC">
        <w:t xml:space="preserve">NSOL Guidance Text Module 5C Cayman Islands Chapter 8; </w:t>
      </w:r>
      <w:r>
        <w:t>Foreign Judgments Reciprocal Enforceme</w:t>
      </w:r>
      <w:r w:rsidR="00C931BC">
        <w:t>nt Law (1996 Revision), s 3(1)</w:t>
      </w:r>
    </w:p>
  </w:footnote>
  <w:footnote w:id="7">
    <w:p w14:paraId="0C1661A5" w14:textId="7C42484A" w:rsidR="008B6074" w:rsidRDefault="008B6074">
      <w:pPr>
        <w:pStyle w:val="FootnoteText"/>
      </w:pPr>
      <w:r>
        <w:rPr>
          <w:rStyle w:val="FootnoteReference"/>
        </w:rPr>
        <w:footnoteRef/>
      </w:r>
      <w:r>
        <w:t xml:space="preserve"> </w:t>
      </w:r>
      <w:r w:rsidR="00FE0157">
        <w:t>I</w:t>
      </w:r>
      <w:r>
        <w:t>NSOL Guidance Text Module 5C Cayman Islands Chapter 8</w:t>
      </w:r>
    </w:p>
  </w:footnote>
  <w:footnote w:id="8">
    <w:p w14:paraId="0513D131" w14:textId="15A8D06C" w:rsidR="00C931BC" w:rsidRDefault="00C931BC">
      <w:pPr>
        <w:pStyle w:val="FootnoteText"/>
      </w:pPr>
      <w:r>
        <w:rPr>
          <w:rStyle w:val="FootnoteReference"/>
        </w:rPr>
        <w:footnoteRef/>
      </w:r>
      <w:r>
        <w:t xml:space="preserve"> </w:t>
      </w:r>
      <w:r w:rsidR="00D42606">
        <w:t>[ibid]</w:t>
      </w:r>
    </w:p>
  </w:footnote>
  <w:footnote w:id="9">
    <w:p w14:paraId="7CEC4722" w14:textId="629ED356" w:rsidR="00D42606" w:rsidRDefault="00D42606">
      <w:pPr>
        <w:pStyle w:val="FootnoteText"/>
      </w:pPr>
      <w:r>
        <w:rPr>
          <w:rStyle w:val="FootnoteReference"/>
        </w:rPr>
        <w:footnoteRef/>
      </w:r>
      <w:r>
        <w:t xml:space="preserve"> [ibid]</w:t>
      </w:r>
    </w:p>
  </w:footnote>
  <w:footnote w:id="10">
    <w:p w14:paraId="7E84AF6A" w14:textId="3477B660" w:rsidR="00881605" w:rsidRDefault="00881605">
      <w:pPr>
        <w:pStyle w:val="FootnoteText"/>
      </w:pPr>
      <w:r>
        <w:rPr>
          <w:rStyle w:val="FootnoteReference"/>
        </w:rPr>
        <w:footnoteRef/>
      </w:r>
      <w:r w:rsidRPr="00D42606">
        <w:rPr>
          <w:i/>
        </w:rPr>
        <w:t xml:space="preserve"> </w:t>
      </w:r>
      <w:proofErr w:type="spellStart"/>
      <w:r w:rsidRPr="00D42606">
        <w:rPr>
          <w:i/>
        </w:rPr>
        <w:t>Bandone</w:t>
      </w:r>
      <w:proofErr w:type="spellEnd"/>
      <w:r w:rsidRPr="00D42606">
        <w:rPr>
          <w:i/>
        </w:rPr>
        <w:t xml:space="preserve"> v Sol Properties </w:t>
      </w:r>
      <w:r w:rsidR="00D42606">
        <w:t>2008 CILR 301</w:t>
      </w:r>
    </w:p>
  </w:footnote>
  <w:footnote w:id="11">
    <w:p w14:paraId="5A474439" w14:textId="5BEF63B5" w:rsidR="00B70C40" w:rsidRDefault="00B70C40">
      <w:pPr>
        <w:pStyle w:val="FootnoteText"/>
      </w:pPr>
      <w:r>
        <w:rPr>
          <w:rStyle w:val="FootnoteReference"/>
        </w:rPr>
        <w:footnoteRef/>
      </w:r>
      <w:r>
        <w:t xml:space="preserve"> </w:t>
      </w:r>
      <w:r w:rsidR="00FE0157">
        <w:t>I</w:t>
      </w:r>
      <w:r>
        <w:t>NSOL Guidance Text Module 5C Cayman Islands Chapter 8</w:t>
      </w:r>
    </w:p>
  </w:footnote>
  <w:footnote w:id="12">
    <w:p w14:paraId="3A98CF0B" w14:textId="77777777" w:rsidR="00294F10" w:rsidRDefault="00294F10" w:rsidP="00294F10">
      <w:pPr>
        <w:pStyle w:val="FootnoteText"/>
      </w:pPr>
      <w:r>
        <w:rPr>
          <w:rStyle w:val="FootnoteReference"/>
        </w:rPr>
        <w:footnoteRef/>
      </w:r>
      <w:r>
        <w:t xml:space="preserve"> INSOL Guidance Text Module 5C Cayman Islands Chapter 6</w:t>
      </w:r>
    </w:p>
  </w:footnote>
  <w:footnote w:id="13">
    <w:p w14:paraId="2B0418C8" w14:textId="4D9A9109" w:rsidR="00CC1990" w:rsidRDefault="00CC1990">
      <w:pPr>
        <w:pStyle w:val="FootnoteText"/>
      </w:pPr>
      <w:r>
        <w:rPr>
          <w:rStyle w:val="FootnoteReference"/>
        </w:rPr>
        <w:footnoteRef/>
      </w:r>
      <w:r w:rsidR="006121C4">
        <w:t xml:space="preserve"> [ibid]</w:t>
      </w:r>
    </w:p>
  </w:footnote>
  <w:footnote w:id="14">
    <w:p w14:paraId="306AE623" w14:textId="2AB64A0D" w:rsidR="00CC1990" w:rsidRDefault="00CC1990">
      <w:pPr>
        <w:pStyle w:val="FootnoteText"/>
      </w:pPr>
      <w:r>
        <w:rPr>
          <w:rStyle w:val="FootnoteReference"/>
        </w:rPr>
        <w:footnoteRef/>
      </w:r>
      <w:r>
        <w:t xml:space="preserve"> Prospect Properties v McNeill [1990-91 CILR 171]</w:t>
      </w:r>
    </w:p>
  </w:footnote>
  <w:footnote w:id="15">
    <w:p w14:paraId="17A58FD4" w14:textId="45A96C3F" w:rsidR="002F2D8B" w:rsidRDefault="002F2D8B">
      <w:pPr>
        <w:pStyle w:val="FootnoteText"/>
      </w:pPr>
      <w:r>
        <w:rPr>
          <w:rStyle w:val="FootnoteReference"/>
        </w:rPr>
        <w:footnoteRef/>
      </w:r>
      <w:r>
        <w:t xml:space="preserve"> </w:t>
      </w:r>
      <w:hyperlink r:id="rId3" w:anchor="_ftn1" w:history="1">
        <w:r w:rsidR="00AF5E78" w:rsidRPr="00FB4B82">
          <w:rPr>
            <w:rStyle w:val="Hyperlink"/>
          </w:rPr>
          <w:t>https://www.applebyglobal.com/news/important-implications-for-claims-on-behalf-of-insolvent-companies-against-former-directors/#_ftn1</w:t>
        </w:r>
      </w:hyperlink>
      <w:r w:rsidR="00AF5E78">
        <w:t xml:space="preserve"> </w:t>
      </w:r>
    </w:p>
  </w:footnote>
  <w:footnote w:id="16">
    <w:p w14:paraId="3154EC99" w14:textId="467FC86B" w:rsidR="003818B3" w:rsidRDefault="003818B3">
      <w:pPr>
        <w:pStyle w:val="FootnoteText"/>
      </w:pPr>
      <w:r>
        <w:rPr>
          <w:rStyle w:val="FootnoteReference"/>
        </w:rPr>
        <w:footnoteRef/>
      </w:r>
      <w:r>
        <w:t xml:space="preserve"> INSOL Guidance Text Module 5C Cayman Islands Chapter 6</w:t>
      </w:r>
    </w:p>
  </w:footnote>
  <w:footnote w:id="17">
    <w:p w14:paraId="75BB51A1" w14:textId="1674CAB7" w:rsidR="002D2A29" w:rsidRDefault="002D2A29">
      <w:pPr>
        <w:pStyle w:val="FootnoteText"/>
      </w:pPr>
      <w:r>
        <w:rPr>
          <w:rStyle w:val="FootnoteReference"/>
        </w:rPr>
        <w:footnoteRef/>
      </w:r>
      <w:r>
        <w:t xml:space="preserve"> Re </w:t>
      </w:r>
      <w:proofErr w:type="spellStart"/>
      <w:r>
        <w:t>Weavering</w:t>
      </w:r>
      <w:proofErr w:type="spellEnd"/>
      <w:r>
        <w:t xml:space="preserve"> Macro Fixed Income Fund Ltd (in Liquidation) [2016] (2) CILR 245; </w:t>
      </w:r>
      <w:proofErr w:type="spellStart"/>
      <w:r>
        <w:t>Weavering</w:t>
      </w:r>
      <w:proofErr w:type="spellEnd"/>
      <w:r>
        <w:t xml:space="preserve"> [2019] (2) CILR</w:t>
      </w:r>
      <w:r w:rsidR="006121C4">
        <w:t xml:space="preserve"> 245; </w:t>
      </w:r>
      <w:proofErr w:type="spellStart"/>
      <w:r w:rsidR="006121C4">
        <w:t>Weavering</w:t>
      </w:r>
      <w:proofErr w:type="spellEnd"/>
      <w:r w:rsidR="006121C4">
        <w:t xml:space="preserve"> [2019] UKPC 36</w:t>
      </w:r>
    </w:p>
  </w:footnote>
  <w:footnote w:id="18">
    <w:p w14:paraId="15A81071" w14:textId="20569E46" w:rsidR="008B16A4" w:rsidRDefault="008B16A4">
      <w:pPr>
        <w:pStyle w:val="FootnoteText"/>
      </w:pPr>
      <w:r>
        <w:rPr>
          <w:rStyle w:val="FootnoteReference"/>
        </w:rPr>
        <w:footnoteRef/>
      </w:r>
      <w:r>
        <w:t xml:space="preserve"> INSOL Guidance Text Module 5C Cayman Islands Chapter 6</w:t>
      </w:r>
    </w:p>
  </w:footnote>
  <w:footnote w:id="19">
    <w:p w14:paraId="19CBFC90" w14:textId="3E90334D" w:rsidR="005B49FD" w:rsidRDefault="005B49FD">
      <w:pPr>
        <w:pStyle w:val="FootnoteText"/>
      </w:pPr>
      <w:r>
        <w:rPr>
          <w:rStyle w:val="FootnoteReference"/>
        </w:rPr>
        <w:footnoteRef/>
      </w:r>
      <w:r w:rsidR="006121C4">
        <w:t xml:space="preserve"> [ibid]</w:t>
      </w:r>
    </w:p>
  </w:footnote>
  <w:footnote w:id="20">
    <w:p w14:paraId="7ECF341E" w14:textId="1CCB7C7C" w:rsidR="00674534" w:rsidRPr="00674534" w:rsidRDefault="00674534">
      <w:pPr>
        <w:pStyle w:val="FootnoteText"/>
        <w:rPr>
          <w:b/>
        </w:rPr>
      </w:pPr>
      <w:r>
        <w:rPr>
          <w:rStyle w:val="FootnoteReference"/>
        </w:rPr>
        <w:footnoteRef/>
      </w:r>
      <w:r>
        <w:t xml:space="preserve"> INSOL Guidance Text Mod</w:t>
      </w:r>
      <w:r w:rsidR="006121C4">
        <w:t>ule 5C Cayman Islands Chapter 6</w:t>
      </w:r>
      <w:r>
        <w:t xml:space="preserve"> </w:t>
      </w:r>
    </w:p>
  </w:footnote>
  <w:footnote w:id="21">
    <w:p w14:paraId="77947B07" w14:textId="13AE0D56" w:rsidR="00004B20" w:rsidRDefault="00004B20">
      <w:pPr>
        <w:pStyle w:val="FootnoteText"/>
      </w:pPr>
      <w:r>
        <w:rPr>
          <w:rStyle w:val="FootnoteReference"/>
        </w:rPr>
        <w:footnoteRef/>
      </w:r>
      <w:r>
        <w:t xml:space="preserve"> [ibid]</w:t>
      </w:r>
    </w:p>
  </w:footnote>
  <w:footnote w:id="22">
    <w:p w14:paraId="4C48EDB7" w14:textId="25864E4C" w:rsidR="00004B20" w:rsidRDefault="00004B20">
      <w:pPr>
        <w:pStyle w:val="FootnoteText"/>
      </w:pPr>
      <w:r>
        <w:rPr>
          <w:rStyle w:val="FootnoteReference"/>
        </w:rPr>
        <w:footnoteRef/>
      </w:r>
      <w:r>
        <w:t xml:space="preserve"> Section 216 of the Companies Act</w:t>
      </w:r>
    </w:p>
  </w:footnote>
  <w:footnote w:id="23">
    <w:p w14:paraId="476EE91E" w14:textId="175FF4E3" w:rsidR="00BF0C06" w:rsidRDefault="00BF0C06">
      <w:pPr>
        <w:pStyle w:val="FootnoteText"/>
      </w:pPr>
      <w:r>
        <w:rPr>
          <w:rStyle w:val="FootnoteReference"/>
        </w:rPr>
        <w:footnoteRef/>
      </w:r>
      <w:r>
        <w:t xml:space="preserve"> </w:t>
      </w:r>
      <w:r>
        <w:t>INSOL Guidance Text Mod</w:t>
      </w:r>
      <w:r>
        <w:t>ule 5C Cayman Islands Chapter 6</w:t>
      </w:r>
    </w:p>
  </w:footnote>
  <w:footnote w:id="24">
    <w:p w14:paraId="7AA151F1" w14:textId="14607103" w:rsidR="00BF0C06" w:rsidRDefault="00BF0C06">
      <w:pPr>
        <w:pStyle w:val="FootnoteText"/>
      </w:pPr>
      <w:r>
        <w:rPr>
          <w:rStyle w:val="FootnoteReference"/>
        </w:rPr>
        <w:footnoteRef/>
      </w:r>
      <w:r>
        <w:t xml:space="preserve"> [ibid]</w:t>
      </w:r>
    </w:p>
  </w:footnote>
  <w:footnote w:id="25">
    <w:p w14:paraId="3567096D" w14:textId="451F4329" w:rsidR="006121C4" w:rsidRDefault="006121C4">
      <w:pPr>
        <w:pStyle w:val="FootnoteText"/>
      </w:pPr>
      <w:r>
        <w:rPr>
          <w:rStyle w:val="FootnoteReference"/>
        </w:rPr>
        <w:footnoteRef/>
      </w:r>
      <w:r>
        <w:t xml:space="preserve"> </w:t>
      </w:r>
      <w:r>
        <w:t>INSOL Guidance Text Mod</w:t>
      </w:r>
      <w:r>
        <w:t>ule 5C Cayman Islands Chapter 6</w:t>
      </w:r>
    </w:p>
  </w:footnote>
  <w:footnote w:id="26">
    <w:p w14:paraId="0F13C3FE" w14:textId="554DE08A" w:rsidR="006121C4" w:rsidRDefault="006121C4">
      <w:pPr>
        <w:pStyle w:val="FootnoteText"/>
      </w:pPr>
      <w:r>
        <w:rPr>
          <w:rStyle w:val="FootnoteReference"/>
        </w:rPr>
        <w:footnoteRef/>
      </w:r>
      <w:r>
        <w:t xml:space="preserve"> [ibid]</w:t>
      </w:r>
    </w:p>
  </w:footnote>
  <w:footnote w:id="27">
    <w:p w14:paraId="06CAD91B" w14:textId="6734FFF3" w:rsidR="006121C4" w:rsidRDefault="006121C4">
      <w:pPr>
        <w:pStyle w:val="FootnoteText"/>
      </w:pPr>
      <w:r>
        <w:rPr>
          <w:rStyle w:val="FootnoteReference"/>
        </w:rPr>
        <w:footnoteRef/>
      </w:r>
      <w:r>
        <w:t xml:space="preserve"> Section 91 of the Companies Act</w:t>
      </w:r>
    </w:p>
  </w:footnote>
  <w:footnote w:id="28">
    <w:p w14:paraId="3209F098" w14:textId="384A319A" w:rsidR="006121C4" w:rsidRDefault="006121C4">
      <w:pPr>
        <w:pStyle w:val="FootnoteText"/>
      </w:pPr>
      <w:r>
        <w:rPr>
          <w:rStyle w:val="FootnoteReference"/>
        </w:rPr>
        <w:footnoteRef/>
      </w:r>
      <w:r>
        <w:t xml:space="preserve"> </w:t>
      </w:r>
      <w:r>
        <w:t>INSOL Guidance Text Mod</w:t>
      </w:r>
      <w:r>
        <w:t>ule 5C Cayman Islands Chapter 4</w:t>
      </w:r>
    </w:p>
  </w:footnote>
  <w:footnote w:id="29">
    <w:p w14:paraId="03181063" w14:textId="7394C280" w:rsidR="00C850C1" w:rsidRDefault="00C850C1">
      <w:pPr>
        <w:pStyle w:val="FootnoteText"/>
      </w:pPr>
      <w:r>
        <w:rPr>
          <w:rStyle w:val="FootnoteReference"/>
        </w:rPr>
        <w:footnoteRef/>
      </w:r>
      <w:r>
        <w:t xml:space="preserve"> </w:t>
      </w:r>
      <w:hyperlink r:id="rId4" w:history="1">
        <w:r w:rsidRPr="00112DD4">
          <w:rPr>
            <w:rStyle w:val="Hyperlink"/>
          </w:rPr>
          <w:t>https://www.ogier.com/publications/cayman-islands-publishes-reforms-to-restructuring-regime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8E0AA0"/>
    <w:multiLevelType w:val="hybridMultilevel"/>
    <w:tmpl w:val="D0D049CC"/>
    <w:lvl w:ilvl="0" w:tplc="36B40C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930863"/>
    <w:multiLevelType w:val="hybridMultilevel"/>
    <w:tmpl w:val="AD9CB9E2"/>
    <w:lvl w:ilvl="0" w:tplc="AC166E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EC0567"/>
    <w:multiLevelType w:val="hybridMultilevel"/>
    <w:tmpl w:val="478E6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A92DB5"/>
    <w:multiLevelType w:val="hybridMultilevel"/>
    <w:tmpl w:val="64B4CABC"/>
    <w:lvl w:ilvl="0" w:tplc="3E5CC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8D21A16"/>
    <w:multiLevelType w:val="hybridMultilevel"/>
    <w:tmpl w:val="FA88BB3E"/>
    <w:lvl w:ilvl="0" w:tplc="657017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6AD1CFE"/>
    <w:multiLevelType w:val="hybridMultilevel"/>
    <w:tmpl w:val="E4645518"/>
    <w:lvl w:ilvl="0" w:tplc="878A2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2"/>
  </w:num>
  <w:num w:numId="3">
    <w:abstractNumId w:val="18"/>
  </w:num>
  <w:num w:numId="4">
    <w:abstractNumId w:val="41"/>
  </w:num>
  <w:num w:numId="5">
    <w:abstractNumId w:val="19"/>
  </w:num>
  <w:num w:numId="6">
    <w:abstractNumId w:val="34"/>
  </w:num>
  <w:num w:numId="7">
    <w:abstractNumId w:val="43"/>
  </w:num>
  <w:num w:numId="8">
    <w:abstractNumId w:val="37"/>
  </w:num>
  <w:num w:numId="9">
    <w:abstractNumId w:val="16"/>
  </w:num>
  <w:num w:numId="10">
    <w:abstractNumId w:val="10"/>
  </w:num>
  <w:num w:numId="11">
    <w:abstractNumId w:val="12"/>
  </w:num>
  <w:num w:numId="12">
    <w:abstractNumId w:val="17"/>
  </w:num>
  <w:num w:numId="13">
    <w:abstractNumId w:val="28"/>
  </w:num>
  <w:num w:numId="14">
    <w:abstractNumId w:val="3"/>
  </w:num>
  <w:num w:numId="15">
    <w:abstractNumId w:val="13"/>
  </w:num>
  <w:num w:numId="16">
    <w:abstractNumId w:val="40"/>
  </w:num>
  <w:num w:numId="17">
    <w:abstractNumId w:val="6"/>
  </w:num>
  <w:num w:numId="18">
    <w:abstractNumId w:val="8"/>
  </w:num>
  <w:num w:numId="19">
    <w:abstractNumId w:val="31"/>
  </w:num>
  <w:num w:numId="20">
    <w:abstractNumId w:val="29"/>
  </w:num>
  <w:num w:numId="21">
    <w:abstractNumId w:val="2"/>
  </w:num>
  <w:num w:numId="22">
    <w:abstractNumId w:val="11"/>
  </w:num>
  <w:num w:numId="23">
    <w:abstractNumId w:val="46"/>
  </w:num>
  <w:num w:numId="24">
    <w:abstractNumId w:val="0"/>
  </w:num>
  <w:num w:numId="25">
    <w:abstractNumId w:val="35"/>
  </w:num>
  <w:num w:numId="26">
    <w:abstractNumId w:val="9"/>
  </w:num>
  <w:num w:numId="27">
    <w:abstractNumId w:val="14"/>
  </w:num>
  <w:num w:numId="28">
    <w:abstractNumId w:val="4"/>
  </w:num>
  <w:num w:numId="29">
    <w:abstractNumId w:val="7"/>
  </w:num>
  <w:num w:numId="30">
    <w:abstractNumId w:val="20"/>
  </w:num>
  <w:num w:numId="31">
    <w:abstractNumId w:val="30"/>
  </w:num>
  <w:num w:numId="32">
    <w:abstractNumId w:val="23"/>
  </w:num>
  <w:num w:numId="33">
    <w:abstractNumId w:val="32"/>
  </w:num>
  <w:num w:numId="34">
    <w:abstractNumId w:val="21"/>
  </w:num>
  <w:num w:numId="35">
    <w:abstractNumId w:val="15"/>
  </w:num>
  <w:num w:numId="36">
    <w:abstractNumId w:val="1"/>
  </w:num>
  <w:num w:numId="37">
    <w:abstractNumId w:val="33"/>
  </w:num>
  <w:num w:numId="38">
    <w:abstractNumId w:val="24"/>
  </w:num>
  <w:num w:numId="39">
    <w:abstractNumId w:val="39"/>
  </w:num>
  <w:num w:numId="40">
    <w:abstractNumId w:val="36"/>
  </w:num>
  <w:num w:numId="41">
    <w:abstractNumId w:val="5"/>
  </w:num>
  <w:num w:numId="42">
    <w:abstractNumId w:val="27"/>
  </w:num>
  <w:num w:numId="43">
    <w:abstractNumId w:val="26"/>
  </w:num>
  <w:num w:numId="44">
    <w:abstractNumId w:val="38"/>
  </w:num>
  <w:num w:numId="45">
    <w:abstractNumId w:val="25"/>
  </w:num>
  <w:num w:numId="46">
    <w:abstractNumId w:val="45"/>
  </w:num>
  <w:num w:numId="47">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4B20"/>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71BF8"/>
    <w:rsid w:val="00082609"/>
    <w:rsid w:val="000851CC"/>
    <w:rsid w:val="00087F21"/>
    <w:rsid w:val="00093BE8"/>
    <w:rsid w:val="000A407B"/>
    <w:rsid w:val="000A68ED"/>
    <w:rsid w:val="000A7BE7"/>
    <w:rsid w:val="000B5FF1"/>
    <w:rsid w:val="000B609F"/>
    <w:rsid w:val="000C3F26"/>
    <w:rsid w:val="000D33BB"/>
    <w:rsid w:val="000D55A8"/>
    <w:rsid w:val="000E4841"/>
    <w:rsid w:val="000E4E7C"/>
    <w:rsid w:val="000F1677"/>
    <w:rsid w:val="000F3D6C"/>
    <w:rsid w:val="000F6063"/>
    <w:rsid w:val="001001AB"/>
    <w:rsid w:val="00101707"/>
    <w:rsid w:val="00102CC9"/>
    <w:rsid w:val="0010593A"/>
    <w:rsid w:val="001108F8"/>
    <w:rsid w:val="0011473D"/>
    <w:rsid w:val="00115C85"/>
    <w:rsid w:val="00123855"/>
    <w:rsid w:val="00126A4D"/>
    <w:rsid w:val="0013618A"/>
    <w:rsid w:val="0014171F"/>
    <w:rsid w:val="0014622C"/>
    <w:rsid w:val="001463D6"/>
    <w:rsid w:val="00152348"/>
    <w:rsid w:val="00153F94"/>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7E9A"/>
    <w:rsid w:val="001B02F4"/>
    <w:rsid w:val="001B0F70"/>
    <w:rsid w:val="001B5016"/>
    <w:rsid w:val="001C45FC"/>
    <w:rsid w:val="001D0469"/>
    <w:rsid w:val="001D13A8"/>
    <w:rsid w:val="001D29C0"/>
    <w:rsid w:val="001D4862"/>
    <w:rsid w:val="001E1E6A"/>
    <w:rsid w:val="001E25B9"/>
    <w:rsid w:val="001E431C"/>
    <w:rsid w:val="001E49E0"/>
    <w:rsid w:val="001E7B5A"/>
    <w:rsid w:val="001F16A2"/>
    <w:rsid w:val="001F7412"/>
    <w:rsid w:val="0020090A"/>
    <w:rsid w:val="00202DFE"/>
    <w:rsid w:val="0020725B"/>
    <w:rsid w:val="00210493"/>
    <w:rsid w:val="002110F1"/>
    <w:rsid w:val="002172B8"/>
    <w:rsid w:val="0023256B"/>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4F10"/>
    <w:rsid w:val="0029690F"/>
    <w:rsid w:val="00297C8A"/>
    <w:rsid w:val="002A2A60"/>
    <w:rsid w:val="002A2C21"/>
    <w:rsid w:val="002A37BB"/>
    <w:rsid w:val="002A4B95"/>
    <w:rsid w:val="002B1C45"/>
    <w:rsid w:val="002B3A96"/>
    <w:rsid w:val="002C13C8"/>
    <w:rsid w:val="002C3547"/>
    <w:rsid w:val="002C4731"/>
    <w:rsid w:val="002C4B43"/>
    <w:rsid w:val="002D0021"/>
    <w:rsid w:val="002D0CB5"/>
    <w:rsid w:val="002D299D"/>
    <w:rsid w:val="002D2A29"/>
    <w:rsid w:val="002D3473"/>
    <w:rsid w:val="002E1D12"/>
    <w:rsid w:val="002F1956"/>
    <w:rsid w:val="002F2D8B"/>
    <w:rsid w:val="002F3440"/>
    <w:rsid w:val="002F75A3"/>
    <w:rsid w:val="00303C2F"/>
    <w:rsid w:val="003042CB"/>
    <w:rsid w:val="00305564"/>
    <w:rsid w:val="003144EF"/>
    <w:rsid w:val="00317496"/>
    <w:rsid w:val="0032554E"/>
    <w:rsid w:val="00326292"/>
    <w:rsid w:val="00326415"/>
    <w:rsid w:val="003300AB"/>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18B3"/>
    <w:rsid w:val="00382C98"/>
    <w:rsid w:val="0038533C"/>
    <w:rsid w:val="00385435"/>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52E0"/>
    <w:rsid w:val="003E67D1"/>
    <w:rsid w:val="003E7675"/>
    <w:rsid w:val="00404329"/>
    <w:rsid w:val="00405DC1"/>
    <w:rsid w:val="00406382"/>
    <w:rsid w:val="00415F1F"/>
    <w:rsid w:val="00416D2B"/>
    <w:rsid w:val="0042108F"/>
    <w:rsid w:val="00424E0C"/>
    <w:rsid w:val="00430FED"/>
    <w:rsid w:val="00434A8C"/>
    <w:rsid w:val="004360A5"/>
    <w:rsid w:val="00437297"/>
    <w:rsid w:val="00444284"/>
    <w:rsid w:val="00445CE6"/>
    <w:rsid w:val="004531DA"/>
    <w:rsid w:val="004534C2"/>
    <w:rsid w:val="0045446F"/>
    <w:rsid w:val="0045683E"/>
    <w:rsid w:val="00460F33"/>
    <w:rsid w:val="00472D02"/>
    <w:rsid w:val="00477C72"/>
    <w:rsid w:val="0048787C"/>
    <w:rsid w:val="00491675"/>
    <w:rsid w:val="00493855"/>
    <w:rsid w:val="00495E79"/>
    <w:rsid w:val="0049651C"/>
    <w:rsid w:val="004A2D83"/>
    <w:rsid w:val="004A57DD"/>
    <w:rsid w:val="004A7B51"/>
    <w:rsid w:val="004A7D71"/>
    <w:rsid w:val="004A7EF3"/>
    <w:rsid w:val="004B012B"/>
    <w:rsid w:val="004B11FD"/>
    <w:rsid w:val="004B23A2"/>
    <w:rsid w:val="004B7359"/>
    <w:rsid w:val="004C5EAD"/>
    <w:rsid w:val="004D00BE"/>
    <w:rsid w:val="004D1A5A"/>
    <w:rsid w:val="004D2FFF"/>
    <w:rsid w:val="004D3721"/>
    <w:rsid w:val="004D4774"/>
    <w:rsid w:val="004D64F9"/>
    <w:rsid w:val="004E3A6B"/>
    <w:rsid w:val="004E4E54"/>
    <w:rsid w:val="004E622C"/>
    <w:rsid w:val="004F5FDF"/>
    <w:rsid w:val="00501EDC"/>
    <w:rsid w:val="00512C62"/>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49FD"/>
    <w:rsid w:val="005B67AC"/>
    <w:rsid w:val="005B79F4"/>
    <w:rsid w:val="005C5464"/>
    <w:rsid w:val="005C5A6D"/>
    <w:rsid w:val="005D16DD"/>
    <w:rsid w:val="005D43E0"/>
    <w:rsid w:val="005D58A3"/>
    <w:rsid w:val="005E1B79"/>
    <w:rsid w:val="005E6076"/>
    <w:rsid w:val="005E634A"/>
    <w:rsid w:val="005E7008"/>
    <w:rsid w:val="005F026D"/>
    <w:rsid w:val="005F1B3C"/>
    <w:rsid w:val="005F2AEA"/>
    <w:rsid w:val="005F2D0B"/>
    <w:rsid w:val="005F4B31"/>
    <w:rsid w:val="00610388"/>
    <w:rsid w:val="00610AC7"/>
    <w:rsid w:val="006121C4"/>
    <w:rsid w:val="00612CA5"/>
    <w:rsid w:val="00613E63"/>
    <w:rsid w:val="006153EC"/>
    <w:rsid w:val="00621A17"/>
    <w:rsid w:val="006240F3"/>
    <w:rsid w:val="00627CC9"/>
    <w:rsid w:val="00627E7B"/>
    <w:rsid w:val="00630542"/>
    <w:rsid w:val="00632E44"/>
    <w:rsid w:val="00633808"/>
    <w:rsid w:val="00634622"/>
    <w:rsid w:val="00636808"/>
    <w:rsid w:val="00641515"/>
    <w:rsid w:val="00645990"/>
    <w:rsid w:val="00650CB6"/>
    <w:rsid w:val="00650FE1"/>
    <w:rsid w:val="00654C2F"/>
    <w:rsid w:val="00657087"/>
    <w:rsid w:val="006574C0"/>
    <w:rsid w:val="00661556"/>
    <w:rsid w:val="006639DB"/>
    <w:rsid w:val="006661EF"/>
    <w:rsid w:val="00674534"/>
    <w:rsid w:val="00677AEB"/>
    <w:rsid w:val="00680EF2"/>
    <w:rsid w:val="00687A1D"/>
    <w:rsid w:val="00697EA1"/>
    <w:rsid w:val="006A2646"/>
    <w:rsid w:val="006A5375"/>
    <w:rsid w:val="006A6530"/>
    <w:rsid w:val="006B28CB"/>
    <w:rsid w:val="006B435A"/>
    <w:rsid w:val="006B4C64"/>
    <w:rsid w:val="006D3DC9"/>
    <w:rsid w:val="006D40DB"/>
    <w:rsid w:val="006D6BD5"/>
    <w:rsid w:val="006E481A"/>
    <w:rsid w:val="006E5298"/>
    <w:rsid w:val="006F4A78"/>
    <w:rsid w:val="006F734A"/>
    <w:rsid w:val="007006AA"/>
    <w:rsid w:val="00700D83"/>
    <w:rsid w:val="007042DF"/>
    <w:rsid w:val="00704852"/>
    <w:rsid w:val="007074E9"/>
    <w:rsid w:val="00710AFC"/>
    <w:rsid w:val="00713DA4"/>
    <w:rsid w:val="00714BF1"/>
    <w:rsid w:val="00721383"/>
    <w:rsid w:val="0073158B"/>
    <w:rsid w:val="007333CC"/>
    <w:rsid w:val="0073399A"/>
    <w:rsid w:val="00740DAD"/>
    <w:rsid w:val="00756650"/>
    <w:rsid w:val="007603F5"/>
    <w:rsid w:val="00764DB0"/>
    <w:rsid w:val="0076752C"/>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1544"/>
    <w:rsid w:val="007E3906"/>
    <w:rsid w:val="007E6BA4"/>
    <w:rsid w:val="007F41F8"/>
    <w:rsid w:val="007F659B"/>
    <w:rsid w:val="007F699C"/>
    <w:rsid w:val="00803C72"/>
    <w:rsid w:val="008042B7"/>
    <w:rsid w:val="0080454E"/>
    <w:rsid w:val="00804C32"/>
    <w:rsid w:val="00806302"/>
    <w:rsid w:val="00807119"/>
    <w:rsid w:val="0082483F"/>
    <w:rsid w:val="008279C0"/>
    <w:rsid w:val="0083623E"/>
    <w:rsid w:val="00853516"/>
    <w:rsid w:val="00853B56"/>
    <w:rsid w:val="0085724C"/>
    <w:rsid w:val="00861F42"/>
    <w:rsid w:val="00867701"/>
    <w:rsid w:val="008723F3"/>
    <w:rsid w:val="00876F56"/>
    <w:rsid w:val="00881605"/>
    <w:rsid w:val="00881DE6"/>
    <w:rsid w:val="008837A6"/>
    <w:rsid w:val="00890130"/>
    <w:rsid w:val="00891116"/>
    <w:rsid w:val="0089145D"/>
    <w:rsid w:val="008A4DF2"/>
    <w:rsid w:val="008A6CFE"/>
    <w:rsid w:val="008B16A4"/>
    <w:rsid w:val="008B5333"/>
    <w:rsid w:val="008B6074"/>
    <w:rsid w:val="008B6223"/>
    <w:rsid w:val="008C66E0"/>
    <w:rsid w:val="008D1599"/>
    <w:rsid w:val="008D7C65"/>
    <w:rsid w:val="008E3339"/>
    <w:rsid w:val="008E3413"/>
    <w:rsid w:val="008F20FC"/>
    <w:rsid w:val="008F5F21"/>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1F05"/>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161A"/>
    <w:rsid w:val="00A2274A"/>
    <w:rsid w:val="00A235B7"/>
    <w:rsid w:val="00A25392"/>
    <w:rsid w:val="00A26898"/>
    <w:rsid w:val="00A27A7A"/>
    <w:rsid w:val="00A34ABE"/>
    <w:rsid w:val="00A407EF"/>
    <w:rsid w:val="00A46B4C"/>
    <w:rsid w:val="00A46FE2"/>
    <w:rsid w:val="00A5117B"/>
    <w:rsid w:val="00A51A14"/>
    <w:rsid w:val="00A56D34"/>
    <w:rsid w:val="00A60074"/>
    <w:rsid w:val="00A64752"/>
    <w:rsid w:val="00A6627C"/>
    <w:rsid w:val="00A71019"/>
    <w:rsid w:val="00A71DF7"/>
    <w:rsid w:val="00A7565B"/>
    <w:rsid w:val="00A81029"/>
    <w:rsid w:val="00A845F5"/>
    <w:rsid w:val="00A96489"/>
    <w:rsid w:val="00AB0E3A"/>
    <w:rsid w:val="00AB2425"/>
    <w:rsid w:val="00AB685C"/>
    <w:rsid w:val="00AB6C2D"/>
    <w:rsid w:val="00AC08F7"/>
    <w:rsid w:val="00AC2F1F"/>
    <w:rsid w:val="00AC3839"/>
    <w:rsid w:val="00AC43F8"/>
    <w:rsid w:val="00AC7082"/>
    <w:rsid w:val="00AC7C37"/>
    <w:rsid w:val="00AD12C7"/>
    <w:rsid w:val="00AD4BE8"/>
    <w:rsid w:val="00AD5483"/>
    <w:rsid w:val="00AF228E"/>
    <w:rsid w:val="00AF4B03"/>
    <w:rsid w:val="00AF5E78"/>
    <w:rsid w:val="00B016A8"/>
    <w:rsid w:val="00B14819"/>
    <w:rsid w:val="00B15E2F"/>
    <w:rsid w:val="00B17AA9"/>
    <w:rsid w:val="00B23015"/>
    <w:rsid w:val="00B31963"/>
    <w:rsid w:val="00B33035"/>
    <w:rsid w:val="00B44713"/>
    <w:rsid w:val="00B44AEC"/>
    <w:rsid w:val="00B51B95"/>
    <w:rsid w:val="00B53FBE"/>
    <w:rsid w:val="00B56103"/>
    <w:rsid w:val="00B64929"/>
    <w:rsid w:val="00B70966"/>
    <w:rsid w:val="00B70C40"/>
    <w:rsid w:val="00B736DF"/>
    <w:rsid w:val="00B743D6"/>
    <w:rsid w:val="00B74FBD"/>
    <w:rsid w:val="00B77F46"/>
    <w:rsid w:val="00B82586"/>
    <w:rsid w:val="00B829A3"/>
    <w:rsid w:val="00B8406D"/>
    <w:rsid w:val="00B86DB1"/>
    <w:rsid w:val="00B87869"/>
    <w:rsid w:val="00B9639B"/>
    <w:rsid w:val="00BA3AE6"/>
    <w:rsid w:val="00BA4008"/>
    <w:rsid w:val="00BA501F"/>
    <w:rsid w:val="00BB0F2B"/>
    <w:rsid w:val="00BB1803"/>
    <w:rsid w:val="00BC3A55"/>
    <w:rsid w:val="00BE4FF3"/>
    <w:rsid w:val="00BE6B30"/>
    <w:rsid w:val="00BF0C06"/>
    <w:rsid w:val="00BF50F7"/>
    <w:rsid w:val="00C02F29"/>
    <w:rsid w:val="00C17718"/>
    <w:rsid w:val="00C17A1D"/>
    <w:rsid w:val="00C20AFE"/>
    <w:rsid w:val="00C22A25"/>
    <w:rsid w:val="00C3329C"/>
    <w:rsid w:val="00C35671"/>
    <w:rsid w:val="00C35B77"/>
    <w:rsid w:val="00C376EB"/>
    <w:rsid w:val="00C41A0C"/>
    <w:rsid w:val="00C46A92"/>
    <w:rsid w:val="00C46EC1"/>
    <w:rsid w:val="00C52796"/>
    <w:rsid w:val="00C53E2C"/>
    <w:rsid w:val="00C54E96"/>
    <w:rsid w:val="00C550C8"/>
    <w:rsid w:val="00C55824"/>
    <w:rsid w:val="00C56B61"/>
    <w:rsid w:val="00C606C3"/>
    <w:rsid w:val="00C620F4"/>
    <w:rsid w:val="00C72848"/>
    <w:rsid w:val="00C7736C"/>
    <w:rsid w:val="00C82D87"/>
    <w:rsid w:val="00C850C1"/>
    <w:rsid w:val="00C8712A"/>
    <w:rsid w:val="00C902C8"/>
    <w:rsid w:val="00C919D1"/>
    <w:rsid w:val="00C931BC"/>
    <w:rsid w:val="00C963D3"/>
    <w:rsid w:val="00CB1983"/>
    <w:rsid w:val="00CB2364"/>
    <w:rsid w:val="00CB2CBB"/>
    <w:rsid w:val="00CB7CAC"/>
    <w:rsid w:val="00CC1990"/>
    <w:rsid w:val="00CC5335"/>
    <w:rsid w:val="00CC5BA4"/>
    <w:rsid w:val="00CC6748"/>
    <w:rsid w:val="00CD4998"/>
    <w:rsid w:val="00CE1035"/>
    <w:rsid w:val="00CE6E50"/>
    <w:rsid w:val="00CF2819"/>
    <w:rsid w:val="00CF4F9D"/>
    <w:rsid w:val="00CF70DC"/>
    <w:rsid w:val="00D03346"/>
    <w:rsid w:val="00D063C2"/>
    <w:rsid w:val="00D06A87"/>
    <w:rsid w:val="00D148DC"/>
    <w:rsid w:val="00D17FDC"/>
    <w:rsid w:val="00D21D8C"/>
    <w:rsid w:val="00D27CBC"/>
    <w:rsid w:val="00D42606"/>
    <w:rsid w:val="00D53719"/>
    <w:rsid w:val="00D6188D"/>
    <w:rsid w:val="00D63EFD"/>
    <w:rsid w:val="00D73E9C"/>
    <w:rsid w:val="00D77B61"/>
    <w:rsid w:val="00D84752"/>
    <w:rsid w:val="00D86B3B"/>
    <w:rsid w:val="00D8748A"/>
    <w:rsid w:val="00D929BB"/>
    <w:rsid w:val="00D93196"/>
    <w:rsid w:val="00DA0DC0"/>
    <w:rsid w:val="00DB243C"/>
    <w:rsid w:val="00DB482A"/>
    <w:rsid w:val="00DB50FB"/>
    <w:rsid w:val="00DB56F2"/>
    <w:rsid w:val="00DB6EF5"/>
    <w:rsid w:val="00DC3089"/>
    <w:rsid w:val="00DC4420"/>
    <w:rsid w:val="00DC7B8C"/>
    <w:rsid w:val="00DD0802"/>
    <w:rsid w:val="00DD21F3"/>
    <w:rsid w:val="00DD262A"/>
    <w:rsid w:val="00DD2E11"/>
    <w:rsid w:val="00DE03AF"/>
    <w:rsid w:val="00DE121C"/>
    <w:rsid w:val="00DE6633"/>
    <w:rsid w:val="00DF02FF"/>
    <w:rsid w:val="00DF75F8"/>
    <w:rsid w:val="00DF7A3A"/>
    <w:rsid w:val="00E00C00"/>
    <w:rsid w:val="00E07C5A"/>
    <w:rsid w:val="00E11C54"/>
    <w:rsid w:val="00E143B3"/>
    <w:rsid w:val="00E15BA9"/>
    <w:rsid w:val="00E177F0"/>
    <w:rsid w:val="00E244BB"/>
    <w:rsid w:val="00E25582"/>
    <w:rsid w:val="00E26E19"/>
    <w:rsid w:val="00E31DF3"/>
    <w:rsid w:val="00E31F80"/>
    <w:rsid w:val="00E3528C"/>
    <w:rsid w:val="00E357F1"/>
    <w:rsid w:val="00E4294D"/>
    <w:rsid w:val="00E450A4"/>
    <w:rsid w:val="00E45C5C"/>
    <w:rsid w:val="00E506BE"/>
    <w:rsid w:val="00E55547"/>
    <w:rsid w:val="00E55912"/>
    <w:rsid w:val="00E6302B"/>
    <w:rsid w:val="00E6452F"/>
    <w:rsid w:val="00E64F45"/>
    <w:rsid w:val="00E6742D"/>
    <w:rsid w:val="00E71CB0"/>
    <w:rsid w:val="00E77C3D"/>
    <w:rsid w:val="00E87889"/>
    <w:rsid w:val="00E90991"/>
    <w:rsid w:val="00E909F0"/>
    <w:rsid w:val="00E90D47"/>
    <w:rsid w:val="00E9224B"/>
    <w:rsid w:val="00E93993"/>
    <w:rsid w:val="00E9597C"/>
    <w:rsid w:val="00E96067"/>
    <w:rsid w:val="00EA0913"/>
    <w:rsid w:val="00EA5B00"/>
    <w:rsid w:val="00EA6EC9"/>
    <w:rsid w:val="00EB146B"/>
    <w:rsid w:val="00EB45AC"/>
    <w:rsid w:val="00EB753B"/>
    <w:rsid w:val="00EC2B61"/>
    <w:rsid w:val="00EC441F"/>
    <w:rsid w:val="00EC4755"/>
    <w:rsid w:val="00EC6D86"/>
    <w:rsid w:val="00ED0BC4"/>
    <w:rsid w:val="00ED447D"/>
    <w:rsid w:val="00ED5BDC"/>
    <w:rsid w:val="00EE425D"/>
    <w:rsid w:val="00EE4971"/>
    <w:rsid w:val="00EE6CB0"/>
    <w:rsid w:val="00EE7CF6"/>
    <w:rsid w:val="00EF090E"/>
    <w:rsid w:val="00EF5572"/>
    <w:rsid w:val="00F033DA"/>
    <w:rsid w:val="00F13691"/>
    <w:rsid w:val="00F13FB1"/>
    <w:rsid w:val="00F27CD8"/>
    <w:rsid w:val="00F30351"/>
    <w:rsid w:val="00F3323E"/>
    <w:rsid w:val="00F341F4"/>
    <w:rsid w:val="00F34F9D"/>
    <w:rsid w:val="00F35CCE"/>
    <w:rsid w:val="00F4394E"/>
    <w:rsid w:val="00F51098"/>
    <w:rsid w:val="00F5524B"/>
    <w:rsid w:val="00F60538"/>
    <w:rsid w:val="00F61DD2"/>
    <w:rsid w:val="00F62196"/>
    <w:rsid w:val="00F651A5"/>
    <w:rsid w:val="00F66AFF"/>
    <w:rsid w:val="00F71433"/>
    <w:rsid w:val="00F730FA"/>
    <w:rsid w:val="00F84855"/>
    <w:rsid w:val="00F97C5B"/>
    <w:rsid w:val="00FA18CF"/>
    <w:rsid w:val="00FA3D50"/>
    <w:rsid w:val="00FB7FBD"/>
    <w:rsid w:val="00FC374A"/>
    <w:rsid w:val="00FC4264"/>
    <w:rsid w:val="00FC74C8"/>
    <w:rsid w:val="00FC7B47"/>
    <w:rsid w:val="00FD035C"/>
    <w:rsid w:val="00FD1A35"/>
    <w:rsid w:val="00FD2EA4"/>
    <w:rsid w:val="00FD36C5"/>
    <w:rsid w:val="00FD6310"/>
    <w:rsid w:val="00FD7C7B"/>
    <w:rsid w:val="00FE0157"/>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40647F"/>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pplebyglobal.com/news/important-implications-for-claims-on-behalf-of-insolvent-companies-against-former-directors/" TargetMode="External"/><Relationship Id="rId2" Type="http://schemas.openxmlformats.org/officeDocument/2006/relationships/hyperlink" Target="https://www.walkersglobal.com/images/Publications/Articles/2018/09.10.2018_Two_Islands_ICR.pdf" TargetMode="External"/><Relationship Id="rId1" Type="http://schemas.openxmlformats.org/officeDocument/2006/relationships/hyperlink" Target="https://www.walkersglobal.com/images/Publications/Articles/2018/09.10.2018_Two_Islands_ICR.pdf" TargetMode="External"/><Relationship Id="rId4" Type="http://schemas.openxmlformats.org/officeDocument/2006/relationships/hyperlink" Target="https://www.ogier.com/publications/cayman-islands-publishes-reforms-to-restructuring-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15FE7-1196-4AD9-9307-68010E53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11</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Martha Ramtahal</cp:lastModifiedBy>
  <cp:revision>34</cp:revision>
  <cp:lastPrinted>2019-08-27T05:42:00Z</cp:lastPrinted>
  <dcterms:created xsi:type="dcterms:W3CDTF">2022-03-24T15:28:00Z</dcterms:created>
  <dcterms:modified xsi:type="dcterms:W3CDTF">2022-06-01T13:43:00Z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