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proofErr w:type="gramStart"/>
      <w:r w:rsidRPr="00CA448F">
        <w:rPr>
          <w:rFonts w:ascii="Arial" w:hAnsi="Arial" w:cs="Arial"/>
          <w:sz w:val="22"/>
          <w:szCs w:val="22"/>
          <w:lang w:val="en-GB"/>
        </w:rPr>
        <w:t>Questions 1.1.</w:t>
      </w:r>
      <w:proofErr w:type="gramEnd"/>
      <w:r w:rsidRPr="00CA448F">
        <w:rPr>
          <w:rFonts w:ascii="Arial" w:hAnsi="Arial" w:cs="Arial"/>
          <w:sz w:val="22"/>
          <w:szCs w:val="22"/>
          <w:lang w:val="en-GB"/>
        </w:rPr>
        <w:t xml:space="preserve"> – 1.10</w:t>
      </w:r>
      <w:r w:rsidR="00341AA6" w:rsidRPr="00CA448F">
        <w:rPr>
          <w:rFonts w:ascii="Arial" w:hAnsi="Arial" w:cs="Arial"/>
          <w:sz w:val="22"/>
          <w:szCs w:val="22"/>
          <w:lang w:val="en-GB"/>
        </w:rPr>
        <w:t>.</w:t>
      </w:r>
      <w:r w:rsidRPr="00CA448F">
        <w:rPr>
          <w:rFonts w:ascii="Arial" w:hAnsi="Arial" w:cs="Arial"/>
          <w:sz w:val="22"/>
          <w:szCs w:val="22"/>
          <w:lang w:val="en-GB"/>
        </w:rPr>
        <w:t xml:space="preserve"> </w:t>
      </w:r>
      <w:proofErr w:type="gramStart"/>
      <w:r w:rsidRPr="00CA448F">
        <w:rPr>
          <w:rFonts w:ascii="Arial" w:hAnsi="Arial" w:cs="Arial"/>
          <w:sz w:val="22"/>
          <w:szCs w:val="22"/>
          <w:lang w:val="en-GB"/>
        </w:rPr>
        <w:t>are</w:t>
      </w:r>
      <w:proofErr w:type="gramEnd"/>
      <w:r w:rsidRPr="00CA448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910AC9">
        <w:rPr>
          <w:rFonts w:ascii="Arial" w:hAnsi="Arial" w:cs="Arial"/>
          <w:sz w:val="22"/>
          <w:szCs w:val="22"/>
          <w:highlight w:val="yellow"/>
          <w:lang w:val="en-GB"/>
        </w:rPr>
        <w:t>The failure of the responsible authorities to enact laws which would encourage a business rescue culture.</w:t>
      </w:r>
      <w:r w:rsidRPr="00CA448F">
        <w:rPr>
          <w:rFonts w:ascii="Arial" w:hAnsi="Arial" w:cs="Arial"/>
          <w:sz w:val="22"/>
          <w:szCs w:val="22"/>
          <w:lang w:val="en-GB"/>
        </w:rPr>
        <w:t xml:space="preserv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2B47E7">
        <w:rPr>
          <w:rFonts w:ascii="Arial" w:hAnsi="Arial" w:cs="Arial"/>
          <w:sz w:val="22"/>
          <w:szCs w:val="22"/>
          <w:highlight w:val="yellow"/>
          <w:lang w:val="en-GB"/>
        </w:rPr>
        <w:t>The Bankruptcy Law incorporates substantial elements of Islamic law, while the insolvency laws of the financial centres are based on the common law.</w:t>
      </w:r>
      <w:r w:rsidRPr="00CA448F">
        <w:rPr>
          <w:rFonts w:ascii="Arial" w:hAnsi="Arial" w:cs="Arial"/>
          <w:sz w:val="22"/>
          <w:szCs w:val="22"/>
          <w:lang w:val="en-GB"/>
        </w:rPr>
        <w:t xml:space="preserve">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ListParagraph"/>
        <w:numPr>
          <w:ilvl w:val="0"/>
          <w:numId w:val="13"/>
        </w:numPr>
        <w:ind w:left="426" w:hanging="426"/>
        <w:jc w:val="both"/>
        <w:rPr>
          <w:rFonts w:ascii="Arial" w:hAnsi="Arial" w:cs="Arial"/>
          <w:bCs/>
          <w:sz w:val="22"/>
          <w:szCs w:val="22"/>
          <w:lang w:val="en-GB"/>
        </w:rPr>
      </w:pPr>
      <w:r w:rsidRPr="00833BDC">
        <w:rPr>
          <w:rFonts w:ascii="Arial" w:hAnsi="Arial" w:cs="Arial"/>
          <w:bCs/>
          <w:sz w:val="22"/>
          <w:szCs w:val="22"/>
          <w:highlight w:val="yellow"/>
          <w:lang w:val="en-GB"/>
        </w:rPr>
        <w:lastRenderedPageBreak/>
        <w:t>The judgments and orders of the Courts of the DIFC are enforceable elsewhere in Dubai only through the Dubai Courts.</w:t>
      </w:r>
      <w:r w:rsidRPr="007B4F09">
        <w:rPr>
          <w:rFonts w:ascii="Arial" w:hAnsi="Arial" w:cs="Arial"/>
          <w:bCs/>
          <w:sz w:val="22"/>
          <w:szCs w:val="22"/>
          <w:lang w:val="en-GB"/>
        </w:rPr>
        <w:t xml:space="preserve">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proofErr w:type="gramStart"/>
      <w:r w:rsidR="00274BC3">
        <w:rPr>
          <w:rFonts w:ascii="Arial" w:hAnsi="Arial" w:cs="Arial"/>
          <w:sz w:val="22"/>
          <w:szCs w:val="22"/>
          <w:lang w:val="en-GB"/>
        </w:rPr>
        <w:t>security,</w:t>
      </w:r>
      <w:proofErr w:type="gramEnd"/>
      <w:r w:rsidR="00274BC3">
        <w:rPr>
          <w:rFonts w:ascii="Arial" w:hAnsi="Arial" w:cs="Arial"/>
          <w:sz w:val="22"/>
          <w:szCs w:val="22"/>
          <w:lang w:val="en-GB"/>
        </w:rPr>
        <w:t xml:space="preserve">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Default="008D1432" w:rsidP="00C76745">
      <w:pPr>
        <w:pStyle w:val="ListParagraph"/>
        <w:numPr>
          <w:ilvl w:val="0"/>
          <w:numId w:val="15"/>
        </w:numPr>
        <w:ind w:left="426" w:hanging="426"/>
        <w:jc w:val="both"/>
        <w:rPr>
          <w:rFonts w:ascii="Arial" w:hAnsi="Arial" w:cs="Arial"/>
          <w:bCs/>
          <w:sz w:val="22"/>
          <w:szCs w:val="22"/>
          <w:lang w:val="en-GB"/>
        </w:rPr>
      </w:pPr>
      <w:r w:rsidRPr="00346C7A">
        <w:rPr>
          <w:rFonts w:ascii="Arial" w:hAnsi="Arial" w:cs="Arial"/>
          <w:bCs/>
          <w:sz w:val="22"/>
          <w:szCs w:val="22"/>
          <w:highlight w:val="yellow"/>
          <w:lang w:val="en-GB"/>
        </w:rPr>
        <w:t>True</w:t>
      </w:r>
      <w:r w:rsidR="002073B6" w:rsidRPr="007B4F09">
        <w:rPr>
          <w:rFonts w:ascii="Arial" w:hAnsi="Arial" w:cs="Arial"/>
          <w:bCs/>
          <w:sz w:val="22"/>
          <w:szCs w:val="22"/>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3140A9">
        <w:rPr>
          <w:rFonts w:ascii="Arial" w:hAnsi="Arial" w:cs="Arial"/>
          <w:bCs/>
          <w:sz w:val="22"/>
          <w:szCs w:val="22"/>
          <w:highlight w:val="yellow"/>
          <w:lang w:val="en-GB"/>
        </w:rPr>
        <w:t>There are separate registers in which security interests in both land and personal property in the DIFC can be registered.</w:t>
      </w:r>
      <w:r w:rsidRPr="007B4F09">
        <w:rPr>
          <w:rFonts w:ascii="Arial" w:hAnsi="Arial" w:cs="Arial"/>
          <w:bCs/>
          <w:sz w:val="22"/>
          <w:szCs w:val="22"/>
          <w:lang w:val="en-GB"/>
        </w:rPr>
        <w:t xml:space="preserve">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Default="002073B6" w:rsidP="00C76745">
      <w:pPr>
        <w:pStyle w:val="ListParagraph"/>
        <w:numPr>
          <w:ilvl w:val="0"/>
          <w:numId w:val="18"/>
        </w:numPr>
        <w:ind w:left="426" w:hanging="426"/>
        <w:jc w:val="both"/>
        <w:rPr>
          <w:rFonts w:ascii="Arial" w:hAnsi="Arial" w:cs="Arial"/>
          <w:bCs/>
          <w:sz w:val="22"/>
          <w:szCs w:val="22"/>
          <w:lang w:val="en-GB"/>
        </w:rPr>
      </w:pPr>
      <w:r w:rsidRPr="00F40CFF">
        <w:rPr>
          <w:rFonts w:ascii="Arial" w:hAnsi="Arial" w:cs="Arial"/>
          <w:bCs/>
          <w:sz w:val="22"/>
          <w:szCs w:val="22"/>
          <w:highlight w:val="yellow"/>
          <w:lang w:val="en-GB"/>
        </w:rPr>
        <w:t>Creditors may not bring or pursue claims against persons jointly liable with the debtor or any guarantors of the debtor’s debts.</w:t>
      </w:r>
      <w:r w:rsidRPr="007B4F09">
        <w:rPr>
          <w:rFonts w:ascii="Arial" w:hAnsi="Arial" w:cs="Arial"/>
          <w:bCs/>
          <w:sz w:val="22"/>
          <w:szCs w:val="22"/>
          <w:lang w:val="en-GB"/>
        </w:rPr>
        <w:t xml:space="preserve">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8A7169">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Default="002073B6" w:rsidP="00C76745">
      <w:pPr>
        <w:pStyle w:val="ListParagraph"/>
        <w:numPr>
          <w:ilvl w:val="0"/>
          <w:numId w:val="22"/>
        </w:numPr>
        <w:ind w:left="426" w:hanging="426"/>
        <w:jc w:val="both"/>
        <w:rPr>
          <w:rFonts w:ascii="Arial" w:hAnsi="Arial" w:cs="Arial"/>
          <w:bCs/>
          <w:sz w:val="22"/>
          <w:szCs w:val="22"/>
          <w:lang w:val="en-GB"/>
        </w:rPr>
      </w:pPr>
      <w:r w:rsidRPr="001D289A">
        <w:rPr>
          <w:rFonts w:ascii="Arial" w:hAnsi="Arial" w:cs="Arial"/>
          <w:bCs/>
          <w:sz w:val="22"/>
          <w:szCs w:val="22"/>
          <w:highlight w:val="yellow"/>
          <w:lang w:val="en-GB"/>
        </w:rPr>
        <w:t>If a secured creditor, having security over all or substantially all of the assets of a debtor, takes steps to enforce its security.</w:t>
      </w:r>
      <w:r w:rsidRPr="007B4F09">
        <w:rPr>
          <w:rFonts w:ascii="Arial" w:hAnsi="Arial" w:cs="Arial"/>
          <w:bCs/>
          <w:sz w:val="22"/>
          <w:szCs w:val="22"/>
          <w:lang w:val="en-GB"/>
        </w:rPr>
        <w:t xml:space="preserve">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Default="00BA06CC" w:rsidP="00C76745">
      <w:pPr>
        <w:pStyle w:val="ListParagraph"/>
        <w:numPr>
          <w:ilvl w:val="0"/>
          <w:numId w:val="24"/>
        </w:numPr>
        <w:ind w:left="426" w:hanging="426"/>
        <w:jc w:val="both"/>
        <w:rPr>
          <w:rFonts w:ascii="Arial" w:hAnsi="Arial" w:cs="Arial"/>
          <w:bCs/>
          <w:sz w:val="22"/>
          <w:szCs w:val="22"/>
          <w:lang w:val="en-GB"/>
        </w:rPr>
      </w:pPr>
      <w:r w:rsidRPr="00A2360A">
        <w:rPr>
          <w:rFonts w:ascii="Arial" w:hAnsi="Arial" w:cs="Arial"/>
          <w:sz w:val="22"/>
          <w:szCs w:val="22"/>
          <w:highlight w:val="yellow"/>
        </w:rPr>
        <w:t>A</w:t>
      </w:r>
      <w:r w:rsidR="00F80E9B" w:rsidRPr="00A2360A">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A2360A">
        <w:rPr>
          <w:rFonts w:ascii="Arial" w:hAnsi="Arial" w:cs="Arial"/>
          <w:bCs/>
          <w:sz w:val="22"/>
          <w:szCs w:val="22"/>
          <w:highlight w:val="yellow"/>
          <w:lang w:val="en-GB"/>
        </w:rPr>
        <w:t>.</w:t>
      </w:r>
      <w:r w:rsidR="002073B6" w:rsidRPr="007B4F09">
        <w:rPr>
          <w:rFonts w:ascii="Arial" w:hAnsi="Arial" w:cs="Arial"/>
          <w:bCs/>
          <w:sz w:val="22"/>
          <w:szCs w:val="22"/>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w:t>
      </w:r>
      <w:proofErr w:type="spellStart"/>
      <w:r w:rsidRPr="00821EDC">
        <w:rPr>
          <w:rFonts w:ascii="Arial" w:hAnsi="Arial" w:cs="Arial"/>
          <w:sz w:val="22"/>
          <w:szCs w:val="22"/>
        </w:rPr>
        <w:t>disapplies</w:t>
      </w:r>
      <w:proofErr w:type="spellEnd"/>
      <w:r w:rsidRPr="00821EDC">
        <w:rPr>
          <w:rFonts w:ascii="Arial" w:hAnsi="Arial" w:cs="Arial"/>
          <w:sz w:val="22"/>
          <w:szCs w:val="22"/>
        </w:rPr>
        <w:t xml:space="preserve">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764395">
        <w:rPr>
          <w:rFonts w:ascii="Arial" w:hAnsi="Arial" w:cs="Arial"/>
          <w:bCs/>
          <w:sz w:val="22"/>
          <w:szCs w:val="22"/>
          <w:highlight w:val="yellow"/>
          <w:lang w:val="en-GB"/>
        </w:rPr>
        <w:t>The DIFC Courts will enforce judgments and awards from other countries if there is a memorandum of understanding with the Courts of that country which enable the DIFC Courts to do so.</w:t>
      </w:r>
      <w:r w:rsidRPr="007B4F09">
        <w:rPr>
          <w:rFonts w:ascii="Arial" w:hAnsi="Arial" w:cs="Arial"/>
          <w:bCs/>
          <w:sz w:val="22"/>
          <w:szCs w:val="22"/>
          <w:lang w:val="en-GB"/>
        </w:rPr>
        <w:t xml:space="preserve">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22730AD5" w14:textId="1E25E4B3" w:rsidR="008F602F" w:rsidRDefault="006F58B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8F602F">
        <w:rPr>
          <w:rFonts w:ascii="Arial" w:hAnsi="Arial" w:cs="Arial"/>
          <w:color w:val="808080" w:themeColor="background1" w:themeShade="80"/>
          <w:sz w:val="22"/>
          <w:szCs w:val="22"/>
          <w:lang w:val="en-GB"/>
        </w:rPr>
        <w:t>The key distinction is that each emirate maintains its own land registration systems.</w:t>
      </w:r>
    </w:p>
    <w:p w14:paraId="0EEA10ED" w14:textId="77777777" w:rsidR="008F602F" w:rsidRDefault="008F602F" w:rsidP="00C76745">
      <w:pPr>
        <w:ind w:left="720" w:hanging="720"/>
        <w:jc w:val="both"/>
        <w:rPr>
          <w:rFonts w:ascii="Arial" w:hAnsi="Arial" w:cs="Arial"/>
          <w:color w:val="808080" w:themeColor="background1" w:themeShade="80"/>
          <w:sz w:val="22"/>
          <w:szCs w:val="22"/>
          <w:lang w:val="en-GB"/>
        </w:rPr>
      </w:pPr>
    </w:p>
    <w:p w14:paraId="0A17D9AF" w14:textId="208B4395" w:rsidR="00A334F9" w:rsidRPr="00CA448F" w:rsidRDefault="00057431"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mainland UAE, the right of a mortgagee to sell the mortgage property following debtor’s default must be exercised through the courts. In DIFC the creditor can sell the whole or part of the land without the need for a court order.</w:t>
      </w:r>
      <w:r w:rsidR="006F58B3">
        <w:rPr>
          <w:rFonts w:ascii="Arial" w:hAnsi="Arial" w:cs="Arial"/>
          <w:color w:val="808080" w:themeColor="background1" w:themeShade="80"/>
          <w:sz w:val="22"/>
          <w:szCs w:val="22"/>
          <w:lang w:val="en-GB"/>
        </w:rPr>
        <w:t>]</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w:t>
      </w:r>
      <w:proofErr w:type="gramStart"/>
      <w:r w:rsidRPr="00CA448F">
        <w:rPr>
          <w:rFonts w:ascii="Arial" w:hAnsi="Arial" w:cs="Arial"/>
          <w:sz w:val="22"/>
          <w:szCs w:val="22"/>
          <w:lang w:val="en-GB"/>
        </w:rPr>
        <w:t>following:</w:t>
      </w:r>
      <w:proofErr w:type="gramEnd"/>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Default="00007BF3" w:rsidP="00C76745">
      <w:pPr>
        <w:ind w:left="720" w:hanging="720"/>
        <w:jc w:val="both"/>
        <w:rPr>
          <w:rFonts w:ascii="Arial" w:hAnsi="Arial" w:cs="Arial"/>
          <w:sz w:val="22"/>
          <w:szCs w:val="22"/>
        </w:rPr>
      </w:pPr>
    </w:p>
    <w:p w14:paraId="46C08945" w14:textId="6FAED6C9" w:rsidR="005C12AE" w:rsidRPr="00CA448F" w:rsidRDefault="00245A69" w:rsidP="00310911">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0CFAC2C4" w14:textId="77777777" w:rsidR="00D13AD5" w:rsidRDefault="006F58B3" w:rsidP="00D13AD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w:t>
      </w:r>
      <w:r w:rsidR="00D13AD5">
        <w:rPr>
          <w:rFonts w:ascii="Arial" w:hAnsi="Arial" w:cs="Arial"/>
          <w:color w:val="808080" w:themeColor="background1" w:themeShade="80"/>
          <w:sz w:val="22"/>
          <w:szCs w:val="22"/>
        </w:rPr>
        <w:t xml:space="preserve">(a) </w:t>
      </w:r>
      <w:proofErr w:type="gramStart"/>
      <w:r w:rsidR="00D13AD5">
        <w:rPr>
          <w:rFonts w:ascii="Arial" w:hAnsi="Arial" w:cs="Arial"/>
          <w:color w:val="808080" w:themeColor="background1" w:themeShade="80"/>
          <w:sz w:val="22"/>
          <w:szCs w:val="22"/>
        </w:rPr>
        <w:t>The</w:t>
      </w:r>
      <w:proofErr w:type="gramEnd"/>
      <w:r w:rsidR="00D13AD5">
        <w:rPr>
          <w:rFonts w:ascii="Arial" w:hAnsi="Arial" w:cs="Arial"/>
          <w:color w:val="808080" w:themeColor="background1" w:themeShade="80"/>
          <w:sz w:val="22"/>
          <w:szCs w:val="22"/>
        </w:rPr>
        <w:t xml:space="preserve"> decision to commence insolvency of the debtor is that of the Court having jurisdiction over the debtor</w:t>
      </w:r>
    </w:p>
    <w:p w14:paraId="2EBF5B37" w14:textId="77777777" w:rsidR="00724F1A" w:rsidRDefault="00724F1A" w:rsidP="00D13AD5">
      <w:pPr>
        <w:ind w:left="720" w:hanging="720"/>
        <w:jc w:val="both"/>
        <w:rPr>
          <w:rFonts w:ascii="Arial" w:hAnsi="Arial" w:cs="Arial"/>
          <w:color w:val="808080" w:themeColor="background1" w:themeShade="80"/>
          <w:sz w:val="22"/>
          <w:szCs w:val="22"/>
        </w:rPr>
      </w:pPr>
    </w:p>
    <w:p w14:paraId="52705A64" w14:textId="77777777" w:rsidR="00724F1A" w:rsidRDefault="00D13AD5" w:rsidP="00D13AD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 </w:t>
      </w:r>
      <w:r w:rsidR="00724F1A">
        <w:rPr>
          <w:rFonts w:ascii="Arial" w:hAnsi="Arial" w:cs="Arial"/>
          <w:color w:val="808080" w:themeColor="background1" w:themeShade="80"/>
          <w:sz w:val="22"/>
          <w:szCs w:val="22"/>
        </w:rPr>
        <w:t>The primary determination of the scheme is done by the Expert appointed by the Court</w:t>
      </w:r>
    </w:p>
    <w:p w14:paraId="2C981270" w14:textId="77777777" w:rsidR="00310911" w:rsidRDefault="00310911" w:rsidP="00D13AD5">
      <w:pPr>
        <w:ind w:left="720" w:hanging="720"/>
        <w:jc w:val="both"/>
        <w:rPr>
          <w:rFonts w:ascii="Arial" w:hAnsi="Arial" w:cs="Arial"/>
          <w:color w:val="808080" w:themeColor="background1" w:themeShade="80"/>
          <w:sz w:val="22"/>
          <w:szCs w:val="22"/>
        </w:rPr>
      </w:pPr>
    </w:p>
    <w:p w14:paraId="39C91F5F" w14:textId="5E757FE3" w:rsidR="00724F1A" w:rsidRDefault="00694E5B" w:rsidP="00310911">
      <w:pPr>
        <w:pStyle w:val="ListParagraph"/>
        <w:numPr>
          <w:ilvl w:val="0"/>
          <w:numId w:val="15"/>
        </w:num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Creditors whose debts have been admitted through vote shall confirm the adoption of debtor’s plan</w:t>
      </w:r>
    </w:p>
    <w:p w14:paraId="74C26636" w14:textId="77777777" w:rsidR="00724F1A" w:rsidRPr="00724F1A" w:rsidRDefault="00724F1A" w:rsidP="00724F1A">
      <w:pPr>
        <w:ind w:left="1080"/>
        <w:jc w:val="both"/>
        <w:rPr>
          <w:rFonts w:ascii="Arial" w:hAnsi="Arial" w:cs="Arial"/>
          <w:color w:val="808080" w:themeColor="background1" w:themeShade="80"/>
          <w:sz w:val="22"/>
          <w:szCs w:val="22"/>
        </w:rPr>
      </w:pPr>
    </w:p>
    <w:p w14:paraId="63350B14" w14:textId="6BB84DBC" w:rsidR="00651151" w:rsidRPr="00724F1A" w:rsidRDefault="00245A69" w:rsidP="00310911">
      <w:pPr>
        <w:pStyle w:val="ListParagraph"/>
        <w:numPr>
          <w:ilvl w:val="0"/>
          <w:numId w:val="15"/>
        </w:num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trustee </w:t>
      </w:r>
      <w:r w:rsidR="00694E5B">
        <w:rPr>
          <w:rFonts w:ascii="Arial" w:hAnsi="Arial" w:cs="Arial"/>
          <w:color w:val="808080" w:themeColor="background1" w:themeShade="80"/>
          <w:sz w:val="22"/>
          <w:szCs w:val="22"/>
        </w:rPr>
        <w:t>is responsible for supervising the implementation of the insolvency process</w:t>
      </w:r>
      <w:r w:rsidR="006F58B3" w:rsidRPr="00724F1A">
        <w:rPr>
          <w:rFonts w:ascii="Arial" w:hAnsi="Arial" w:cs="Arial"/>
          <w:color w:val="808080" w:themeColor="background1" w:themeShade="80"/>
          <w:sz w:val="22"/>
          <w:szCs w:val="22"/>
        </w:rPr>
        <w:t>]</w:t>
      </w: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36A3BA26" w14:textId="77777777" w:rsidR="00310911"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B2B81">
        <w:rPr>
          <w:rFonts w:ascii="Arial" w:hAnsi="Arial" w:cs="Arial"/>
          <w:color w:val="808080" w:themeColor="background1" w:themeShade="80"/>
          <w:sz w:val="22"/>
          <w:szCs w:val="22"/>
          <w:lang w:val="en-GB"/>
        </w:rPr>
        <w:t>P</w:t>
      </w:r>
      <w:r w:rsidR="002200D2">
        <w:rPr>
          <w:rFonts w:ascii="Arial" w:hAnsi="Arial" w:cs="Arial"/>
          <w:color w:val="808080" w:themeColor="background1" w:themeShade="80"/>
          <w:sz w:val="22"/>
          <w:szCs w:val="22"/>
          <w:lang w:val="en-GB"/>
        </w:rPr>
        <w:t>reventive composition settlement is prior to the application being filed with the court and restructuring is an alternative bankruptcy procedure post filing of application with the court.</w:t>
      </w:r>
    </w:p>
    <w:p w14:paraId="3C01B008" w14:textId="77777777" w:rsidR="00310911" w:rsidRDefault="00310911" w:rsidP="00C76745">
      <w:pPr>
        <w:jc w:val="both"/>
        <w:rPr>
          <w:rFonts w:ascii="Arial" w:hAnsi="Arial" w:cs="Arial"/>
          <w:color w:val="808080" w:themeColor="background1" w:themeShade="80"/>
          <w:sz w:val="22"/>
          <w:szCs w:val="22"/>
          <w:lang w:val="en-GB"/>
        </w:rPr>
      </w:pPr>
    </w:p>
    <w:p w14:paraId="50DAF75B" w14:textId="27CAF39B" w:rsidR="00C72848" w:rsidRPr="00CA448F" w:rsidRDefault="00E2620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debtor is required to initiate bankruptcy procedure where debtor is in default of its payment obligation for 30 consecutive days.</w:t>
      </w:r>
      <w:r w:rsidR="004E74E4">
        <w:rPr>
          <w:rFonts w:ascii="Arial" w:hAnsi="Arial" w:cs="Arial"/>
          <w:color w:val="808080" w:themeColor="background1" w:themeShade="80"/>
          <w:sz w:val="22"/>
          <w:szCs w:val="22"/>
          <w:lang w:val="en-GB"/>
        </w:rPr>
        <w:t xml:space="preserve"> Therefore, where the debtor is facing payment failure it may settle with its creditors by way of Preventive Composition. Where default extends to 30 consecutive days it is obliged to apply for bankruptcy procedure.</w:t>
      </w:r>
      <w:r w:rsidR="006F58B3">
        <w:rPr>
          <w:rFonts w:ascii="Arial" w:hAnsi="Arial" w:cs="Arial"/>
          <w:color w:val="808080" w:themeColor="background1" w:themeShade="80"/>
          <w:sz w:val="22"/>
          <w:szCs w:val="22"/>
          <w:lang w:val="en-GB"/>
        </w:rPr>
        <w:t>]</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2FF04CD6" w14:textId="77777777" w:rsidR="00310911"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DB2B81" w:rsidRPr="002200D2">
        <w:rPr>
          <w:rFonts w:ascii="Arial" w:hAnsi="Arial" w:cs="Arial"/>
          <w:color w:val="808080" w:themeColor="background1" w:themeShade="80"/>
          <w:sz w:val="22"/>
          <w:szCs w:val="22"/>
          <w:lang w:val="en-GB"/>
        </w:rPr>
        <w:t>The debtor seeks preventive composition as an option to reach settlement with his creditors.</w:t>
      </w:r>
      <w:r w:rsidR="00E26202">
        <w:rPr>
          <w:rFonts w:ascii="Arial" w:hAnsi="Arial" w:cs="Arial"/>
          <w:color w:val="808080" w:themeColor="background1" w:themeShade="80"/>
          <w:sz w:val="22"/>
          <w:szCs w:val="22"/>
          <w:lang w:val="en-GB"/>
        </w:rPr>
        <w:t xml:space="preserve"> Only the debtor can file an application with the court.</w:t>
      </w:r>
    </w:p>
    <w:p w14:paraId="65A82A97" w14:textId="77777777" w:rsidR="00310911" w:rsidRDefault="00310911" w:rsidP="00C76745">
      <w:pPr>
        <w:jc w:val="both"/>
        <w:rPr>
          <w:rFonts w:ascii="Arial" w:hAnsi="Arial" w:cs="Arial"/>
          <w:color w:val="808080" w:themeColor="background1" w:themeShade="80"/>
          <w:sz w:val="22"/>
          <w:szCs w:val="22"/>
          <w:lang w:val="en-GB"/>
        </w:rPr>
      </w:pPr>
    </w:p>
    <w:p w14:paraId="63A31AA1" w14:textId="5758540E" w:rsidR="00B52047" w:rsidRPr="00CA448F" w:rsidRDefault="0031091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00DB2B81" w:rsidRPr="002200D2">
        <w:rPr>
          <w:rFonts w:ascii="Arial" w:hAnsi="Arial" w:cs="Arial"/>
          <w:color w:val="808080" w:themeColor="background1" w:themeShade="80"/>
          <w:sz w:val="22"/>
          <w:szCs w:val="22"/>
          <w:lang w:val="en-GB"/>
        </w:rPr>
        <w:t>estructuring is an alternative to liquidation that can be initiated by the creditor or the debtor.</w:t>
      </w:r>
      <w:r w:rsidR="004E74E4">
        <w:rPr>
          <w:rFonts w:ascii="Arial" w:hAnsi="Arial" w:cs="Arial"/>
          <w:color w:val="808080" w:themeColor="background1" w:themeShade="80"/>
          <w:sz w:val="22"/>
          <w:szCs w:val="22"/>
          <w:lang w:val="en-GB"/>
        </w:rPr>
        <w:t xml:space="preserve"> Therefore, on payment default the creditor may initiate bankruptcy if debt owed in over the threshold amount.</w:t>
      </w:r>
      <w:r w:rsidR="00E968BE">
        <w:rPr>
          <w:rFonts w:ascii="Arial" w:hAnsi="Arial" w:cs="Arial"/>
          <w:color w:val="808080" w:themeColor="background1" w:themeShade="80"/>
          <w:sz w:val="22"/>
          <w:szCs w:val="22"/>
          <w:lang w:val="en-GB"/>
        </w:rPr>
        <w:t>]</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 xml:space="preserve">Briefly explain the </w:t>
      </w:r>
      <w:r w:rsidRPr="00716A70">
        <w:rPr>
          <w:rFonts w:ascii="Arial" w:hAnsi="Arial" w:cs="Arial"/>
          <w:sz w:val="22"/>
          <w:szCs w:val="22"/>
          <w:lang w:val="en-GB"/>
        </w:rPr>
        <w:t>historical background to the introduction of the Bankruptcy Law. Describe which entities the Bankruptcy Law applies to and how it has been received and applied in the UAE</w:t>
      </w:r>
      <w:r w:rsidRPr="00CA448F">
        <w:rPr>
          <w:rFonts w:ascii="Arial" w:hAnsi="Arial" w:cs="Arial"/>
          <w:sz w:val="22"/>
          <w:szCs w:val="22"/>
          <w:lang w:val="en-GB"/>
        </w:rPr>
        <w:t>.</w:t>
      </w:r>
    </w:p>
    <w:p w14:paraId="37EC982F" w14:textId="22C8CE57" w:rsidR="00DF75F8" w:rsidRPr="00CA448F" w:rsidRDefault="00DF75F8" w:rsidP="00C76745">
      <w:pPr>
        <w:jc w:val="both"/>
        <w:rPr>
          <w:rFonts w:ascii="Arial" w:hAnsi="Arial" w:cs="Arial"/>
          <w:sz w:val="22"/>
          <w:szCs w:val="22"/>
        </w:rPr>
      </w:pPr>
    </w:p>
    <w:p w14:paraId="40981834" w14:textId="3CF0AAC7" w:rsidR="00B54705"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B54705">
        <w:rPr>
          <w:rFonts w:ascii="Arial" w:hAnsi="Arial" w:cs="Arial"/>
          <w:color w:val="808080" w:themeColor="background1" w:themeShade="80"/>
          <w:sz w:val="22"/>
          <w:szCs w:val="22"/>
        </w:rPr>
        <w:t xml:space="preserve">The Institutional framework in UAE is divided between Mainland and financial free zones that include Dubai International Financial Centre (DIFC) and </w:t>
      </w:r>
      <w:r w:rsidR="00962DFD">
        <w:rPr>
          <w:rFonts w:ascii="Arial" w:hAnsi="Arial" w:cs="Arial"/>
          <w:color w:val="808080" w:themeColor="background1" w:themeShade="80"/>
          <w:sz w:val="22"/>
          <w:szCs w:val="22"/>
        </w:rPr>
        <w:t>Abu Dhabi Global Market (ADGM).</w:t>
      </w:r>
    </w:p>
    <w:p w14:paraId="77D474F3" w14:textId="77777777" w:rsidR="00962DFD" w:rsidRDefault="00962DFD" w:rsidP="00C76745">
      <w:pPr>
        <w:jc w:val="both"/>
        <w:rPr>
          <w:rFonts w:ascii="Arial" w:hAnsi="Arial" w:cs="Arial"/>
          <w:color w:val="808080" w:themeColor="background1" w:themeShade="80"/>
          <w:sz w:val="22"/>
          <w:szCs w:val="22"/>
        </w:rPr>
      </w:pPr>
    </w:p>
    <w:p w14:paraId="3D426E5E" w14:textId="77777777" w:rsidR="0018482A" w:rsidRDefault="00B54705"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Until 2016 the </w:t>
      </w:r>
      <w:r w:rsidR="002204A3">
        <w:rPr>
          <w:rFonts w:ascii="Arial" w:hAnsi="Arial" w:cs="Arial"/>
          <w:color w:val="808080" w:themeColor="background1" w:themeShade="80"/>
          <w:sz w:val="22"/>
          <w:szCs w:val="22"/>
        </w:rPr>
        <w:t>insolvency law in mainland was underdeveloped. In 2016 the Federal Decree Law (No.9) of 2016</w:t>
      </w:r>
      <w:r w:rsidR="00962DFD">
        <w:rPr>
          <w:rFonts w:ascii="Arial" w:hAnsi="Arial" w:cs="Arial"/>
          <w:color w:val="808080" w:themeColor="background1" w:themeShade="80"/>
          <w:sz w:val="22"/>
          <w:szCs w:val="22"/>
        </w:rPr>
        <w:t xml:space="preserve"> was adopted and later was amended in 2019 and 2020. The Bankruptcy Law consolidated the insolvency regime for commercial insolvencies in UAE. The Law provides for court-supervised processes including Preventive Composition, Restructuring and Liquidation. DIFC is governed by DIFC Law No 1 of 2019</w:t>
      </w:r>
      <w:r w:rsidR="00DB2B20">
        <w:rPr>
          <w:rFonts w:ascii="Arial" w:hAnsi="Arial" w:cs="Arial"/>
          <w:color w:val="808080" w:themeColor="background1" w:themeShade="80"/>
          <w:sz w:val="22"/>
          <w:szCs w:val="22"/>
        </w:rPr>
        <w:t xml:space="preserve"> with associated DIFC Regulations</w:t>
      </w:r>
      <w:r w:rsidR="0018482A">
        <w:rPr>
          <w:rFonts w:ascii="Arial" w:hAnsi="Arial" w:cs="Arial"/>
          <w:color w:val="808080" w:themeColor="background1" w:themeShade="80"/>
          <w:sz w:val="22"/>
          <w:szCs w:val="22"/>
        </w:rPr>
        <w:t>. ADGM is governed by Insolvency Regulation 2015. Both Laws are modelled on and adopt a number of provisions of the United Kingdom Insolvency Act 1986</w:t>
      </w:r>
      <w:r w:rsidR="00DB2B20">
        <w:rPr>
          <w:rFonts w:ascii="Arial" w:hAnsi="Arial" w:cs="Arial"/>
          <w:color w:val="808080" w:themeColor="background1" w:themeShade="80"/>
          <w:sz w:val="22"/>
          <w:szCs w:val="22"/>
        </w:rPr>
        <w:t>.</w:t>
      </w:r>
    </w:p>
    <w:p w14:paraId="29FC2AC6" w14:textId="77777777" w:rsidR="0018482A" w:rsidRDefault="0018482A" w:rsidP="00C76745">
      <w:pPr>
        <w:jc w:val="both"/>
        <w:rPr>
          <w:rFonts w:ascii="Arial" w:hAnsi="Arial" w:cs="Arial"/>
          <w:color w:val="808080" w:themeColor="background1" w:themeShade="80"/>
          <w:sz w:val="22"/>
          <w:szCs w:val="22"/>
        </w:rPr>
      </w:pPr>
    </w:p>
    <w:p w14:paraId="4DA0153A" w14:textId="77777777" w:rsidR="00774F4E" w:rsidRDefault="00774F4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 applies to:</w:t>
      </w:r>
    </w:p>
    <w:p w14:paraId="1082C3CC" w14:textId="77777777" w:rsidR="00774F4E" w:rsidRDefault="00774F4E" w:rsidP="00774F4E">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All companies governed by the Commercial Companies Law;</w:t>
      </w:r>
    </w:p>
    <w:p w14:paraId="73428FEA" w14:textId="77777777" w:rsidR="00774F4E" w:rsidRDefault="00774F4E" w:rsidP="00774F4E">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Companies established under other legislation who by law or voluntarily have submitted to the provisions of the bankruptcy Law;</w:t>
      </w:r>
    </w:p>
    <w:p w14:paraId="55111CAA" w14:textId="77777777" w:rsidR="00247CBA" w:rsidRDefault="00774F4E" w:rsidP="00774F4E">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Free zone companies and establishments not governed by other insolvency </w:t>
      </w:r>
      <w:r w:rsidR="00247CBA">
        <w:rPr>
          <w:rFonts w:ascii="Arial" w:hAnsi="Arial" w:cs="Arial"/>
          <w:color w:val="808080" w:themeColor="background1" w:themeShade="80"/>
          <w:sz w:val="22"/>
          <w:szCs w:val="22"/>
        </w:rPr>
        <w:t>procedures except those in the financial free zones;</w:t>
      </w:r>
    </w:p>
    <w:p w14:paraId="59269901" w14:textId="77777777" w:rsidR="00247CBA" w:rsidRDefault="00247CBA" w:rsidP="00774F4E">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Any person who is a trader; and</w:t>
      </w:r>
    </w:p>
    <w:p w14:paraId="61159B5F" w14:textId="77777777" w:rsidR="00247CBA" w:rsidRDefault="00247CBA" w:rsidP="00774F4E">
      <w:pPr>
        <w:pStyle w:val="ListParagraph"/>
        <w:numPr>
          <w:ilvl w:val="0"/>
          <w:numId w:val="37"/>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companies of a professional character.</w:t>
      </w:r>
    </w:p>
    <w:p w14:paraId="4A87A21D" w14:textId="77777777" w:rsidR="00247CBA" w:rsidRDefault="00247CBA" w:rsidP="00247CBA">
      <w:pPr>
        <w:jc w:val="both"/>
        <w:rPr>
          <w:rFonts w:ascii="Arial" w:hAnsi="Arial" w:cs="Arial"/>
          <w:color w:val="808080" w:themeColor="background1" w:themeShade="80"/>
          <w:sz w:val="22"/>
          <w:szCs w:val="22"/>
        </w:rPr>
      </w:pPr>
    </w:p>
    <w:p w14:paraId="0CA09841" w14:textId="00135098" w:rsidR="001A45DB" w:rsidRPr="00247CBA" w:rsidRDefault="00C168C8" w:rsidP="00247CB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have been no more than a handful of applications decided under the Law since its adoption. Therefore, it will be too soon to say whether the law is considered friendlier to the debtors or the creditors. However, </w:t>
      </w:r>
      <w:r w:rsidR="00716A70">
        <w:rPr>
          <w:rFonts w:ascii="Arial" w:hAnsi="Arial" w:cs="Arial"/>
          <w:color w:val="808080" w:themeColor="background1" w:themeShade="80"/>
          <w:sz w:val="22"/>
          <w:szCs w:val="22"/>
        </w:rPr>
        <w:t xml:space="preserve">the Law has been received well as </w:t>
      </w:r>
      <w:r>
        <w:rPr>
          <w:rFonts w:ascii="Arial" w:hAnsi="Arial" w:cs="Arial"/>
          <w:color w:val="808080" w:themeColor="background1" w:themeShade="80"/>
          <w:sz w:val="22"/>
          <w:szCs w:val="22"/>
        </w:rPr>
        <w:t xml:space="preserve">it has ensured negotiations between the debtors and the creditors regarding payment difficulties. Further the </w:t>
      </w:r>
      <w:r w:rsidR="00716A70">
        <w:rPr>
          <w:rFonts w:ascii="Arial" w:hAnsi="Arial" w:cs="Arial"/>
          <w:color w:val="808080" w:themeColor="background1" w:themeShade="80"/>
          <w:sz w:val="22"/>
          <w:szCs w:val="22"/>
        </w:rPr>
        <w:t>application of the L</w:t>
      </w:r>
      <w:r>
        <w:rPr>
          <w:rFonts w:ascii="Arial" w:hAnsi="Arial" w:cs="Arial"/>
          <w:color w:val="808080" w:themeColor="background1" w:themeShade="80"/>
          <w:sz w:val="22"/>
          <w:szCs w:val="22"/>
        </w:rPr>
        <w:t>aw has created an environment of greater legal certainty than it was prior to it availability.</w:t>
      </w:r>
      <w:r w:rsidR="00E968BE" w:rsidRPr="00247CBA">
        <w:rPr>
          <w:rFonts w:ascii="Arial" w:hAnsi="Arial" w:cs="Arial"/>
          <w:color w:val="808080" w:themeColor="background1" w:themeShade="80"/>
          <w:sz w:val="22"/>
          <w:szCs w:val="22"/>
        </w:rPr>
        <w:t>]</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w:t>
      </w:r>
      <w:r w:rsidRPr="00940450">
        <w:rPr>
          <w:rFonts w:ascii="Arial" w:hAnsi="Arial" w:cs="Arial"/>
          <w:sz w:val="22"/>
          <w:szCs w:val="22"/>
          <w:lang w:val="en-GB"/>
        </w:rPr>
        <w:t>describe the ways in which the Court is required to be actively engaged in the Restructuri</w:t>
      </w:r>
      <w:r w:rsidRPr="00CA448F">
        <w:rPr>
          <w:rFonts w:ascii="Arial" w:hAnsi="Arial" w:cs="Arial"/>
          <w:sz w:val="22"/>
          <w:szCs w:val="22"/>
          <w:lang w:val="en-GB"/>
        </w:rPr>
        <w:t xml:space="preserve">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3C87186D" w14:textId="77777777" w:rsidR="006843AE"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704544">
        <w:rPr>
          <w:rFonts w:ascii="Arial" w:hAnsi="Arial" w:cs="Arial"/>
          <w:color w:val="808080" w:themeColor="background1" w:themeShade="80"/>
          <w:sz w:val="22"/>
          <w:szCs w:val="22"/>
          <w:lang w:val="en-GB"/>
        </w:rPr>
        <w:t xml:space="preserve">Where the debtor seeks to enter bankruptcy, an application is to be made to the Court. On application of by a qualifying debtor, court may grant a short term, 40-day period, to the debtor to negotiate a settlement </w:t>
      </w:r>
      <w:r w:rsidR="004E74E4">
        <w:rPr>
          <w:rFonts w:ascii="Arial" w:hAnsi="Arial" w:cs="Arial"/>
          <w:color w:val="808080" w:themeColor="background1" w:themeShade="80"/>
          <w:sz w:val="22"/>
          <w:szCs w:val="22"/>
          <w:lang w:val="en-GB"/>
        </w:rPr>
        <w:t>of its debts with its creditors.</w:t>
      </w:r>
    </w:p>
    <w:p w14:paraId="75EB74CD" w14:textId="77777777" w:rsidR="006843AE" w:rsidRDefault="006843AE" w:rsidP="00C76745">
      <w:pPr>
        <w:jc w:val="both"/>
        <w:rPr>
          <w:rFonts w:ascii="Arial" w:hAnsi="Arial" w:cs="Arial"/>
          <w:color w:val="808080" w:themeColor="background1" w:themeShade="80"/>
          <w:sz w:val="22"/>
          <w:szCs w:val="22"/>
          <w:lang w:val="en-GB"/>
        </w:rPr>
      </w:pPr>
    </w:p>
    <w:p w14:paraId="0FE32B0F" w14:textId="1050C259" w:rsidR="006843AE" w:rsidRDefault="006843A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submission of application, the court shall assess the whether the application is filed with the specified information. If not the court may reject the application</w:t>
      </w:r>
      <w:r w:rsidR="00E01D68">
        <w:rPr>
          <w:rStyle w:val="FootnoteReference"/>
          <w:rFonts w:ascii="Arial" w:hAnsi="Arial" w:cs="Arial"/>
          <w:color w:val="808080" w:themeColor="background1" w:themeShade="80"/>
          <w:sz w:val="22"/>
          <w:szCs w:val="22"/>
          <w:lang w:val="en-GB"/>
        </w:rPr>
        <w:footnoteReference w:id="1"/>
      </w:r>
      <w:r>
        <w:rPr>
          <w:rFonts w:ascii="Arial" w:hAnsi="Arial" w:cs="Arial"/>
          <w:color w:val="808080" w:themeColor="background1" w:themeShade="80"/>
          <w:sz w:val="22"/>
          <w:szCs w:val="22"/>
          <w:lang w:val="en-GB"/>
        </w:rPr>
        <w:t xml:space="preserve"> or shall require a person to provide further information</w:t>
      </w:r>
      <w:r w:rsidR="00E01D68">
        <w:rPr>
          <w:rStyle w:val="FootnoteReference"/>
          <w:rFonts w:ascii="Arial" w:hAnsi="Arial" w:cs="Arial"/>
          <w:color w:val="808080" w:themeColor="background1" w:themeShade="80"/>
          <w:sz w:val="22"/>
          <w:szCs w:val="22"/>
          <w:lang w:val="en-GB"/>
        </w:rPr>
        <w:footnoteReference w:id="2"/>
      </w:r>
      <w:r>
        <w:rPr>
          <w:rFonts w:ascii="Arial" w:hAnsi="Arial" w:cs="Arial"/>
          <w:color w:val="808080" w:themeColor="background1" w:themeShade="80"/>
          <w:sz w:val="22"/>
          <w:szCs w:val="22"/>
          <w:lang w:val="en-GB"/>
        </w:rPr>
        <w:t>.</w:t>
      </w:r>
      <w:r w:rsidR="00E01D68">
        <w:rPr>
          <w:rFonts w:ascii="Arial" w:hAnsi="Arial" w:cs="Arial"/>
          <w:color w:val="808080" w:themeColor="background1" w:themeShade="80"/>
          <w:sz w:val="22"/>
          <w:szCs w:val="22"/>
          <w:lang w:val="en-GB"/>
        </w:rPr>
        <w:t xml:space="preserve"> The court may also join other parties to the proceedings and can make interim orders in respect to the debtor’s property</w:t>
      </w:r>
      <w:r w:rsidR="00E01D68">
        <w:rPr>
          <w:rStyle w:val="FootnoteReference"/>
          <w:rFonts w:ascii="Arial" w:hAnsi="Arial" w:cs="Arial"/>
          <w:color w:val="808080" w:themeColor="background1" w:themeShade="80"/>
          <w:sz w:val="22"/>
          <w:szCs w:val="22"/>
          <w:lang w:val="en-GB"/>
        </w:rPr>
        <w:footnoteReference w:id="3"/>
      </w:r>
      <w:r w:rsidR="00E01D68">
        <w:rPr>
          <w:rFonts w:ascii="Arial" w:hAnsi="Arial" w:cs="Arial"/>
          <w:color w:val="808080" w:themeColor="background1" w:themeShade="80"/>
          <w:sz w:val="22"/>
          <w:szCs w:val="22"/>
          <w:lang w:val="en-GB"/>
        </w:rPr>
        <w:t>.</w:t>
      </w:r>
      <w:r w:rsidR="00CF4067">
        <w:rPr>
          <w:rFonts w:ascii="Arial" w:hAnsi="Arial" w:cs="Arial"/>
          <w:color w:val="808080" w:themeColor="background1" w:themeShade="80"/>
          <w:sz w:val="22"/>
          <w:szCs w:val="22"/>
          <w:lang w:val="en-GB"/>
        </w:rPr>
        <w:t xml:space="preserve"> </w:t>
      </w:r>
    </w:p>
    <w:p w14:paraId="6D46FB86" w14:textId="77777777" w:rsidR="006843AE" w:rsidRDefault="006843AE" w:rsidP="00C76745">
      <w:pPr>
        <w:jc w:val="both"/>
        <w:rPr>
          <w:rFonts w:ascii="Arial" w:hAnsi="Arial" w:cs="Arial"/>
          <w:color w:val="808080" w:themeColor="background1" w:themeShade="80"/>
          <w:sz w:val="22"/>
          <w:szCs w:val="22"/>
          <w:lang w:val="en-GB"/>
        </w:rPr>
      </w:pPr>
    </w:p>
    <w:p w14:paraId="46387EB5" w14:textId="261F4594" w:rsidR="00C42707" w:rsidRDefault="00C4270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appoint an expert from the panel of experts to assess the financial condition of the debtor</w:t>
      </w:r>
      <w:r>
        <w:rPr>
          <w:rStyle w:val="FootnoteReference"/>
          <w:rFonts w:ascii="Arial" w:hAnsi="Arial" w:cs="Arial"/>
          <w:color w:val="808080" w:themeColor="background1" w:themeShade="80"/>
          <w:sz w:val="22"/>
          <w:szCs w:val="22"/>
          <w:lang w:val="en-GB"/>
        </w:rPr>
        <w:footnoteReference w:id="4"/>
      </w:r>
      <w:r>
        <w:rPr>
          <w:rFonts w:ascii="Arial" w:hAnsi="Arial" w:cs="Arial"/>
          <w:color w:val="808080" w:themeColor="background1" w:themeShade="80"/>
          <w:sz w:val="22"/>
          <w:szCs w:val="22"/>
          <w:lang w:val="en-GB"/>
        </w:rPr>
        <w:t>.</w:t>
      </w:r>
    </w:p>
    <w:p w14:paraId="4386BECB" w14:textId="77777777" w:rsidR="00C42707" w:rsidRDefault="00C42707" w:rsidP="00C76745">
      <w:pPr>
        <w:jc w:val="both"/>
        <w:rPr>
          <w:rFonts w:ascii="Arial" w:hAnsi="Arial" w:cs="Arial"/>
          <w:color w:val="808080" w:themeColor="background1" w:themeShade="80"/>
          <w:sz w:val="22"/>
          <w:szCs w:val="22"/>
          <w:lang w:val="en-GB"/>
        </w:rPr>
      </w:pPr>
    </w:p>
    <w:p w14:paraId="41EE1A27" w14:textId="77777777" w:rsidR="00AD2D83" w:rsidRDefault="00E01D6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shall decide upon the application within five business days of application or within five business days of the expert’s report</w:t>
      </w:r>
      <w:r>
        <w:rPr>
          <w:rStyle w:val="FootnoteReference"/>
          <w:rFonts w:ascii="Arial" w:hAnsi="Arial" w:cs="Arial"/>
          <w:color w:val="808080" w:themeColor="background1" w:themeShade="80"/>
          <w:sz w:val="22"/>
          <w:szCs w:val="22"/>
          <w:lang w:val="en-GB"/>
        </w:rPr>
        <w:footnoteReference w:id="5"/>
      </w:r>
      <w:r>
        <w:rPr>
          <w:rFonts w:ascii="Arial" w:hAnsi="Arial" w:cs="Arial"/>
          <w:color w:val="808080" w:themeColor="background1" w:themeShade="80"/>
          <w:sz w:val="22"/>
          <w:szCs w:val="22"/>
          <w:lang w:val="en-GB"/>
        </w:rPr>
        <w:t>.</w:t>
      </w:r>
    </w:p>
    <w:p w14:paraId="2A4893D3" w14:textId="77777777" w:rsidR="00AD2D83" w:rsidRDefault="00AD2D83" w:rsidP="00C76745">
      <w:pPr>
        <w:jc w:val="both"/>
        <w:rPr>
          <w:rFonts w:ascii="Arial" w:hAnsi="Arial" w:cs="Arial"/>
          <w:color w:val="808080" w:themeColor="background1" w:themeShade="80"/>
          <w:sz w:val="22"/>
          <w:szCs w:val="22"/>
          <w:lang w:val="en-GB"/>
        </w:rPr>
      </w:pPr>
    </w:p>
    <w:p w14:paraId="4F983999" w14:textId="0D37AC0C" w:rsidR="00AD2D83" w:rsidRDefault="00AD2D8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Where the court is satisfied that conditions have been met, it shall order the commencement of the bankruptcy procedure</w:t>
      </w:r>
      <w:r w:rsidR="0012416E">
        <w:rPr>
          <w:rFonts w:ascii="Arial" w:hAnsi="Arial" w:cs="Arial"/>
          <w:color w:val="808080" w:themeColor="background1" w:themeShade="80"/>
          <w:sz w:val="22"/>
          <w:szCs w:val="22"/>
          <w:lang w:val="en-GB"/>
        </w:rPr>
        <w:t xml:space="preserve"> and shall appoint a trustee, being either a person nominated by the debtor or a person enrolled in the table of experts appointed by the Financial </w:t>
      </w:r>
      <w:r w:rsidR="00811DBD">
        <w:rPr>
          <w:rFonts w:ascii="Arial" w:hAnsi="Arial" w:cs="Arial"/>
          <w:color w:val="808080" w:themeColor="background1" w:themeShade="80"/>
          <w:sz w:val="22"/>
          <w:szCs w:val="22"/>
          <w:lang w:val="en-GB"/>
        </w:rPr>
        <w:t>Restructuring Committee.</w:t>
      </w:r>
    </w:p>
    <w:p w14:paraId="30FA8D7B" w14:textId="77777777" w:rsidR="00AD2D83" w:rsidRDefault="00AD2D83" w:rsidP="00C76745">
      <w:pPr>
        <w:jc w:val="both"/>
        <w:rPr>
          <w:rFonts w:ascii="Arial" w:hAnsi="Arial" w:cs="Arial"/>
          <w:color w:val="808080" w:themeColor="background1" w:themeShade="80"/>
          <w:sz w:val="22"/>
          <w:szCs w:val="22"/>
          <w:lang w:val="en-GB"/>
        </w:rPr>
      </w:pPr>
    </w:p>
    <w:p w14:paraId="2BCFFE76" w14:textId="2A8B7831" w:rsidR="00811DBD" w:rsidRDefault="00811DB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may allow on request of the trustee for assistance</w:t>
      </w:r>
      <w:r>
        <w:rPr>
          <w:rStyle w:val="FootnoteReference"/>
          <w:rFonts w:ascii="Arial" w:hAnsi="Arial" w:cs="Arial"/>
          <w:color w:val="808080" w:themeColor="background1" w:themeShade="80"/>
          <w:sz w:val="22"/>
          <w:szCs w:val="22"/>
          <w:lang w:val="en-GB"/>
        </w:rPr>
        <w:footnoteReference w:id="6"/>
      </w:r>
      <w:r>
        <w:rPr>
          <w:rFonts w:ascii="Arial" w:hAnsi="Arial" w:cs="Arial"/>
          <w:color w:val="808080" w:themeColor="background1" w:themeShade="80"/>
          <w:sz w:val="22"/>
          <w:szCs w:val="22"/>
          <w:lang w:val="en-GB"/>
        </w:rPr>
        <w:t>. It may also substitute the trustee or the expert on its own volition</w:t>
      </w:r>
      <w:r w:rsidR="00282302">
        <w:rPr>
          <w:rFonts w:ascii="Arial" w:hAnsi="Arial" w:cs="Arial"/>
          <w:color w:val="808080" w:themeColor="background1" w:themeShade="80"/>
          <w:sz w:val="22"/>
          <w:szCs w:val="22"/>
          <w:lang w:val="en-GB"/>
        </w:rPr>
        <w:t>, on request of the trustee</w:t>
      </w:r>
      <w:r>
        <w:rPr>
          <w:rFonts w:ascii="Arial" w:hAnsi="Arial" w:cs="Arial"/>
          <w:color w:val="808080" w:themeColor="background1" w:themeShade="80"/>
          <w:sz w:val="22"/>
          <w:szCs w:val="22"/>
          <w:lang w:val="en-GB"/>
        </w:rPr>
        <w:t xml:space="preserve"> or on application </w:t>
      </w:r>
      <w:r w:rsidR="00282302">
        <w:rPr>
          <w:rFonts w:ascii="Arial" w:hAnsi="Arial" w:cs="Arial"/>
          <w:color w:val="808080" w:themeColor="background1" w:themeShade="80"/>
          <w:sz w:val="22"/>
          <w:szCs w:val="22"/>
          <w:lang w:val="en-GB"/>
        </w:rPr>
        <w:t xml:space="preserve">by </w:t>
      </w:r>
      <w:r>
        <w:rPr>
          <w:rFonts w:ascii="Arial" w:hAnsi="Arial" w:cs="Arial"/>
          <w:color w:val="808080" w:themeColor="background1" w:themeShade="80"/>
          <w:sz w:val="22"/>
          <w:szCs w:val="22"/>
          <w:lang w:val="en-GB"/>
        </w:rPr>
        <w:t>the debtor</w:t>
      </w:r>
      <w:r>
        <w:rPr>
          <w:rStyle w:val="FootnoteReference"/>
          <w:rFonts w:ascii="Arial" w:hAnsi="Arial" w:cs="Arial"/>
          <w:color w:val="808080" w:themeColor="background1" w:themeShade="80"/>
          <w:sz w:val="22"/>
          <w:szCs w:val="22"/>
          <w:lang w:val="en-GB"/>
        </w:rPr>
        <w:footnoteReference w:id="7"/>
      </w:r>
      <w:r>
        <w:rPr>
          <w:rFonts w:ascii="Arial" w:hAnsi="Arial" w:cs="Arial"/>
          <w:color w:val="808080" w:themeColor="background1" w:themeShade="80"/>
          <w:sz w:val="22"/>
          <w:szCs w:val="22"/>
          <w:lang w:val="en-GB"/>
        </w:rPr>
        <w:t>.</w:t>
      </w:r>
      <w:r w:rsidR="00282302">
        <w:rPr>
          <w:rFonts w:ascii="Arial" w:hAnsi="Arial" w:cs="Arial"/>
          <w:color w:val="808080" w:themeColor="background1" w:themeShade="80"/>
          <w:sz w:val="22"/>
          <w:szCs w:val="22"/>
          <w:lang w:val="en-GB"/>
        </w:rPr>
        <w:t xml:space="preserve"> The court shall decide on the trustee fee, authorise payments from the funds deposited or determine any objection towards the fee. The court also appoints creditor representatives as supervisors</w:t>
      </w:r>
      <w:r w:rsidR="00282302">
        <w:rPr>
          <w:rStyle w:val="FootnoteReference"/>
          <w:rFonts w:ascii="Arial" w:hAnsi="Arial" w:cs="Arial"/>
          <w:color w:val="808080" w:themeColor="background1" w:themeShade="80"/>
          <w:sz w:val="22"/>
          <w:szCs w:val="22"/>
          <w:lang w:val="en-GB"/>
        </w:rPr>
        <w:footnoteReference w:id="8"/>
      </w:r>
      <w:r w:rsidR="00282302">
        <w:rPr>
          <w:rFonts w:ascii="Arial" w:hAnsi="Arial" w:cs="Arial"/>
          <w:color w:val="808080" w:themeColor="background1" w:themeShade="80"/>
          <w:sz w:val="22"/>
          <w:szCs w:val="22"/>
          <w:lang w:val="en-GB"/>
        </w:rPr>
        <w:t>.</w:t>
      </w:r>
    </w:p>
    <w:p w14:paraId="6561ADE3" w14:textId="77777777" w:rsidR="00811DBD" w:rsidRDefault="00811DBD" w:rsidP="00C76745">
      <w:pPr>
        <w:jc w:val="both"/>
        <w:rPr>
          <w:rFonts w:ascii="Arial" w:hAnsi="Arial" w:cs="Arial"/>
          <w:color w:val="808080" w:themeColor="background1" w:themeShade="80"/>
          <w:sz w:val="22"/>
          <w:szCs w:val="22"/>
          <w:lang w:val="en-GB"/>
        </w:rPr>
      </w:pPr>
    </w:p>
    <w:p w14:paraId="7E76E789" w14:textId="5D398D3D" w:rsidR="00282302" w:rsidRDefault="0028230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required to provide the trustee with information of the debtor that it holds</w:t>
      </w:r>
      <w:r>
        <w:rPr>
          <w:rStyle w:val="FootnoteReference"/>
          <w:rFonts w:ascii="Arial" w:hAnsi="Arial" w:cs="Arial"/>
          <w:color w:val="808080" w:themeColor="background1" w:themeShade="80"/>
          <w:sz w:val="22"/>
          <w:szCs w:val="22"/>
          <w:lang w:val="en-GB"/>
        </w:rPr>
        <w:footnoteReference w:id="9"/>
      </w:r>
      <w:r>
        <w:rPr>
          <w:rFonts w:ascii="Arial" w:hAnsi="Arial" w:cs="Arial"/>
          <w:color w:val="808080" w:themeColor="background1" w:themeShade="80"/>
          <w:sz w:val="22"/>
          <w:szCs w:val="22"/>
          <w:lang w:val="en-GB"/>
        </w:rPr>
        <w:t>.</w:t>
      </w:r>
    </w:p>
    <w:p w14:paraId="166E22DB" w14:textId="77777777" w:rsidR="00845903" w:rsidRDefault="00845903" w:rsidP="00C76745">
      <w:pPr>
        <w:jc w:val="both"/>
        <w:rPr>
          <w:rFonts w:ascii="Arial" w:hAnsi="Arial" w:cs="Arial"/>
          <w:color w:val="808080" w:themeColor="background1" w:themeShade="80"/>
          <w:sz w:val="22"/>
          <w:szCs w:val="22"/>
          <w:lang w:val="en-GB"/>
        </w:rPr>
      </w:pPr>
    </w:p>
    <w:p w14:paraId="214DEC0F" w14:textId="10ED02D2" w:rsidR="00845903" w:rsidRDefault="0084590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list of claims as prepared by the trustee is lodged with the court along with any proposal regarding repayment. Where there are objections, the court shall decide the application within 10 business days of the application</w:t>
      </w:r>
      <w:r>
        <w:rPr>
          <w:rStyle w:val="FootnoteReference"/>
          <w:rFonts w:ascii="Arial" w:hAnsi="Arial" w:cs="Arial"/>
          <w:color w:val="808080" w:themeColor="background1" w:themeShade="80"/>
          <w:sz w:val="22"/>
          <w:szCs w:val="22"/>
          <w:lang w:val="en-GB"/>
        </w:rPr>
        <w:footnoteReference w:id="10"/>
      </w:r>
      <w:r>
        <w:rPr>
          <w:rFonts w:ascii="Arial" w:hAnsi="Arial" w:cs="Arial"/>
          <w:color w:val="808080" w:themeColor="background1" w:themeShade="80"/>
          <w:sz w:val="22"/>
          <w:szCs w:val="22"/>
          <w:lang w:val="en-GB"/>
        </w:rPr>
        <w:t xml:space="preserve">. The court may admit </w:t>
      </w:r>
      <w:r w:rsidR="00214592">
        <w:rPr>
          <w:rFonts w:ascii="Arial" w:hAnsi="Arial" w:cs="Arial"/>
          <w:color w:val="808080" w:themeColor="background1" w:themeShade="80"/>
          <w:sz w:val="22"/>
          <w:szCs w:val="22"/>
          <w:lang w:val="en-GB"/>
        </w:rPr>
        <w:t>debt on interim basis and shall finally determine the list of creditors</w:t>
      </w:r>
      <w:r w:rsidR="00214592">
        <w:rPr>
          <w:rStyle w:val="FootnoteReference"/>
          <w:rFonts w:ascii="Arial" w:hAnsi="Arial" w:cs="Arial"/>
          <w:color w:val="808080" w:themeColor="background1" w:themeShade="80"/>
          <w:sz w:val="22"/>
          <w:szCs w:val="22"/>
          <w:lang w:val="en-GB"/>
        </w:rPr>
        <w:footnoteReference w:id="11"/>
      </w:r>
      <w:r w:rsidR="00214592">
        <w:rPr>
          <w:rFonts w:ascii="Arial" w:hAnsi="Arial" w:cs="Arial"/>
          <w:color w:val="808080" w:themeColor="background1" w:themeShade="80"/>
          <w:sz w:val="22"/>
          <w:szCs w:val="22"/>
          <w:lang w:val="en-GB"/>
        </w:rPr>
        <w:t>.</w:t>
      </w:r>
    </w:p>
    <w:p w14:paraId="2531B198" w14:textId="77777777" w:rsidR="00282302" w:rsidRDefault="00282302" w:rsidP="00C76745">
      <w:pPr>
        <w:jc w:val="both"/>
        <w:rPr>
          <w:rFonts w:ascii="Arial" w:hAnsi="Arial" w:cs="Arial"/>
          <w:color w:val="808080" w:themeColor="background1" w:themeShade="80"/>
          <w:sz w:val="22"/>
          <w:szCs w:val="22"/>
          <w:lang w:val="en-GB"/>
        </w:rPr>
      </w:pPr>
    </w:p>
    <w:p w14:paraId="36EE12C9" w14:textId="7C160652" w:rsidR="00214592" w:rsidRDefault="0021459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contracts where debtor is a party, the court has powers to suspend interest and other penalties</w:t>
      </w:r>
      <w:r w:rsidR="000F6562">
        <w:rPr>
          <w:rStyle w:val="FootnoteReference"/>
          <w:rFonts w:ascii="Arial" w:hAnsi="Arial" w:cs="Arial"/>
          <w:color w:val="808080" w:themeColor="background1" w:themeShade="80"/>
          <w:sz w:val="22"/>
          <w:szCs w:val="22"/>
          <w:lang w:val="en-GB"/>
        </w:rPr>
        <w:footnoteReference w:id="12"/>
      </w:r>
      <w:r w:rsidR="000F6562">
        <w:rPr>
          <w:rFonts w:ascii="Arial" w:hAnsi="Arial" w:cs="Arial"/>
          <w:color w:val="808080" w:themeColor="background1" w:themeShade="80"/>
          <w:sz w:val="22"/>
          <w:szCs w:val="22"/>
          <w:lang w:val="en-GB"/>
        </w:rPr>
        <w:t xml:space="preserve"> or</w:t>
      </w:r>
      <w:r>
        <w:rPr>
          <w:rFonts w:ascii="Arial" w:hAnsi="Arial" w:cs="Arial"/>
          <w:color w:val="808080" w:themeColor="background1" w:themeShade="80"/>
          <w:sz w:val="22"/>
          <w:szCs w:val="22"/>
          <w:lang w:val="en-GB"/>
        </w:rPr>
        <w:t xml:space="preserve"> rescission of contract</w:t>
      </w:r>
      <w:r w:rsidR="000F6562">
        <w:rPr>
          <w:rStyle w:val="FootnoteReference"/>
          <w:rFonts w:ascii="Arial" w:hAnsi="Arial" w:cs="Arial"/>
          <w:color w:val="808080" w:themeColor="background1" w:themeShade="80"/>
          <w:sz w:val="22"/>
          <w:szCs w:val="22"/>
          <w:lang w:val="en-GB"/>
        </w:rPr>
        <w:footnoteReference w:id="13"/>
      </w:r>
      <w:r w:rsidR="000F6562">
        <w:rPr>
          <w:rFonts w:ascii="Arial" w:hAnsi="Arial" w:cs="Arial"/>
          <w:color w:val="808080" w:themeColor="background1" w:themeShade="80"/>
          <w:sz w:val="22"/>
          <w:szCs w:val="22"/>
          <w:lang w:val="en-GB"/>
        </w:rPr>
        <w:t>.</w:t>
      </w:r>
    </w:p>
    <w:p w14:paraId="0E6795E4" w14:textId="77777777" w:rsidR="00214592" w:rsidRDefault="00214592" w:rsidP="00C76745">
      <w:pPr>
        <w:jc w:val="both"/>
        <w:rPr>
          <w:rFonts w:ascii="Arial" w:hAnsi="Arial" w:cs="Arial"/>
          <w:color w:val="808080" w:themeColor="background1" w:themeShade="80"/>
          <w:sz w:val="22"/>
          <w:szCs w:val="22"/>
          <w:lang w:val="en-GB"/>
        </w:rPr>
      </w:pPr>
    </w:p>
    <w:p w14:paraId="154F26D8" w14:textId="46239512" w:rsidR="000F6562" w:rsidRDefault="000F656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shall </w:t>
      </w:r>
      <w:r w:rsidR="008507BF">
        <w:rPr>
          <w:rFonts w:ascii="Arial" w:hAnsi="Arial" w:cs="Arial"/>
          <w:color w:val="808080" w:themeColor="background1" w:themeShade="80"/>
          <w:sz w:val="22"/>
          <w:szCs w:val="22"/>
          <w:lang w:val="en-GB"/>
        </w:rPr>
        <w:t xml:space="preserve">submit </w:t>
      </w:r>
      <w:r>
        <w:rPr>
          <w:rFonts w:ascii="Arial" w:hAnsi="Arial" w:cs="Arial"/>
          <w:color w:val="808080" w:themeColor="background1" w:themeShade="80"/>
          <w:sz w:val="22"/>
          <w:szCs w:val="22"/>
          <w:lang w:val="en-GB"/>
        </w:rPr>
        <w:t>a report with the court on the debtor’</w:t>
      </w:r>
      <w:r w:rsidR="008507B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business, possibility of restructuring </w:t>
      </w:r>
      <w:r w:rsidR="008507BF">
        <w:rPr>
          <w:rFonts w:ascii="Arial" w:hAnsi="Arial" w:cs="Arial"/>
          <w:color w:val="808080" w:themeColor="background1" w:themeShade="80"/>
          <w:sz w:val="22"/>
          <w:szCs w:val="22"/>
          <w:lang w:val="en-GB"/>
        </w:rPr>
        <w:t xml:space="preserve">with </w:t>
      </w:r>
      <w:r>
        <w:rPr>
          <w:rFonts w:ascii="Arial" w:hAnsi="Arial" w:cs="Arial"/>
          <w:color w:val="808080" w:themeColor="background1" w:themeShade="80"/>
          <w:sz w:val="22"/>
          <w:szCs w:val="22"/>
          <w:lang w:val="en-GB"/>
        </w:rPr>
        <w:t xml:space="preserve">a statement of the debtor’s commitment to </w:t>
      </w:r>
      <w:r w:rsidR="008507BF">
        <w:rPr>
          <w:rFonts w:ascii="Arial" w:hAnsi="Arial" w:cs="Arial"/>
          <w:color w:val="808080" w:themeColor="background1" w:themeShade="80"/>
          <w:sz w:val="22"/>
          <w:szCs w:val="22"/>
          <w:lang w:val="en-GB"/>
        </w:rPr>
        <w:t xml:space="preserve">continue </w:t>
      </w:r>
      <w:r>
        <w:rPr>
          <w:rFonts w:ascii="Arial" w:hAnsi="Arial" w:cs="Arial"/>
          <w:color w:val="808080" w:themeColor="background1" w:themeShade="80"/>
          <w:sz w:val="22"/>
          <w:szCs w:val="22"/>
          <w:lang w:val="en-GB"/>
        </w:rPr>
        <w:t xml:space="preserve">the business or </w:t>
      </w:r>
      <w:r w:rsidR="008507BF">
        <w:rPr>
          <w:rFonts w:ascii="Arial" w:hAnsi="Arial" w:cs="Arial"/>
          <w:color w:val="808080" w:themeColor="background1" w:themeShade="80"/>
          <w:sz w:val="22"/>
          <w:szCs w:val="22"/>
          <w:lang w:val="en-GB"/>
        </w:rPr>
        <w:t xml:space="preserve">the possibility of </w:t>
      </w:r>
      <w:r>
        <w:rPr>
          <w:rFonts w:ascii="Arial" w:hAnsi="Arial" w:cs="Arial"/>
          <w:color w:val="808080" w:themeColor="background1" w:themeShade="80"/>
          <w:sz w:val="22"/>
          <w:szCs w:val="22"/>
          <w:lang w:val="en-GB"/>
        </w:rPr>
        <w:t>selling it as a going concern</w:t>
      </w:r>
      <w:r w:rsidR="008507BF">
        <w:rPr>
          <w:rStyle w:val="FootnoteReference"/>
          <w:rFonts w:ascii="Arial" w:hAnsi="Arial" w:cs="Arial"/>
          <w:color w:val="808080" w:themeColor="background1" w:themeShade="80"/>
          <w:sz w:val="22"/>
          <w:szCs w:val="22"/>
          <w:lang w:val="en-GB"/>
        </w:rPr>
        <w:footnoteReference w:id="14"/>
      </w:r>
      <w:r>
        <w:rPr>
          <w:rFonts w:ascii="Arial" w:hAnsi="Arial" w:cs="Arial"/>
          <w:color w:val="808080" w:themeColor="background1" w:themeShade="80"/>
          <w:sz w:val="22"/>
          <w:szCs w:val="22"/>
          <w:lang w:val="en-GB"/>
        </w:rPr>
        <w:t>.</w:t>
      </w:r>
      <w:r w:rsidR="008507BF">
        <w:rPr>
          <w:rFonts w:ascii="Arial" w:hAnsi="Arial" w:cs="Arial"/>
          <w:color w:val="808080" w:themeColor="background1" w:themeShade="80"/>
          <w:sz w:val="22"/>
          <w:szCs w:val="22"/>
          <w:lang w:val="en-GB"/>
        </w:rPr>
        <w:t xml:space="preserve"> The court shall review the report to confirm that it takes account of all creditor claims. The court then directs the trustee to convene a meeting of creditors and to prepare a restructuring scheme.</w:t>
      </w:r>
    </w:p>
    <w:p w14:paraId="524D99DC" w14:textId="77777777" w:rsidR="00145756" w:rsidRDefault="00145756" w:rsidP="00C76745">
      <w:pPr>
        <w:jc w:val="both"/>
        <w:rPr>
          <w:rFonts w:ascii="Arial" w:hAnsi="Arial" w:cs="Arial"/>
          <w:color w:val="808080" w:themeColor="background1" w:themeShade="80"/>
          <w:sz w:val="22"/>
          <w:szCs w:val="22"/>
          <w:lang w:val="en-GB"/>
        </w:rPr>
      </w:pPr>
    </w:p>
    <w:p w14:paraId="06146FC2" w14:textId="4C6C8F37" w:rsidR="00145756" w:rsidRDefault="00145756"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restructuring scheme is to be submitted with the court for its review. The court can request the trustee to vary the scheme</w:t>
      </w:r>
      <w:r w:rsidR="00E45E4E">
        <w:rPr>
          <w:rFonts w:ascii="Arial" w:hAnsi="Arial" w:cs="Arial"/>
          <w:color w:val="808080" w:themeColor="background1" w:themeShade="80"/>
          <w:sz w:val="22"/>
          <w:szCs w:val="22"/>
          <w:lang w:val="en-GB"/>
        </w:rPr>
        <w:t>. Following the review the court must request the trustee to issue an invitation to the creditors for their review of the scheme. The court may direct the formation of committees representing class of creditors. Where the creditors seek for amendments, the court may direct further meetings to consider the proposed amendments</w:t>
      </w:r>
      <w:r w:rsidR="00E45E4E">
        <w:rPr>
          <w:rStyle w:val="FootnoteReference"/>
          <w:rFonts w:ascii="Arial" w:hAnsi="Arial" w:cs="Arial"/>
          <w:color w:val="808080" w:themeColor="background1" w:themeShade="80"/>
          <w:sz w:val="22"/>
          <w:szCs w:val="22"/>
          <w:lang w:val="en-GB"/>
        </w:rPr>
        <w:footnoteReference w:id="15"/>
      </w:r>
      <w:r w:rsidR="00E45E4E">
        <w:rPr>
          <w:rFonts w:ascii="Arial" w:hAnsi="Arial" w:cs="Arial"/>
          <w:color w:val="808080" w:themeColor="background1" w:themeShade="80"/>
          <w:sz w:val="22"/>
          <w:szCs w:val="22"/>
          <w:lang w:val="en-GB"/>
        </w:rPr>
        <w:t xml:space="preserve">. Voting at meetings is to be done by </w:t>
      </w:r>
      <w:r w:rsidR="00940450">
        <w:rPr>
          <w:rFonts w:ascii="Arial" w:hAnsi="Arial" w:cs="Arial"/>
          <w:color w:val="808080" w:themeColor="background1" w:themeShade="80"/>
          <w:sz w:val="22"/>
          <w:szCs w:val="22"/>
          <w:lang w:val="en-GB"/>
        </w:rPr>
        <w:t>creditors whose debt has been admitted. However, the court may direct that creditors whose debt is admitted on interim basis may vote.</w:t>
      </w:r>
    </w:p>
    <w:p w14:paraId="18501514" w14:textId="77777777" w:rsidR="00940450" w:rsidRDefault="00940450" w:rsidP="00C76745">
      <w:pPr>
        <w:jc w:val="both"/>
        <w:rPr>
          <w:rFonts w:ascii="Arial" w:hAnsi="Arial" w:cs="Arial"/>
          <w:color w:val="808080" w:themeColor="background1" w:themeShade="80"/>
          <w:sz w:val="22"/>
          <w:szCs w:val="22"/>
          <w:lang w:val="en-GB"/>
        </w:rPr>
      </w:pPr>
    </w:p>
    <w:p w14:paraId="5345663F" w14:textId="19018781" w:rsidR="00940450" w:rsidRDefault="0094045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Pursuant to the approval of the scheme at the creditor’s meeting, the scheme is put before the court who shall decide urgently. Creditors who have voted against the scheme may object and the court shall finally determine the objection</w:t>
      </w:r>
      <w:r>
        <w:rPr>
          <w:rStyle w:val="FootnoteReference"/>
          <w:rFonts w:ascii="Arial" w:hAnsi="Arial" w:cs="Arial"/>
          <w:color w:val="808080" w:themeColor="background1" w:themeShade="80"/>
          <w:sz w:val="22"/>
          <w:szCs w:val="22"/>
          <w:lang w:val="en-GB"/>
        </w:rPr>
        <w:footnoteReference w:id="16"/>
      </w:r>
      <w:r>
        <w:rPr>
          <w:rFonts w:ascii="Arial" w:hAnsi="Arial" w:cs="Arial"/>
          <w:color w:val="808080" w:themeColor="background1" w:themeShade="80"/>
          <w:sz w:val="22"/>
          <w:szCs w:val="22"/>
          <w:lang w:val="en-GB"/>
        </w:rPr>
        <w:t>.</w:t>
      </w:r>
      <w:r w:rsidR="00BD4E85">
        <w:rPr>
          <w:rFonts w:ascii="Arial" w:hAnsi="Arial" w:cs="Arial"/>
          <w:color w:val="808080" w:themeColor="background1" w:themeShade="80"/>
          <w:sz w:val="22"/>
          <w:szCs w:val="22"/>
          <w:lang w:val="en-GB"/>
        </w:rPr>
        <w:t xml:space="preserve"> Where the scheme is rejected by the court, it is returned to the trustee for amendment </w:t>
      </w:r>
      <w:r w:rsidR="00CE6E37">
        <w:rPr>
          <w:rFonts w:ascii="Arial" w:hAnsi="Arial" w:cs="Arial"/>
          <w:color w:val="808080" w:themeColor="background1" w:themeShade="80"/>
          <w:sz w:val="22"/>
          <w:szCs w:val="22"/>
          <w:lang w:val="en-GB"/>
        </w:rPr>
        <w:t>and for resubmission with court</w:t>
      </w:r>
      <w:r w:rsidR="00BD4E85">
        <w:rPr>
          <w:rStyle w:val="FootnoteReference"/>
          <w:rFonts w:ascii="Arial" w:hAnsi="Arial" w:cs="Arial"/>
          <w:color w:val="808080" w:themeColor="background1" w:themeShade="80"/>
          <w:sz w:val="22"/>
          <w:szCs w:val="22"/>
          <w:lang w:val="en-GB"/>
        </w:rPr>
        <w:footnoteReference w:id="17"/>
      </w:r>
      <w:r w:rsidR="00BD4E85">
        <w:rPr>
          <w:rFonts w:ascii="Arial" w:hAnsi="Arial" w:cs="Arial"/>
          <w:color w:val="808080" w:themeColor="background1" w:themeShade="80"/>
          <w:sz w:val="22"/>
          <w:szCs w:val="22"/>
          <w:lang w:val="en-GB"/>
        </w:rPr>
        <w:t>.</w:t>
      </w:r>
    </w:p>
    <w:p w14:paraId="4354550A" w14:textId="77777777" w:rsidR="000F6562" w:rsidRDefault="000F6562" w:rsidP="00C76745">
      <w:pPr>
        <w:jc w:val="both"/>
        <w:rPr>
          <w:rFonts w:ascii="Arial" w:hAnsi="Arial" w:cs="Arial"/>
          <w:color w:val="808080" w:themeColor="background1" w:themeShade="80"/>
          <w:sz w:val="22"/>
          <w:szCs w:val="22"/>
          <w:lang w:val="en-GB"/>
        </w:rPr>
      </w:pPr>
    </w:p>
    <w:p w14:paraId="6852608D" w14:textId="77777777" w:rsidR="004929A5" w:rsidRDefault="00AD2D8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restructuring </w:t>
      </w:r>
      <w:r w:rsidR="00145756">
        <w:rPr>
          <w:rFonts w:ascii="Arial" w:hAnsi="Arial" w:cs="Arial"/>
          <w:color w:val="808080" w:themeColor="background1" w:themeShade="80"/>
          <w:sz w:val="22"/>
          <w:szCs w:val="22"/>
          <w:lang w:val="en-GB"/>
        </w:rPr>
        <w:t xml:space="preserve">scheme </w:t>
      </w:r>
      <w:r>
        <w:rPr>
          <w:rFonts w:ascii="Arial" w:hAnsi="Arial" w:cs="Arial"/>
          <w:color w:val="808080" w:themeColor="background1" w:themeShade="80"/>
          <w:sz w:val="22"/>
          <w:szCs w:val="22"/>
          <w:lang w:val="en-GB"/>
        </w:rPr>
        <w:t>needs to be approved earlier than 10 months following the commencement. However, the court may, in consultation with the trustee extend the time period for an additional four months</w:t>
      </w:r>
      <w:r>
        <w:rPr>
          <w:rStyle w:val="FootnoteReference"/>
          <w:rFonts w:ascii="Arial" w:hAnsi="Arial" w:cs="Arial"/>
          <w:color w:val="808080" w:themeColor="background1" w:themeShade="80"/>
          <w:sz w:val="22"/>
          <w:szCs w:val="22"/>
          <w:lang w:val="en-GB"/>
        </w:rPr>
        <w:footnoteReference w:id="18"/>
      </w:r>
      <w:r>
        <w:rPr>
          <w:rFonts w:ascii="Arial" w:hAnsi="Arial" w:cs="Arial"/>
          <w:color w:val="808080" w:themeColor="background1" w:themeShade="80"/>
          <w:sz w:val="22"/>
          <w:szCs w:val="22"/>
          <w:lang w:val="en-GB"/>
        </w:rPr>
        <w:t>.</w:t>
      </w:r>
    </w:p>
    <w:p w14:paraId="5D338F98" w14:textId="77777777" w:rsidR="004929A5" w:rsidRDefault="004929A5" w:rsidP="00C76745">
      <w:pPr>
        <w:jc w:val="both"/>
        <w:rPr>
          <w:rFonts w:ascii="Arial" w:hAnsi="Arial" w:cs="Arial"/>
          <w:color w:val="808080" w:themeColor="background1" w:themeShade="80"/>
          <w:sz w:val="22"/>
          <w:szCs w:val="22"/>
          <w:lang w:val="en-GB"/>
        </w:rPr>
      </w:pPr>
    </w:p>
    <w:p w14:paraId="67A320F8" w14:textId="77777777" w:rsidR="00BD4E85" w:rsidRDefault="004929A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trustee is responsible for the supervision of the implementation of the scheme, to report progress and to inform the court of any failure of implementation. Any amendment to the approved scheme requires court’s approval</w:t>
      </w:r>
      <w:r>
        <w:rPr>
          <w:rStyle w:val="FootnoteReference"/>
          <w:rFonts w:ascii="Arial" w:hAnsi="Arial" w:cs="Arial"/>
          <w:color w:val="808080" w:themeColor="background1" w:themeShade="80"/>
          <w:sz w:val="22"/>
          <w:szCs w:val="22"/>
          <w:lang w:val="en-GB"/>
        </w:rPr>
        <w:footnoteReference w:id="19"/>
      </w:r>
      <w:r>
        <w:rPr>
          <w:rFonts w:ascii="Arial" w:hAnsi="Arial" w:cs="Arial"/>
          <w:color w:val="808080" w:themeColor="background1" w:themeShade="80"/>
          <w:sz w:val="22"/>
          <w:szCs w:val="22"/>
          <w:lang w:val="en-GB"/>
        </w:rPr>
        <w:t>.</w:t>
      </w:r>
    </w:p>
    <w:p w14:paraId="1BF3FAC7" w14:textId="77777777" w:rsidR="00BD4E85" w:rsidRDefault="00BD4E85" w:rsidP="00C76745">
      <w:pPr>
        <w:jc w:val="both"/>
        <w:rPr>
          <w:rFonts w:ascii="Arial" w:hAnsi="Arial" w:cs="Arial"/>
          <w:color w:val="808080" w:themeColor="background1" w:themeShade="80"/>
          <w:sz w:val="22"/>
          <w:szCs w:val="22"/>
          <w:lang w:val="en-GB"/>
        </w:rPr>
      </w:pPr>
    </w:p>
    <w:p w14:paraId="2DD624B3" w14:textId="22B6FF0F" w:rsidR="001A45DB" w:rsidRPr="00CA448F" w:rsidRDefault="00BD4E8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completion of the restructuring the court shall pass an order confirming </w:t>
      </w:r>
      <w:r w:rsidR="00CE6E37">
        <w:rPr>
          <w:rFonts w:ascii="Arial" w:hAnsi="Arial" w:cs="Arial"/>
          <w:color w:val="808080" w:themeColor="background1" w:themeShade="80"/>
          <w:sz w:val="22"/>
          <w:szCs w:val="22"/>
          <w:lang w:val="en-GB"/>
        </w:rPr>
        <w:t xml:space="preserve">the implementation and </w:t>
      </w:r>
      <w:r>
        <w:rPr>
          <w:rFonts w:ascii="Arial" w:hAnsi="Arial" w:cs="Arial"/>
          <w:color w:val="808080" w:themeColor="background1" w:themeShade="80"/>
          <w:sz w:val="22"/>
          <w:szCs w:val="22"/>
          <w:lang w:val="en-GB"/>
        </w:rPr>
        <w:t>for discharge of the obligation</w:t>
      </w:r>
      <w:r w:rsidR="00CE6E37">
        <w:rPr>
          <w:rFonts w:ascii="Arial" w:hAnsi="Arial" w:cs="Arial"/>
          <w:color w:val="808080" w:themeColor="background1" w:themeShade="80"/>
          <w:sz w:val="22"/>
          <w:szCs w:val="22"/>
          <w:lang w:val="en-GB"/>
        </w:rPr>
        <w:t xml:space="preserve"> provided for in the scheme</w:t>
      </w:r>
      <w:r w:rsidR="00CE6E37">
        <w:rPr>
          <w:rStyle w:val="FootnoteReference"/>
          <w:rFonts w:ascii="Arial" w:hAnsi="Arial" w:cs="Arial"/>
          <w:color w:val="808080" w:themeColor="background1" w:themeShade="80"/>
          <w:sz w:val="22"/>
          <w:szCs w:val="22"/>
          <w:lang w:val="en-GB"/>
        </w:rPr>
        <w:footnoteReference w:id="20"/>
      </w:r>
      <w:r w:rsidR="00CE6E37">
        <w:rPr>
          <w:rFonts w:ascii="Arial" w:hAnsi="Arial" w:cs="Arial"/>
          <w:color w:val="808080" w:themeColor="background1" w:themeShade="80"/>
          <w:sz w:val="22"/>
          <w:szCs w:val="22"/>
          <w:lang w:val="en-GB"/>
        </w:rPr>
        <w:t>.</w:t>
      </w:r>
      <w:r w:rsidR="00E968BE">
        <w:rPr>
          <w:rFonts w:ascii="Arial" w:hAnsi="Arial" w:cs="Arial"/>
          <w:color w:val="808080" w:themeColor="background1" w:themeShade="80"/>
          <w:sz w:val="22"/>
          <w:szCs w:val="22"/>
          <w:lang w:val="en-GB"/>
        </w:rPr>
        <w:t>]</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35D39E05" w14:textId="77777777" w:rsidR="009F1527"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shd w:val="clear" w:color="auto" w:fill="FFFFFF"/>
        </w:rPr>
        <w:t>[</w:t>
      </w:r>
      <w:r w:rsidR="00364C18">
        <w:rPr>
          <w:rFonts w:ascii="Arial" w:hAnsi="Arial" w:cs="Arial"/>
          <w:color w:val="808080" w:themeColor="background1" w:themeShade="80"/>
          <w:sz w:val="22"/>
          <w:szCs w:val="22"/>
          <w:shd w:val="clear" w:color="auto" w:fill="FFFFFF"/>
        </w:rPr>
        <w:t xml:space="preserve">Historically there have been elements of deferral and postponement of restructuring primarily on account of absence of effective insolvency legislation. With the adoption of the Bankruptcy Law of 2016, </w:t>
      </w:r>
      <w:r w:rsidR="00364C18">
        <w:rPr>
          <w:rFonts w:ascii="Arial" w:hAnsi="Arial" w:cs="Arial"/>
          <w:color w:val="808080" w:themeColor="background1" w:themeShade="80"/>
          <w:sz w:val="22"/>
          <w:szCs w:val="22"/>
        </w:rPr>
        <w:t>it has created an environment of greater legal certainty.</w:t>
      </w:r>
    </w:p>
    <w:p w14:paraId="5226FDE5" w14:textId="77777777" w:rsidR="009F1527" w:rsidRDefault="009F1527" w:rsidP="00C76745">
      <w:pPr>
        <w:jc w:val="both"/>
        <w:rPr>
          <w:rFonts w:ascii="Arial" w:hAnsi="Arial" w:cs="Arial"/>
          <w:color w:val="808080" w:themeColor="background1" w:themeShade="80"/>
          <w:sz w:val="22"/>
          <w:szCs w:val="22"/>
        </w:rPr>
      </w:pPr>
    </w:p>
    <w:p w14:paraId="4B7DF9C9" w14:textId="77777777" w:rsidR="002412B1" w:rsidRDefault="00C4505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009F1527">
        <w:rPr>
          <w:rFonts w:ascii="Arial" w:hAnsi="Arial" w:cs="Arial"/>
          <w:color w:val="808080" w:themeColor="background1" w:themeShade="80"/>
          <w:sz w:val="22"/>
          <w:szCs w:val="22"/>
        </w:rPr>
        <w:t>he procedures require high level of court involvement</w:t>
      </w:r>
      <w:r>
        <w:rPr>
          <w:rFonts w:ascii="Arial" w:hAnsi="Arial" w:cs="Arial"/>
          <w:color w:val="808080" w:themeColor="background1" w:themeShade="80"/>
          <w:sz w:val="22"/>
          <w:szCs w:val="22"/>
        </w:rPr>
        <w:t xml:space="preserve"> that may be on account of the infancy </w:t>
      </w:r>
      <w:r w:rsidR="009F1527">
        <w:rPr>
          <w:rFonts w:ascii="Arial" w:hAnsi="Arial" w:cs="Arial"/>
          <w:color w:val="808080" w:themeColor="background1" w:themeShade="80"/>
          <w:sz w:val="22"/>
          <w:szCs w:val="22"/>
        </w:rPr>
        <w:t>of the insolvency system</w:t>
      </w:r>
      <w:r>
        <w:rPr>
          <w:rFonts w:ascii="Arial" w:hAnsi="Arial" w:cs="Arial"/>
          <w:color w:val="808080" w:themeColor="background1" w:themeShade="80"/>
          <w:sz w:val="22"/>
          <w:szCs w:val="22"/>
        </w:rPr>
        <w:t xml:space="preserve"> and limited judicial precedence.</w:t>
      </w:r>
    </w:p>
    <w:p w14:paraId="67D048AC" w14:textId="77777777" w:rsidR="002412B1" w:rsidRDefault="002412B1" w:rsidP="00C76745">
      <w:pPr>
        <w:jc w:val="both"/>
        <w:rPr>
          <w:rFonts w:ascii="Arial" w:hAnsi="Arial" w:cs="Arial"/>
          <w:color w:val="808080" w:themeColor="background1" w:themeShade="80"/>
          <w:sz w:val="22"/>
          <w:szCs w:val="22"/>
        </w:rPr>
      </w:pPr>
    </w:p>
    <w:p w14:paraId="6044F112" w14:textId="77777777" w:rsidR="002412B1" w:rsidRDefault="00C45058"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Even then, the </w:t>
      </w:r>
      <w:r w:rsidR="002412B1">
        <w:rPr>
          <w:rFonts w:ascii="Arial" w:hAnsi="Arial" w:cs="Arial"/>
          <w:color w:val="808080" w:themeColor="background1" w:themeShade="80"/>
          <w:sz w:val="22"/>
          <w:szCs w:val="22"/>
        </w:rPr>
        <w:t>c</w:t>
      </w:r>
      <w:r>
        <w:rPr>
          <w:rFonts w:ascii="Arial" w:hAnsi="Arial" w:cs="Arial"/>
          <w:color w:val="808080" w:themeColor="background1" w:themeShade="80"/>
          <w:sz w:val="22"/>
          <w:szCs w:val="22"/>
        </w:rPr>
        <w:t>ourt intervention in managing the process can be limited to crucial elements of commencement, dispute resolution and scheme approval</w:t>
      </w:r>
      <w:r w:rsidR="00207C1D">
        <w:rPr>
          <w:rFonts w:ascii="Arial" w:hAnsi="Arial" w:cs="Arial"/>
          <w:color w:val="808080" w:themeColor="background1" w:themeShade="80"/>
          <w:sz w:val="22"/>
          <w:szCs w:val="22"/>
        </w:rPr>
        <w:t xml:space="preserve"> &amp; supervisi</w:t>
      </w:r>
      <w:r w:rsidR="00207C1D" w:rsidRPr="002401D1">
        <w:rPr>
          <w:rFonts w:ascii="Arial" w:hAnsi="Arial" w:cs="Arial"/>
          <w:color w:val="808080" w:themeColor="background1" w:themeShade="80"/>
          <w:sz w:val="22"/>
          <w:szCs w:val="22"/>
        </w:rPr>
        <w:t>on of implementation</w:t>
      </w:r>
      <w:r w:rsidRPr="002401D1">
        <w:rPr>
          <w:rFonts w:ascii="Arial" w:hAnsi="Arial" w:cs="Arial"/>
          <w:color w:val="808080" w:themeColor="background1" w:themeShade="80"/>
          <w:sz w:val="22"/>
          <w:szCs w:val="22"/>
        </w:rPr>
        <w:t>.</w:t>
      </w:r>
    </w:p>
    <w:p w14:paraId="0EB35512" w14:textId="77777777" w:rsidR="002412B1" w:rsidRDefault="002412B1" w:rsidP="00C76745">
      <w:pPr>
        <w:jc w:val="both"/>
        <w:rPr>
          <w:rFonts w:ascii="Arial" w:hAnsi="Arial" w:cs="Arial"/>
          <w:color w:val="808080" w:themeColor="background1" w:themeShade="80"/>
          <w:sz w:val="22"/>
          <w:szCs w:val="22"/>
        </w:rPr>
      </w:pPr>
    </w:p>
    <w:p w14:paraId="14FC0EC2" w14:textId="77777777" w:rsidR="002412B1" w:rsidRDefault="002570A5" w:rsidP="00C76745">
      <w:pPr>
        <w:jc w:val="both"/>
        <w:rPr>
          <w:rFonts w:ascii="Arial" w:hAnsi="Arial" w:cs="Arial"/>
          <w:color w:val="808080" w:themeColor="background1" w:themeShade="80"/>
          <w:sz w:val="22"/>
          <w:szCs w:val="22"/>
        </w:rPr>
      </w:pPr>
      <w:r w:rsidRPr="002401D1">
        <w:rPr>
          <w:rFonts w:ascii="Arial" w:hAnsi="Arial" w:cs="Arial"/>
          <w:color w:val="808080" w:themeColor="background1" w:themeShade="80"/>
          <w:sz w:val="22"/>
          <w:szCs w:val="22"/>
        </w:rPr>
        <w:t xml:space="preserve">The responsibility for managing the process should be the duty of the </w:t>
      </w:r>
      <w:r w:rsidR="008D10B1" w:rsidRPr="002401D1">
        <w:rPr>
          <w:rFonts w:ascii="Arial" w:hAnsi="Arial" w:cs="Arial"/>
          <w:color w:val="808080" w:themeColor="background1" w:themeShade="80"/>
          <w:sz w:val="22"/>
          <w:szCs w:val="22"/>
        </w:rPr>
        <w:t>trustee</w:t>
      </w:r>
      <w:r w:rsidR="00C53B79" w:rsidRPr="002401D1">
        <w:rPr>
          <w:rFonts w:ascii="Arial" w:hAnsi="Arial" w:cs="Arial"/>
          <w:color w:val="808080" w:themeColor="background1" w:themeShade="80"/>
          <w:sz w:val="22"/>
          <w:szCs w:val="22"/>
        </w:rPr>
        <w:t xml:space="preserve"> with limited procedural intervention by court</w:t>
      </w:r>
      <w:r w:rsidR="00207C1D" w:rsidRPr="002401D1">
        <w:rPr>
          <w:rFonts w:ascii="Arial" w:hAnsi="Arial" w:cs="Arial"/>
          <w:color w:val="808080" w:themeColor="background1" w:themeShade="80"/>
          <w:sz w:val="22"/>
          <w:szCs w:val="22"/>
        </w:rPr>
        <w:t>.</w:t>
      </w:r>
    </w:p>
    <w:p w14:paraId="2E129A3D" w14:textId="77777777" w:rsidR="002412B1" w:rsidRDefault="002412B1" w:rsidP="00C76745">
      <w:pPr>
        <w:jc w:val="both"/>
        <w:rPr>
          <w:rFonts w:ascii="Arial" w:hAnsi="Arial" w:cs="Arial"/>
          <w:color w:val="808080" w:themeColor="background1" w:themeShade="80"/>
          <w:sz w:val="22"/>
          <w:szCs w:val="22"/>
        </w:rPr>
      </w:pPr>
    </w:p>
    <w:p w14:paraId="718EECD5" w14:textId="1AB3D900" w:rsidR="001A45DB" w:rsidRPr="002401D1" w:rsidRDefault="00C53B79" w:rsidP="00C76745">
      <w:pPr>
        <w:jc w:val="both"/>
        <w:rPr>
          <w:rFonts w:ascii="Arial" w:hAnsi="Arial" w:cs="Arial"/>
          <w:color w:val="808080" w:themeColor="background1" w:themeShade="80"/>
          <w:sz w:val="22"/>
          <w:szCs w:val="22"/>
          <w:highlight w:val="yellow"/>
        </w:rPr>
      </w:pPr>
      <w:r w:rsidRPr="002401D1">
        <w:rPr>
          <w:rFonts w:ascii="Arial" w:hAnsi="Arial" w:cs="Arial"/>
          <w:color w:val="808080" w:themeColor="background1" w:themeShade="80"/>
          <w:sz w:val="22"/>
          <w:szCs w:val="22"/>
        </w:rPr>
        <w:t xml:space="preserve">Moreover, most jurisdictions are </w:t>
      </w:r>
      <w:proofErr w:type="spellStart"/>
      <w:r w:rsidRPr="002401D1">
        <w:rPr>
          <w:rFonts w:ascii="Arial" w:hAnsi="Arial" w:cs="Arial"/>
          <w:color w:val="808080" w:themeColor="background1" w:themeShade="80"/>
          <w:sz w:val="22"/>
          <w:szCs w:val="22"/>
        </w:rPr>
        <w:t>favouring</w:t>
      </w:r>
      <w:proofErr w:type="spellEnd"/>
      <w:r w:rsidRPr="002401D1">
        <w:rPr>
          <w:rFonts w:ascii="Arial" w:hAnsi="Arial" w:cs="Arial"/>
          <w:color w:val="808080" w:themeColor="background1" w:themeShade="80"/>
          <w:sz w:val="22"/>
          <w:szCs w:val="22"/>
        </w:rPr>
        <w:t xml:space="preserve"> the adoption of debtor in possession model </w:t>
      </w:r>
      <w:r w:rsidR="002401D1" w:rsidRPr="002401D1">
        <w:rPr>
          <w:rFonts w:ascii="Arial" w:hAnsi="Arial" w:cs="Arial"/>
          <w:color w:val="808080" w:themeColor="background1" w:themeShade="80"/>
          <w:sz w:val="22"/>
          <w:szCs w:val="22"/>
        </w:rPr>
        <w:t>through rescue tools such as pre-packs.</w:t>
      </w:r>
      <w:r w:rsidR="00224E71">
        <w:rPr>
          <w:rFonts w:ascii="Arial" w:hAnsi="Arial" w:cs="Arial"/>
          <w:color w:val="808080" w:themeColor="background1" w:themeShade="80"/>
          <w:sz w:val="22"/>
          <w:szCs w:val="22"/>
          <w:shd w:val="clear" w:color="auto" w:fill="FFFFFF"/>
        </w:rPr>
        <w:t>]</w:t>
      </w: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29A2DF0D" w14:textId="7D557A91" w:rsidR="00AD2905"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E3552D">
        <w:rPr>
          <w:rFonts w:ascii="Arial" w:hAnsi="Arial" w:cs="Arial"/>
          <w:color w:val="808080" w:themeColor="background1" w:themeShade="80"/>
          <w:sz w:val="22"/>
          <w:szCs w:val="22"/>
          <w:lang w:val="en-GB"/>
        </w:rPr>
        <w:t xml:space="preserve">1. </w:t>
      </w:r>
      <w:r w:rsidR="00AD2905">
        <w:rPr>
          <w:rFonts w:ascii="Arial" w:hAnsi="Arial" w:cs="Arial"/>
          <w:color w:val="808080" w:themeColor="background1" w:themeShade="80"/>
          <w:sz w:val="22"/>
          <w:szCs w:val="22"/>
          <w:lang w:val="en-GB"/>
        </w:rPr>
        <w:t>Receiving the application by the court may be termed as date ‘Zero’. The court decides to appoint an expert to prepare a report on the financial position of the debtor on day ‘Zero’.</w:t>
      </w:r>
    </w:p>
    <w:p w14:paraId="70D8E9CB" w14:textId="77777777" w:rsidR="00AD2905" w:rsidRDefault="00AD2905" w:rsidP="00C76745">
      <w:pPr>
        <w:jc w:val="both"/>
        <w:rPr>
          <w:rFonts w:ascii="Arial" w:hAnsi="Arial" w:cs="Arial"/>
          <w:color w:val="808080" w:themeColor="background1" w:themeShade="80"/>
          <w:sz w:val="22"/>
          <w:szCs w:val="22"/>
          <w:lang w:val="en-GB"/>
        </w:rPr>
      </w:pPr>
    </w:p>
    <w:p w14:paraId="5EB41C0A" w14:textId="534C0888" w:rsidR="00AD2905" w:rsidRDefault="00E3552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2. </w:t>
      </w:r>
      <w:r w:rsidR="00AD2905">
        <w:rPr>
          <w:rFonts w:ascii="Arial" w:hAnsi="Arial" w:cs="Arial"/>
          <w:color w:val="808080" w:themeColor="background1" w:themeShade="80"/>
          <w:sz w:val="22"/>
          <w:szCs w:val="22"/>
          <w:lang w:val="en-GB"/>
        </w:rPr>
        <w:t>The report is to be delivered by the expert no later than 20 business days from the date of being instructed to prepare the report.</w:t>
      </w:r>
    </w:p>
    <w:p w14:paraId="484828A3" w14:textId="77777777" w:rsidR="00AD2905" w:rsidRDefault="00AD2905" w:rsidP="00C76745">
      <w:pPr>
        <w:jc w:val="both"/>
        <w:rPr>
          <w:rFonts w:ascii="Arial" w:hAnsi="Arial" w:cs="Arial"/>
          <w:color w:val="808080" w:themeColor="background1" w:themeShade="80"/>
          <w:sz w:val="22"/>
          <w:szCs w:val="22"/>
          <w:lang w:val="en-GB"/>
        </w:rPr>
      </w:pPr>
    </w:p>
    <w:p w14:paraId="4221FB45" w14:textId="06A51901" w:rsidR="00E3552D" w:rsidRDefault="00E3552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3. </w:t>
      </w:r>
      <w:r w:rsidR="00AD2905">
        <w:rPr>
          <w:rFonts w:ascii="Arial" w:hAnsi="Arial" w:cs="Arial"/>
          <w:color w:val="808080" w:themeColor="background1" w:themeShade="80"/>
          <w:sz w:val="22"/>
          <w:szCs w:val="22"/>
          <w:lang w:val="en-GB"/>
        </w:rPr>
        <w:t>The court is required to decide the application within five business days of the</w:t>
      </w:r>
      <w:r>
        <w:rPr>
          <w:rFonts w:ascii="Arial" w:hAnsi="Arial" w:cs="Arial"/>
          <w:color w:val="808080" w:themeColor="background1" w:themeShade="80"/>
          <w:sz w:val="22"/>
          <w:szCs w:val="22"/>
          <w:lang w:val="en-GB"/>
        </w:rPr>
        <w:t xml:space="preserve"> report submission and also shall appoint a trustee by </w:t>
      </w:r>
      <w:r w:rsidR="00D4727B">
        <w:rPr>
          <w:rFonts w:ascii="Arial" w:hAnsi="Arial" w:cs="Arial"/>
          <w:color w:val="808080" w:themeColor="background1" w:themeShade="80"/>
          <w:sz w:val="22"/>
          <w:szCs w:val="22"/>
          <w:lang w:val="en-GB"/>
        </w:rPr>
        <w:t>publication of the same</w:t>
      </w:r>
      <w:r>
        <w:rPr>
          <w:rFonts w:ascii="Arial" w:hAnsi="Arial" w:cs="Arial"/>
          <w:color w:val="808080" w:themeColor="background1" w:themeShade="80"/>
          <w:sz w:val="22"/>
          <w:szCs w:val="22"/>
          <w:lang w:val="en-GB"/>
        </w:rPr>
        <w:t>. This would make the maximum period as 25 business days.</w:t>
      </w:r>
      <w:r w:rsidR="008C59C3">
        <w:rPr>
          <w:rFonts w:ascii="Arial" w:hAnsi="Arial" w:cs="Arial"/>
          <w:color w:val="808080" w:themeColor="background1" w:themeShade="80"/>
          <w:sz w:val="22"/>
          <w:szCs w:val="22"/>
          <w:lang w:val="en-GB"/>
        </w:rPr>
        <w:t xml:space="preserve"> Any creditor may object to the appointment of the trustee within five business days of the date of publication. The court shall determine the objection of the creditor within five business days on final basis. However, the process runs concurrently.</w:t>
      </w:r>
    </w:p>
    <w:p w14:paraId="2D70E52B" w14:textId="77777777" w:rsidR="00E3552D" w:rsidRDefault="00E3552D" w:rsidP="00C76745">
      <w:pPr>
        <w:jc w:val="both"/>
        <w:rPr>
          <w:rFonts w:ascii="Arial" w:hAnsi="Arial" w:cs="Arial"/>
          <w:color w:val="808080" w:themeColor="background1" w:themeShade="80"/>
          <w:sz w:val="22"/>
          <w:szCs w:val="22"/>
          <w:lang w:val="en-GB"/>
        </w:rPr>
      </w:pPr>
    </w:p>
    <w:p w14:paraId="78FF6C9D" w14:textId="7D0A13C3" w:rsidR="00D4727B" w:rsidRDefault="00E3552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4. </w:t>
      </w:r>
      <w:r w:rsidR="008C59C3">
        <w:rPr>
          <w:rFonts w:ascii="Arial" w:hAnsi="Arial" w:cs="Arial"/>
          <w:color w:val="808080" w:themeColor="background1" w:themeShade="80"/>
          <w:sz w:val="22"/>
          <w:szCs w:val="22"/>
          <w:lang w:val="en-GB"/>
        </w:rPr>
        <w:t xml:space="preserve">The trustee shall publish the court’s decision to commence procedure within five business days of appointment. </w:t>
      </w:r>
      <w:r w:rsidR="00D4727B">
        <w:rPr>
          <w:rFonts w:ascii="Arial" w:hAnsi="Arial" w:cs="Arial"/>
          <w:color w:val="808080" w:themeColor="background1" w:themeShade="80"/>
          <w:sz w:val="22"/>
          <w:szCs w:val="22"/>
          <w:lang w:val="en-GB"/>
        </w:rPr>
        <w:t>The maximum period extends to 30 business days.</w:t>
      </w:r>
    </w:p>
    <w:p w14:paraId="0B538569" w14:textId="77777777" w:rsidR="00D4727B" w:rsidRDefault="00D4727B" w:rsidP="00C76745">
      <w:pPr>
        <w:jc w:val="both"/>
        <w:rPr>
          <w:rFonts w:ascii="Arial" w:hAnsi="Arial" w:cs="Arial"/>
          <w:color w:val="808080" w:themeColor="background1" w:themeShade="80"/>
          <w:sz w:val="22"/>
          <w:szCs w:val="22"/>
          <w:lang w:val="en-GB"/>
        </w:rPr>
      </w:pPr>
    </w:p>
    <w:p w14:paraId="2B7AC3FF" w14:textId="7C7ACDB4" w:rsidR="00D4727B" w:rsidRDefault="00D4727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5. </w:t>
      </w:r>
      <w:r w:rsidR="008C59C3">
        <w:rPr>
          <w:rFonts w:ascii="Arial" w:hAnsi="Arial" w:cs="Arial"/>
          <w:color w:val="808080" w:themeColor="background1" w:themeShade="80"/>
          <w:sz w:val="22"/>
          <w:szCs w:val="22"/>
          <w:lang w:val="en-GB"/>
        </w:rPr>
        <w:t xml:space="preserve">The notice by trustee includes an invitation to creditors to file their claims within 20 business days of such publication. </w:t>
      </w:r>
      <w:r>
        <w:rPr>
          <w:rFonts w:ascii="Arial" w:hAnsi="Arial" w:cs="Arial"/>
          <w:color w:val="808080" w:themeColor="background1" w:themeShade="80"/>
          <w:sz w:val="22"/>
          <w:szCs w:val="22"/>
          <w:lang w:val="en-GB"/>
        </w:rPr>
        <w:t xml:space="preserve">This extends the maximum period to </w:t>
      </w:r>
      <w:r w:rsidR="008C59C3">
        <w:rPr>
          <w:rFonts w:ascii="Arial" w:hAnsi="Arial" w:cs="Arial"/>
          <w:color w:val="808080" w:themeColor="background1" w:themeShade="80"/>
          <w:sz w:val="22"/>
          <w:szCs w:val="22"/>
          <w:lang w:val="en-GB"/>
        </w:rPr>
        <w:t>50</w:t>
      </w:r>
      <w:r>
        <w:rPr>
          <w:rFonts w:ascii="Arial" w:hAnsi="Arial" w:cs="Arial"/>
          <w:color w:val="808080" w:themeColor="background1" w:themeShade="80"/>
          <w:sz w:val="22"/>
          <w:szCs w:val="22"/>
          <w:lang w:val="en-GB"/>
        </w:rPr>
        <w:t xml:space="preserve"> business days.</w:t>
      </w:r>
    </w:p>
    <w:p w14:paraId="4FFC2C4E" w14:textId="77777777" w:rsidR="00D4727B" w:rsidRDefault="00D4727B" w:rsidP="00C76745">
      <w:pPr>
        <w:jc w:val="both"/>
        <w:rPr>
          <w:rFonts w:ascii="Arial" w:hAnsi="Arial" w:cs="Arial"/>
          <w:color w:val="808080" w:themeColor="background1" w:themeShade="80"/>
          <w:sz w:val="22"/>
          <w:szCs w:val="22"/>
          <w:lang w:val="en-GB"/>
        </w:rPr>
      </w:pPr>
    </w:p>
    <w:p w14:paraId="5A66E061" w14:textId="4867721F" w:rsidR="00234DFE" w:rsidRDefault="00D4727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6. </w:t>
      </w:r>
      <w:r w:rsidR="00234DFE">
        <w:rPr>
          <w:rFonts w:ascii="Arial" w:hAnsi="Arial" w:cs="Arial"/>
          <w:color w:val="808080" w:themeColor="background1" w:themeShade="80"/>
          <w:sz w:val="22"/>
          <w:szCs w:val="22"/>
          <w:lang w:val="en-GB"/>
        </w:rPr>
        <w:t>The trustee shall lodge a list of all claimants with the court within 10 business days of last date of lodging claims. The maximum period extends to 60 business days.</w:t>
      </w:r>
    </w:p>
    <w:p w14:paraId="14FFAF3D" w14:textId="77777777" w:rsidR="00234DFE" w:rsidRDefault="00234DFE" w:rsidP="00C76745">
      <w:pPr>
        <w:jc w:val="both"/>
        <w:rPr>
          <w:rFonts w:ascii="Arial" w:hAnsi="Arial" w:cs="Arial"/>
          <w:color w:val="808080" w:themeColor="background1" w:themeShade="80"/>
          <w:sz w:val="22"/>
          <w:szCs w:val="22"/>
          <w:lang w:val="en-GB"/>
        </w:rPr>
      </w:pPr>
    </w:p>
    <w:p w14:paraId="796FB2B3" w14:textId="5220BFAA" w:rsidR="00234DFE" w:rsidRDefault="00234DF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7. The court is responsible for finally determining the list of creditors within 10 business days. This shall extend the maximum period to </w:t>
      </w:r>
      <w:r w:rsidR="00C716E4">
        <w:rPr>
          <w:rFonts w:ascii="Arial" w:hAnsi="Arial" w:cs="Arial"/>
          <w:color w:val="808080" w:themeColor="background1" w:themeShade="80"/>
          <w:sz w:val="22"/>
          <w:szCs w:val="22"/>
          <w:lang w:val="en-GB"/>
        </w:rPr>
        <w:t>7</w:t>
      </w:r>
      <w:r>
        <w:rPr>
          <w:rFonts w:ascii="Arial" w:hAnsi="Arial" w:cs="Arial"/>
          <w:color w:val="808080" w:themeColor="background1" w:themeShade="80"/>
          <w:sz w:val="22"/>
          <w:szCs w:val="22"/>
          <w:lang w:val="en-GB"/>
        </w:rPr>
        <w:t>0 business days.</w:t>
      </w:r>
    </w:p>
    <w:p w14:paraId="7DCE3FD5" w14:textId="77777777" w:rsidR="00234DFE" w:rsidRDefault="00234DFE" w:rsidP="00C76745">
      <w:pPr>
        <w:jc w:val="both"/>
        <w:rPr>
          <w:rFonts w:ascii="Arial" w:hAnsi="Arial" w:cs="Arial"/>
          <w:color w:val="808080" w:themeColor="background1" w:themeShade="80"/>
          <w:sz w:val="22"/>
          <w:szCs w:val="22"/>
          <w:lang w:val="en-GB"/>
        </w:rPr>
      </w:pPr>
    </w:p>
    <w:p w14:paraId="2FBEB5ED" w14:textId="542605B7" w:rsidR="0091789E" w:rsidRDefault="00234DF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8. </w:t>
      </w:r>
      <w:r w:rsidR="00EF7985">
        <w:rPr>
          <w:rFonts w:ascii="Arial" w:hAnsi="Arial" w:cs="Arial"/>
          <w:color w:val="808080" w:themeColor="background1" w:themeShade="80"/>
          <w:sz w:val="22"/>
          <w:szCs w:val="22"/>
          <w:lang w:val="en-GB"/>
        </w:rPr>
        <w:t>The preventive composition scheme must be submitted with the court within 45 business days</w:t>
      </w:r>
      <w:r w:rsidR="0091789E">
        <w:rPr>
          <w:rFonts w:ascii="Arial" w:hAnsi="Arial" w:cs="Arial"/>
          <w:color w:val="808080" w:themeColor="background1" w:themeShade="80"/>
          <w:sz w:val="22"/>
          <w:szCs w:val="22"/>
          <w:lang w:val="en-GB"/>
        </w:rPr>
        <w:t xml:space="preserve"> from the date pf publication of the decision to initiate the procedure (mentioned above in point 4).</w:t>
      </w:r>
      <w:r w:rsidR="00C716E4">
        <w:rPr>
          <w:rFonts w:ascii="Arial" w:hAnsi="Arial" w:cs="Arial"/>
          <w:color w:val="808080" w:themeColor="background1" w:themeShade="80"/>
          <w:sz w:val="22"/>
          <w:szCs w:val="22"/>
          <w:lang w:val="en-GB"/>
        </w:rPr>
        <w:t xml:space="preserve"> Thus the maximum period would be 75 business days.</w:t>
      </w:r>
    </w:p>
    <w:p w14:paraId="7927DA4F" w14:textId="77777777" w:rsidR="0091789E" w:rsidRDefault="0091789E" w:rsidP="00C76745">
      <w:pPr>
        <w:jc w:val="both"/>
        <w:rPr>
          <w:rFonts w:ascii="Arial" w:hAnsi="Arial" w:cs="Arial"/>
          <w:color w:val="808080" w:themeColor="background1" w:themeShade="80"/>
          <w:sz w:val="22"/>
          <w:szCs w:val="22"/>
          <w:lang w:val="en-GB"/>
        </w:rPr>
      </w:pPr>
    </w:p>
    <w:p w14:paraId="6C993494" w14:textId="59DF9159" w:rsidR="00885B6C" w:rsidRDefault="0091789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9. The court shall review the draft scheme within 10 business days of submission. The court shall direct the trustee to issue invitation to creditors with five business days</w:t>
      </w:r>
      <w:r w:rsidR="00885B6C">
        <w:rPr>
          <w:rFonts w:ascii="Arial" w:hAnsi="Arial" w:cs="Arial"/>
          <w:color w:val="808080" w:themeColor="background1" w:themeShade="80"/>
          <w:sz w:val="22"/>
          <w:szCs w:val="22"/>
          <w:lang w:val="en-GB"/>
        </w:rPr>
        <w:t xml:space="preserve"> for attending creditor’s meeting that needs to be held within 15 working days of such invitation.</w:t>
      </w:r>
      <w:r w:rsidR="00880D9E">
        <w:rPr>
          <w:rFonts w:ascii="Arial" w:hAnsi="Arial" w:cs="Arial"/>
          <w:color w:val="808080" w:themeColor="background1" w:themeShade="80"/>
          <w:sz w:val="22"/>
          <w:szCs w:val="22"/>
          <w:lang w:val="en-GB"/>
        </w:rPr>
        <w:t xml:space="preserve"> Approved scheme shall be placed before the court within three business days.</w:t>
      </w:r>
      <w:r w:rsidR="00730F54">
        <w:rPr>
          <w:rFonts w:ascii="Arial" w:hAnsi="Arial" w:cs="Arial"/>
          <w:color w:val="808080" w:themeColor="background1" w:themeShade="80"/>
          <w:sz w:val="22"/>
          <w:szCs w:val="22"/>
          <w:lang w:val="en-GB"/>
        </w:rPr>
        <w:t xml:space="preserve"> Therefore the maximum time will be 108 business days.</w:t>
      </w:r>
    </w:p>
    <w:p w14:paraId="5A01F81A" w14:textId="77777777" w:rsidR="00885B6C" w:rsidRDefault="00885B6C" w:rsidP="00C76745">
      <w:pPr>
        <w:jc w:val="both"/>
        <w:rPr>
          <w:rFonts w:ascii="Arial" w:hAnsi="Arial" w:cs="Arial"/>
          <w:color w:val="808080" w:themeColor="background1" w:themeShade="80"/>
          <w:sz w:val="22"/>
          <w:szCs w:val="22"/>
          <w:lang w:val="en-GB"/>
        </w:rPr>
      </w:pPr>
    </w:p>
    <w:p w14:paraId="5D931986" w14:textId="17537CB0" w:rsidR="00BD1061" w:rsidRPr="00CA448F" w:rsidRDefault="00885B6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10. </w:t>
      </w:r>
      <w:r w:rsidR="00880D9E">
        <w:rPr>
          <w:rFonts w:ascii="Arial" w:hAnsi="Arial" w:cs="Arial"/>
          <w:color w:val="808080" w:themeColor="background1" w:themeShade="80"/>
          <w:sz w:val="22"/>
          <w:szCs w:val="22"/>
          <w:lang w:val="en-GB"/>
        </w:rPr>
        <w:t>The court shall approve the scheme urgently</w:t>
      </w:r>
      <w:r w:rsidR="00C716E4">
        <w:rPr>
          <w:rFonts w:ascii="Arial" w:hAnsi="Arial" w:cs="Arial"/>
          <w:color w:val="808080" w:themeColor="background1" w:themeShade="80"/>
          <w:sz w:val="22"/>
          <w:szCs w:val="22"/>
          <w:lang w:val="en-GB"/>
        </w:rPr>
        <w:t xml:space="preserve"> within five business days</w:t>
      </w:r>
      <w:r w:rsidR="00880D9E">
        <w:rPr>
          <w:rFonts w:ascii="Arial" w:hAnsi="Arial" w:cs="Arial"/>
          <w:color w:val="808080" w:themeColor="background1" w:themeShade="80"/>
          <w:sz w:val="22"/>
          <w:szCs w:val="22"/>
          <w:lang w:val="en-GB"/>
        </w:rPr>
        <w:t>.</w:t>
      </w:r>
      <w:r w:rsidR="00C716E4">
        <w:rPr>
          <w:rFonts w:ascii="Arial" w:hAnsi="Arial" w:cs="Arial"/>
          <w:color w:val="808080" w:themeColor="background1" w:themeShade="80"/>
          <w:sz w:val="22"/>
          <w:szCs w:val="22"/>
          <w:lang w:val="en-GB"/>
        </w:rPr>
        <w:t xml:space="preserve"> On approval the scheme needs to be registered with debtor’s governmental corporate register within seven business days.</w:t>
      </w:r>
      <w:r w:rsidR="00730F54">
        <w:rPr>
          <w:rFonts w:ascii="Arial" w:hAnsi="Arial" w:cs="Arial"/>
          <w:color w:val="808080" w:themeColor="background1" w:themeShade="80"/>
          <w:sz w:val="22"/>
          <w:szCs w:val="22"/>
          <w:lang w:val="en-GB"/>
        </w:rPr>
        <w:t xml:space="preserve"> The maximum time would be 120 business days from the date of making the application to the court.</w:t>
      </w:r>
      <w:r w:rsidR="00224E71">
        <w:rPr>
          <w:rFonts w:ascii="Arial" w:hAnsi="Arial" w:cs="Arial"/>
          <w:color w:val="808080" w:themeColor="background1" w:themeShade="80"/>
          <w:sz w:val="22"/>
          <w:szCs w:val="22"/>
          <w:lang w:val="en-GB"/>
        </w:rPr>
        <w:t>]</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lastRenderedPageBreak/>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AD8A688" w14:textId="77777777" w:rsidR="00AB2717"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AB2717">
        <w:rPr>
          <w:rFonts w:ascii="Arial" w:hAnsi="Arial" w:cs="Arial"/>
          <w:color w:val="808080" w:themeColor="background1" w:themeShade="80"/>
          <w:sz w:val="22"/>
          <w:szCs w:val="22"/>
          <w:lang w:val="en-GB"/>
        </w:rPr>
        <w:t>The court shall make an order of bankruptcy of the debtor and the liquidation of the debtor’s assets where the preventive composition is terminated and the restructuring procedures are inappropriate.</w:t>
      </w:r>
    </w:p>
    <w:p w14:paraId="2DF61F3E" w14:textId="77777777" w:rsidR="00AB2717" w:rsidRDefault="00AB2717" w:rsidP="00C76745">
      <w:pPr>
        <w:jc w:val="both"/>
        <w:rPr>
          <w:rFonts w:ascii="Arial" w:hAnsi="Arial" w:cs="Arial"/>
          <w:color w:val="808080" w:themeColor="background1" w:themeShade="80"/>
          <w:sz w:val="22"/>
          <w:szCs w:val="22"/>
          <w:lang w:val="en-GB"/>
        </w:rPr>
      </w:pPr>
    </w:p>
    <w:p w14:paraId="56196078" w14:textId="51F53822" w:rsidR="00AB2717" w:rsidRDefault="00AB2717"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Upon making </w:t>
      </w:r>
      <w:r w:rsidR="003D4190">
        <w:rPr>
          <w:rFonts w:ascii="Arial" w:hAnsi="Arial" w:cs="Arial"/>
          <w:color w:val="808080" w:themeColor="background1" w:themeShade="80"/>
          <w:sz w:val="22"/>
          <w:szCs w:val="22"/>
          <w:lang w:val="en-GB"/>
        </w:rPr>
        <w:t xml:space="preserve">an </w:t>
      </w:r>
      <w:r>
        <w:rPr>
          <w:rFonts w:ascii="Arial" w:hAnsi="Arial" w:cs="Arial"/>
          <w:color w:val="808080" w:themeColor="background1" w:themeShade="80"/>
          <w:sz w:val="22"/>
          <w:szCs w:val="22"/>
          <w:lang w:val="en-GB"/>
        </w:rPr>
        <w:t>order</w:t>
      </w:r>
      <w:r w:rsidR="003D4190">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court shall appoint a trustee to undertake the liquidation</w:t>
      </w:r>
      <w:r w:rsidR="003D4190">
        <w:rPr>
          <w:rFonts w:ascii="Arial" w:hAnsi="Arial" w:cs="Arial"/>
          <w:color w:val="808080" w:themeColor="background1" w:themeShade="80"/>
          <w:sz w:val="22"/>
          <w:szCs w:val="22"/>
          <w:lang w:val="en-GB"/>
        </w:rPr>
        <w:t xml:space="preserve"> who can be any expert or trustee previously appointed in relation to any other procedure to continue in office.</w:t>
      </w:r>
    </w:p>
    <w:p w14:paraId="477746E5" w14:textId="77777777" w:rsidR="003D4190" w:rsidRDefault="003D4190" w:rsidP="00C76745">
      <w:pPr>
        <w:jc w:val="both"/>
        <w:rPr>
          <w:rFonts w:ascii="Arial" w:hAnsi="Arial" w:cs="Arial"/>
          <w:color w:val="808080" w:themeColor="background1" w:themeShade="80"/>
          <w:sz w:val="22"/>
          <w:szCs w:val="22"/>
          <w:lang w:val="en-GB"/>
        </w:rPr>
      </w:pPr>
    </w:p>
    <w:p w14:paraId="45E7912A" w14:textId="0BDDF5F0" w:rsidR="003D4190" w:rsidRDefault="00A85B5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including staff need to make their claim with the trustee within 10 business days from the date of the judgment.</w:t>
      </w:r>
    </w:p>
    <w:p w14:paraId="424FD653" w14:textId="77777777" w:rsidR="00A85B53" w:rsidRDefault="00A85B53" w:rsidP="00C76745">
      <w:pPr>
        <w:jc w:val="both"/>
        <w:rPr>
          <w:rFonts w:ascii="Arial" w:hAnsi="Arial" w:cs="Arial"/>
          <w:color w:val="808080" w:themeColor="background1" w:themeShade="80"/>
          <w:sz w:val="22"/>
          <w:szCs w:val="22"/>
          <w:lang w:val="en-GB"/>
        </w:rPr>
      </w:pPr>
    </w:p>
    <w:p w14:paraId="6B730A91" w14:textId="77777777" w:rsidR="00A85B53" w:rsidRDefault="00A85B5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At the request of the trustee the court may suspend interest and other penalties for non-payment.</w:t>
      </w:r>
    </w:p>
    <w:p w14:paraId="7A0599A9" w14:textId="77777777" w:rsidR="0016652F" w:rsidRDefault="0016652F" w:rsidP="00C76745">
      <w:pPr>
        <w:jc w:val="both"/>
        <w:rPr>
          <w:rFonts w:ascii="Arial" w:hAnsi="Arial" w:cs="Arial"/>
          <w:color w:val="808080" w:themeColor="background1" w:themeShade="80"/>
          <w:sz w:val="22"/>
          <w:szCs w:val="22"/>
          <w:lang w:val="en-GB"/>
        </w:rPr>
      </w:pPr>
    </w:p>
    <w:p w14:paraId="43E4E2C1" w14:textId="0CC34E15" w:rsidR="0016652F" w:rsidRDefault="0016652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 debtor’s assets, subject to security interest, are sold then the proceeds therefrom are applied in the payment of the debts owed to the secured creditors less the trustee’s cost of sale. Any surplus after the sale of assets must be returned to the debtor.</w:t>
      </w:r>
    </w:p>
    <w:p w14:paraId="5BDE665E" w14:textId="77777777" w:rsidR="00A85B53" w:rsidRDefault="00A85B53" w:rsidP="00C76745">
      <w:pPr>
        <w:jc w:val="both"/>
        <w:rPr>
          <w:rFonts w:ascii="Arial" w:hAnsi="Arial" w:cs="Arial"/>
          <w:color w:val="808080" w:themeColor="background1" w:themeShade="80"/>
          <w:sz w:val="22"/>
          <w:szCs w:val="22"/>
          <w:lang w:val="en-GB"/>
        </w:rPr>
      </w:pPr>
    </w:p>
    <w:p w14:paraId="65C8ED64" w14:textId="77777777" w:rsidR="00701319" w:rsidRDefault="00A85B5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shall approve the priorities of payment</w:t>
      </w:r>
      <w:r w:rsidR="00FA073F">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w:t>
      </w:r>
      <w:r w:rsidR="009067EA">
        <w:rPr>
          <w:rFonts w:ascii="Arial" w:hAnsi="Arial" w:cs="Arial"/>
          <w:color w:val="808080" w:themeColor="background1" w:themeShade="80"/>
          <w:sz w:val="22"/>
          <w:szCs w:val="22"/>
          <w:lang w:val="en-GB"/>
        </w:rPr>
        <w:t>that shall be court costs, trustee costs</w:t>
      </w:r>
      <w:r w:rsidR="00FA073F">
        <w:rPr>
          <w:rFonts w:ascii="Arial" w:hAnsi="Arial" w:cs="Arial"/>
          <w:color w:val="808080" w:themeColor="background1" w:themeShade="80"/>
          <w:sz w:val="22"/>
          <w:szCs w:val="22"/>
          <w:lang w:val="en-GB"/>
        </w:rPr>
        <w:t xml:space="preserve"> and</w:t>
      </w:r>
      <w:r w:rsidR="009067EA">
        <w:rPr>
          <w:rFonts w:ascii="Arial" w:hAnsi="Arial" w:cs="Arial"/>
          <w:color w:val="808080" w:themeColor="background1" w:themeShade="80"/>
          <w:sz w:val="22"/>
          <w:szCs w:val="22"/>
          <w:lang w:val="en-GB"/>
        </w:rPr>
        <w:t xml:space="preserve"> unpaid wages &amp; salaries up to a maximum amount of three months</w:t>
      </w:r>
      <w:r w:rsidR="00FA073F">
        <w:rPr>
          <w:rFonts w:ascii="Arial" w:hAnsi="Arial" w:cs="Arial"/>
          <w:color w:val="808080" w:themeColor="background1" w:themeShade="80"/>
          <w:sz w:val="22"/>
          <w:szCs w:val="22"/>
          <w:lang w:val="en-GB"/>
        </w:rPr>
        <w:t xml:space="preserve">’ salary in this case. The </w:t>
      </w:r>
      <w:r w:rsidR="00FD3259">
        <w:rPr>
          <w:rFonts w:ascii="Arial" w:hAnsi="Arial" w:cs="Arial"/>
          <w:color w:val="808080" w:themeColor="background1" w:themeShade="80"/>
          <w:sz w:val="22"/>
          <w:szCs w:val="22"/>
          <w:lang w:val="en-GB"/>
        </w:rPr>
        <w:t xml:space="preserve">creditors for </w:t>
      </w:r>
      <w:r w:rsidR="00FA073F">
        <w:rPr>
          <w:rFonts w:ascii="Arial" w:hAnsi="Arial" w:cs="Arial"/>
          <w:color w:val="808080" w:themeColor="background1" w:themeShade="80"/>
          <w:sz w:val="22"/>
          <w:szCs w:val="22"/>
          <w:lang w:val="en-GB"/>
        </w:rPr>
        <w:t>supplying the debtor with goods and services during preventive composition</w:t>
      </w:r>
      <w:r w:rsidR="00FD3259">
        <w:rPr>
          <w:rFonts w:ascii="Arial" w:hAnsi="Arial" w:cs="Arial"/>
          <w:color w:val="808080" w:themeColor="background1" w:themeShade="80"/>
          <w:sz w:val="22"/>
          <w:szCs w:val="22"/>
          <w:lang w:val="en-GB"/>
        </w:rPr>
        <w:t xml:space="preserve">, if not holding security interest, </w:t>
      </w:r>
      <w:r w:rsidR="00FA073F">
        <w:rPr>
          <w:rFonts w:ascii="Arial" w:hAnsi="Arial" w:cs="Arial"/>
          <w:color w:val="808080" w:themeColor="background1" w:themeShade="80"/>
          <w:sz w:val="22"/>
          <w:szCs w:val="22"/>
          <w:lang w:val="en-GB"/>
        </w:rPr>
        <w:t>will be paid from remaining assets if any.</w:t>
      </w:r>
    </w:p>
    <w:p w14:paraId="2C38E494" w14:textId="77777777" w:rsidR="00701319" w:rsidRDefault="00701319" w:rsidP="00C76745">
      <w:pPr>
        <w:jc w:val="both"/>
        <w:rPr>
          <w:rFonts w:ascii="Arial" w:hAnsi="Arial" w:cs="Arial"/>
          <w:color w:val="808080" w:themeColor="background1" w:themeShade="80"/>
          <w:sz w:val="22"/>
          <w:szCs w:val="22"/>
          <w:lang w:val="en-GB"/>
        </w:rPr>
      </w:pPr>
    </w:p>
    <w:p w14:paraId="018D5BEE" w14:textId="73D74F23" w:rsidR="009D3106" w:rsidRPr="00CA448F" w:rsidRDefault="0070131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to other specific liabilities, where the assets of the debtor are insufficient to pay 20% of the debts of the company, the court may require the directors and managers of the company to pay the debt in those cases where those persons’ responsibility for losses is evident.</w:t>
      </w:r>
      <w:r w:rsidR="00224E71">
        <w:rPr>
          <w:rFonts w:ascii="Arial" w:hAnsi="Arial" w:cs="Arial"/>
          <w:color w:val="808080" w:themeColor="background1" w:themeShade="80"/>
          <w:sz w:val="22"/>
          <w:szCs w:val="22"/>
          <w:lang w:val="en-GB"/>
        </w:rPr>
        <w:t>]</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2D889AD8" w14:textId="77777777" w:rsidR="009D5525"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BA7A60">
        <w:rPr>
          <w:rFonts w:ascii="Arial" w:hAnsi="Arial" w:cs="Arial"/>
          <w:color w:val="808080" w:themeColor="background1" w:themeShade="80"/>
          <w:sz w:val="22"/>
          <w:szCs w:val="22"/>
          <w:lang w:val="en-GB"/>
        </w:rPr>
        <w:t xml:space="preserve">The creditors </w:t>
      </w:r>
      <w:r w:rsidR="00BD08AF">
        <w:rPr>
          <w:rFonts w:ascii="Arial" w:hAnsi="Arial" w:cs="Arial"/>
          <w:color w:val="808080" w:themeColor="background1" w:themeShade="80"/>
          <w:sz w:val="22"/>
          <w:szCs w:val="22"/>
          <w:lang w:val="en-GB"/>
        </w:rPr>
        <w:t xml:space="preserve">have an option to requisition the company to </w:t>
      </w:r>
      <w:r w:rsidR="00BA7A60">
        <w:rPr>
          <w:rFonts w:ascii="Arial" w:hAnsi="Arial" w:cs="Arial"/>
          <w:color w:val="808080" w:themeColor="background1" w:themeShade="80"/>
          <w:sz w:val="22"/>
          <w:szCs w:val="22"/>
          <w:lang w:val="en-GB"/>
        </w:rPr>
        <w:t xml:space="preserve">commence a </w:t>
      </w:r>
      <w:r w:rsidR="00BD08AF">
        <w:rPr>
          <w:rFonts w:ascii="Arial" w:hAnsi="Arial" w:cs="Arial"/>
          <w:color w:val="808080" w:themeColor="background1" w:themeShade="80"/>
          <w:sz w:val="22"/>
          <w:szCs w:val="22"/>
          <w:lang w:val="en-GB"/>
        </w:rPr>
        <w:t xml:space="preserve">creditors’ </w:t>
      </w:r>
      <w:r w:rsidR="00BA7A60">
        <w:rPr>
          <w:rFonts w:ascii="Arial" w:hAnsi="Arial" w:cs="Arial"/>
          <w:color w:val="808080" w:themeColor="background1" w:themeShade="80"/>
          <w:sz w:val="22"/>
          <w:szCs w:val="22"/>
          <w:lang w:val="en-GB"/>
        </w:rPr>
        <w:t xml:space="preserve">voluntary winding up by </w:t>
      </w:r>
      <w:r w:rsidR="00BD08AF">
        <w:rPr>
          <w:rFonts w:ascii="Arial" w:hAnsi="Arial" w:cs="Arial"/>
          <w:color w:val="808080" w:themeColor="background1" w:themeShade="80"/>
          <w:sz w:val="22"/>
          <w:szCs w:val="22"/>
          <w:lang w:val="en-GB"/>
        </w:rPr>
        <w:t>passing a resolution or may approach the court for compulsory winding up where the debtor is unable to pay its debt.</w:t>
      </w:r>
    </w:p>
    <w:p w14:paraId="2D61F18F" w14:textId="77777777" w:rsidR="009D5525" w:rsidRDefault="009D5525" w:rsidP="00C76745">
      <w:pPr>
        <w:jc w:val="both"/>
        <w:rPr>
          <w:rFonts w:ascii="Arial" w:hAnsi="Arial" w:cs="Arial"/>
          <w:color w:val="808080" w:themeColor="background1" w:themeShade="80"/>
          <w:sz w:val="22"/>
          <w:szCs w:val="22"/>
          <w:lang w:val="en-GB"/>
        </w:rPr>
      </w:pPr>
    </w:p>
    <w:p w14:paraId="0CD68582" w14:textId="217CC31B" w:rsidR="00BD08AF" w:rsidRDefault="00BD08A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company is presumed to be unable to pay its debt where a creditor has made a demand for payment of a debt which is for a sum more than USD 2,000 and that demand has been unsatisfied for a period more than three weeks.</w:t>
      </w:r>
    </w:p>
    <w:p w14:paraId="6CEA06F2" w14:textId="77777777" w:rsidR="00BD08AF" w:rsidRDefault="00BD08AF" w:rsidP="00C76745">
      <w:pPr>
        <w:jc w:val="both"/>
        <w:rPr>
          <w:rFonts w:ascii="Arial" w:hAnsi="Arial" w:cs="Arial"/>
          <w:color w:val="808080" w:themeColor="background1" w:themeShade="80"/>
          <w:sz w:val="22"/>
          <w:szCs w:val="22"/>
          <w:lang w:val="en-GB"/>
        </w:rPr>
      </w:pPr>
    </w:p>
    <w:p w14:paraId="2E778D16" w14:textId="5100912D" w:rsidR="009D5525" w:rsidRDefault="009D552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winding up the company may nominate a liquidator to be appointed who shall be nominated by the creditors. Upon appointment of the liquidator, the director’s powers cease. The creditors at their meeting may also appoint a liquidation committee to exercise function as under the DIFC Insolvency Law.</w:t>
      </w:r>
    </w:p>
    <w:p w14:paraId="42F8772B" w14:textId="77777777" w:rsidR="009D5525" w:rsidRDefault="009D5525" w:rsidP="00C76745">
      <w:pPr>
        <w:jc w:val="both"/>
        <w:rPr>
          <w:rFonts w:ascii="Arial" w:hAnsi="Arial" w:cs="Arial"/>
          <w:color w:val="808080" w:themeColor="background1" w:themeShade="80"/>
          <w:sz w:val="22"/>
          <w:szCs w:val="22"/>
          <w:lang w:val="en-GB"/>
        </w:rPr>
      </w:pPr>
    </w:p>
    <w:p w14:paraId="06D3523C" w14:textId="1101BDA2" w:rsidR="00FD4D85" w:rsidRDefault="00FD4D8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 shall be responsible for the winding up of the company</w:t>
      </w:r>
      <w:r w:rsidR="005D08A2">
        <w:rPr>
          <w:rFonts w:ascii="Arial" w:hAnsi="Arial" w:cs="Arial"/>
          <w:color w:val="808080" w:themeColor="background1" w:themeShade="80"/>
          <w:sz w:val="22"/>
          <w:szCs w:val="22"/>
          <w:lang w:val="en-GB"/>
        </w:rPr>
        <w:t xml:space="preserve">, its </w:t>
      </w:r>
      <w:r>
        <w:rPr>
          <w:rFonts w:ascii="Arial" w:hAnsi="Arial" w:cs="Arial"/>
          <w:color w:val="808080" w:themeColor="background1" w:themeShade="80"/>
          <w:sz w:val="22"/>
          <w:szCs w:val="22"/>
          <w:lang w:val="en-GB"/>
        </w:rPr>
        <w:t>affairs</w:t>
      </w:r>
      <w:r w:rsidR="005D08A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to gather, realise and distribute the company’s assets.</w:t>
      </w:r>
    </w:p>
    <w:p w14:paraId="35A315E6" w14:textId="77777777" w:rsidR="00FD4D85" w:rsidRDefault="00FD4D85" w:rsidP="00C76745">
      <w:pPr>
        <w:jc w:val="both"/>
        <w:rPr>
          <w:rFonts w:ascii="Arial" w:hAnsi="Arial" w:cs="Arial"/>
          <w:color w:val="808080" w:themeColor="background1" w:themeShade="80"/>
          <w:sz w:val="22"/>
          <w:szCs w:val="22"/>
          <w:lang w:val="en-GB"/>
        </w:rPr>
      </w:pPr>
    </w:p>
    <w:p w14:paraId="0D123DEE" w14:textId="77777777" w:rsidR="00E810CD" w:rsidRDefault="009E1F2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creditor must submit to liquidator a claim for the amount in writing. The liquidator shall verify the claim to the supporting information provided. Where the debt cannot be ascertained, the liquidator may estimate the quantum. The liquidator must take into account any set off which exists between the creditor and the company and may take account of the accrued interest up to the date of the commencement of winding up.</w:t>
      </w:r>
      <w:r w:rsidR="00E810CD">
        <w:rPr>
          <w:rFonts w:ascii="Arial" w:hAnsi="Arial" w:cs="Arial"/>
          <w:color w:val="808080" w:themeColor="background1" w:themeShade="80"/>
          <w:sz w:val="22"/>
          <w:szCs w:val="22"/>
          <w:lang w:val="en-GB"/>
        </w:rPr>
        <w:t xml:space="preserve"> A creditor may prove a future debt, debt in foreign currency converted into US dollars and where it is a secured creditor for balance owning post realisation of any security interest.</w:t>
      </w:r>
    </w:p>
    <w:p w14:paraId="66BD78ED" w14:textId="77777777" w:rsidR="00E810CD" w:rsidRDefault="00E810CD" w:rsidP="00C76745">
      <w:pPr>
        <w:jc w:val="both"/>
        <w:rPr>
          <w:rFonts w:ascii="Arial" w:hAnsi="Arial" w:cs="Arial"/>
          <w:color w:val="808080" w:themeColor="background1" w:themeShade="80"/>
          <w:sz w:val="22"/>
          <w:szCs w:val="22"/>
          <w:lang w:val="en-GB"/>
        </w:rPr>
      </w:pPr>
    </w:p>
    <w:p w14:paraId="16239729" w14:textId="77777777" w:rsidR="00687C6B" w:rsidRDefault="00E810C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DIFC being a financial centre all netting contracts expressly override any provisions of the Insolvency law (except in relation to what are defined as “the Business Rules” of “Authorised Market Institutions” – effectively exchanges or clearing houses – regarding the finality </w:t>
      </w:r>
      <w:r w:rsidR="00687C6B">
        <w:rPr>
          <w:rFonts w:ascii="Arial" w:hAnsi="Arial" w:cs="Arial"/>
          <w:color w:val="808080" w:themeColor="background1" w:themeShade="80"/>
          <w:sz w:val="22"/>
          <w:szCs w:val="22"/>
          <w:lang w:val="en-GB"/>
        </w:rPr>
        <w:t>of payment</w:t>
      </w:r>
      <w:r>
        <w:rPr>
          <w:rFonts w:ascii="Arial" w:hAnsi="Arial" w:cs="Arial"/>
          <w:color w:val="808080" w:themeColor="background1" w:themeShade="80"/>
          <w:sz w:val="22"/>
          <w:szCs w:val="22"/>
          <w:lang w:val="en-GB"/>
        </w:rPr>
        <w:t>.</w:t>
      </w:r>
    </w:p>
    <w:p w14:paraId="1283863E" w14:textId="77777777" w:rsidR="00687C6B" w:rsidRDefault="00687C6B" w:rsidP="00C76745">
      <w:pPr>
        <w:jc w:val="both"/>
        <w:rPr>
          <w:rFonts w:ascii="Arial" w:hAnsi="Arial" w:cs="Arial"/>
          <w:color w:val="808080" w:themeColor="background1" w:themeShade="80"/>
          <w:sz w:val="22"/>
          <w:szCs w:val="22"/>
          <w:lang w:val="en-GB"/>
        </w:rPr>
      </w:pPr>
    </w:p>
    <w:p w14:paraId="2C359E23" w14:textId="77777777" w:rsidR="00B42532" w:rsidRDefault="00687C6B"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 after evaluating the claim may then admit or reject (in whole or part) any proofs of debt for the purposes of determining whether to make a payment to the creditor. Creditor dissatisfied by the decision of the liquidator may appeal within 21 days of receiving notice by application to the court.</w:t>
      </w:r>
    </w:p>
    <w:p w14:paraId="4BC21940" w14:textId="77777777" w:rsidR="00B42532" w:rsidRDefault="00B42532" w:rsidP="00C76745">
      <w:pPr>
        <w:jc w:val="both"/>
        <w:rPr>
          <w:rFonts w:ascii="Arial" w:hAnsi="Arial" w:cs="Arial"/>
          <w:color w:val="808080" w:themeColor="background1" w:themeShade="80"/>
          <w:sz w:val="22"/>
          <w:szCs w:val="22"/>
          <w:lang w:val="en-GB"/>
        </w:rPr>
      </w:pPr>
    </w:p>
    <w:p w14:paraId="385F7F1A" w14:textId="3587052A" w:rsidR="00640623" w:rsidRPr="00CA448F" w:rsidRDefault="00B4253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there are no specific provisions governing the contract</w:t>
      </w:r>
      <w:r w:rsidR="00BD1F82">
        <w:rPr>
          <w:rFonts w:ascii="Arial" w:hAnsi="Arial" w:cs="Arial"/>
          <w:color w:val="808080" w:themeColor="background1" w:themeShade="80"/>
          <w:sz w:val="22"/>
          <w:szCs w:val="22"/>
          <w:lang w:val="en-GB"/>
        </w:rPr>
        <w:t xml:space="preserve"> that have not been fully performed, the claims shall be determined by the general law of liability, including law of debt, damages and restitution.</w:t>
      </w:r>
      <w:r w:rsidR="00DA4D42">
        <w:rPr>
          <w:rFonts w:ascii="Arial" w:hAnsi="Arial" w:cs="Arial"/>
          <w:color w:val="808080" w:themeColor="background1" w:themeShade="80"/>
          <w:sz w:val="22"/>
          <w:szCs w:val="22"/>
          <w:lang w:val="en-GB"/>
        </w:rPr>
        <w:t>]</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bookmarkStart w:id="1" w:name="_GoBack"/>
      <w:bookmarkEnd w:id="1"/>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F207" w14:textId="77777777" w:rsidR="004C5524" w:rsidRDefault="004C5524" w:rsidP="00241B44">
      <w:r>
        <w:separator/>
      </w:r>
    </w:p>
  </w:endnote>
  <w:endnote w:type="continuationSeparator" w:id="0">
    <w:p w14:paraId="64C35F2B" w14:textId="77777777" w:rsidR="004C5524" w:rsidRDefault="004C552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C562BE" w:rsidRPr="00FC7B47" w:rsidRDefault="00C562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C562BE" w:rsidRPr="00FC7B47" w:rsidRDefault="00C562B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C562BE" w:rsidRPr="009B4976" w:rsidRDefault="00C562BE" w:rsidP="00C562B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412B1">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59EE308D" w:rsidR="00C562BE" w:rsidRPr="009B4976" w:rsidRDefault="00C562BE" w:rsidP="009B4976">
    <w:pPr>
      <w:pStyle w:val="Footer"/>
      <w:ind w:right="360"/>
      <w:rPr>
        <w:rFonts w:ascii="Arial" w:hAnsi="Arial" w:cs="Arial"/>
        <w:sz w:val="18"/>
        <w:szCs w:val="18"/>
        <w:lang w:val="en-GB"/>
      </w:rPr>
    </w:pPr>
    <w:r w:rsidRPr="00C167FF">
      <w:rPr>
        <w:rFonts w:ascii="Arial" w:hAnsi="Arial" w:cs="Arial"/>
        <w:sz w:val="18"/>
        <w:szCs w:val="18"/>
        <w:lang w:val="en-GB"/>
      </w:rPr>
      <w:t>202122-494.assessment7E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0D72" w14:textId="77777777" w:rsidR="004C5524" w:rsidRDefault="004C5524" w:rsidP="00241B44">
      <w:r>
        <w:separator/>
      </w:r>
    </w:p>
  </w:footnote>
  <w:footnote w:type="continuationSeparator" w:id="0">
    <w:p w14:paraId="33CED139" w14:textId="77777777" w:rsidR="004C5524" w:rsidRDefault="004C5524" w:rsidP="00241B44">
      <w:r>
        <w:continuationSeparator/>
      </w:r>
    </w:p>
  </w:footnote>
  <w:footnote w:id="1">
    <w:p w14:paraId="4E104B0E" w14:textId="0D07F3CF" w:rsidR="00C562BE" w:rsidRDefault="00C562BE">
      <w:pPr>
        <w:pStyle w:val="FootnoteText"/>
      </w:pPr>
      <w:r>
        <w:rPr>
          <w:rStyle w:val="FootnoteReference"/>
        </w:rPr>
        <w:footnoteRef/>
      </w:r>
      <w:r>
        <w:t xml:space="preserve"> Bankruptcy Law, art 79</w:t>
      </w:r>
    </w:p>
  </w:footnote>
  <w:footnote w:id="2">
    <w:p w14:paraId="243AAC2C" w14:textId="7A081937" w:rsidR="00C562BE" w:rsidRDefault="00C562BE">
      <w:pPr>
        <w:pStyle w:val="FootnoteText"/>
      </w:pPr>
      <w:r>
        <w:rPr>
          <w:rStyle w:val="FootnoteReference"/>
        </w:rPr>
        <w:footnoteRef/>
      </w:r>
      <w:r>
        <w:t xml:space="preserve"> </w:t>
      </w:r>
      <w:r w:rsidRPr="00214592">
        <w:rPr>
          <w:i/>
        </w:rPr>
        <w:t>Idem</w:t>
      </w:r>
      <w:r>
        <w:t>, art 80</w:t>
      </w:r>
    </w:p>
  </w:footnote>
  <w:footnote w:id="3">
    <w:p w14:paraId="6397731C" w14:textId="21BDC994" w:rsidR="00C562BE" w:rsidRDefault="00C562BE">
      <w:pPr>
        <w:pStyle w:val="FootnoteText"/>
      </w:pPr>
      <w:r>
        <w:rPr>
          <w:rStyle w:val="FootnoteReference"/>
        </w:rPr>
        <w:footnoteRef/>
      </w:r>
      <w:r>
        <w:t xml:space="preserve"> </w:t>
      </w:r>
      <w:r w:rsidRPr="00214592">
        <w:rPr>
          <w:i/>
        </w:rPr>
        <w:t>Idem</w:t>
      </w:r>
      <w:r>
        <w:t>, art 81</w:t>
      </w:r>
    </w:p>
  </w:footnote>
  <w:footnote w:id="4">
    <w:p w14:paraId="18BD12FD" w14:textId="37560146" w:rsidR="00C562BE" w:rsidRDefault="00C562BE">
      <w:pPr>
        <w:pStyle w:val="FootnoteText"/>
      </w:pPr>
      <w:r>
        <w:rPr>
          <w:rStyle w:val="FootnoteReference"/>
        </w:rPr>
        <w:footnoteRef/>
      </w:r>
      <w:r>
        <w:t xml:space="preserve"> </w:t>
      </w:r>
      <w:r w:rsidRPr="00214592">
        <w:rPr>
          <w:i/>
        </w:rPr>
        <w:t>Idem</w:t>
      </w:r>
      <w:r>
        <w:t>, art 77</w:t>
      </w:r>
    </w:p>
  </w:footnote>
  <w:footnote w:id="5">
    <w:p w14:paraId="16408112" w14:textId="174FC8CE" w:rsidR="00C562BE" w:rsidRDefault="00C562BE">
      <w:pPr>
        <w:pStyle w:val="FootnoteText"/>
      </w:pPr>
      <w:r>
        <w:rPr>
          <w:rStyle w:val="FootnoteReference"/>
        </w:rPr>
        <w:footnoteRef/>
      </w:r>
      <w:r>
        <w:t xml:space="preserve"> </w:t>
      </w:r>
      <w:r w:rsidRPr="00214592">
        <w:rPr>
          <w:i/>
        </w:rPr>
        <w:t>Idem</w:t>
      </w:r>
      <w:r>
        <w:t>, art 78</w:t>
      </w:r>
    </w:p>
  </w:footnote>
  <w:footnote w:id="6">
    <w:p w14:paraId="6427C280" w14:textId="5F9F8CD1" w:rsidR="00C562BE" w:rsidRDefault="00C562BE">
      <w:pPr>
        <w:pStyle w:val="FootnoteText"/>
      </w:pPr>
      <w:r>
        <w:rPr>
          <w:rStyle w:val="FootnoteReference"/>
        </w:rPr>
        <w:footnoteRef/>
      </w:r>
      <w:r>
        <w:t xml:space="preserve"> </w:t>
      </w:r>
      <w:r w:rsidRPr="00214592">
        <w:rPr>
          <w:i/>
        </w:rPr>
        <w:t>Idem</w:t>
      </w:r>
      <w:r>
        <w:t>, art 83</w:t>
      </w:r>
    </w:p>
  </w:footnote>
  <w:footnote w:id="7">
    <w:p w14:paraId="6505F00B" w14:textId="5DC81E63" w:rsidR="00C562BE" w:rsidRDefault="00C562BE">
      <w:pPr>
        <w:pStyle w:val="FootnoteText"/>
      </w:pPr>
      <w:r>
        <w:rPr>
          <w:rStyle w:val="FootnoteReference"/>
        </w:rPr>
        <w:footnoteRef/>
      </w:r>
      <w:r>
        <w:t xml:space="preserve"> </w:t>
      </w:r>
      <w:r w:rsidRPr="00214592">
        <w:rPr>
          <w:i/>
        </w:rPr>
        <w:t>Idem</w:t>
      </w:r>
      <w:r>
        <w:t>, art 86</w:t>
      </w:r>
    </w:p>
  </w:footnote>
  <w:footnote w:id="8">
    <w:p w14:paraId="438EA6E0" w14:textId="5553F0A8" w:rsidR="00C562BE" w:rsidRDefault="00C562BE">
      <w:pPr>
        <w:pStyle w:val="FootnoteText"/>
      </w:pPr>
      <w:r>
        <w:rPr>
          <w:rStyle w:val="FootnoteReference"/>
        </w:rPr>
        <w:footnoteRef/>
      </w:r>
      <w:r>
        <w:t xml:space="preserve"> </w:t>
      </w:r>
      <w:r w:rsidRPr="00214592">
        <w:rPr>
          <w:i/>
        </w:rPr>
        <w:t>Idem</w:t>
      </w:r>
      <w:r>
        <w:t>, art 87</w:t>
      </w:r>
    </w:p>
  </w:footnote>
  <w:footnote w:id="9">
    <w:p w14:paraId="03EC3821" w14:textId="2804AC21" w:rsidR="00C562BE" w:rsidRDefault="00C562BE">
      <w:pPr>
        <w:pStyle w:val="FootnoteText"/>
      </w:pPr>
      <w:r>
        <w:rPr>
          <w:rStyle w:val="FootnoteReference"/>
        </w:rPr>
        <w:footnoteRef/>
      </w:r>
      <w:r>
        <w:t xml:space="preserve"> </w:t>
      </w:r>
      <w:r w:rsidRPr="00214592">
        <w:rPr>
          <w:i/>
        </w:rPr>
        <w:t>Idem</w:t>
      </w:r>
      <w:r>
        <w:t>, art 88</w:t>
      </w:r>
    </w:p>
  </w:footnote>
  <w:footnote w:id="10">
    <w:p w14:paraId="1D943C1F" w14:textId="437E4EF4" w:rsidR="00C562BE" w:rsidRDefault="00C562BE">
      <w:pPr>
        <w:pStyle w:val="FootnoteText"/>
      </w:pPr>
      <w:r>
        <w:rPr>
          <w:rStyle w:val="FootnoteReference"/>
        </w:rPr>
        <w:footnoteRef/>
      </w:r>
      <w:r>
        <w:t xml:space="preserve"> </w:t>
      </w:r>
      <w:r w:rsidRPr="00214592">
        <w:rPr>
          <w:i/>
        </w:rPr>
        <w:t>Idem</w:t>
      </w:r>
      <w:r>
        <w:t>, art 94</w:t>
      </w:r>
    </w:p>
  </w:footnote>
  <w:footnote w:id="11">
    <w:p w14:paraId="6F91DE45" w14:textId="3F2E9BC6" w:rsidR="00C562BE" w:rsidRDefault="00C562BE">
      <w:pPr>
        <w:pStyle w:val="FootnoteText"/>
      </w:pPr>
      <w:r>
        <w:rPr>
          <w:rStyle w:val="FootnoteReference"/>
        </w:rPr>
        <w:footnoteRef/>
      </w:r>
      <w:r>
        <w:t xml:space="preserve"> </w:t>
      </w:r>
      <w:r w:rsidRPr="00214592">
        <w:rPr>
          <w:i/>
        </w:rPr>
        <w:t>Idem</w:t>
      </w:r>
      <w:r>
        <w:t>, art 94</w:t>
      </w:r>
    </w:p>
  </w:footnote>
  <w:footnote w:id="12">
    <w:p w14:paraId="2DF77015" w14:textId="2FC5B5EB" w:rsidR="00C562BE" w:rsidRDefault="00C562BE">
      <w:pPr>
        <w:pStyle w:val="FootnoteText"/>
      </w:pPr>
      <w:r>
        <w:rPr>
          <w:rStyle w:val="FootnoteReference"/>
        </w:rPr>
        <w:footnoteRef/>
      </w:r>
      <w:r>
        <w:t xml:space="preserve"> </w:t>
      </w:r>
      <w:r w:rsidRPr="00214592">
        <w:rPr>
          <w:i/>
        </w:rPr>
        <w:t>Idem</w:t>
      </w:r>
      <w:r>
        <w:t>, art 163</w:t>
      </w:r>
    </w:p>
  </w:footnote>
  <w:footnote w:id="13">
    <w:p w14:paraId="73FD66D4" w14:textId="3E30A5F8" w:rsidR="00C562BE" w:rsidRDefault="00C562BE">
      <w:pPr>
        <w:pStyle w:val="FootnoteText"/>
      </w:pPr>
      <w:r>
        <w:rPr>
          <w:rStyle w:val="FootnoteReference"/>
        </w:rPr>
        <w:footnoteRef/>
      </w:r>
      <w:r>
        <w:t xml:space="preserve"> </w:t>
      </w:r>
      <w:r w:rsidRPr="00214592">
        <w:rPr>
          <w:i/>
        </w:rPr>
        <w:t>Idem</w:t>
      </w:r>
      <w:r>
        <w:t>, art 165</w:t>
      </w:r>
    </w:p>
  </w:footnote>
  <w:footnote w:id="14">
    <w:p w14:paraId="77BF71FC" w14:textId="7DD03F42" w:rsidR="00C562BE" w:rsidRDefault="00C562BE">
      <w:pPr>
        <w:pStyle w:val="FootnoteText"/>
      </w:pPr>
      <w:r>
        <w:rPr>
          <w:rStyle w:val="FootnoteReference"/>
        </w:rPr>
        <w:footnoteRef/>
      </w:r>
      <w:r>
        <w:t xml:space="preserve"> </w:t>
      </w:r>
      <w:r w:rsidRPr="00214592">
        <w:rPr>
          <w:i/>
        </w:rPr>
        <w:t>Idem</w:t>
      </w:r>
      <w:r>
        <w:t>, art 96</w:t>
      </w:r>
    </w:p>
  </w:footnote>
  <w:footnote w:id="15">
    <w:p w14:paraId="2C644744" w14:textId="4F0CB557" w:rsidR="00C562BE" w:rsidRDefault="00C562BE">
      <w:pPr>
        <w:pStyle w:val="FootnoteText"/>
      </w:pPr>
      <w:r>
        <w:rPr>
          <w:rStyle w:val="FootnoteReference"/>
        </w:rPr>
        <w:footnoteRef/>
      </w:r>
      <w:r>
        <w:t xml:space="preserve"> </w:t>
      </w:r>
      <w:r w:rsidRPr="00214592">
        <w:rPr>
          <w:i/>
        </w:rPr>
        <w:t>Idem</w:t>
      </w:r>
      <w:r>
        <w:t>, art 105</w:t>
      </w:r>
    </w:p>
  </w:footnote>
  <w:footnote w:id="16">
    <w:p w14:paraId="2B73C9D8" w14:textId="59CBFB54" w:rsidR="00C562BE" w:rsidRDefault="00C562BE">
      <w:pPr>
        <w:pStyle w:val="FootnoteText"/>
      </w:pPr>
      <w:r>
        <w:rPr>
          <w:rStyle w:val="FootnoteReference"/>
        </w:rPr>
        <w:footnoteRef/>
      </w:r>
      <w:r>
        <w:t xml:space="preserve"> </w:t>
      </w:r>
      <w:r w:rsidRPr="00214592">
        <w:rPr>
          <w:i/>
        </w:rPr>
        <w:t>Idem</w:t>
      </w:r>
      <w:r>
        <w:t>, art 108</w:t>
      </w:r>
    </w:p>
  </w:footnote>
  <w:footnote w:id="17">
    <w:p w14:paraId="25B451D6" w14:textId="558B9A16" w:rsidR="00C562BE" w:rsidRDefault="00C562BE">
      <w:pPr>
        <w:pStyle w:val="FootnoteText"/>
      </w:pPr>
      <w:r>
        <w:rPr>
          <w:rStyle w:val="FootnoteReference"/>
        </w:rPr>
        <w:footnoteRef/>
      </w:r>
      <w:r>
        <w:t xml:space="preserve"> </w:t>
      </w:r>
      <w:r w:rsidRPr="00214592">
        <w:rPr>
          <w:i/>
        </w:rPr>
        <w:t>Idem</w:t>
      </w:r>
      <w:r>
        <w:t>, art 109</w:t>
      </w:r>
    </w:p>
  </w:footnote>
  <w:footnote w:id="18">
    <w:p w14:paraId="38C52AFF" w14:textId="7102AB03" w:rsidR="00C562BE" w:rsidRDefault="00C562BE">
      <w:pPr>
        <w:pStyle w:val="FootnoteText"/>
      </w:pPr>
      <w:r>
        <w:rPr>
          <w:rStyle w:val="FootnoteReference"/>
        </w:rPr>
        <w:footnoteRef/>
      </w:r>
      <w:r>
        <w:t xml:space="preserve"> </w:t>
      </w:r>
      <w:r w:rsidRPr="00214592">
        <w:rPr>
          <w:i/>
        </w:rPr>
        <w:t>Idem</w:t>
      </w:r>
      <w:r>
        <w:t>, art 162</w:t>
      </w:r>
    </w:p>
  </w:footnote>
  <w:footnote w:id="19">
    <w:p w14:paraId="1302B105" w14:textId="1A1C7CEC" w:rsidR="00C562BE" w:rsidRDefault="00C562BE">
      <w:pPr>
        <w:pStyle w:val="FootnoteText"/>
      </w:pPr>
      <w:r>
        <w:rPr>
          <w:rStyle w:val="FootnoteReference"/>
        </w:rPr>
        <w:footnoteRef/>
      </w:r>
      <w:r>
        <w:t xml:space="preserve"> </w:t>
      </w:r>
      <w:r w:rsidRPr="00214592">
        <w:rPr>
          <w:i/>
        </w:rPr>
        <w:t>Idem</w:t>
      </w:r>
      <w:r>
        <w:t>, art 114</w:t>
      </w:r>
    </w:p>
  </w:footnote>
  <w:footnote w:id="20">
    <w:p w14:paraId="6163A2F6" w14:textId="723F4735" w:rsidR="00C562BE" w:rsidRDefault="00C562BE">
      <w:pPr>
        <w:pStyle w:val="FootnoteText"/>
      </w:pPr>
      <w:r>
        <w:rPr>
          <w:rStyle w:val="FootnoteReference"/>
        </w:rPr>
        <w:footnoteRef/>
      </w:r>
      <w:r>
        <w:t xml:space="preserve"> </w:t>
      </w:r>
      <w:r w:rsidRPr="00214592">
        <w:rPr>
          <w:i/>
        </w:rPr>
        <w:t>Idem</w:t>
      </w:r>
      <w:r>
        <w:t>, art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9904F44"/>
    <w:multiLevelType w:val="hybridMultilevel"/>
    <w:tmpl w:val="C750E8C6"/>
    <w:lvl w:ilvl="0" w:tplc="C802A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5"/>
  </w:num>
  <w:num w:numId="6">
    <w:abstractNumId w:val="8"/>
  </w:num>
  <w:num w:numId="7">
    <w:abstractNumId w:val="34"/>
  </w:num>
  <w:num w:numId="8">
    <w:abstractNumId w:val="6"/>
  </w:num>
  <w:num w:numId="9">
    <w:abstractNumId w:val="7"/>
  </w:num>
  <w:num w:numId="10">
    <w:abstractNumId w:val="4"/>
  </w:num>
  <w:num w:numId="11">
    <w:abstractNumId w:val="17"/>
  </w:num>
  <w:num w:numId="12">
    <w:abstractNumId w:val="14"/>
  </w:num>
  <w:num w:numId="13">
    <w:abstractNumId w:val="26"/>
  </w:num>
  <w:num w:numId="14">
    <w:abstractNumId w:val="19"/>
  </w:num>
  <w:num w:numId="15">
    <w:abstractNumId w:val="31"/>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5"/>
  </w:num>
  <w:num w:numId="23">
    <w:abstractNumId w:val="3"/>
  </w:num>
  <w:num w:numId="24">
    <w:abstractNumId w:val="24"/>
  </w:num>
  <w:num w:numId="25">
    <w:abstractNumId w:val="13"/>
  </w:num>
  <w:num w:numId="26">
    <w:abstractNumId w:val="30"/>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8"/>
  </w:num>
  <w:num w:numId="35">
    <w:abstractNumId w:val="29"/>
  </w:num>
  <w:num w:numId="36">
    <w:abstractNumId w:val="12"/>
  </w:num>
  <w:num w:numId="3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57431"/>
    <w:rsid w:val="00065166"/>
    <w:rsid w:val="000716B2"/>
    <w:rsid w:val="00082609"/>
    <w:rsid w:val="000851CC"/>
    <w:rsid w:val="00085C85"/>
    <w:rsid w:val="00087F21"/>
    <w:rsid w:val="00093BE8"/>
    <w:rsid w:val="00094D40"/>
    <w:rsid w:val="000A407B"/>
    <w:rsid w:val="000A68ED"/>
    <w:rsid w:val="000B5FF1"/>
    <w:rsid w:val="000B609F"/>
    <w:rsid w:val="000B6EBE"/>
    <w:rsid w:val="000D55A8"/>
    <w:rsid w:val="000E4841"/>
    <w:rsid w:val="000E4FA3"/>
    <w:rsid w:val="000F1677"/>
    <w:rsid w:val="000F3D6C"/>
    <w:rsid w:val="000F6562"/>
    <w:rsid w:val="00101707"/>
    <w:rsid w:val="00102CC9"/>
    <w:rsid w:val="0010593A"/>
    <w:rsid w:val="00111F83"/>
    <w:rsid w:val="0011473D"/>
    <w:rsid w:val="00115C85"/>
    <w:rsid w:val="00122F36"/>
    <w:rsid w:val="00123855"/>
    <w:rsid w:val="0012416E"/>
    <w:rsid w:val="00126A4D"/>
    <w:rsid w:val="00136839"/>
    <w:rsid w:val="0014171F"/>
    <w:rsid w:val="00145756"/>
    <w:rsid w:val="0014622C"/>
    <w:rsid w:val="00152348"/>
    <w:rsid w:val="0015456D"/>
    <w:rsid w:val="00155FA2"/>
    <w:rsid w:val="00161EBB"/>
    <w:rsid w:val="00161F1B"/>
    <w:rsid w:val="00162829"/>
    <w:rsid w:val="0016652F"/>
    <w:rsid w:val="00173A3F"/>
    <w:rsid w:val="00180548"/>
    <w:rsid w:val="00180AC4"/>
    <w:rsid w:val="00180CCE"/>
    <w:rsid w:val="0018267A"/>
    <w:rsid w:val="00182779"/>
    <w:rsid w:val="001830DF"/>
    <w:rsid w:val="0018482A"/>
    <w:rsid w:val="001966D9"/>
    <w:rsid w:val="001A007A"/>
    <w:rsid w:val="001A1E2D"/>
    <w:rsid w:val="001A45DB"/>
    <w:rsid w:val="001A7E9A"/>
    <w:rsid w:val="001B0F70"/>
    <w:rsid w:val="001B5016"/>
    <w:rsid w:val="001C181F"/>
    <w:rsid w:val="001C45FC"/>
    <w:rsid w:val="001D0469"/>
    <w:rsid w:val="001D0A61"/>
    <w:rsid w:val="001D289A"/>
    <w:rsid w:val="001D29C0"/>
    <w:rsid w:val="001D4862"/>
    <w:rsid w:val="001E25B9"/>
    <w:rsid w:val="001E49E0"/>
    <w:rsid w:val="001E7B5A"/>
    <w:rsid w:val="001F7412"/>
    <w:rsid w:val="0020090A"/>
    <w:rsid w:val="00202DFE"/>
    <w:rsid w:val="0020725B"/>
    <w:rsid w:val="002073B6"/>
    <w:rsid w:val="00207C1D"/>
    <w:rsid w:val="00207C3D"/>
    <w:rsid w:val="002110F1"/>
    <w:rsid w:val="00214592"/>
    <w:rsid w:val="002200D2"/>
    <w:rsid w:val="002204A3"/>
    <w:rsid w:val="00221D20"/>
    <w:rsid w:val="00224E71"/>
    <w:rsid w:val="00226CB6"/>
    <w:rsid w:val="00234DFE"/>
    <w:rsid w:val="002356EA"/>
    <w:rsid w:val="002401D1"/>
    <w:rsid w:val="00240C69"/>
    <w:rsid w:val="0024116D"/>
    <w:rsid w:val="002412B1"/>
    <w:rsid w:val="00241B44"/>
    <w:rsid w:val="00241FA3"/>
    <w:rsid w:val="00245A69"/>
    <w:rsid w:val="00245EFB"/>
    <w:rsid w:val="00247CBA"/>
    <w:rsid w:val="0025386E"/>
    <w:rsid w:val="002570A5"/>
    <w:rsid w:val="0026338D"/>
    <w:rsid w:val="002638B0"/>
    <w:rsid w:val="0026647A"/>
    <w:rsid w:val="002668D3"/>
    <w:rsid w:val="002677FF"/>
    <w:rsid w:val="002722CA"/>
    <w:rsid w:val="0027299F"/>
    <w:rsid w:val="00274BC3"/>
    <w:rsid w:val="00282302"/>
    <w:rsid w:val="00284EBE"/>
    <w:rsid w:val="002903A7"/>
    <w:rsid w:val="0029433F"/>
    <w:rsid w:val="00294829"/>
    <w:rsid w:val="0029690F"/>
    <w:rsid w:val="00297C8A"/>
    <w:rsid w:val="002A2A60"/>
    <w:rsid w:val="002A37BB"/>
    <w:rsid w:val="002B1C45"/>
    <w:rsid w:val="002B47E7"/>
    <w:rsid w:val="002C13C8"/>
    <w:rsid w:val="002C1EC5"/>
    <w:rsid w:val="002C2FDA"/>
    <w:rsid w:val="002C3547"/>
    <w:rsid w:val="002D0021"/>
    <w:rsid w:val="002D299D"/>
    <w:rsid w:val="002D3473"/>
    <w:rsid w:val="002D35FA"/>
    <w:rsid w:val="002F1956"/>
    <w:rsid w:val="002F3440"/>
    <w:rsid w:val="002F75A3"/>
    <w:rsid w:val="00303C2F"/>
    <w:rsid w:val="00305E53"/>
    <w:rsid w:val="00307D85"/>
    <w:rsid w:val="00310911"/>
    <w:rsid w:val="00311504"/>
    <w:rsid w:val="003140A9"/>
    <w:rsid w:val="003144EF"/>
    <w:rsid w:val="00320701"/>
    <w:rsid w:val="00326292"/>
    <w:rsid w:val="00326415"/>
    <w:rsid w:val="00330937"/>
    <w:rsid w:val="00330F31"/>
    <w:rsid w:val="00334648"/>
    <w:rsid w:val="0033768C"/>
    <w:rsid w:val="00337938"/>
    <w:rsid w:val="00340769"/>
    <w:rsid w:val="00341AA6"/>
    <w:rsid w:val="00346C7A"/>
    <w:rsid w:val="00361A0A"/>
    <w:rsid w:val="00364369"/>
    <w:rsid w:val="00364836"/>
    <w:rsid w:val="00364C18"/>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D4190"/>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29A5"/>
    <w:rsid w:val="00493855"/>
    <w:rsid w:val="00495E79"/>
    <w:rsid w:val="004A2D83"/>
    <w:rsid w:val="004A57DD"/>
    <w:rsid w:val="004A7B51"/>
    <w:rsid w:val="004A7D71"/>
    <w:rsid w:val="004A7EF3"/>
    <w:rsid w:val="004B11FD"/>
    <w:rsid w:val="004B23A2"/>
    <w:rsid w:val="004C5524"/>
    <w:rsid w:val="004D1A5A"/>
    <w:rsid w:val="004D2FFF"/>
    <w:rsid w:val="004D3721"/>
    <w:rsid w:val="004D64F9"/>
    <w:rsid w:val="004E3A6B"/>
    <w:rsid w:val="004E622C"/>
    <w:rsid w:val="004E74E4"/>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6494"/>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C12AE"/>
    <w:rsid w:val="005D08A2"/>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7AEB"/>
    <w:rsid w:val="00680EF2"/>
    <w:rsid w:val="006843AE"/>
    <w:rsid w:val="00687A1D"/>
    <w:rsid w:val="00687C6B"/>
    <w:rsid w:val="00694E5B"/>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1319"/>
    <w:rsid w:val="0070415A"/>
    <w:rsid w:val="00704544"/>
    <w:rsid w:val="00704852"/>
    <w:rsid w:val="007074E9"/>
    <w:rsid w:val="00713DA4"/>
    <w:rsid w:val="00714BF1"/>
    <w:rsid w:val="00716A70"/>
    <w:rsid w:val="00721383"/>
    <w:rsid w:val="00724F1A"/>
    <w:rsid w:val="00725367"/>
    <w:rsid w:val="0072681C"/>
    <w:rsid w:val="00730F54"/>
    <w:rsid w:val="0073158B"/>
    <w:rsid w:val="007333CC"/>
    <w:rsid w:val="0073399A"/>
    <w:rsid w:val="00736077"/>
    <w:rsid w:val="00737C86"/>
    <w:rsid w:val="00740DAD"/>
    <w:rsid w:val="007524A3"/>
    <w:rsid w:val="00756082"/>
    <w:rsid w:val="007566B8"/>
    <w:rsid w:val="007603F5"/>
    <w:rsid w:val="00764395"/>
    <w:rsid w:val="00764DB0"/>
    <w:rsid w:val="0076764D"/>
    <w:rsid w:val="007721EB"/>
    <w:rsid w:val="0077431E"/>
    <w:rsid w:val="0077498C"/>
    <w:rsid w:val="00774F4E"/>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1DBD"/>
    <w:rsid w:val="008138A2"/>
    <w:rsid w:val="00815F57"/>
    <w:rsid w:val="00821EDC"/>
    <w:rsid w:val="00822751"/>
    <w:rsid w:val="0082483F"/>
    <w:rsid w:val="008279C0"/>
    <w:rsid w:val="00830004"/>
    <w:rsid w:val="00830097"/>
    <w:rsid w:val="00833BDC"/>
    <w:rsid w:val="00844BDB"/>
    <w:rsid w:val="00845903"/>
    <w:rsid w:val="008507BF"/>
    <w:rsid w:val="00867701"/>
    <w:rsid w:val="008723F3"/>
    <w:rsid w:val="00876F56"/>
    <w:rsid w:val="00880D9E"/>
    <w:rsid w:val="00881DE6"/>
    <w:rsid w:val="008837A6"/>
    <w:rsid w:val="00885B6C"/>
    <w:rsid w:val="0089145D"/>
    <w:rsid w:val="008A4DF2"/>
    <w:rsid w:val="008A6CFE"/>
    <w:rsid w:val="008A7169"/>
    <w:rsid w:val="008B403D"/>
    <w:rsid w:val="008B5333"/>
    <w:rsid w:val="008B6223"/>
    <w:rsid w:val="008C2BD9"/>
    <w:rsid w:val="008C59C3"/>
    <w:rsid w:val="008C66E0"/>
    <w:rsid w:val="008D10B1"/>
    <w:rsid w:val="008D1432"/>
    <w:rsid w:val="008E3339"/>
    <w:rsid w:val="008F20FC"/>
    <w:rsid w:val="008F5FFE"/>
    <w:rsid w:val="008F602F"/>
    <w:rsid w:val="0090239E"/>
    <w:rsid w:val="00905A43"/>
    <w:rsid w:val="009067EA"/>
    <w:rsid w:val="00910AC9"/>
    <w:rsid w:val="00912C79"/>
    <w:rsid w:val="009164DD"/>
    <w:rsid w:val="0091789E"/>
    <w:rsid w:val="00921B8C"/>
    <w:rsid w:val="00922A3A"/>
    <w:rsid w:val="00940450"/>
    <w:rsid w:val="00942123"/>
    <w:rsid w:val="0095207B"/>
    <w:rsid w:val="00953349"/>
    <w:rsid w:val="00962045"/>
    <w:rsid w:val="00962DFD"/>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5525"/>
    <w:rsid w:val="009D6501"/>
    <w:rsid w:val="009E1F28"/>
    <w:rsid w:val="009E2AEB"/>
    <w:rsid w:val="009E2E27"/>
    <w:rsid w:val="009E45DF"/>
    <w:rsid w:val="009E4DE3"/>
    <w:rsid w:val="009E6997"/>
    <w:rsid w:val="009F1527"/>
    <w:rsid w:val="009F275E"/>
    <w:rsid w:val="00A047EE"/>
    <w:rsid w:val="00A2274A"/>
    <w:rsid w:val="00A235B7"/>
    <w:rsid w:val="00A2360A"/>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85B53"/>
    <w:rsid w:val="00A96489"/>
    <w:rsid w:val="00AB2425"/>
    <w:rsid w:val="00AB2717"/>
    <w:rsid w:val="00AB685C"/>
    <w:rsid w:val="00AB6C2D"/>
    <w:rsid w:val="00AC08F7"/>
    <w:rsid w:val="00AC3839"/>
    <w:rsid w:val="00AC7082"/>
    <w:rsid w:val="00AD2905"/>
    <w:rsid w:val="00AD2D83"/>
    <w:rsid w:val="00AD4BE8"/>
    <w:rsid w:val="00AD6545"/>
    <w:rsid w:val="00AE1A12"/>
    <w:rsid w:val="00AF228E"/>
    <w:rsid w:val="00AF771B"/>
    <w:rsid w:val="00B007F7"/>
    <w:rsid w:val="00B016A8"/>
    <w:rsid w:val="00B14819"/>
    <w:rsid w:val="00B15E2F"/>
    <w:rsid w:val="00B17AA9"/>
    <w:rsid w:val="00B22A28"/>
    <w:rsid w:val="00B22E51"/>
    <w:rsid w:val="00B2589E"/>
    <w:rsid w:val="00B42532"/>
    <w:rsid w:val="00B44713"/>
    <w:rsid w:val="00B46C4B"/>
    <w:rsid w:val="00B51B95"/>
    <w:rsid w:val="00B52047"/>
    <w:rsid w:val="00B54705"/>
    <w:rsid w:val="00B56103"/>
    <w:rsid w:val="00B61AD4"/>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A7A60"/>
    <w:rsid w:val="00BB0F2B"/>
    <w:rsid w:val="00BD08AF"/>
    <w:rsid w:val="00BD1061"/>
    <w:rsid w:val="00BD1F82"/>
    <w:rsid w:val="00BD4E85"/>
    <w:rsid w:val="00BD5C7A"/>
    <w:rsid w:val="00BD7133"/>
    <w:rsid w:val="00BE0C4E"/>
    <w:rsid w:val="00BE4FF3"/>
    <w:rsid w:val="00BE5D2E"/>
    <w:rsid w:val="00BF50F7"/>
    <w:rsid w:val="00BF7738"/>
    <w:rsid w:val="00C02F29"/>
    <w:rsid w:val="00C167FF"/>
    <w:rsid w:val="00C168C8"/>
    <w:rsid w:val="00C17718"/>
    <w:rsid w:val="00C2018C"/>
    <w:rsid w:val="00C20AFE"/>
    <w:rsid w:val="00C22A25"/>
    <w:rsid w:val="00C24907"/>
    <w:rsid w:val="00C35671"/>
    <w:rsid w:val="00C35B77"/>
    <w:rsid w:val="00C376EB"/>
    <w:rsid w:val="00C42707"/>
    <w:rsid w:val="00C45058"/>
    <w:rsid w:val="00C46A92"/>
    <w:rsid w:val="00C46EC1"/>
    <w:rsid w:val="00C52796"/>
    <w:rsid w:val="00C53B79"/>
    <w:rsid w:val="00C53E2C"/>
    <w:rsid w:val="00C550C8"/>
    <w:rsid w:val="00C55824"/>
    <w:rsid w:val="00C562BE"/>
    <w:rsid w:val="00C56B61"/>
    <w:rsid w:val="00C606C3"/>
    <w:rsid w:val="00C620F4"/>
    <w:rsid w:val="00C716E4"/>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37"/>
    <w:rsid w:val="00CE6E50"/>
    <w:rsid w:val="00CF0079"/>
    <w:rsid w:val="00CF2819"/>
    <w:rsid w:val="00CF4067"/>
    <w:rsid w:val="00CF4F9D"/>
    <w:rsid w:val="00CF70DC"/>
    <w:rsid w:val="00D06723"/>
    <w:rsid w:val="00D1256D"/>
    <w:rsid w:val="00D13835"/>
    <w:rsid w:val="00D13AD5"/>
    <w:rsid w:val="00D148DC"/>
    <w:rsid w:val="00D17FDC"/>
    <w:rsid w:val="00D21D8C"/>
    <w:rsid w:val="00D41FDB"/>
    <w:rsid w:val="00D4727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2B20"/>
    <w:rsid w:val="00DB2B81"/>
    <w:rsid w:val="00DB482A"/>
    <w:rsid w:val="00DB50FB"/>
    <w:rsid w:val="00DB56F2"/>
    <w:rsid w:val="00DB6EF5"/>
    <w:rsid w:val="00DC3089"/>
    <w:rsid w:val="00DC4420"/>
    <w:rsid w:val="00DD0802"/>
    <w:rsid w:val="00DD2E11"/>
    <w:rsid w:val="00DD3CF9"/>
    <w:rsid w:val="00DE03AF"/>
    <w:rsid w:val="00DE121C"/>
    <w:rsid w:val="00DE3A7C"/>
    <w:rsid w:val="00DE6633"/>
    <w:rsid w:val="00DE71A2"/>
    <w:rsid w:val="00DE7516"/>
    <w:rsid w:val="00DE7B11"/>
    <w:rsid w:val="00DF75F8"/>
    <w:rsid w:val="00DF7A3A"/>
    <w:rsid w:val="00E00C00"/>
    <w:rsid w:val="00E01AA6"/>
    <w:rsid w:val="00E01D68"/>
    <w:rsid w:val="00E07C5A"/>
    <w:rsid w:val="00E15BA9"/>
    <w:rsid w:val="00E20F31"/>
    <w:rsid w:val="00E26202"/>
    <w:rsid w:val="00E26E19"/>
    <w:rsid w:val="00E27899"/>
    <w:rsid w:val="00E31DF3"/>
    <w:rsid w:val="00E3552D"/>
    <w:rsid w:val="00E450A4"/>
    <w:rsid w:val="00E45E4E"/>
    <w:rsid w:val="00E506BE"/>
    <w:rsid w:val="00E55547"/>
    <w:rsid w:val="00E618BD"/>
    <w:rsid w:val="00E62FE8"/>
    <w:rsid w:val="00E6302B"/>
    <w:rsid w:val="00E6452F"/>
    <w:rsid w:val="00E64F45"/>
    <w:rsid w:val="00E653B1"/>
    <w:rsid w:val="00E6742D"/>
    <w:rsid w:val="00E71CB0"/>
    <w:rsid w:val="00E74ECD"/>
    <w:rsid w:val="00E77C3D"/>
    <w:rsid w:val="00E810C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EF7985"/>
    <w:rsid w:val="00F033DA"/>
    <w:rsid w:val="00F13691"/>
    <w:rsid w:val="00F13FB1"/>
    <w:rsid w:val="00F27CD8"/>
    <w:rsid w:val="00F30351"/>
    <w:rsid w:val="00F3323E"/>
    <w:rsid w:val="00F341F4"/>
    <w:rsid w:val="00F34F9D"/>
    <w:rsid w:val="00F35CCE"/>
    <w:rsid w:val="00F40CFF"/>
    <w:rsid w:val="00F5524B"/>
    <w:rsid w:val="00F5620F"/>
    <w:rsid w:val="00F60538"/>
    <w:rsid w:val="00F61DD2"/>
    <w:rsid w:val="00F628A0"/>
    <w:rsid w:val="00F66AFF"/>
    <w:rsid w:val="00F71433"/>
    <w:rsid w:val="00F76A65"/>
    <w:rsid w:val="00F80E9B"/>
    <w:rsid w:val="00F823E3"/>
    <w:rsid w:val="00F8668C"/>
    <w:rsid w:val="00F9362A"/>
    <w:rsid w:val="00F97C5B"/>
    <w:rsid w:val="00FA073F"/>
    <w:rsid w:val="00FA3D50"/>
    <w:rsid w:val="00FB3E20"/>
    <w:rsid w:val="00FB7FBD"/>
    <w:rsid w:val="00FC374A"/>
    <w:rsid w:val="00FC74C8"/>
    <w:rsid w:val="00FC7B47"/>
    <w:rsid w:val="00FC7DD8"/>
    <w:rsid w:val="00FD035C"/>
    <w:rsid w:val="00FD1A35"/>
    <w:rsid w:val="00FD1BEC"/>
    <w:rsid w:val="00FD2EA4"/>
    <w:rsid w:val="00FD3259"/>
    <w:rsid w:val="00FD36C5"/>
    <w:rsid w:val="00FD4D8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2652-ACF0-42C6-8E7E-C5B10829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Vivek Parti</cp:lastModifiedBy>
  <cp:revision>31</cp:revision>
  <cp:lastPrinted>2019-08-27T05:42:00Z</cp:lastPrinted>
  <dcterms:created xsi:type="dcterms:W3CDTF">2022-05-11T12:20:00Z</dcterms:created>
  <dcterms:modified xsi:type="dcterms:W3CDTF">2022-05-31T08:12:00Z</dcterms:modified>
</cp:coreProperties>
</file>