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xml:space="preserve">. Candidates who select more than one answer will receive no mark for that specific </w:t>
      </w:r>
      <w:proofErr w:type="gramStart"/>
      <w:r w:rsidR="00A60074" w:rsidRPr="00B9639B">
        <w:rPr>
          <w:rFonts w:ascii="Arial" w:hAnsi="Arial" w:cs="Arial"/>
          <w:sz w:val="22"/>
          <w:szCs w:val="22"/>
          <w:lang w:val="en-GB"/>
        </w:rPr>
        <w:t>question.</w:t>
      </w:r>
      <w:proofErr w:type="gramEnd"/>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CC5742" w:rsidRDefault="00831582" w:rsidP="00BE65AA">
      <w:pPr>
        <w:pStyle w:val="ListParagraph"/>
        <w:numPr>
          <w:ilvl w:val="0"/>
          <w:numId w:val="4"/>
        </w:numPr>
        <w:ind w:left="426"/>
        <w:jc w:val="both"/>
        <w:rPr>
          <w:rFonts w:ascii="Arial" w:hAnsi="Arial" w:cs="Arial"/>
          <w:sz w:val="22"/>
          <w:szCs w:val="22"/>
          <w:highlight w:val="yellow"/>
          <w:lang w:val="en-GB"/>
        </w:rPr>
      </w:pPr>
      <w:r w:rsidRPr="00CC5742">
        <w:rPr>
          <w:rFonts w:ascii="Arial" w:hAnsi="Arial" w:cs="Arial"/>
          <w:sz w:val="22"/>
          <w:szCs w:val="22"/>
          <w:highlight w:val="yellow"/>
          <w:lang w:val="en-GB"/>
        </w:rPr>
        <w:t>To</w:t>
      </w:r>
      <w:r w:rsidR="005E32B3" w:rsidRPr="00CC5742">
        <w:rPr>
          <w:rFonts w:ascii="Arial" w:hAnsi="Arial" w:cs="Arial"/>
          <w:sz w:val="22"/>
          <w:szCs w:val="22"/>
          <w:highlight w:val="yellow"/>
          <w:lang w:val="en-GB"/>
        </w:rPr>
        <w:t xml:space="preserve"> run the business of the </w:t>
      </w:r>
      <w:r w:rsidR="00787521" w:rsidRPr="00CC5742">
        <w:rPr>
          <w:rFonts w:ascii="Arial" w:hAnsi="Arial" w:cs="Arial"/>
          <w:sz w:val="22"/>
          <w:szCs w:val="22"/>
          <w:highlight w:val="yellow"/>
          <w:lang w:val="en-GB"/>
        </w:rPr>
        <w:t xml:space="preserve">debtor </w:t>
      </w:r>
      <w:r w:rsidR="005E32B3" w:rsidRPr="00CC5742">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CC5742" w:rsidRDefault="004C294D" w:rsidP="00BE65AA">
      <w:pPr>
        <w:pStyle w:val="ListParagraph"/>
        <w:numPr>
          <w:ilvl w:val="0"/>
          <w:numId w:val="5"/>
        </w:numPr>
        <w:ind w:left="426"/>
        <w:jc w:val="both"/>
        <w:rPr>
          <w:rFonts w:ascii="Arial" w:hAnsi="Arial" w:cs="Arial"/>
          <w:sz w:val="22"/>
          <w:szCs w:val="22"/>
          <w:highlight w:val="yellow"/>
          <w:lang w:val="en-GB"/>
        </w:rPr>
      </w:pPr>
      <w:r w:rsidRPr="00CC5742">
        <w:rPr>
          <w:rFonts w:ascii="Arial" w:hAnsi="Arial" w:cs="Arial"/>
          <w:sz w:val="22"/>
          <w:szCs w:val="22"/>
          <w:highlight w:val="yellow"/>
          <w:lang w:val="en-GB"/>
        </w:rPr>
        <w:t>A</w:t>
      </w:r>
      <w:r w:rsidR="00C041E8" w:rsidRPr="00CC5742">
        <w:rPr>
          <w:rFonts w:ascii="Arial" w:hAnsi="Arial" w:cs="Arial"/>
          <w:sz w:val="22"/>
          <w:szCs w:val="22"/>
          <w:highlight w:val="yellow"/>
          <w:lang w:val="en-GB"/>
        </w:rPr>
        <w:t xml:space="preserve"> </w:t>
      </w:r>
      <w:r w:rsidR="00DE0963" w:rsidRPr="00CC5742">
        <w:rPr>
          <w:rFonts w:ascii="Arial" w:hAnsi="Arial" w:cs="Arial"/>
          <w:sz w:val="22"/>
          <w:szCs w:val="22"/>
          <w:highlight w:val="yellow"/>
          <w:lang w:val="en-GB"/>
        </w:rPr>
        <w:t>pledge</w:t>
      </w:r>
      <w:r w:rsidR="0007291B" w:rsidRPr="00CC5742">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C5742" w:rsidRDefault="00FC32B6" w:rsidP="00BE65AA">
      <w:pPr>
        <w:pStyle w:val="ListParagraph"/>
        <w:numPr>
          <w:ilvl w:val="0"/>
          <w:numId w:val="6"/>
        </w:numPr>
        <w:ind w:left="426"/>
        <w:jc w:val="both"/>
        <w:rPr>
          <w:rFonts w:ascii="Arial" w:hAnsi="Arial" w:cs="Arial"/>
          <w:sz w:val="22"/>
          <w:szCs w:val="22"/>
          <w:highlight w:val="yellow"/>
          <w:lang w:val="en-GB"/>
        </w:rPr>
      </w:pPr>
      <w:r w:rsidRPr="00CC5742">
        <w:rPr>
          <w:rFonts w:ascii="Arial" w:hAnsi="Arial" w:cs="Arial"/>
          <w:sz w:val="22"/>
          <w:szCs w:val="22"/>
          <w:highlight w:val="yellow"/>
          <w:lang w:val="en-GB"/>
        </w:rPr>
        <w:t>Any of the above</w:t>
      </w:r>
      <w:r w:rsidR="00EA6F96" w:rsidRPr="00CC5742">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F87B8B" w:rsidRDefault="0007291B" w:rsidP="00BE65AA">
      <w:pPr>
        <w:pStyle w:val="ListParagraph"/>
        <w:numPr>
          <w:ilvl w:val="0"/>
          <w:numId w:val="7"/>
        </w:numPr>
        <w:ind w:left="426"/>
        <w:jc w:val="both"/>
        <w:rPr>
          <w:rFonts w:ascii="Arial" w:hAnsi="Arial" w:cs="Arial"/>
          <w:sz w:val="22"/>
          <w:szCs w:val="22"/>
          <w:highlight w:val="yellow"/>
          <w:lang w:val="en-GB"/>
        </w:rPr>
      </w:pPr>
      <w:r w:rsidRPr="00F87B8B">
        <w:rPr>
          <w:rFonts w:ascii="Arial" w:hAnsi="Arial" w:cs="Arial"/>
          <w:sz w:val="22"/>
          <w:szCs w:val="22"/>
          <w:highlight w:val="yellow"/>
          <w:lang w:val="en-GB"/>
        </w:rPr>
        <w:t xml:space="preserve">75% or more in </w:t>
      </w:r>
      <w:r w:rsidR="00483BC6" w:rsidRPr="00F87B8B">
        <w:rPr>
          <w:rFonts w:ascii="Arial" w:hAnsi="Arial" w:cs="Arial"/>
          <w:sz w:val="22"/>
          <w:szCs w:val="22"/>
          <w:highlight w:val="yellow"/>
          <w:lang w:val="en-GB"/>
        </w:rPr>
        <w:t>value</w:t>
      </w:r>
      <w:r w:rsidR="00F50041" w:rsidRPr="00F87B8B">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F87B8B" w:rsidRDefault="00FC32B6" w:rsidP="00BE65AA">
      <w:pPr>
        <w:pStyle w:val="ListParagraph"/>
        <w:numPr>
          <w:ilvl w:val="0"/>
          <w:numId w:val="8"/>
        </w:numPr>
        <w:ind w:left="426"/>
        <w:jc w:val="both"/>
        <w:rPr>
          <w:rFonts w:ascii="Arial" w:hAnsi="Arial" w:cs="Arial"/>
          <w:sz w:val="22"/>
          <w:szCs w:val="22"/>
          <w:highlight w:val="yellow"/>
          <w:lang w:val="en-GB"/>
        </w:rPr>
      </w:pPr>
      <w:r w:rsidRPr="00F87B8B">
        <w:rPr>
          <w:rFonts w:ascii="Arial" w:hAnsi="Arial" w:cs="Arial"/>
          <w:sz w:val="22"/>
          <w:szCs w:val="22"/>
          <w:highlight w:val="yellow"/>
          <w:lang w:val="en-GB"/>
        </w:rPr>
        <w:t>T</w:t>
      </w:r>
      <w:r w:rsidR="00DE2CD9" w:rsidRPr="00F87B8B">
        <w:rPr>
          <w:rFonts w:ascii="Arial" w:hAnsi="Arial" w:cs="Arial"/>
          <w:sz w:val="22"/>
          <w:szCs w:val="22"/>
          <w:highlight w:val="yellow"/>
          <w:lang w:val="en-GB"/>
        </w:rPr>
        <w:t>o not travel overseas under any circumstances whatsoever</w:t>
      </w:r>
      <w:r w:rsidR="00384F62" w:rsidRPr="00F87B8B">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F87B8B" w:rsidRDefault="00FA4DD1" w:rsidP="00C2645B">
      <w:pPr>
        <w:pStyle w:val="ListParagraph"/>
        <w:numPr>
          <w:ilvl w:val="0"/>
          <w:numId w:val="9"/>
        </w:numPr>
        <w:ind w:left="426"/>
        <w:jc w:val="both"/>
        <w:rPr>
          <w:rFonts w:ascii="Arial" w:hAnsi="Arial" w:cs="Arial"/>
          <w:sz w:val="22"/>
          <w:szCs w:val="22"/>
          <w:highlight w:val="yellow"/>
          <w:lang w:val="en-GB"/>
        </w:rPr>
      </w:pPr>
      <w:r w:rsidRPr="00F87B8B">
        <w:rPr>
          <w:rFonts w:ascii="Arial" w:hAnsi="Arial" w:cs="Arial"/>
          <w:sz w:val="22"/>
          <w:szCs w:val="22"/>
          <w:highlight w:val="yellow"/>
          <w:lang w:val="en-GB"/>
        </w:rPr>
        <w:t>The court can deny recognition only if recognition is “manifestly contrary” to public policy</w:t>
      </w:r>
      <w:r w:rsidR="00EB7B75" w:rsidRPr="00F87B8B">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206971" w:rsidRDefault="00C87FF9" w:rsidP="00BE65AA">
      <w:pPr>
        <w:pStyle w:val="ListParagraph"/>
        <w:numPr>
          <w:ilvl w:val="0"/>
          <w:numId w:val="10"/>
        </w:numPr>
        <w:ind w:left="426"/>
        <w:jc w:val="both"/>
        <w:rPr>
          <w:rFonts w:ascii="Arial" w:hAnsi="Arial" w:cs="Arial"/>
          <w:sz w:val="22"/>
          <w:szCs w:val="22"/>
          <w:highlight w:val="yellow"/>
          <w:lang w:val="en-GB"/>
        </w:rPr>
      </w:pPr>
      <w:r w:rsidRPr="00206971">
        <w:rPr>
          <w:rFonts w:ascii="Arial" w:hAnsi="Arial" w:cs="Arial"/>
          <w:sz w:val="22"/>
          <w:szCs w:val="22"/>
          <w:highlight w:val="yellow"/>
          <w:lang w:val="en-GB"/>
        </w:rPr>
        <w:t xml:space="preserve">Restrictions on </w:t>
      </w:r>
      <w:r w:rsidR="00BC2272" w:rsidRPr="00206971">
        <w:rPr>
          <w:rFonts w:ascii="Arial" w:hAnsi="Arial" w:cs="Arial"/>
          <w:i/>
          <w:iCs/>
          <w:sz w:val="22"/>
          <w:szCs w:val="22"/>
          <w:highlight w:val="yellow"/>
          <w:lang w:val="en-GB"/>
        </w:rPr>
        <w:t>ipso facto</w:t>
      </w:r>
      <w:r w:rsidR="00BC2272" w:rsidRPr="00206971">
        <w:rPr>
          <w:rFonts w:ascii="Arial" w:hAnsi="Arial" w:cs="Arial"/>
          <w:sz w:val="22"/>
          <w:szCs w:val="22"/>
          <w:highlight w:val="yellow"/>
          <w:lang w:val="en-GB"/>
        </w:rPr>
        <w:t xml:space="preserve"> clauses</w:t>
      </w:r>
      <w:r w:rsidR="00384F62" w:rsidRPr="00206971">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Pr="00206971" w:rsidRDefault="00C21EB5" w:rsidP="00BE65AA">
      <w:pPr>
        <w:pStyle w:val="ListParagraph"/>
        <w:numPr>
          <w:ilvl w:val="0"/>
          <w:numId w:val="11"/>
        </w:numPr>
        <w:ind w:left="426"/>
        <w:jc w:val="both"/>
        <w:rPr>
          <w:rFonts w:ascii="Arial" w:hAnsi="Arial" w:cs="Arial"/>
          <w:sz w:val="22"/>
          <w:szCs w:val="22"/>
          <w:lang w:val="en-GB"/>
        </w:rPr>
      </w:pPr>
      <w:r w:rsidRPr="00206971">
        <w:rPr>
          <w:rFonts w:ascii="Arial" w:hAnsi="Arial" w:cs="Arial"/>
          <w:sz w:val="22"/>
          <w:szCs w:val="22"/>
          <w:lang w:val="en-GB"/>
        </w:rPr>
        <w:t xml:space="preserve">The </w:t>
      </w:r>
      <w:r w:rsidR="00384F62" w:rsidRPr="00206971">
        <w:rPr>
          <w:rFonts w:ascii="Arial" w:hAnsi="Arial" w:cs="Arial"/>
          <w:sz w:val="22"/>
          <w:szCs w:val="22"/>
          <w:lang w:val="en-GB"/>
        </w:rPr>
        <w:t>c</w:t>
      </w:r>
      <w:r w:rsidRPr="00206971">
        <w:rPr>
          <w:rFonts w:ascii="Arial" w:hAnsi="Arial" w:cs="Arial"/>
          <w:sz w:val="22"/>
          <w:szCs w:val="22"/>
          <w:lang w:val="en-GB"/>
        </w:rPr>
        <w:t>ompany by way of a members’ resolution</w:t>
      </w:r>
      <w:r w:rsidR="00384F62" w:rsidRPr="00206971">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206971" w:rsidRDefault="00C21EB5" w:rsidP="00BE65AA">
      <w:pPr>
        <w:pStyle w:val="ListParagraph"/>
        <w:numPr>
          <w:ilvl w:val="0"/>
          <w:numId w:val="11"/>
        </w:numPr>
        <w:ind w:left="426"/>
        <w:jc w:val="both"/>
        <w:rPr>
          <w:rFonts w:ascii="Arial" w:hAnsi="Arial" w:cs="Arial"/>
          <w:sz w:val="22"/>
          <w:szCs w:val="22"/>
          <w:highlight w:val="yellow"/>
          <w:lang w:val="en-GB"/>
        </w:rPr>
      </w:pPr>
      <w:r w:rsidRPr="00206971">
        <w:rPr>
          <w:rFonts w:ascii="Arial" w:hAnsi="Arial" w:cs="Arial"/>
          <w:sz w:val="22"/>
          <w:szCs w:val="22"/>
          <w:highlight w:val="yellow"/>
          <w:lang w:val="en-GB"/>
        </w:rPr>
        <w:t xml:space="preserve">The </w:t>
      </w:r>
      <w:r w:rsidR="00384F62" w:rsidRPr="00206971">
        <w:rPr>
          <w:rFonts w:ascii="Arial" w:hAnsi="Arial" w:cs="Arial"/>
          <w:sz w:val="22"/>
          <w:szCs w:val="22"/>
          <w:highlight w:val="yellow"/>
          <w:lang w:val="en-GB"/>
        </w:rPr>
        <w:t>l</w:t>
      </w:r>
      <w:r w:rsidRPr="00206971">
        <w:rPr>
          <w:rFonts w:ascii="Arial" w:hAnsi="Arial" w:cs="Arial"/>
          <w:sz w:val="22"/>
          <w:szCs w:val="22"/>
          <w:highlight w:val="yellow"/>
          <w:lang w:val="en-GB"/>
        </w:rPr>
        <w:t xml:space="preserve">iquidator by way of an application to </w:t>
      </w:r>
      <w:r w:rsidR="00384F62" w:rsidRPr="00206971">
        <w:rPr>
          <w:rFonts w:ascii="Arial" w:hAnsi="Arial" w:cs="Arial"/>
          <w:sz w:val="22"/>
          <w:szCs w:val="22"/>
          <w:highlight w:val="yellow"/>
          <w:lang w:val="en-GB"/>
        </w:rPr>
        <w:t>c</w:t>
      </w:r>
      <w:r w:rsidRPr="00206971">
        <w:rPr>
          <w:rFonts w:ascii="Arial" w:hAnsi="Arial" w:cs="Arial"/>
          <w:sz w:val="22"/>
          <w:szCs w:val="22"/>
          <w:highlight w:val="yellow"/>
          <w:lang w:val="en-GB"/>
        </w:rPr>
        <w:t>ourt</w:t>
      </w:r>
      <w:r w:rsidR="00384F62" w:rsidRPr="00206971">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206971" w:rsidRDefault="00391426" w:rsidP="00BE65AA">
      <w:pPr>
        <w:pStyle w:val="ListParagraph"/>
        <w:numPr>
          <w:ilvl w:val="0"/>
          <w:numId w:val="12"/>
        </w:numPr>
        <w:ind w:left="426"/>
        <w:jc w:val="both"/>
        <w:rPr>
          <w:rFonts w:ascii="Arial" w:hAnsi="Arial" w:cs="Arial"/>
          <w:sz w:val="22"/>
          <w:szCs w:val="22"/>
          <w:highlight w:val="yellow"/>
          <w:lang w:val="en-GB"/>
        </w:rPr>
      </w:pPr>
      <w:r w:rsidRPr="00206971">
        <w:rPr>
          <w:rFonts w:ascii="Arial" w:hAnsi="Arial" w:cs="Arial"/>
          <w:sz w:val="22"/>
          <w:szCs w:val="22"/>
          <w:highlight w:val="yellow"/>
          <w:lang w:val="en-GB"/>
        </w:rPr>
        <w:t>Not being able to travel overseas at all</w:t>
      </w:r>
      <w:r w:rsidR="00384F62" w:rsidRPr="00206971">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w:t>
      </w:r>
      <w:proofErr w:type="gramStart"/>
      <w:r w:rsidR="008569B9">
        <w:rPr>
          <w:rFonts w:ascii="Arial" w:hAnsi="Arial" w:cs="Arial"/>
          <w:sz w:val="22"/>
          <w:szCs w:val="22"/>
          <w:lang w:val="en-GB"/>
        </w:rPr>
        <w:t>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A84283" w:rsidRDefault="0007291B" w:rsidP="00384F62">
      <w:pPr>
        <w:pStyle w:val="ListParagraph"/>
        <w:numPr>
          <w:ilvl w:val="0"/>
          <w:numId w:val="16"/>
        </w:numPr>
        <w:ind w:left="426"/>
        <w:jc w:val="both"/>
        <w:rPr>
          <w:rFonts w:ascii="Arial" w:hAnsi="Arial" w:cs="Arial"/>
          <w:sz w:val="22"/>
          <w:szCs w:val="22"/>
          <w:highlight w:val="yellow"/>
          <w:lang w:val="en-GB"/>
        </w:rPr>
      </w:pPr>
      <w:r w:rsidRPr="00A84283">
        <w:rPr>
          <w:rFonts w:ascii="Arial" w:hAnsi="Arial" w:cs="Arial"/>
          <w:sz w:val="22"/>
          <w:szCs w:val="22"/>
          <w:highlight w:val="yellow"/>
          <w:lang w:val="en-GB"/>
        </w:rPr>
        <w:t xml:space="preserve">The </w:t>
      </w:r>
      <w:r w:rsidR="008569B9" w:rsidRPr="00A84283">
        <w:rPr>
          <w:rFonts w:ascii="Arial" w:hAnsi="Arial" w:cs="Arial"/>
          <w:sz w:val="22"/>
          <w:szCs w:val="22"/>
          <w:highlight w:val="yellow"/>
          <w:lang w:val="en-GB"/>
        </w:rPr>
        <w:t>more advantageous realisation of the property than in a liquidation</w:t>
      </w:r>
      <w:r w:rsidR="00384F62" w:rsidRPr="00A84283">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50B0D155" w:rsidR="00384F62" w:rsidRPr="00241FC8" w:rsidRDefault="008560C4" w:rsidP="008560C4">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The Singapore Court of Appeal, in </w:t>
      </w:r>
      <w:r w:rsidRPr="00241FC8">
        <w:rPr>
          <w:rFonts w:ascii="Arial" w:hAnsi="Arial" w:cs="Arial"/>
          <w:i/>
          <w:iCs/>
          <w:color w:val="2F5496" w:themeColor="accent1" w:themeShade="BF"/>
          <w:sz w:val="22"/>
          <w:szCs w:val="22"/>
        </w:rPr>
        <w:t xml:space="preserve">Sun Electric Power Pte Ltd v RCMA Asia Pte Ltd </w:t>
      </w:r>
      <w:r w:rsidRPr="00241FC8">
        <w:rPr>
          <w:rFonts w:ascii="Arial" w:hAnsi="Arial" w:cs="Arial"/>
          <w:color w:val="2F5496" w:themeColor="accent1" w:themeShade="BF"/>
          <w:sz w:val="22"/>
          <w:szCs w:val="22"/>
        </w:rPr>
        <w:t xml:space="preserve">[2021] SGCA 60, clarified that the sole and determinative test </w:t>
      </w:r>
      <w:r w:rsidR="004574A1" w:rsidRPr="00241FC8">
        <w:rPr>
          <w:rFonts w:ascii="Arial" w:hAnsi="Arial" w:cs="Arial"/>
          <w:color w:val="2F5496" w:themeColor="accent1" w:themeShade="BF"/>
          <w:sz w:val="22"/>
          <w:szCs w:val="22"/>
        </w:rPr>
        <w:t xml:space="preserve">to assess whether a company is deemed unable to repay its debt, as required </w:t>
      </w:r>
      <w:r w:rsidRPr="00241FC8">
        <w:rPr>
          <w:rFonts w:ascii="Arial" w:hAnsi="Arial" w:cs="Arial"/>
          <w:color w:val="2F5496" w:themeColor="accent1" w:themeShade="BF"/>
          <w:sz w:val="22"/>
          <w:szCs w:val="22"/>
        </w:rPr>
        <w:t xml:space="preserve">under </w:t>
      </w:r>
      <w:r w:rsidR="00434360" w:rsidRPr="00241FC8">
        <w:rPr>
          <w:rFonts w:ascii="Arial" w:hAnsi="Arial" w:cs="Arial"/>
          <w:color w:val="2F5496" w:themeColor="accent1" w:themeShade="BF"/>
          <w:sz w:val="22"/>
          <w:szCs w:val="22"/>
        </w:rPr>
        <w:t>S</w:t>
      </w:r>
      <w:r w:rsidRPr="00241FC8">
        <w:rPr>
          <w:rFonts w:ascii="Arial" w:hAnsi="Arial" w:cs="Arial"/>
          <w:color w:val="2F5496" w:themeColor="accent1" w:themeShade="BF"/>
          <w:sz w:val="22"/>
          <w:szCs w:val="22"/>
        </w:rPr>
        <w:t>ection</w:t>
      </w:r>
      <w:r w:rsidR="00CB58CF" w:rsidRPr="00241FC8">
        <w:rPr>
          <w:rFonts w:ascii="Arial" w:hAnsi="Arial" w:cs="Arial"/>
          <w:color w:val="2F5496" w:themeColor="accent1" w:themeShade="BF"/>
          <w:sz w:val="22"/>
          <w:szCs w:val="22"/>
        </w:rPr>
        <w:t xml:space="preserve"> 25</w:t>
      </w:r>
      <w:r w:rsidR="008A0C22" w:rsidRPr="00241FC8">
        <w:rPr>
          <w:rFonts w:ascii="Arial" w:hAnsi="Arial" w:cs="Arial"/>
          <w:color w:val="2F5496" w:themeColor="accent1" w:themeShade="BF"/>
          <w:sz w:val="22"/>
          <w:szCs w:val="22"/>
        </w:rPr>
        <w:t xml:space="preserve">4(2)(c) of the Companies Act (which became </w:t>
      </w:r>
      <w:r w:rsidR="00434360" w:rsidRPr="00241FC8">
        <w:rPr>
          <w:rFonts w:ascii="Arial" w:hAnsi="Arial" w:cs="Arial"/>
          <w:color w:val="2F5496" w:themeColor="accent1" w:themeShade="BF"/>
          <w:sz w:val="22"/>
          <w:szCs w:val="22"/>
        </w:rPr>
        <w:t>S</w:t>
      </w:r>
      <w:r w:rsidR="008A0C22" w:rsidRPr="00241FC8">
        <w:rPr>
          <w:rFonts w:ascii="Arial" w:hAnsi="Arial" w:cs="Arial"/>
          <w:color w:val="2F5496" w:themeColor="accent1" w:themeShade="BF"/>
          <w:sz w:val="22"/>
          <w:szCs w:val="22"/>
        </w:rPr>
        <w:t>ection</w:t>
      </w:r>
      <w:r w:rsidRPr="00241FC8">
        <w:rPr>
          <w:rFonts w:ascii="Arial" w:hAnsi="Arial" w:cs="Arial"/>
          <w:color w:val="2F5496" w:themeColor="accent1" w:themeShade="BF"/>
          <w:sz w:val="22"/>
          <w:szCs w:val="22"/>
        </w:rPr>
        <w:t xml:space="preserve"> 125(2)(c) of the Insolvency, Restructuring and Dissolution Act 2018 (“IRDA”)</w:t>
      </w:r>
      <w:r w:rsidR="008A0C22" w:rsidRPr="00241FC8">
        <w:rPr>
          <w:rFonts w:ascii="Arial" w:hAnsi="Arial" w:cs="Arial"/>
          <w:color w:val="2F5496" w:themeColor="accent1" w:themeShade="BF"/>
          <w:sz w:val="22"/>
          <w:szCs w:val="22"/>
        </w:rPr>
        <w:t>),</w:t>
      </w:r>
      <w:r w:rsidR="004574A1" w:rsidRPr="00241FC8">
        <w:rPr>
          <w:rFonts w:ascii="Arial" w:hAnsi="Arial" w:cs="Arial"/>
          <w:color w:val="2F5496" w:themeColor="accent1" w:themeShade="BF"/>
          <w:sz w:val="22"/>
          <w:szCs w:val="22"/>
        </w:rPr>
        <w:t xml:space="preserve"> </w:t>
      </w:r>
      <w:r w:rsidRPr="00241FC8">
        <w:rPr>
          <w:rFonts w:ascii="Arial" w:hAnsi="Arial" w:cs="Arial"/>
          <w:color w:val="2F5496" w:themeColor="accent1" w:themeShade="BF"/>
          <w:sz w:val="22"/>
          <w:szCs w:val="22"/>
        </w:rPr>
        <w:t>shall be the cash flow test</w:t>
      </w:r>
      <w:r w:rsidR="002E2697" w:rsidRPr="00241FC8">
        <w:rPr>
          <w:rFonts w:ascii="Arial" w:hAnsi="Arial" w:cs="Arial"/>
          <w:color w:val="2F5496" w:themeColor="accent1" w:themeShade="BF"/>
          <w:sz w:val="22"/>
          <w:szCs w:val="22"/>
        </w:rPr>
        <w:t xml:space="preserve"> (and not the balance sheet test)</w:t>
      </w:r>
      <w:r w:rsidRPr="00241FC8">
        <w:rPr>
          <w:rFonts w:ascii="Arial" w:hAnsi="Arial" w:cs="Arial"/>
          <w:color w:val="2F5496" w:themeColor="accent1" w:themeShade="BF"/>
          <w:sz w:val="22"/>
          <w:szCs w:val="22"/>
        </w:rPr>
        <w:t>.</w:t>
      </w:r>
      <w:r w:rsidR="002E2697" w:rsidRPr="00241FC8">
        <w:rPr>
          <w:rFonts w:ascii="Arial" w:hAnsi="Arial" w:cs="Arial"/>
          <w:color w:val="2F5496" w:themeColor="accent1" w:themeShade="BF"/>
          <w:sz w:val="22"/>
          <w:szCs w:val="22"/>
        </w:rPr>
        <w:t xml:space="preserve"> The cash flow test looks at whether a company can meet its liabilities as they fall due, whereas </w:t>
      </w:r>
      <w:r w:rsidR="004574A1" w:rsidRPr="00241FC8">
        <w:rPr>
          <w:rFonts w:ascii="Arial" w:hAnsi="Arial" w:cs="Arial"/>
          <w:color w:val="2F5496" w:themeColor="accent1" w:themeShade="BF"/>
          <w:sz w:val="22"/>
          <w:szCs w:val="22"/>
        </w:rPr>
        <w:t xml:space="preserve">the </w:t>
      </w:r>
      <w:r w:rsidR="002E2697" w:rsidRPr="00241FC8">
        <w:rPr>
          <w:rFonts w:ascii="Arial" w:hAnsi="Arial" w:cs="Arial"/>
          <w:color w:val="2F5496" w:themeColor="accent1" w:themeShade="BF"/>
          <w:sz w:val="22"/>
          <w:szCs w:val="22"/>
        </w:rPr>
        <w:t xml:space="preserve">balance </w:t>
      </w:r>
      <w:r w:rsidR="002E2697" w:rsidRPr="00241FC8">
        <w:rPr>
          <w:rFonts w:ascii="Arial" w:hAnsi="Arial" w:cs="Arial"/>
          <w:color w:val="2F5496" w:themeColor="accent1" w:themeShade="BF"/>
          <w:sz w:val="22"/>
          <w:szCs w:val="22"/>
        </w:rPr>
        <w:lastRenderedPageBreak/>
        <w:t xml:space="preserve">sheet test </w:t>
      </w:r>
      <w:r w:rsidR="004574A1" w:rsidRPr="00241FC8">
        <w:rPr>
          <w:rFonts w:ascii="Arial" w:hAnsi="Arial" w:cs="Arial"/>
          <w:color w:val="2F5496" w:themeColor="accent1" w:themeShade="BF"/>
          <w:sz w:val="22"/>
          <w:szCs w:val="22"/>
        </w:rPr>
        <w:t>compares the amount of the company’s liabilities and the value of the company’s assets.</w:t>
      </w:r>
    </w:p>
    <w:p w14:paraId="7A961AD0" w14:textId="6B8F90CD" w:rsidR="00CB58CF" w:rsidRPr="00241FC8" w:rsidRDefault="00CB58CF" w:rsidP="008560C4">
      <w:pPr>
        <w:jc w:val="both"/>
        <w:rPr>
          <w:rFonts w:ascii="Arial" w:hAnsi="Arial" w:cs="Arial"/>
          <w:color w:val="2F5496" w:themeColor="accent1" w:themeShade="BF"/>
          <w:sz w:val="22"/>
          <w:szCs w:val="22"/>
        </w:rPr>
      </w:pPr>
    </w:p>
    <w:p w14:paraId="7DB2F065" w14:textId="294E4AF8" w:rsidR="00CB58CF" w:rsidRPr="00241FC8" w:rsidRDefault="00CB58CF" w:rsidP="008560C4">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Section 125(2) of IRDA</w:t>
      </w:r>
      <w:r w:rsidR="00320A75" w:rsidRPr="00241FC8">
        <w:rPr>
          <w:rFonts w:ascii="Arial" w:hAnsi="Arial" w:cs="Arial"/>
          <w:color w:val="2F5496" w:themeColor="accent1" w:themeShade="BF"/>
          <w:sz w:val="22"/>
          <w:szCs w:val="22"/>
        </w:rPr>
        <w:t>, which</w:t>
      </w:r>
      <w:r w:rsidR="008A0C22" w:rsidRPr="00241FC8">
        <w:rPr>
          <w:rFonts w:ascii="Arial" w:hAnsi="Arial" w:cs="Arial"/>
          <w:color w:val="2F5496" w:themeColor="accent1" w:themeShade="BF"/>
          <w:sz w:val="22"/>
          <w:szCs w:val="22"/>
        </w:rPr>
        <w:t xml:space="preserve"> </w:t>
      </w:r>
      <w:r w:rsidR="00E92B30" w:rsidRPr="00241FC8">
        <w:rPr>
          <w:rFonts w:ascii="Arial" w:hAnsi="Arial" w:cs="Arial"/>
          <w:color w:val="2F5496" w:themeColor="accent1" w:themeShade="BF"/>
          <w:sz w:val="22"/>
          <w:szCs w:val="22"/>
        </w:rPr>
        <w:t xml:space="preserve">supersedes </w:t>
      </w:r>
      <w:r w:rsidR="008A0C22" w:rsidRPr="00241FC8">
        <w:rPr>
          <w:rFonts w:ascii="Arial" w:hAnsi="Arial" w:cs="Arial"/>
          <w:color w:val="2F5496" w:themeColor="accent1" w:themeShade="BF"/>
          <w:sz w:val="22"/>
          <w:szCs w:val="22"/>
        </w:rPr>
        <w:t xml:space="preserve">the provision of </w:t>
      </w:r>
      <w:r w:rsidR="00434360" w:rsidRPr="00241FC8">
        <w:rPr>
          <w:rFonts w:ascii="Arial" w:hAnsi="Arial" w:cs="Arial"/>
          <w:color w:val="2F5496" w:themeColor="accent1" w:themeShade="BF"/>
          <w:sz w:val="22"/>
          <w:szCs w:val="22"/>
        </w:rPr>
        <w:t>S</w:t>
      </w:r>
      <w:r w:rsidR="008A0C22" w:rsidRPr="00241FC8">
        <w:rPr>
          <w:rFonts w:ascii="Arial" w:hAnsi="Arial" w:cs="Arial"/>
          <w:color w:val="2F5496" w:themeColor="accent1" w:themeShade="BF"/>
          <w:sz w:val="22"/>
          <w:szCs w:val="22"/>
        </w:rPr>
        <w:t>ection 254(2) of the Companies Act</w:t>
      </w:r>
      <w:r w:rsidR="00E92B30" w:rsidRPr="00241FC8">
        <w:rPr>
          <w:rFonts w:ascii="Arial" w:hAnsi="Arial" w:cs="Arial"/>
          <w:color w:val="2F5496" w:themeColor="accent1" w:themeShade="BF"/>
          <w:sz w:val="22"/>
          <w:szCs w:val="22"/>
        </w:rPr>
        <w:t>,</w:t>
      </w:r>
      <w:r w:rsidR="008A0C22" w:rsidRPr="00241FC8">
        <w:rPr>
          <w:rFonts w:ascii="Arial" w:hAnsi="Arial" w:cs="Arial"/>
          <w:color w:val="2F5496" w:themeColor="accent1" w:themeShade="BF"/>
          <w:sz w:val="22"/>
          <w:szCs w:val="22"/>
        </w:rPr>
        <w:t xml:space="preserve"> </w:t>
      </w:r>
      <w:r w:rsidR="00E92B30" w:rsidRPr="00241FC8">
        <w:rPr>
          <w:rFonts w:ascii="Arial" w:hAnsi="Arial" w:cs="Arial"/>
          <w:color w:val="2F5496" w:themeColor="accent1" w:themeShade="BF"/>
          <w:sz w:val="22"/>
          <w:szCs w:val="22"/>
        </w:rPr>
        <w:t xml:space="preserve">enumerates a set of </w:t>
      </w:r>
      <w:r w:rsidR="00320A75" w:rsidRPr="00241FC8">
        <w:rPr>
          <w:rFonts w:ascii="Arial" w:hAnsi="Arial" w:cs="Arial"/>
          <w:color w:val="2F5496" w:themeColor="accent1" w:themeShade="BF"/>
          <w:sz w:val="22"/>
          <w:szCs w:val="22"/>
        </w:rPr>
        <w:t xml:space="preserve">conditions </w:t>
      </w:r>
      <w:r w:rsidR="004574A1" w:rsidRPr="00241FC8">
        <w:rPr>
          <w:rFonts w:ascii="Arial" w:hAnsi="Arial" w:cs="Arial"/>
          <w:color w:val="2F5496" w:themeColor="accent1" w:themeShade="BF"/>
          <w:sz w:val="22"/>
          <w:szCs w:val="22"/>
        </w:rPr>
        <w:t>in which case</w:t>
      </w:r>
      <w:r w:rsidR="00975A7E" w:rsidRPr="00241FC8">
        <w:rPr>
          <w:rFonts w:ascii="Arial" w:hAnsi="Arial" w:cs="Arial"/>
          <w:color w:val="2F5496" w:themeColor="accent1" w:themeShade="BF"/>
          <w:sz w:val="22"/>
          <w:szCs w:val="22"/>
        </w:rPr>
        <w:t>s</w:t>
      </w:r>
      <w:r w:rsidR="00E92B30" w:rsidRPr="00241FC8">
        <w:rPr>
          <w:rFonts w:ascii="Arial" w:hAnsi="Arial" w:cs="Arial"/>
          <w:color w:val="2F5496" w:themeColor="accent1" w:themeShade="BF"/>
          <w:sz w:val="22"/>
          <w:szCs w:val="22"/>
        </w:rPr>
        <w:t xml:space="preserve"> </w:t>
      </w:r>
      <w:r w:rsidRPr="00241FC8">
        <w:rPr>
          <w:rFonts w:ascii="Arial" w:hAnsi="Arial" w:cs="Arial"/>
          <w:color w:val="2F5496" w:themeColor="accent1" w:themeShade="BF"/>
          <w:sz w:val="22"/>
          <w:szCs w:val="22"/>
        </w:rPr>
        <w:t>a company is deemed unable to repay its debt</w:t>
      </w:r>
      <w:r w:rsidR="003F776B" w:rsidRPr="00241FC8">
        <w:rPr>
          <w:rFonts w:ascii="Arial" w:hAnsi="Arial" w:cs="Arial"/>
          <w:color w:val="2F5496" w:themeColor="accent1" w:themeShade="BF"/>
          <w:sz w:val="22"/>
          <w:szCs w:val="22"/>
        </w:rPr>
        <w:t>,</w:t>
      </w:r>
      <w:r w:rsidRPr="00241FC8">
        <w:rPr>
          <w:rFonts w:ascii="Arial" w:hAnsi="Arial" w:cs="Arial"/>
          <w:color w:val="2F5496" w:themeColor="accent1" w:themeShade="BF"/>
          <w:sz w:val="22"/>
          <w:szCs w:val="22"/>
        </w:rPr>
        <w:t xml:space="preserve"> </w:t>
      </w:r>
      <w:r w:rsidR="00E92B30" w:rsidRPr="00241FC8">
        <w:rPr>
          <w:rFonts w:ascii="Arial" w:hAnsi="Arial" w:cs="Arial"/>
          <w:color w:val="2F5496" w:themeColor="accent1" w:themeShade="BF"/>
          <w:sz w:val="22"/>
          <w:szCs w:val="22"/>
        </w:rPr>
        <w:t xml:space="preserve">and thus </w:t>
      </w:r>
      <w:r w:rsidR="00320A75" w:rsidRPr="00241FC8">
        <w:rPr>
          <w:rFonts w:ascii="Arial" w:hAnsi="Arial" w:cs="Arial"/>
          <w:color w:val="2F5496" w:themeColor="accent1" w:themeShade="BF"/>
          <w:sz w:val="22"/>
          <w:szCs w:val="22"/>
        </w:rPr>
        <w:t xml:space="preserve">satisfy the statutory </w:t>
      </w:r>
      <w:r w:rsidR="00E92B30" w:rsidRPr="00241FC8">
        <w:rPr>
          <w:rFonts w:ascii="Arial" w:hAnsi="Arial" w:cs="Arial"/>
          <w:color w:val="2F5496" w:themeColor="accent1" w:themeShade="BF"/>
          <w:sz w:val="22"/>
          <w:szCs w:val="22"/>
        </w:rPr>
        <w:t>ground</w:t>
      </w:r>
      <w:r w:rsidR="003F776B" w:rsidRPr="00241FC8">
        <w:rPr>
          <w:rFonts w:ascii="Arial" w:hAnsi="Arial" w:cs="Arial"/>
          <w:color w:val="2F5496" w:themeColor="accent1" w:themeShade="BF"/>
          <w:sz w:val="22"/>
          <w:szCs w:val="22"/>
        </w:rPr>
        <w:t xml:space="preserve"> for </w:t>
      </w:r>
      <w:r w:rsidR="00975A7E" w:rsidRPr="00241FC8">
        <w:rPr>
          <w:rFonts w:ascii="Arial" w:hAnsi="Arial" w:cs="Arial"/>
          <w:color w:val="2F5496" w:themeColor="accent1" w:themeShade="BF"/>
          <w:sz w:val="22"/>
          <w:szCs w:val="22"/>
        </w:rPr>
        <w:t xml:space="preserve">issuing </w:t>
      </w:r>
      <w:r w:rsidR="00320A75" w:rsidRPr="00241FC8">
        <w:rPr>
          <w:rFonts w:ascii="Arial" w:hAnsi="Arial" w:cs="Arial"/>
          <w:color w:val="2F5496" w:themeColor="accent1" w:themeShade="BF"/>
          <w:sz w:val="22"/>
          <w:szCs w:val="22"/>
        </w:rPr>
        <w:t>a winding-up order</w:t>
      </w:r>
      <w:r w:rsidR="00E92B30" w:rsidRPr="00241FC8">
        <w:rPr>
          <w:rFonts w:ascii="Arial" w:hAnsi="Arial" w:cs="Arial"/>
          <w:color w:val="2F5496" w:themeColor="accent1" w:themeShade="BF"/>
          <w:sz w:val="22"/>
          <w:szCs w:val="22"/>
        </w:rPr>
        <w:t>.</w:t>
      </w:r>
      <w:r w:rsidR="00320A75" w:rsidRPr="00241FC8">
        <w:rPr>
          <w:rFonts w:ascii="Arial" w:hAnsi="Arial" w:cs="Arial"/>
          <w:color w:val="2F5496" w:themeColor="accent1" w:themeShade="BF"/>
          <w:sz w:val="22"/>
          <w:szCs w:val="22"/>
        </w:rPr>
        <w:t xml:space="preserve"> One of such conditions is where it has been proved to the satisfaction of the Court that the company is unable to repay its debt (</w:t>
      </w:r>
      <w:r w:rsidR="00434360" w:rsidRPr="00241FC8">
        <w:rPr>
          <w:rFonts w:ascii="Arial" w:hAnsi="Arial" w:cs="Arial"/>
          <w:color w:val="2F5496" w:themeColor="accent1" w:themeShade="BF"/>
          <w:sz w:val="22"/>
          <w:szCs w:val="22"/>
        </w:rPr>
        <w:t>S</w:t>
      </w:r>
      <w:r w:rsidR="00320A75" w:rsidRPr="00241FC8">
        <w:rPr>
          <w:rFonts w:ascii="Arial" w:hAnsi="Arial" w:cs="Arial"/>
          <w:color w:val="2F5496" w:themeColor="accent1" w:themeShade="BF"/>
          <w:sz w:val="22"/>
          <w:szCs w:val="22"/>
        </w:rPr>
        <w:t xml:space="preserve">ection </w:t>
      </w:r>
      <w:r w:rsidR="003F776B" w:rsidRPr="00241FC8">
        <w:rPr>
          <w:rFonts w:ascii="Arial" w:hAnsi="Arial" w:cs="Arial"/>
          <w:color w:val="2F5496" w:themeColor="accent1" w:themeShade="BF"/>
          <w:sz w:val="22"/>
          <w:szCs w:val="22"/>
        </w:rPr>
        <w:t>125</w:t>
      </w:r>
      <w:r w:rsidR="00320A75" w:rsidRPr="00241FC8">
        <w:rPr>
          <w:rFonts w:ascii="Arial" w:hAnsi="Arial" w:cs="Arial"/>
          <w:color w:val="2F5496" w:themeColor="accent1" w:themeShade="BF"/>
          <w:sz w:val="22"/>
          <w:szCs w:val="22"/>
        </w:rPr>
        <w:t>(2)(c) of IRDA).</w:t>
      </w:r>
    </w:p>
    <w:p w14:paraId="5CC5620C" w14:textId="1B4F54F5" w:rsidR="003F776B" w:rsidRPr="00241FC8" w:rsidRDefault="003F776B" w:rsidP="008560C4">
      <w:pPr>
        <w:jc w:val="both"/>
        <w:rPr>
          <w:rFonts w:ascii="Arial" w:hAnsi="Arial" w:cs="Arial"/>
          <w:color w:val="2F5496" w:themeColor="accent1" w:themeShade="BF"/>
          <w:sz w:val="22"/>
          <w:szCs w:val="22"/>
        </w:rPr>
      </w:pPr>
    </w:p>
    <w:p w14:paraId="4D7AF260" w14:textId="590A7D74" w:rsidR="003F776B" w:rsidRPr="00241FC8" w:rsidRDefault="00D6427A" w:rsidP="008560C4">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In its decision, t</w:t>
      </w:r>
      <w:r w:rsidR="003F776B" w:rsidRPr="00241FC8">
        <w:rPr>
          <w:rFonts w:ascii="Arial" w:hAnsi="Arial" w:cs="Arial"/>
          <w:color w:val="2F5496" w:themeColor="accent1" w:themeShade="BF"/>
          <w:sz w:val="22"/>
          <w:szCs w:val="22"/>
        </w:rPr>
        <w:t>he Court of Appeal</w:t>
      </w:r>
      <w:r w:rsidRPr="00241FC8">
        <w:rPr>
          <w:rFonts w:ascii="Arial" w:hAnsi="Arial" w:cs="Arial"/>
          <w:color w:val="2F5496" w:themeColor="accent1" w:themeShade="BF"/>
          <w:sz w:val="22"/>
          <w:szCs w:val="22"/>
        </w:rPr>
        <w:t xml:space="preserve"> decided that the cash flow test (and not the balance sheet test) shall be the sole determinative test under </w:t>
      </w:r>
      <w:r w:rsidR="00434360" w:rsidRPr="00241FC8">
        <w:rPr>
          <w:rFonts w:ascii="Arial" w:hAnsi="Arial" w:cs="Arial"/>
          <w:color w:val="2F5496" w:themeColor="accent1" w:themeShade="BF"/>
          <w:sz w:val="22"/>
          <w:szCs w:val="22"/>
        </w:rPr>
        <w:t>S</w:t>
      </w:r>
      <w:r w:rsidRPr="00241FC8">
        <w:rPr>
          <w:rFonts w:ascii="Arial" w:hAnsi="Arial" w:cs="Arial"/>
          <w:color w:val="2F5496" w:themeColor="accent1" w:themeShade="BF"/>
          <w:sz w:val="22"/>
          <w:szCs w:val="22"/>
        </w:rPr>
        <w:t>ection 125(2)(c) of IRDA</w:t>
      </w:r>
      <w:r w:rsidR="002176C5" w:rsidRPr="00241FC8">
        <w:rPr>
          <w:rFonts w:ascii="Arial" w:hAnsi="Arial" w:cs="Arial"/>
          <w:color w:val="2F5496" w:themeColor="accent1" w:themeShade="BF"/>
          <w:sz w:val="22"/>
          <w:szCs w:val="22"/>
        </w:rPr>
        <w:t xml:space="preserve">. The Court of Appeal </w:t>
      </w:r>
      <w:r w:rsidR="0030493B" w:rsidRPr="00241FC8">
        <w:rPr>
          <w:rFonts w:ascii="Arial" w:hAnsi="Arial" w:cs="Arial"/>
          <w:color w:val="2F5496" w:themeColor="accent1" w:themeShade="BF"/>
          <w:sz w:val="22"/>
          <w:szCs w:val="22"/>
        </w:rPr>
        <w:t>in</w:t>
      </w:r>
      <w:r w:rsidR="003B41B7" w:rsidRPr="00241FC8">
        <w:rPr>
          <w:rFonts w:ascii="Arial" w:hAnsi="Arial" w:cs="Arial"/>
          <w:color w:val="2F5496" w:themeColor="accent1" w:themeShade="BF"/>
          <w:sz w:val="22"/>
          <w:szCs w:val="22"/>
        </w:rPr>
        <w:t xml:space="preserve"> its decision</w:t>
      </w:r>
      <w:r w:rsidR="0030493B" w:rsidRPr="00241FC8">
        <w:rPr>
          <w:rFonts w:ascii="Arial" w:hAnsi="Arial" w:cs="Arial"/>
          <w:color w:val="2F5496" w:themeColor="accent1" w:themeShade="BF"/>
          <w:sz w:val="22"/>
          <w:szCs w:val="22"/>
        </w:rPr>
        <w:t xml:space="preserve"> reasoned that</w:t>
      </w:r>
      <w:r w:rsidR="003B41B7" w:rsidRPr="00241FC8">
        <w:rPr>
          <w:rFonts w:ascii="Arial" w:hAnsi="Arial" w:cs="Arial"/>
          <w:color w:val="2F5496" w:themeColor="accent1" w:themeShade="BF"/>
          <w:sz w:val="22"/>
          <w:szCs w:val="22"/>
        </w:rPr>
        <w:t>; (</w:t>
      </w:r>
      <w:proofErr w:type="spellStart"/>
      <w:r w:rsidR="003B41B7" w:rsidRPr="00241FC8">
        <w:rPr>
          <w:rFonts w:ascii="Arial" w:hAnsi="Arial" w:cs="Arial"/>
          <w:color w:val="2F5496" w:themeColor="accent1" w:themeShade="BF"/>
          <w:sz w:val="22"/>
          <w:szCs w:val="22"/>
        </w:rPr>
        <w:t>i</w:t>
      </w:r>
      <w:proofErr w:type="spellEnd"/>
      <w:r w:rsidR="003B41B7" w:rsidRPr="00241FC8">
        <w:rPr>
          <w:rFonts w:ascii="Arial" w:hAnsi="Arial" w:cs="Arial"/>
          <w:color w:val="2F5496" w:themeColor="accent1" w:themeShade="BF"/>
          <w:sz w:val="22"/>
          <w:szCs w:val="22"/>
        </w:rPr>
        <w:t xml:space="preserve">) the verbatim text of the provision does not </w:t>
      </w:r>
      <w:r w:rsidR="00975A7E" w:rsidRPr="00241FC8">
        <w:rPr>
          <w:rFonts w:ascii="Arial" w:hAnsi="Arial" w:cs="Arial"/>
          <w:color w:val="2F5496" w:themeColor="accent1" w:themeShade="BF"/>
          <w:sz w:val="22"/>
          <w:szCs w:val="22"/>
        </w:rPr>
        <w:t>contemplate</w:t>
      </w:r>
      <w:r w:rsidR="003B41B7" w:rsidRPr="00241FC8">
        <w:rPr>
          <w:rFonts w:ascii="Arial" w:hAnsi="Arial" w:cs="Arial"/>
          <w:color w:val="2F5496" w:themeColor="accent1" w:themeShade="BF"/>
          <w:sz w:val="22"/>
          <w:szCs w:val="22"/>
        </w:rPr>
        <w:t xml:space="preserve"> </w:t>
      </w:r>
      <w:r w:rsidR="00975A7E" w:rsidRPr="00241FC8">
        <w:rPr>
          <w:rFonts w:ascii="Arial" w:hAnsi="Arial" w:cs="Arial"/>
          <w:color w:val="2F5496" w:themeColor="accent1" w:themeShade="BF"/>
          <w:sz w:val="22"/>
          <w:szCs w:val="22"/>
        </w:rPr>
        <w:t xml:space="preserve">using </w:t>
      </w:r>
      <w:r w:rsidR="003B41B7" w:rsidRPr="00241FC8">
        <w:rPr>
          <w:rFonts w:ascii="Arial" w:hAnsi="Arial" w:cs="Arial"/>
          <w:color w:val="2F5496" w:themeColor="accent1" w:themeShade="BF"/>
          <w:sz w:val="22"/>
          <w:szCs w:val="22"/>
        </w:rPr>
        <w:t xml:space="preserve">more than one test, (ii) the interpretation adopted by the Court is supported by UK case laws, and (iii) the single test contemplated in the provision is not the balance sheet test.   </w:t>
      </w:r>
    </w:p>
    <w:p w14:paraId="6C9C1713" w14:textId="3B2E13BC" w:rsidR="003B41B7" w:rsidRPr="00241FC8" w:rsidRDefault="003B41B7" w:rsidP="008560C4">
      <w:pPr>
        <w:jc w:val="both"/>
        <w:rPr>
          <w:rFonts w:ascii="Arial" w:hAnsi="Arial" w:cs="Arial"/>
          <w:color w:val="2F5496" w:themeColor="accent1" w:themeShade="BF"/>
          <w:sz w:val="22"/>
          <w:szCs w:val="22"/>
        </w:rPr>
      </w:pPr>
    </w:p>
    <w:p w14:paraId="0907255E" w14:textId="77777777" w:rsidR="00E87A2C" w:rsidRPr="00241FC8" w:rsidRDefault="0030493B" w:rsidP="008560C4">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The Court of Appeal, in its decision, also set forth a non-exhaustive list of factors to be considered in conducting the cash flow test,</w:t>
      </w:r>
      <w:r w:rsidR="00E87A2C" w:rsidRPr="00241FC8">
        <w:rPr>
          <w:rFonts w:ascii="Arial" w:hAnsi="Arial" w:cs="Arial"/>
          <w:color w:val="2F5496" w:themeColor="accent1" w:themeShade="BF"/>
          <w:sz w:val="22"/>
          <w:szCs w:val="22"/>
        </w:rPr>
        <w:t xml:space="preserve"> which include;</w:t>
      </w:r>
      <w:r w:rsidRPr="00241FC8">
        <w:rPr>
          <w:rFonts w:ascii="Arial" w:hAnsi="Arial" w:cs="Arial"/>
          <w:color w:val="2F5496" w:themeColor="accent1" w:themeShade="BF"/>
          <w:sz w:val="22"/>
          <w:szCs w:val="22"/>
        </w:rPr>
        <w:t xml:space="preserve"> </w:t>
      </w:r>
    </w:p>
    <w:p w14:paraId="18781B47" w14:textId="40E0E1F7" w:rsidR="00E87A2C" w:rsidRPr="00241FC8" w:rsidRDefault="00E87A2C" w:rsidP="00E87A2C">
      <w:pPr>
        <w:pStyle w:val="ListParagraph"/>
        <w:numPr>
          <w:ilvl w:val="0"/>
          <w:numId w:val="17"/>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T</w:t>
      </w:r>
      <w:r w:rsidR="0030493B" w:rsidRPr="00241FC8">
        <w:rPr>
          <w:rFonts w:ascii="Arial" w:hAnsi="Arial" w:cs="Arial"/>
          <w:color w:val="2F5496" w:themeColor="accent1" w:themeShade="BF"/>
          <w:sz w:val="22"/>
          <w:szCs w:val="22"/>
        </w:rPr>
        <w:t>he quantum of all debts</w:t>
      </w:r>
      <w:r w:rsidR="00975A7E" w:rsidRPr="00241FC8">
        <w:rPr>
          <w:rFonts w:ascii="Arial" w:hAnsi="Arial" w:cs="Arial"/>
          <w:color w:val="2F5496" w:themeColor="accent1" w:themeShade="BF"/>
          <w:sz w:val="22"/>
          <w:szCs w:val="22"/>
        </w:rPr>
        <w:t>,</w:t>
      </w:r>
      <w:r w:rsidR="0030493B" w:rsidRPr="00241FC8">
        <w:rPr>
          <w:rFonts w:ascii="Arial" w:hAnsi="Arial" w:cs="Arial"/>
          <w:color w:val="2F5496" w:themeColor="accent1" w:themeShade="BF"/>
          <w:sz w:val="22"/>
          <w:szCs w:val="22"/>
        </w:rPr>
        <w:t xml:space="preserve"> </w:t>
      </w:r>
      <w:r w:rsidRPr="00241FC8">
        <w:rPr>
          <w:rFonts w:ascii="Arial" w:hAnsi="Arial" w:cs="Arial"/>
          <w:color w:val="2F5496" w:themeColor="accent1" w:themeShade="BF"/>
          <w:sz w:val="22"/>
          <w:szCs w:val="22"/>
        </w:rPr>
        <w:t>includ</w:t>
      </w:r>
      <w:r w:rsidR="00975A7E" w:rsidRPr="00241FC8">
        <w:rPr>
          <w:rFonts w:ascii="Arial" w:hAnsi="Arial" w:cs="Arial"/>
          <w:color w:val="2F5496" w:themeColor="accent1" w:themeShade="BF"/>
          <w:sz w:val="22"/>
          <w:szCs w:val="22"/>
        </w:rPr>
        <w:t>ing</w:t>
      </w:r>
      <w:r w:rsidRPr="00241FC8">
        <w:rPr>
          <w:rFonts w:ascii="Arial" w:hAnsi="Arial" w:cs="Arial"/>
          <w:color w:val="2F5496" w:themeColor="accent1" w:themeShade="BF"/>
          <w:sz w:val="22"/>
          <w:szCs w:val="22"/>
        </w:rPr>
        <w:t xml:space="preserve"> debts that are already due and debts that will be due in </w:t>
      </w:r>
      <w:r w:rsidR="00975A7E" w:rsidRPr="00241FC8">
        <w:rPr>
          <w:rFonts w:ascii="Arial" w:hAnsi="Arial" w:cs="Arial"/>
          <w:color w:val="2F5496" w:themeColor="accent1" w:themeShade="BF"/>
          <w:sz w:val="22"/>
          <w:szCs w:val="22"/>
        </w:rPr>
        <w:t xml:space="preserve">the </w:t>
      </w:r>
      <w:r w:rsidRPr="00241FC8">
        <w:rPr>
          <w:rFonts w:ascii="Arial" w:hAnsi="Arial" w:cs="Arial"/>
          <w:color w:val="2F5496" w:themeColor="accent1" w:themeShade="BF"/>
          <w:sz w:val="22"/>
          <w:szCs w:val="22"/>
        </w:rPr>
        <w:t xml:space="preserve">reasonably near future; </w:t>
      </w:r>
    </w:p>
    <w:p w14:paraId="71B7F96C" w14:textId="116A82B7" w:rsidR="003B41B7" w:rsidRPr="00241FC8" w:rsidRDefault="00E87A2C" w:rsidP="00E87A2C">
      <w:pPr>
        <w:pStyle w:val="ListParagraph"/>
        <w:numPr>
          <w:ilvl w:val="0"/>
          <w:numId w:val="17"/>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Whether payments have been demanded or likely to be demanded;</w:t>
      </w:r>
    </w:p>
    <w:p w14:paraId="3E254E31" w14:textId="2F2E7293" w:rsidR="00E87A2C" w:rsidRPr="00241FC8" w:rsidRDefault="00E87A2C" w:rsidP="00E87A2C">
      <w:pPr>
        <w:pStyle w:val="ListParagraph"/>
        <w:numPr>
          <w:ilvl w:val="0"/>
          <w:numId w:val="17"/>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Whether the company has failed to repay its debt, the quantum of the debt, and how long such debt has been in arrears;</w:t>
      </w:r>
    </w:p>
    <w:p w14:paraId="23EE4446" w14:textId="64B39F3D" w:rsidR="00E87A2C" w:rsidRPr="00241FC8" w:rsidRDefault="00E87A2C" w:rsidP="00E87A2C">
      <w:pPr>
        <w:pStyle w:val="ListParagraph"/>
        <w:numPr>
          <w:ilvl w:val="0"/>
          <w:numId w:val="17"/>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The length of time that has passed in the wind</w:t>
      </w:r>
      <w:r w:rsidR="004B73B4" w:rsidRPr="00241FC8">
        <w:rPr>
          <w:rFonts w:ascii="Arial" w:hAnsi="Arial" w:cs="Arial"/>
          <w:color w:val="2F5496" w:themeColor="accent1" w:themeShade="BF"/>
          <w:sz w:val="22"/>
          <w:szCs w:val="22"/>
        </w:rPr>
        <w:t>ing</w:t>
      </w:r>
      <w:r w:rsidRPr="00241FC8">
        <w:rPr>
          <w:rFonts w:ascii="Arial" w:hAnsi="Arial" w:cs="Arial"/>
          <w:color w:val="2F5496" w:themeColor="accent1" w:themeShade="BF"/>
          <w:sz w:val="22"/>
          <w:szCs w:val="22"/>
        </w:rPr>
        <w:t>-up proceeding;</w:t>
      </w:r>
    </w:p>
    <w:p w14:paraId="2DCAF4E9" w14:textId="6980D399" w:rsidR="00E87A2C" w:rsidRPr="00241FC8" w:rsidRDefault="004B73B4" w:rsidP="00E87A2C">
      <w:pPr>
        <w:pStyle w:val="ListParagraph"/>
        <w:numPr>
          <w:ilvl w:val="0"/>
          <w:numId w:val="17"/>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The value of the company’s assets at present, as well as those realizable in the reasonably near future;</w:t>
      </w:r>
    </w:p>
    <w:p w14:paraId="1DCF4BA1" w14:textId="4CB58487" w:rsidR="004B73B4" w:rsidRPr="00241FC8" w:rsidRDefault="004B73B4" w:rsidP="00E87A2C">
      <w:pPr>
        <w:pStyle w:val="ListParagraph"/>
        <w:numPr>
          <w:ilvl w:val="0"/>
          <w:numId w:val="17"/>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Expected net cashflow that can be generated from the company’s present state of business;</w:t>
      </w:r>
    </w:p>
    <w:p w14:paraId="6AAA0E46" w14:textId="5AF738EE" w:rsidR="004B73B4" w:rsidRPr="00241FC8" w:rsidRDefault="004B73B4" w:rsidP="00E87A2C">
      <w:pPr>
        <w:pStyle w:val="ListParagraph"/>
        <w:numPr>
          <w:ilvl w:val="0"/>
          <w:numId w:val="17"/>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Other income or payment that the company may receive; and</w:t>
      </w:r>
    </w:p>
    <w:p w14:paraId="59A8B435" w14:textId="370988D5" w:rsidR="004B73B4" w:rsidRPr="00241FC8" w:rsidRDefault="004B73B4" w:rsidP="00E87A2C">
      <w:pPr>
        <w:pStyle w:val="ListParagraph"/>
        <w:numPr>
          <w:ilvl w:val="0"/>
          <w:numId w:val="17"/>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Any arrangement that the company </w:t>
      </w:r>
      <w:r w:rsidR="00975A7E" w:rsidRPr="00241FC8">
        <w:rPr>
          <w:rFonts w:ascii="Arial" w:hAnsi="Arial" w:cs="Arial"/>
          <w:color w:val="2F5496" w:themeColor="accent1" w:themeShade="BF"/>
          <w:sz w:val="22"/>
          <w:szCs w:val="22"/>
        </w:rPr>
        <w:t xml:space="preserve">may have </w:t>
      </w:r>
      <w:r w:rsidRPr="00241FC8">
        <w:rPr>
          <w:rFonts w:ascii="Arial" w:hAnsi="Arial" w:cs="Arial"/>
          <w:color w:val="2F5496" w:themeColor="accent1" w:themeShade="BF"/>
          <w:sz w:val="22"/>
          <w:szCs w:val="22"/>
        </w:rPr>
        <w:t>with prospective lenders</w:t>
      </w:r>
      <w:r w:rsidR="00975A7E" w:rsidRPr="00241FC8">
        <w:rPr>
          <w:rFonts w:ascii="Arial" w:hAnsi="Arial" w:cs="Arial"/>
          <w:color w:val="2F5496" w:themeColor="accent1" w:themeShade="BF"/>
          <w:sz w:val="22"/>
          <w:szCs w:val="22"/>
        </w:rPr>
        <w:t>,</w:t>
      </w:r>
      <w:r w:rsidR="00CE6A70" w:rsidRPr="00241FC8">
        <w:rPr>
          <w:rFonts w:ascii="Arial" w:hAnsi="Arial" w:cs="Arial"/>
          <w:color w:val="2F5496" w:themeColor="accent1" w:themeShade="BF"/>
          <w:sz w:val="22"/>
          <w:szCs w:val="22"/>
        </w:rPr>
        <w:t xml:space="preserve"> such as its bankers and shareholders,</w:t>
      </w:r>
      <w:r w:rsidRPr="00241FC8">
        <w:rPr>
          <w:rFonts w:ascii="Arial" w:hAnsi="Arial" w:cs="Arial"/>
          <w:color w:val="2F5496" w:themeColor="accent1" w:themeShade="BF"/>
          <w:sz w:val="22"/>
          <w:szCs w:val="22"/>
        </w:rPr>
        <w:t xml:space="preserve"> that can provide </w:t>
      </w:r>
      <w:r w:rsidR="00CE6A70" w:rsidRPr="00241FC8">
        <w:rPr>
          <w:rFonts w:ascii="Arial" w:hAnsi="Arial" w:cs="Arial"/>
          <w:color w:val="2F5496" w:themeColor="accent1" w:themeShade="BF"/>
          <w:sz w:val="22"/>
          <w:szCs w:val="22"/>
        </w:rPr>
        <w:t>some liquidity or borrowing.</w:t>
      </w:r>
    </w:p>
    <w:p w14:paraId="269CBCB4" w14:textId="66000813" w:rsidR="003F776B" w:rsidRDefault="003F776B" w:rsidP="008560C4">
      <w:pPr>
        <w:jc w:val="both"/>
        <w:rPr>
          <w:rFonts w:ascii="Arial" w:hAnsi="Arial" w:cs="Arial"/>
          <w:color w:val="7B7B7B" w:themeColor="accent3" w:themeShade="BF"/>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050B66B0" w:rsidR="009B07AD" w:rsidRPr="00241FC8" w:rsidRDefault="00F94E23" w:rsidP="00F94E23">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The IRDA introduced the following</w:t>
      </w:r>
      <w:r w:rsidR="00121735" w:rsidRPr="00241FC8">
        <w:rPr>
          <w:rFonts w:ascii="Arial" w:hAnsi="Arial" w:cs="Arial"/>
          <w:color w:val="2F5496" w:themeColor="accent1" w:themeShade="BF"/>
          <w:sz w:val="22"/>
          <w:szCs w:val="22"/>
        </w:rPr>
        <w:t xml:space="preserve"> new</w:t>
      </w:r>
      <w:r w:rsidRPr="00241FC8">
        <w:rPr>
          <w:rFonts w:ascii="Arial" w:hAnsi="Arial" w:cs="Arial"/>
          <w:color w:val="2F5496" w:themeColor="accent1" w:themeShade="BF"/>
          <w:sz w:val="22"/>
          <w:szCs w:val="22"/>
        </w:rPr>
        <w:t xml:space="preserve"> features that were not previously available under the 2017 amendments to the Companies Act</w:t>
      </w:r>
      <w:r w:rsidR="00716A47" w:rsidRPr="00241FC8">
        <w:rPr>
          <w:rFonts w:ascii="Arial" w:hAnsi="Arial" w:cs="Arial"/>
          <w:color w:val="2F5496" w:themeColor="accent1" w:themeShade="BF"/>
          <w:sz w:val="22"/>
          <w:szCs w:val="22"/>
        </w:rPr>
        <w:t>:</w:t>
      </w:r>
    </w:p>
    <w:p w14:paraId="5944A90D" w14:textId="3CE66DC3" w:rsidR="00AD6223" w:rsidRPr="00241FC8" w:rsidRDefault="00AD6223" w:rsidP="00F94E23">
      <w:pPr>
        <w:pStyle w:val="ListParagraph"/>
        <w:numPr>
          <w:ilvl w:val="0"/>
          <w:numId w:val="18"/>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Section 94 of IRDA introduced a new process for launching voluntary judicial management</w:t>
      </w:r>
      <w:r w:rsidR="00121735" w:rsidRPr="00241FC8">
        <w:rPr>
          <w:rFonts w:ascii="Arial" w:hAnsi="Arial" w:cs="Arial"/>
          <w:color w:val="2F5496" w:themeColor="accent1" w:themeShade="BF"/>
          <w:sz w:val="22"/>
          <w:szCs w:val="22"/>
        </w:rPr>
        <w:t>,</w:t>
      </w:r>
      <w:r w:rsidRPr="00241FC8">
        <w:rPr>
          <w:rFonts w:ascii="Arial" w:hAnsi="Arial" w:cs="Arial"/>
          <w:color w:val="2F5496" w:themeColor="accent1" w:themeShade="BF"/>
          <w:sz w:val="22"/>
          <w:szCs w:val="22"/>
        </w:rPr>
        <w:t xml:space="preserve"> without having to </w:t>
      </w:r>
      <w:r w:rsidR="003E5642" w:rsidRPr="00241FC8">
        <w:rPr>
          <w:rFonts w:ascii="Arial" w:hAnsi="Arial" w:cs="Arial"/>
          <w:color w:val="2F5496" w:themeColor="accent1" w:themeShade="BF"/>
          <w:sz w:val="22"/>
          <w:szCs w:val="22"/>
        </w:rPr>
        <w:t>apply to the Court</w:t>
      </w:r>
      <w:r w:rsidR="00073435" w:rsidRPr="00241FC8">
        <w:rPr>
          <w:rFonts w:ascii="Arial" w:hAnsi="Arial" w:cs="Arial"/>
          <w:color w:val="2F5496" w:themeColor="accent1" w:themeShade="BF"/>
          <w:sz w:val="22"/>
          <w:szCs w:val="22"/>
        </w:rPr>
        <w:t xml:space="preserve"> and as such</w:t>
      </w:r>
      <w:r w:rsidR="00121735" w:rsidRPr="00241FC8">
        <w:rPr>
          <w:rFonts w:ascii="Arial" w:hAnsi="Arial" w:cs="Arial"/>
          <w:color w:val="2F5496" w:themeColor="accent1" w:themeShade="BF"/>
          <w:sz w:val="22"/>
          <w:szCs w:val="22"/>
        </w:rPr>
        <w:t>,</w:t>
      </w:r>
      <w:r w:rsidR="00073435" w:rsidRPr="00241FC8">
        <w:rPr>
          <w:rFonts w:ascii="Arial" w:hAnsi="Arial" w:cs="Arial"/>
          <w:color w:val="2F5496" w:themeColor="accent1" w:themeShade="BF"/>
          <w:sz w:val="22"/>
          <w:szCs w:val="22"/>
        </w:rPr>
        <w:t xml:space="preserve"> without a Court order. Under this new feature introduced by IRDA, a company that </w:t>
      </w:r>
      <w:r w:rsidR="003E5642" w:rsidRPr="00241FC8">
        <w:rPr>
          <w:rFonts w:ascii="Arial" w:hAnsi="Arial" w:cs="Arial"/>
          <w:color w:val="2F5496" w:themeColor="accent1" w:themeShade="BF"/>
          <w:sz w:val="22"/>
          <w:szCs w:val="22"/>
        </w:rPr>
        <w:t xml:space="preserve">is (or likely to be) unable to repay its debt, </w:t>
      </w:r>
      <w:r w:rsidR="00073435" w:rsidRPr="00241FC8">
        <w:rPr>
          <w:rFonts w:ascii="Arial" w:hAnsi="Arial" w:cs="Arial"/>
          <w:color w:val="2F5496" w:themeColor="accent1" w:themeShade="BF"/>
          <w:sz w:val="22"/>
          <w:szCs w:val="22"/>
        </w:rPr>
        <w:t xml:space="preserve">and have </w:t>
      </w:r>
      <w:r w:rsidR="003E5642" w:rsidRPr="00241FC8">
        <w:rPr>
          <w:rFonts w:ascii="Arial" w:hAnsi="Arial" w:cs="Arial"/>
          <w:color w:val="2F5496" w:themeColor="accent1" w:themeShade="BF"/>
          <w:sz w:val="22"/>
          <w:szCs w:val="22"/>
        </w:rPr>
        <w:t xml:space="preserve">reasonable probability to achieve one or more purposes of judicial management, </w:t>
      </w:r>
      <w:r w:rsidR="00073435" w:rsidRPr="00241FC8">
        <w:rPr>
          <w:rFonts w:ascii="Arial" w:hAnsi="Arial" w:cs="Arial"/>
          <w:color w:val="2F5496" w:themeColor="accent1" w:themeShade="BF"/>
          <w:sz w:val="22"/>
          <w:szCs w:val="22"/>
        </w:rPr>
        <w:t xml:space="preserve">may place itself under juridical management by way of </w:t>
      </w:r>
      <w:r w:rsidR="003E5642" w:rsidRPr="00241FC8">
        <w:rPr>
          <w:rFonts w:ascii="Arial" w:hAnsi="Arial" w:cs="Arial"/>
          <w:color w:val="2F5496" w:themeColor="accent1" w:themeShade="BF"/>
          <w:sz w:val="22"/>
          <w:szCs w:val="22"/>
        </w:rPr>
        <w:t>a resolution from its creditors.</w:t>
      </w:r>
    </w:p>
    <w:p w14:paraId="52B2C286" w14:textId="741673AF" w:rsidR="00AD6223" w:rsidRPr="00241FC8" w:rsidRDefault="00AD6223" w:rsidP="00F94E23">
      <w:pPr>
        <w:pStyle w:val="ListParagraph"/>
        <w:numPr>
          <w:ilvl w:val="0"/>
          <w:numId w:val="18"/>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Section 239 of IRDA introduced new concept of wrongful trading, where </w:t>
      </w:r>
      <w:r w:rsidR="00121735" w:rsidRPr="00241FC8">
        <w:rPr>
          <w:rFonts w:ascii="Arial" w:hAnsi="Arial" w:cs="Arial"/>
          <w:color w:val="2F5496" w:themeColor="accent1" w:themeShade="BF"/>
          <w:sz w:val="22"/>
          <w:szCs w:val="22"/>
        </w:rPr>
        <w:t xml:space="preserve">a company </w:t>
      </w:r>
      <w:r w:rsidRPr="00241FC8">
        <w:rPr>
          <w:rFonts w:ascii="Arial" w:hAnsi="Arial" w:cs="Arial"/>
          <w:color w:val="2F5496" w:themeColor="accent1" w:themeShade="BF"/>
          <w:sz w:val="22"/>
          <w:szCs w:val="22"/>
        </w:rPr>
        <w:t xml:space="preserve">incurred </w:t>
      </w:r>
      <w:r w:rsidR="00121735" w:rsidRPr="00241FC8">
        <w:rPr>
          <w:rFonts w:ascii="Arial" w:hAnsi="Arial" w:cs="Arial"/>
          <w:color w:val="2F5496" w:themeColor="accent1" w:themeShade="BF"/>
          <w:sz w:val="22"/>
          <w:szCs w:val="22"/>
        </w:rPr>
        <w:t xml:space="preserve">a debt </w:t>
      </w:r>
      <w:r w:rsidRPr="00241FC8">
        <w:rPr>
          <w:rFonts w:ascii="Arial" w:hAnsi="Arial" w:cs="Arial"/>
          <w:color w:val="2F5496" w:themeColor="accent1" w:themeShade="BF"/>
          <w:sz w:val="22"/>
          <w:szCs w:val="22"/>
        </w:rPr>
        <w:t xml:space="preserve">without reasonable prospect of it getting fully repaid if the company becomes insolvent, or where a company is becoming insolvent because of the incurrence of such debt. The new wrongful trading concept under IRDA, imposes </w:t>
      </w:r>
      <w:r w:rsidR="00073435" w:rsidRPr="00241FC8">
        <w:rPr>
          <w:rFonts w:ascii="Arial" w:hAnsi="Arial" w:cs="Arial"/>
          <w:color w:val="2F5496" w:themeColor="accent1" w:themeShade="BF"/>
          <w:sz w:val="22"/>
          <w:szCs w:val="22"/>
        </w:rPr>
        <w:t xml:space="preserve">personal </w:t>
      </w:r>
      <w:r w:rsidRPr="00241FC8">
        <w:rPr>
          <w:rFonts w:ascii="Arial" w:hAnsi="Arial" w:cs="Arial"/>
          <w:color w:val="2F5496" w:themeColor="accent1" w:themeShade="BF"/>
          <w:sz w:val="22"/>
          <w:szCs w:val="22"/>
        </w:rPr>
        <w:t>liability for a company’s debt</w:t>
      </w:r>
      <w:r w:rsidR="00073435" w:rsidRPr="00241FC8">
        <w:rPr>
          <w:rFonts w:ascii="Arial" w:hAnsi="Arial" w:cs="Arial"/>
          <w:color w:val="2F5496" w:themeColor="accent1" w:themeShade="BF"/>
          <w:sz w:val="22"/>
          <w:szCs w:val="22"/>
        </w:rPr>
        <w:t xml:space="preserve">, without </w:t>
      </w:r>
      <w:r w:rsidR="00121735" w:rsidRPr="00241FC8">
        <w:rPr>
          <w:rFonts w:ascii="Arial" w:hAnsi="Arial" w:cs="Arial"/>
          <w:color w:val="2F5496" w:themeColor="accent1" w:themeShade="BF"/>
          <w:sz w:val="22"/>
          <w:szCs w:val="22"/>
        </w:rPr>
        <w:t xml:space="preserve">requiring </w:t>
      </w:r>
      <w:r w:rsidR="00073435" w:rsidRPr="00241FC8">
        <w:rPr>
          <w:rFonts w:ascii="Arial" w:hAnsi="Arial" w:cs="Arial"/>
          <w:color w:val="2F5496" w:themeColor="accent1" w:themeShade="BF"/>
          <w:sz w:val="22"/>
          <w:szCs w:val="22"/>
        </w:rPr>
        <w:t xml:space="preserve">criminal liability </w:t>
      </w:r>
      <w:r w:rsidR="00121735" w:rsidRPr="00241FC8">
        <w:rPr>
          <w:rFonts w:ascii="Arial" w:hAnsi="Arial" w:cs="Arial"/>
          <w:color w:val="2F5496" w:themeColor="accent1" w:themeShade="BF"/>
          <w:sz w:val="22"/>
          <w:szCs w:val="22"/>
        </w:rPr>
        <w:t xml:space="preserve">against the person </w:t>
      </w:r>
      <w:r w:rsidR="00073435" w:rsidRPr="00241FC8">
        <w:rPr>
          <w:rFonts w:ascii="Arial" w:hAnsi="Arial" w:cs="Arial"/>
          <w:color w:val="2F5496" w:themeColor="accent1" w:themeShade="BF"/>
          <w:sz w:val="22"/>
          <w:szCs w:val="22"/>
        </w:rPr>
        <w:t>as a pre-requisite,</w:t>
      </w:r>
      <w:r w:rsidRPr="00241FC8">
        <w:rPr>
          <w:rFonts w:ascii="Arial" w:hAnsi="Arial" w:cs="Arial"/>
          <w:color w:val="2F5496" w:themeColor="accent1" w:themeShade="BF"/>
          <w:sz w:val="22"/>
          <w:szCs w:val="22"/>
        </w:rPr>
        <w:t xml:space="preserve"> </w:t>
      </w:r>
      <w:r w:rsidR="00073435" w:rsidRPr="00241FC8">
        <w:rPr>
          <w:rFonts w:ascii="Arial" w:hAnsi="Arial" w:cs="Arial"/>
          <w:color w:val="2F5496" w:themeColor="accent1" w:themeShade="BF"/>
          <w:sz w:val="22"/>
          <w:szCs w:val="22"/>
        </w:rPr>
        <w:t>in cases where such person</w:t>
      </w:r>
      <w:r w:rsidRPr="00241FC8">
        <w:rPr>
          <w:rFonts w:ascii="Arial" w:hAnsi="Arial" w:cs="Arial"/>
          <w:color w:val="2F5496" w:themeColor="accent1" w:themeShade="BF"/>
          <w:sz w:val="22"/>
          <w:szCs w:val="22"/>
        </w:rPr>
        <w:t xml:space="preserve"> knew that the company </w:t>
      </w:r>
      <w:r w:rsidR="00121735" w:rsidRPr="00241FC8">
        <w:rPr>
          <w:rFonts w:ascii="Arial" w:hAnsi="Arial" w:cs="Arial"/>
          <w:color w:val="2F5496" w:themeColor="accent1" w:themeShade="BF"/>
          <w:sz w:val="22"/>
          <w:szCs w:val="22"/>
        </w:rPr>
        <w:t>was</w:t>
      </w:r>
      <w:r w:rsidRPr="00241FC8">
        <w:rPr>
          <w:rFonts w:ascii="Arial" w:hAnsi="Arial" w:cs="Arial"/>
          <w:color w:val="2F5496" w:themeColor="accent1" w:themeShade="BF"/>
          <w:sz w:val="22"/>
          <w:szCs w:val="22"/>
        </w:rPr>
        <w:t xml:space="preserve"> trading wrongfully, or </w:t>
      </w:r>
      <w:r w:rsidR="00121735" w:rsidRPr="00241FC8">
        <w:rPr>
          <w:rFonts w:ascii="Arial" w:hAnsi="Arial" w:cs="Arial"/>
          <w:color w:val="2F5496" w:themeColor="accent1" w:themeShade="BF"/>
          <w:sz w:val="22"/>
          <w:szCs w:val="22"/>
        </w:rPr>
        <w:t xml:space="preserve">such person was </w:t>
      </w:r>
      <w:r w:rsidRPr="00241FC8">
        <w:rPr>
          <w:rFonts w:ascii="Arial" w:hAnsi="Arial" w:cs="Arial"/>
          <w:color w:val="2F5496" w:themeColor="accent1" w:themeShade="BF"/>
          <w:sz w:val="22"/>
          <w:szCs w:val="22"/>
        </w:rPr>
        <w:t xml:space="preserve">an officer of the company who ought to have known that the company </w:t>
      </w:r>
      <w:r w:rsidR="00121735" w:rsidRPr="00241FC8">
        <w:rPr>
          <w:rFonts w:ascii="Arial" w:hAnsi="Arial" w:cs="Arial"/>
          <w:color w:val="2F5496" w:themeColor="accent1" w:themeShade="BF"/>
          <w:sz w:val="22"/>
          <w:szCs w:val="22"/>
        </w:rPr>
        <w:t xml:space="preserve">was </w:t>
      </w:r>
      <w:r w:rsidRPr="00241FC8">
        <w:rPr>
          <w:rFonts w:ascii="Arial" w:hAnsi="Arial" w:cs="Arial"/>
          <w:color w:val="2F5496" w:themeColor="accent1" w:themeShade="BF"/>
          <w:sz w:val="22"/>
          <w:szCs w:val="22"/>
        </w:rPr>
        <w:t>trading wrongfully.</w:t>
      </w:r>
    </w:p>
    <w:p w14:paraId="5D78BF09" w14:textId="25AD9CC9" w:rsidR="00F94E23" w:rsidRPr="00241FC8" w:rsidRDefault="00012B36" w:rsidP="00F94E23">
      <w:pPr>
        <w:pStyle w:val="ListParagraph"/>
        <w:numPr>
          <w:ilvl w:val="0"/>
          <w:numId w:val="18"/>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lastRenderedPageBreak/>
        <w:t>Section 440 of IRDA introduced r</w:t>
      </w:r>
      <w:r w:rsidR="00F94E23" w:rsidRPr="00241FC8">
        <w:rPr>
          <w:rFonts w:ascii="Arial" w:hAnsi="Arial" w:cs="Arial"/>
          <w:color w:val="2F5496" w:themeColor="accent1" w:themeShade="BF"/>
          <w:sz w:val="22"/>
          <w:szCs w:val="22"/>
        </w:rPr>
        <w:t xml:space="preserve">estriction </w:t>
      </w:r>
      <w:r w:rsidR="00121735" w:rsidRPr="00241FC8">
        <w:rPr>
          <w:rFonts w:ascii="Arial" w:hAnsi="Arial" w:cs="Arial"/>
          <w:color w:val="2F5496" w:themeColor="accent1" w:themeShade="BF"/>
          <w:sz w:val="22"/>
          <w:szCs w:val="22"/>
        </w:rPr>
        <w:t xml:space="preserve">(stay) </w:t>
      </w:r>
      <w:r w:rsidR="00F94E23" w:rsidRPr="00241FC8">
        <w:rPr>
          <w:rFonts w:ascii="Arial" w:hAnsi="Arial" w:cs="Arial"/>
          <w:color w:val="2F5496" w:themeColor="accent1" w:themeShade="BF"/>
          <w:sz w:val="22"/>
          <w:szCs w:val="22"/>
        </w:rPr>
        <w:t xml:space="preserve">on the exercise of contractual termination </w:t>
      </w:r>
      <w:r w:rsidR="00716A47" w:rsidRPr="00241FC8">
        <w:rPr>
          <w:rFonts w:ascii="Arial" w:hAnsi="Arial" w:cs="Arial"/>
          <w:color w:val="2F5496" w:themeColor="accent1" w:themeShade="BF"/>
          <w:sz w:val="22"/>
          <w:szCs w:val="22"/>
        </w:rPr>
        <w:t xml:space="preserve">or modification </w:t>
      </w:r>
      <w:r w:rsidR="00F94E23" w:rsidRPr="00241FC8">
        <w:rPr>
          <w:rFonts w:ascii="Arial" w:hAnsi="Arial" w:cs="Arial"/>
          <w:color w:val="2F5496" w:themeColor="accent1" w:themeShade="BF"/>
          <w:sz w:val="22"/>
          <w:szCs w:val="22"/>
        </w:rPr>
        <w:t xml:space="preserve">clauses </w:t>
      </w:r>
      <w:r w:rsidR="00716A47" w:rsidRPr="00241FC8">
        <w:rPr>
          <w:rFonts w:ascii="Arial" w:hAnsi="Arial" w:cs="Arial"/>
          <w:color w:val="2F5496" w:themeColor="accent1" w:themeShade="BF"/>
          <w:sz w:val="22"/>
          <w:szCs w:val="22"/>
        </w:rPr>
        <w:t xml:space="preserve">that is triggered solely by the counterparty’s insolvency </w:t>
      </w:r>
      <w:r w:rsidR="00F94E23" w:rsidRPr="00241FC8">
        <w:rPr>
          <w:rFonts w:ascii="Arial" w:hAnsi="Arial" w:cs="Arial"/>
          <w:color w:val="2F5496" w:themeColor="accent1" w:themeShade="BF"/>
          <w:sz w:val="22"/>
          <w:szCs w:val="22"/>
        </w:rPr>
        <w:t xml:space="preserve">(the so-called </w:t>
      </w:r>
      <w:r w:rsidR="00F94E23" w:rsidRPr="00241FC8">
        <w:rPr>
          <w:rFonts w:ascii="Arial" w:hAnsi="Arial" w:cs="Arial"/>
          <w:i/>
          <w:iCs/>
          <w:color w:val="2F5496" w:themeColor="accent1" w:themeShade="BF"/>
          <w:sz w:val="22"/>
          <w:szCs w:val="22"/>
        </w:rPr>
        <w:t>ipso facto</w:t>
      </w:r>
      <w:r w:rsidR="00F94E23" w:rsidRPr="00241FC8">
        <w:rPr>
          <w:rFonts w:ascii="Arial" w:hAnsi="Arial" w:cs="Arial"/>
          <w:color w:val="2F5496" w:themeColor="accent1" w:themeShade="BF"/>
          <w:sz w:val="22"/>
          <w:szCs w:val="22"/>
        </w:rPr>
        <w:t xml:space="preserve"> clauses)</w:t>
      </w:r>
      <w:r w:rsidR="00716A47" w:rsidRPr="00241FC8">
        <w:rPr>
          <w:rFonts w:ascii="Arial" w:hAnsi="Arial" w:cs="Arial"/>
          <w:color w:val="2F5496" w:themeColor="accent1" w:themeShade="BF"/>
          <w:sz w:val="22"/>
          <w:szCs w:val="22"/>
        </w:rPr>
        <w:t>,</w:t>
      </w:r>
      <w:r w:rsidR="00F94E23" w:rsidRPr="00241FC8">
        <w:rPr>
          <w:rFonts w:ascii="Arial" w:hAnsi="Arial" w:cs="Arial"/>
          <w:color w:val="2F5496" w:themeColor="accent1" w:themeShade="BF"/>
          <w:sz w:val="22"/>
          <w:szCs w:val="22"/>
        </w:rPr>
        <w:t xml:space="preserve"> once any judicial management or scheme of arrangement </w:t>
      </w:r>
      <w:r w:rsidR="00716A47" w:rsidRPr="00241FC8">
        <w:rPr>
          <w:rFonts w:ascii="Arial" w:hAnsi="Arial" w:cs="Arial"/>
          <w:color w:val="2F5496" w:themeColor="accent1" w:themeShade="BF"/>
          <w:sz w:val="22"/>
          <w:szCs w:val="22"/>
        </w:rPr>
        <w:t xml:space="preserve">proceeding </w:t>
      </w:r>
      <w:r w:rsidR="00F94E23" w:rsidRPr="00241FC8">
        <w:rPr>
          <w:rFonts w:ascii="Arial" w:hAnsi="Arial" w:cs="Arial"/>
          <w:color w:val="2F5496" w:themeColor="accent1" w:themeShade="BF"/>
          <w:sz w:val="22"/>
          <w:szCs w:val="22"/>
        </w:rPr>
        <w:t>is commenced</w:t>
      </w:r>
      <w:r w:rsidR="00716A47" w:rsidRPr="00241FC8">
        <w:rPr>
          <w:rFonts w:ascii="Arial" w:hAnsi="Arial" w:cs="Arial"/>
          <w:color w:val="2F5496" w:themeColor="accent1" w:themeShade="BF"/>
          <w:sz w:val="22"/>
          <w:szCs w:val="22"/>
        </w:rPr>
        <w:t>.</w:t>
      </w:r>
    </w:p>
    <w:p w14:paraId="39A38982" w14:textId="3FD9EB7E" w:rsidR="00454FBC" w:rsidRPr="00241FC8" w:rsidRDefault="0034270D" w:rsidP="00F94E23">
      <w:pPr>
        <w:pStyle w:val="ListParagraph"/>
        <w:numPr>
          <w:ilvl w:val="0"/>
          <w:numId w:val="18"/>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The IRDA also </w:t>
      </w:r>
      <w:r w:rsidR="00B15C97" w:rsidRPr="00241FC8">
        <w:rPr>
          <w:rFonts w:ascii="Arial" w:hAnsi="Arial" w:cs="Arial"/>
          <w:color w:val="2F5496" w:themeColor="accent1" w:themeShade="BF"/>
          <w:sz w:val="22"/>
          <w:szCs w:val="22"/>
        </w:rPr>
        <w:t>accorded</w:t>
      </w:r>
      <w:r w:rsidRPr="00241FC8">
        <w:rPr>
          <w:rFonts w:ascii="Arial" w:hAnsi="Arial" w:cs="Arial"/>
          <w:color w:val="2F5496" w:themeColor="accent1" w:themeShade="BF"/>
          <w:sz w:val="22"/>
          <w:szCs w:val="22"/>
        </w:rPr>
        <w:t xml:space="preserve"> judicial managers and liquidators </w:t>
      </w:r>
      <w:r w:rsidR="00B15C97" w:rsidRPr="00241FC8">
        <w:rPr>
          <w:rFonts w:ascii="Arial" w:hAnsi="Arial" w:cs="Arial"/>
          <w:color w:val="2F5496" w:themeColor="accent1" w:themeShade="BF"/>
          <w:sz w:val="22"/>
          <w:szCs w:val="22"/>
        </w:rPr>
        <w:t xml:space="preserve">the ability </w:t>
      </w:r>
      <w:r w:rsidRPr="00241FC8">
        <w:rPr>
          <w:rFonts w:ascii="Arial" w:hAnsi="Arial" w:cs="Arial"/>
          <w:color w:val="2F5496" w:themeColor="accent1" w:themeShade="BF"/>
          <w:sz w:val="22"/>
          <w:szCs w:val="22"/>
        </w:rPr>
        <w:t xml:space="preserve">to assign proceeds of </w:t>
      </w:r>
      <w:r w:rsidR="00B15C97" w:rsidRPr="00241FC8">
        <w:rPr>
          <w:rFonts w:ascii="Arial" w:hAnsi="Arial" w:cs="Arial"/>
          <w:color w:val="2F5496" w:themeColor="accent1" w:themeShade="BF"/>
          <w:sz w:val="22"/>
          <w:szCs w:val="22"/>
        </w:rPr>
        <w:t xml:space="preserve">certain </w:t>
      </w:r>
      <w:r w:rsidRPr="00241FC8">
        <w:rPr>
          <w:rFonts w:ascii="Arial" w:hAnsi="Arial" w:cs="Arial"/>
          <w:color w:val="2F5496" w:themeColor="accent1" w:themeShade="BF"/>
          <w:sz w:val="22"/>
          <w:szCs w:val="22"/>
        </w:rPr>
        <w:t>antecedent transactions in f</w:t>
      </w:r>
      <w:r w:rsidR="002A1DB2" w:rsidRPr="00241FC8">
        <w:rPr>
          <w:rFonts w:ascii="Arial" w:hAnsi="Arial" w:cs="Arial"/>
          <w:color w:val="2F5496" w:themeColor="accent1" w:themeShade="BF"/>
          <w:sz w:val="22"/>
          <w:szCs w:val="22"/>
        </w:rPr>
        <w:t>avor of third-party funders who fund the legal costs incurred by the company to pursue the company’s claims against third parties</w:t>
      </w:r>
      <w:r w:rsidR="00B15C97" w:rsidRPr="00241FC8">
        <w:rPr>
          <w:rFonts w:ascii="Arial" w:hAnsi="Arial" w:cs="Arial"/>
          <w:color w:val="2F5496" w:themeColor="accent1" w:themeShade="BF"/>
          <w:sz w:val="22"/>
          <w:szCs w:val="22"/>
        </w:rPr>
        <w:t xml:space="preserve"> related to the specified antecedent transactions</w:t>
      </w:r>
      <w:r w:rsidR="002A1DB2" w:rsidRPr="00241FC8">
        <w:rPr>
          <w:rFonts w:ascii="Arial" w:hAnsi="Arial" w:cs="Arial"/>
          <w:color w:val="2F5496" w:themeColor="accent1" w:themeShade="BF"/>
          <w:sz w:val="22"/>
          <w:szCs w:val="22"/>
        </w:rPr>
        <w:t xml:space="preserve">, and as such the IRDA </w:t>
      </w:r>
      <w:r w:rsidR="00B15C97" w:rsidRPr="00241FC8">
        <w:rPr>
          <w:rFonts w:ascii="Arial" w:hAnsi="Arial" w:cs="Arial"/>
          <w:color w:val="2F5496" w:themeColor="accent1" w:themeShade="BF"/>
          <w:sz w:val="22"/>
          <w:szCs w:val="22"/>
        </w:rPr>
        <w:t xml:space="preserve">accorded the judicial managers and liquidators the ability to tap into litigation funding, to fund the pursuit of claims against third parties, that may otherwise not be pursued </w:t>
      </w:r>
      <w:r w:rsidR="000B26C9" w:rsidRPr="00241FC8">
        <w:rPr>
          <w:rFonts w:ascii="Arial" w:hAnsi="Arial" w:cs="Arial"/>
          <w:color w:val="2F5496" w:themeColor="accent1" w:themeShade="BF"/>
          <w:sz w:val="22"/>
          <w:szCs w:val="22"/>
        </w:rPr>
        <w:t>given the</w:t>
      </w:r>
      <w:r w:rsidR="00B15C97" w:rsidRPr="00241FC8">
        <w:rPr>
          <w:rFonts w:ascii="Arial" w:hAnsi="Arial" w:cs="Arial"/>
          <w:color w:val="2F5496" w:themeColor="accent1" w:themeShade="BF"/>
          <w:sz w:val="22"/>
          <w:szCs w:val="22"/>
        </w:rPr>
        <w:t xml:space="preserve"> lack of funding and resources.</w:t>
      </w: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3AA7EA6F" w14:textId="0EFFC9A1" w:rsidR="00D266D2" w:rsidRPr="00241FC8" w:rsidRDefault="003F62D8" w:rsidP="003F62D8">
      <w:p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As an alternative to a formal bankruptcy, a debtor may propose a Voluntary Arrangement (“VA”), which is a negotiated</w:t>
      </w:r>
      <w:r w:rsidR="004B2F6B" w:rsidRPr="00241FC8">
        <w:rPr>
          <w:rFonts w:ascii="Arial" w:hAnsi="Arial" w:cs="Arial"/>
          <w:color w:val="2F5496" w:themeColor="accent1" w:themeShade="BF"/>
          <w:sz w:val="22"/>
          <w:szCs w:val="22"/>
          <w:lang w:val="en-GB"/>
        </w:rPr>
        <w:t xml:space="preserve"> settlement between a debtor and his/her creditors,</w:t>
      </w:r>
      <w:r w:rsidRPr="00241FC8">
        <w:rPr>
          <w:rFonts w:ascii="Arial" w:hAnsi="Arial" w:cs="Arial"/>
          <w:color w:val="2F5496" w:themeColor="accent1" w:themeShade="BF"/>
          <w:sz w:val="22"/>
          <w:szCs w:val="22"/>
          <w:lang w:val="en-GB"/>
        </w:rPr>
        <w:t xml:space="preserve"> to be overseen by a licensed insolvency practitioner who will act as a nominee. </w:t>
      </w:r>
      <w:r w:rsidR="00C05347" w:rsidRPr="00241FC8">
        <w:rPr>
          <w:rFonts w:ascii="Arial" w:hAnsi="Arial" w:cs="Arial"/>
          <w:color w:val="2F5496" w:themeColor="accent1" w:themeShade="BF"/>
          <w:sz w:val="22"/>
          <w:szCs w:val="22"/>
          <w:lang w:val="en-GB"/>
        </w:rPr>
        <w:t>Through VA, the debtor can work out a settlement and thus resolve issues with the creditors, without going through formal bankruptcy process.</w:t>
      </w:r>
    </w:p>
    <w:p w14:paraId="6D62EA1D" w14:textId="77777777" w:rsidR="00D266D2" w:rsidRPr="00241FC8" w:rsidRDefault="00D266D2" w:rsidP="003F62D8">
      <w:pPr>
        <w:jc w:val="both"/>
        <w:rPr>
          <w:rFonts w:ascii="Arial" w:hAnsi="Arial" w:cs="Arial"/>
          <w:color w:val="2F5496" w:themeColor="accent1" w:themeShade="BF"/>
          <w:sz w:val="22"/>
          <w:szCs w:val="22"/>
          <w:lang w:val="en-GB"/>
        </w:rPr>
      </w:pPr>
    </w:p>
    <w:p w14:paraId="4AF7625F" w14:textId="3E6E55DC" w:rsidR="00C72848" w:rsidRPr="00241FC8" w:rsidRDefault="003F62D8" w:rsidP="00D266D2">
      <w:p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 xml:space="preserve">To pursue the VA, the individual debtor may </w:t>
      </w:r>
      <w:r w:rsidR="00D266D2" w:rsidRPr="00241FC8">
        <w:rPr>
          <w:rFonts w:ascii="Arial" w:hAnsi="Arial" w:cs="Arial"/>
          <w:color w:val="2F5496" w:themeColor="accent1" w:themeShade="BF"/>
          <w:sz w:val="22"/>
          <w:szCs w:val="22"/>
          <w:lang w:val="en-GB"/>
        </w:rPr>
        <w:t xml:space="preserve">appoint a nominee and </w:t>
      </w:r>
      <w:r w:rsidRPr="00241FC8">
        <w:rPr>
          <w:rFonts w:ascii="Arial" w:hAnsi="Arial" w:cs="Arial"/>
          <w:color w:val="2F5496" w:themeColor="accent1" w:themeShade="BF"/>
          <w:sz w:val="22"/>
          <w:szCs w:val="22"/>
          <w:lang w:val="en-GB"/>
        </w:rPr>
        <w:t xml:space="preserve">apply to the </w:t>
      </w:r>
      <w:r w:rsidR="004B2F6B" w:rsidRPr="00241FC8">
        <w:rPr>
          <w:rFonts w:ascii="Arial" w:hAnsi="Arial" w:cs="Arial"/>
          <w:color w:val="2F5496" w:themeColor="accent1" w:themeShade="BF"/>
          <w:sz w:val="22"/>
          <w:szCs w:val="22"/>
          <w:lang w:val="en-GB"/>
        </w:rPr>
        <w:t>c</w:t>
      </w:r>
      <w:r w:rsidRPr="00241FC8">
        <w:rPr>
          <w:rFonts w:ascii="Arial" w:hAnsi="Arial" w:cs="Arial"/>
          <w:color w:val="2F5496" w:themeColor="accent1" w:themeShade="BF"/>
          <w:sz w:val="22"/>
          <w:szCs w:val="22"/>
          <w:lang w:val="en-GB"/>
        </w:rPr>
        <w:t>ourt</w:t>
      </w:r>
      <w:r w:rsidR="004B2F6B" w:rsidRPr="00241FC8">
        <w:rPr>
          <w:rFonts w:ascii="Arial" w:hAnsi="Arial" w:cs="Arial"/>
          <w:color w:val="2F5496" w:themeColor="accent1" w:themeShade="BF"/>
          <w:sz w:val="22"/>
          <w:szCs w:val="22"/>
          <w:lang w:val="en-GB"/>
        </w:rPr>
        <w:t xml:space="preserve"> for an interim order for the VA, disclose his/her assets and liabilities</w:t>
      </w:r>
      <w:r w:rsidR="00C105DA" w:rsidRPr="00241FC8">
        <w:rPr>
          <w:rFonts w:ascii="Arial" w:hAnsi="Arial" w:cs="Arial"/>
          <w:color w:val="2F5496" w:themeColor="accent1" w:themeShade="BF"/>
          <w:sz w:val="22"/>
          <w:szCs w:val="22"/>
          <w:lang w:val="en-GB"/>
        </w:rPr>
        <w:t>,</w:t>
      </w:r>
      <w:r w:rsidR="004B2F6B" w:rsidRPr="00241FC8">
        <w:rPr>
          <w:rFonts w:ascii="Arial" w:hAnsi="Arial" w:cs="Arial"/>
          <w:color w:val="2F5496" w:themeColor="accent1" w:themeShade="BF"/>
          <w:sz w:val="22"/>
          <w:szCs w:val="22"/>
          <w:lang w:val="en-GB"/>
        </w:rPr>
        <w:t xml:space="preserve"> and </w:t>
      </w:r>
      <w:r w:rsidRPr="00241FC8">
        <w:rPr>
          <w:rFonts w:ascii="Arial" w:hAnsi="Arial" w:cs="Arial"/>
          <w:color w:val="2F5496" w:themeColor="accent1" w:themeShade="BF"/>
          <w:sz w:val="22"/>
          <w:szCs w:val="22"/>
          <w:lang w:val="en-GB"/>
        </w:rPr>
        <w:t xml:space="preserve">propose </w:t>
      </w:r>
      <w:r w:rsidR="004B2F6B" w:rsidRPr="00241FC8">
        <w:rPr>
          <w:rFonts w:ascii="Arial" w:hAnsi="Arial" w:cs="Arial"/>
          <w:color w:val="2F5496" w:themeColor="accent1" w:themeShade="BF"/>
          <w:sz w:val="22"/>
          <w:szCs w:val="22"/>
          <w:lang w:val="en-GB"/>
        </w:rPr>
        <w:t>how he/she intends to settle the debts with the creditors.</w:t>
      </w:r>
      <w:r w:rsidR="00D266D2" w:rsidRPr="00241FC8">
        <w:rPr>
          <w:rFonts w:ascii="Arial" w:hAnsi="Arial" w:cs="Arial"/>
          <w:color w:val="2F5496" w:themeColor="accent1" w:themeShade="BF"/>
          <w:sz w:val="22"/>
          <w:szCs w:val="22"/>
          <w:lang w:val="en-GB"/>
        </w:rPr>
        <w:t xml:space="preserve"> Once the interim order is issued, no bankruptcy proceeding against the debtor may be commenced or continued, and no other proceedings (including any enforcement) may be commenced or continued against the debtor or his/her property without permission from the court. Following the interim order, the nominee will need to submit a report to the court</w:t>
      </w:r>
      <w:r w:rsidR="00C105DA" w:rsidRPr="00241FC8">
        <w:rPr>
          <w:rFonts w:ascii="Arial" w:hAnsi="Arial" w:cs="Arial"/>
          <w:color w:val="2F5496" w:themeColor="accent1" w:themeShade="BF"/>
          <w:sz w:val="22"/>
          <w:szCs w:val="22"/>
          <w:lang w:val="en-GB"/>
        </w:rPr>
        <w:t xml:space="preserve"> to state his opinion </w:t>
      </w:r>
      <w:r w:rsidR="006A3012" w:rsidRPr="00241FC8">
        <w:rPr>
          <w:rFonts w:ascii="Arial" w:hAnsi="Arial" w:cs="Arial"/>
          <w:color w:val="2F5496" w:themeColor="accent1" w:themeShade="BF"/>
          <w:sz w:val="22"/>
          <w:szCs w:val="22"/>
          <w:lang w:val="en-GB"/>
        </w:rPr>
        <w:t xml:space="preserve">on </w:t>
      </w:r>
      <w:r w:rsidR="00C105DA" w:rsidRPr="00241FC8">
        <w:rPr>
          <w:rFonts w:ascii="Arial" w:hAnsi="Arial" w:cs="Arial"/>
          <w:color w:val="2F5496" w:themeColor="accent1" w:themeShade="BF"/>
          <w:sz w:val="22"/>
          <w:szCs w:val="22"/>
          <w:lang w:val="en-GB"/>
        </w:rPr>
        <w:t>whether the creditors’ meeting should be convened and if so, the proposed time and venue of such creditors’ meeting. The nominee then shall summon the creditors’ meeting unless otherwise instructed by the court.</w:t>
      </w:r>
    </w:p>
    <w:p w14:paraId="0A95FCE8" w14:textId="371400C3" w:rsidR="00C105DA" w:rsidRPr="00241FC8" w:rsidRDefault="00C105DA" w:rsidP="00D266D2">
      <w:pPr>
        <w:jc w:val="both"/>
        <w:rPr>
          <w:rFonts w:ascii="Arial" w:hAnsi="Arial" w:cs="Arial"/>
          <w:color w:val="2F5496" w:themeColor="accent1" w:themeShade="BF"/>
          <w:sz w:val="22"/>
          <w:szCs w:val="22"/>
          <w:lang w:val="en-GB"/>
        </w:rPr>
      </w:pPr>
    </w:p>
    <w:p w14:paraId="156E0053" w14:textId="66C96D2C" w:rsidR="00C105DA" w:rsidRPr="00241FC8" w:rsidRDefault="00C105DA" w:rsidP="00D266D2">
      <w:p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If the creditors’ meeting is convened, the creditors will then vote on the VA proposal. If supported by the required majority of creditors through special resolution of the creditors at the meeting, the VA proposal will become binding on all creditors who have been notified of the creditors’ meeting</w:t>
      </w:r>
      <w:r w:rsidR="006A3012" w:rsidRPr="00241FC8">
        <w:rPr>
          <w:rFonts w:ascii="Arial" w:hAnsi="Arial" w:cs="Arial"/>
          <w:color w:val="2F5496" w:themeColor="accent1" w:themeShade="BF"/>
          <w:sz w:val="22"/>
          <w:szCs w:val="22"/>
          <w:lang w:val="en-GB"/>
        </w:rPr>
        <w:t xml:space="preserve"> and entitled to vote on the proposal.</w:t>
      </w:r>
      <w:r w:rsidRPr="00241FC8">
        <w:rPr>
          <w:rFonts w:ascii="Arial" w:hAnsi="Arial" w:cs="Arial"/>
          <w:color w:val="2F5496" w:themeColor="accent1" w:themeShade="BF"/>
          <w:sz w:val="22"/>
          <w:szCs w:val="22"/>
          <w:lang w:val="en-GB"/>
        </w:rPr>
        <w:t xml:space="preserve"> </w:t>
      </w:r>
      <w:r w:rsidR="006A3012" w:rsidRPr="00241FC8">
        <w:rPr>
          <w:rFonts w:ascii="Arial" w:hAnsi="Arial" w:cs="Arial"/>
          <w:color w:val="2F5496" w:themeColor="accent1" w:themeShade="BF"/>
          <w:sz w:val="22"/>
          <w:szCs w:val="22"/>
          <w:lang w:val="en-GB"/>
        </w:rPr>
        <w:t>If subsequently the debtor defaults on any obligation under the approved VA, then the nominee or any creditor bound by the VA may file for a bankruptcy petition against the debtor.</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72F57A5C" w14:textId="2A57E7D4" w:rsidR="00544127" w:rsidRDefault="00544127" w:rsidP="002A37BB">
      <w:pPr>
        <w:jc w:val="both"/>
        <w:rPr>
          <w:rFonts w:ascii="Arial" w:hAnsi="Arial" w:cs="Arial"/>
          <w:sz w:val="22"/>
          <w:szCs w:val="22"/>
        </w:rPr>
      </w:pPr>
    </w:p>
    <w:p w14:paraId="096588F6" w14:textId="4AC00EAF" w:rsidR="00F84715" w:rsidRPr="00241FC8" w:rsidRDefault="00703E01" w:rsidP="002A37BB">
      <w:p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L</w:t>
      </w:r>
      <w:r w:rsidR="00F84715" w:rsidRPr="00241FC8">
        <w:rPr>
          <w:rFonts w:ascii="Arial" w:hAnsi="Arial" w:cs="Arial"/>
          <w:color w:val="2F5496" w:themeColor="accent1" w:themeShade="BF"/>
          <w:sz w:val="22"/>
          <w:szCs w:val="22"/>
          <w:lang w:val="en-GB"/>
        </w:rPr>
        <w:t>iquidator</w:t>
      </w:r>
      <w:r w:rsidRPr="00241FC8">
        <w:rPr>
          <w:rFonts w:ascii="Arial" w:hAnsi="Arial" w:cs="Arial"/>
          <w:color w:val="2F5496" w:themeColor="accent1" w:themeShade="BF"/>
          <w:sz w:val="22"/>
          <w:szCs w:val="22"/>
          <w:lang w:val="en-GB"/>
        </w:rPr>
        <w:t>s</w:t>
      </w:r>
      <w:r w:rsidR="00F84715" w:rsidRPr="00241FC8">
        <w:rPr>
          <w:rFonts w:ascii="Arial" w:hAnsi="Arial" w:cs="Arial"/>
          <w:color w:val="2F5496" w:themeColor="accent1" w:themeShade="BF"/>
          <w:sz w:val="22"/>
          <w:szCs w:val="22"/>
          <w:lang w:val="en-GB"/>
        </w:rPr>
        <w:t xml:space="preserve"> </w:t>
      </w:r>
      <w:r w:rsidRPr="00241FC8">
        <w:rPr>
          <w:rFonts w:ascii="Arial" w:hAnsi="Arial" w:cs="Arial"/>
          <w:color w:val="2F5496" w:themeColor="accent1" w:themeShade="BF"/>
          <w:sz w:val="22"/>
          <w:szCs w:val="22"/>
          <w:lang w:val="en-GB"/>
        </w:rPr>
        <w:t>or</w:t>
      </w:r>
      <w:r w:rsidR="00F84715" w:rsidRPr="00241FC8">
        <w:rPr>
          <w:rFonts w:ascii="Arial" w:hAnsi="Arial" w:cs="Arial"/>
          <w:color w:val="2F5496" w:themeColor="accent1" w:themeShade="BF"/>
          <w:sz w:val="22"/>
          <w:szCs w:val="22"/>
          <w:lang w:val="en-GB"/>
        </w:rPr>
        <w:t xml:space="preserve"> judicial manager</w:t>
      </w:r>
      <w:r w:rsidRPr="00241FC8">
        <w:rPr>
          <w:rFonts w:ascii="Arial" w:hAnsi="Arial" w:cs="Arial"/>
          <w:color w:val="2F5496" w:themeColor="accent1" w:themeShade="BF"/>
          <w:sz w:val="22"/>
          <w:szCs w:val="22"/>
          <w:lang w:val="en-GB"/>
        </w:rPr>
        <w:t>s</w:t>
      </w:r>
      <w:r w:rsidR="00F84715" w:rsidRPr="00241FC8">
        <w:rPr>
          <w:rFonts w:ascii="Arial" w:hAnsi="Arial" w:cs="Arial"/>
          <w:color w:val="2F5496" w:themeColor="accent1" w:themeShade="BF"/>
          <w:sz w:val="22"/>
          <w:szCs w:val="22"/>
          <w:lang w:val="en-GB"/>
        </w:rPr>
        <w:t xml:space="preserve"> can </w:t>
      </w:r>
      <w:r w:rsidR="00352779" w:rsidRPr="00241FC8">
        <w:rPr>
          <w:rFonts w:ascii="Arial" w:hAnsi="Arial" w:cs="Arial"/>
          <w:color w:val="2F5496" w:themeColor="accent1" w:themeShade="BF"/>
          <w:sz w:val="22"/>
          <w:szCs w:val="22"/>
          <w:lang w:val="en-GB"/>
        </w:rPr>
        <w:t xml:space="preserve">bring legal action </w:t>
      </w:r>
      <w:r w:rsidR="001438A2" w:rsidRPr="00241FC8">
        <w:rPr>
          <w:rFonts w:ascii="Arial" w:hAnsi="Arial" w:cs="Arial"/>
          <w:color w:val="2F5496" w:themeColor="accent1" w:themeShade="BF"/>
          <w:sz w:val="22"/>
          <w:szCs w:val="22"/>
          <w:lang w:val="en-GB"/>
        </w:rPr>
        <w:t xml:space="preserve">in the court to unwind or void </w:t>
      </w:r>
      <w:r w:rsidR="00BE1A6A" w:rsidRPr="00241FC8">
        <w:rPr>
          <w:rFonts w:ascii="Arial" w:hAnsi="Arial" w:cs="Arial"/>
          <w:color w:val="2F5496" w:themeColor="accent1" w:themeShade="BF"/>
          <w:sz w:val="22"/>
          <w:szCs w:val="22"/>
          <w:lang w:val="en-GB"/>
        </w:rPr>
        <w:t xml:space="preserve">impeachable </w:t>
      </w:r>
      <w:r w:rsidR="001438A2" w:rsidRPr="00241FC8">
        <w:rPr>
          <w:rFonts w:ascii="Arial" w:hAnsi="Arial" w:cs="Arial"/>
          <w:color w:val="2F5496" w:themeColor="accent1" w:themeShade="BF"/>
          <w:sz w:val="22"/>
          <w:szCs w:val="22"/>
          <w:lang w:val="en-GB"/>
        </w:rPr>
        <w:t>transactions or acts</w:t>
      </w:r>
      <w:r w:rsidR="006D5E1E" w:rsidRPr="00241FC8">
        <w:rPr>
          <w:rFonts w:ascii="Arial" w:hAnsi="Arial" w:cs="Arial"/>
          <w:color w:val="2F5496" w:themeColor="accent1" w:themeShade="BF"/>
          <w:sz w:val="22"/>
          <w:szCs w:val="22"/>
          <w:lang w:val="en-GB"/>
        </w:rPr>
        <w:t>,</w:t>
      </w:r>
      <w:r w:rsidR="001438A2" w:rsidRPr="00241FC8">
        <w:rPr>
          <w:rFonts w:ascii="Arial" w:hAnsi="Arial" w:cs="Arial"/>
          <w:color w:val="2F5496" w:themeColor="accent1" w:themeShade="BF"/>
          <w:sz w:val="22"/>
          <w:szCs w:val="22"/>
          <w:lang w:val="en-GB"/>
        </w:rPr>
        <w:t xml:space="preserve"> that are prejudicial or detrimental to the creditors, </w:t>
      </w:r>
      <w:r w:rsidR="001A5A01" w:rsidRPr="00241FC8">
        <w:rPr>
          <w:rFonts w:ascii="Arial" w:hAnsi="Arial" w:cs="Arial"/>
          <w:color w:val="2F5496" w:themeColor="accent1" w:themeShade="BF"/>
          <w:sz w:val="22"/>
          <w:szCs w:val="22"/>
          <w:lang w:val="en-GB"/>
        </w:rPr>
        <w:t xml:space="preserve">or to clawback assets or values that were previously transferred under </w:t>
      </w:r>
      <w:r w:rsidR="00775109" w:rsidRPr="00241FC8">
        <w:rPr>
          <w:rFonts w:ascii="Arial" w:hAnsi="Arial" w:cs="Arial"/>
          <w:color w:val="2F5496" w:themeColor="accent1" w:themeShade="BF"/>
          <w:sz w:val="22"/>
          <w:szCs w:val="22"/>
          <w:lang w:val="en-GB"/>
        </w:rPr>
        <w:t xml:space="preserve">any of the following </w:t>
      </w:r>
      <w:r w:rsidR="001A5A01" w:rsidRPr="00241FC8">
        <w:rPr>
          <w:rFonts w:ascii="Arial" w:hAnsi="Arial" w:cs="Arial"/>
          <w:color w:val="2F5496" w:themeColor="accent1" w:themeShade="BF"/>
          <w:sz w:val="22"/>
          <w:szCs w:val="22"/>
          <w:lang w:val="en-GB"/>
        </w:rPr>
        <w:t>impeachable transactions</w:t>
      </w:r>
      <w:r w:rsidR="001438A2" w:rsidRPr="00241FC8">
        <w:rPr>
          <w:rFonts w:ascii="Arial" w:hAnsi="Arial" w:cs="Arial"/>
          <w:color w:val="2F5496" w:themeColor="accent1" w:themeShade="BF"/>
          <w:sz w:val="22"/>
          <w:szCs w:val="22"/>
          <w:lang w:val="en-GB"/>
        </w:rPr>
        <w:t>;</w:t>
      </w:r>
    </w:p>
    <w:p w14:paraId="292472C7" w14:textId="37E2BBCE" w:rsidR="001438A2" w:rsidRPr="00241FC8" w:rsidRDefault="00703E01" w:rsidP="001438A2">
      <w:pPr>
        <w:pStyle w:val="ListParagraph"/>
        <w:numPr>
          <w:ilvl w:val="0"/>
          <w:numId w:val="19"/>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U</w:t>
      </w:r>
      <w:r w:rsidR="001A5A01" w:rsidRPr="00241FC8">
        <w:rPr>
          <w:rFonts w:ascii="Arial" w:hAnsi="Arial" w:cs="Arial"/>
          <w:color w:val="2F5496" w:themeColor="accent1" w:themeShade="BF"/>
          <w:sz w:val="22"/>
          <w:szCs w:val="22"/>
          <w:lang w:val="en-GB"/>
        </w:rPr>
        <w:t>ndervalued transaction</w:t>
      </w:r>
      <w:r w:rsidR="00BE1A6A" w:rsidRPr="00241FC8">
        <w:rPr>
          <w:rFonts w:ascii="Arial" w:hAnsi="Arial" w:cs="Arial"/>
          <w:color w:val="2F5496" w:themeColor="accent1" w:themeShade="BF"/>
          <w:sz w:val="22"/>
          <w:szCs w:val="22"/>
          <w:lang w:val="en-GB"/>
        </w:rPr>
        <w:t>, where the value of the consideration received by the debtor was considerably less than the consideration provided by the debtor, and the debtor became insolvent because of the transaction</w:t>
      </w:r>
      <w:r w:rsidR="00C8671A" w:rsidRPr="00241FC8">
        <w:rPr>
          <w:rFonts w:ascii="Arial" w:hAnsi="Arial" w:cs="Arial"/>
          <w:color w:val="2F5496" w:themeColor="accent1" w:themeShade="BF"/>
          <w:sz w:val="22"/>
          <w:szCs w:val="22"/>
          <w:lang w:val="en-GB"/>
        </w:rPr>
        <w:t>.</w:t>
      </w:r>
    </w:p>
    <w:p w14:paraId="6396AA2A" w14:textId="402A7801" w:rsidR="001A5A01" w:rsidRPr="00241FC8" w:rsidRDefault="00703E01" w:rsidP="001438A2">
      <w:pPr>
        <w:pStyle w:val="ListParagraph"/>
        <w:numPr>
          <w:ilvl w:val="0"/>
          <w:numId w:val="19"/>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lastRenderedPageBreak/>
        <w:t>U</w:t>
      </w:r>
      <w:r w:rsidR="001A5A01" w:rsidRPr="00241FC8">
        <w:rPr>
          <w:rFonts w:ascii="Arial" w:hAnsi="Arial" w:cs="Arial"/>
          <w:color w:val="2F5496" w:themeColor="accent1" w:themeShade="BF"/>
          <w:sz w:val="22"/>
          <w:szCs w:val="22"/>
          <w:lang w:val="en-GB"/>
        </w:rPr>
        <w:t>nfair preference transaction</w:t>
      </w:r>
      <w:r w:rsidR="00BE1A6A" w:rsidRPr="00241FC8">
        <w:rPr>
          <w:rFonts w:ascii="Arial" w:hAnsi="Arial" w:cs="Arial"/>
          <w:color w:val="2F5496" w:themeColor="accent1" w:themeShade="BF"/>
          <w:sz w:val="22"/>
          <w:szCs w:val="22"/>
          <w:lang w:val="en-GB"/>
        </w:rPr>
        <w:t>, where the transaction was with a preferred party who is a creditor or guarantor of any of the debtor’s liabilities, the debtor was insolvent when the</w:t>
      </w:r>
      <w:r w:rsidR="00775109" w:rsidRPr="00241FC8">
        <w:rPr>
          <w:rFonts w:ascii="Arial" w:hAnsi="Arial" w:cs="Arial"/>
          <w:color w:val="2F5496" w:themeColor="accent1" w:themeShade="BF"/>
          <w:sz w:val="22"/>
          <w:szCs w:val="22"/>
          <w:lang w:val="en-GB"/>
        </w:rPr>
        <w:t xml:space="preserve"> preference was provided, the transaction would result in the preferred party to be in a better or preferred position than otherwise, and the debtor was influenced by the desire provide preference to the preferred party (which is presumed to be the case if the preferred party is an associate of the debtor)</w:t>
      </w:r>
      <w:r w:rsidR="00C8671A" w:rsidRPr="00241FC8">
        <w:rPr>
          <w:rFonts w:ascii="Arial" w:hAnsi="Arial" w:cs="Arial"/>
          <w:color w:val="2F5496" w:themeColor="accent1" w:themeShade="BF"/>
          <w:sz w:val="22"/>
          <w:szCs w:val="22"/>
          <w:lang w:val="en-GB"/>
        </w:rPr>
        <w:t>.</w:t>
      </w:r>
    </w:p>
    <w:p w14:paraId="4426FD39" w14:textId="20DA9345" w:rsidR="001A5A01" w:rsidRPr="00241FC8" w:rsidRDefault="00703E01" w:rsidP="001438A2">
      <w:pPr>
        <w:pStyle w:val="ListParagraph"/>
        <w:numPr>
          <w:ilvl w:val="0"/>
          <w:numId w:val="19"/>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E</w:t>
      </w:r>
      <w:r w:rsidR="001A5A01" w:rsidRPr="00241FC8">
        <w:rPr>
          <w:rFonts w:ascii="Arial" w:hAnsi="Arial" w:cs="Arial"/>
          <w:color w:val="2F5496" w:themeColor="accent1" w:themeShade="BF"/>
          <w:sz w:val="22"/>
          <w:szCs w:val="22"/>
          <w:lang w:val="en-GB"/>
        </w:rPr>
        <w:t>xtortionate credit transaction</w:t>
      </w:r>
      <w:r w:rsidR="000E4CFB" w:rsidRPr="00241FC8">
        <w:rPr>
          <w:rFonts w:ascii="Arial" w:hAnsi="Arial" w:cs="Arial"/>
          <w:color w:val="2F5496" w:themeColor="accent1" w:themeShade="BF"/>
          <w:sz w:val="22"/>
          <w:szCs w:val="22"/>
          <w:lang w:val="en-GB"/>
        </w:rPr>
        <w:t>, where the debtor has received a credit that in turn requires grossly exorbitant payments to be made to the provider of the credit, or where the terms of the credit are harsh and unconscionable or substantially unfair</w:t>
      </w:r>
      <w:r w:rsidR="00C8671A" w:rsidRPr="00241FC8">
        <w:rPr>
          <w:rFonts w:ascii="Arial" w:hAnsi="Arial" w:cs="Arial"/>
          <w:color w:val="2F5496" w:themeColor="accent1" w:themeShade="BF"/>
          <w:sz w:val="22"/>
          <w:szCs w:val="22"/>
          <w:lang w:val="en-GB"/>
        </w:rPr>
        <w:t>.</w:t>
      </w:r>
    </w:p>
    <w:p w14:paraId="4D08D1FB" w14:textId="3A61F6A5" w:rsidR="006D5E1E" w:rsidRPr="00241FC8" w:rsidRDefault="00703E01" w:rsidP="001438A2">
      <w:pPr>
        <w:pStyle w:val="ListParagraph"/>
        <w:numPr>
          <w:ilvl w:val="0"/>
          <w:numId w:val="19"/>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W</w:t>
      </w:r>
      <w:r w:rsidR="006D5E1E" w:rsidRPr="00241FC8">
        <w:rPr>
          <w:rFonts w:ascii="Arial" w:hAnsi="Arial" w:cs="Arial"/>
          <w:color w:val="2F5496" w:themeColor="accent1" w:themeShade="BF"/>
          <w:sz w:val="22"/>
          <w:szCs w:val="22"/>
          <w:lang w:val="en-GB"/>
        </w:rPr>
        <w:t xml:space="preserve">rongful trading, </w:t>
      </w:r>
      <w:r w:rsidR="006D5E1E" w:rsidRPr="00241FC8">
        <w:rPr>
          <w:rFonts w:ascii="Arial" w:hAnsi="Arial" w:cs="Arial"/>
          <w:color w:val="2F5496" w:themeColor="accent1" w:themeShade="BF"/>
          <w:sz w:val="22"/>
          <w:szCs w:val="22"/>
        </w:rPr>
        <w:t xml:space="preserve">where the debtor has incurred a debt without reasonable prospect of it getting fully repaid </w:t>
      </w:r>
      <w:r w:rsidR="00C8671A" w:rsidRPr="00241FC8">
        <w:rPr>
          <w:rFonts w:ascii="Arial" w:hAnsi="Arial" w:cs="Arial"/>
          <w:color w:val="2F5496" w:themeColor="accent1" w:themeShade="BF"/>
          <w:sz w:val="22"/>
          <w:szCs w:val="22"/>
        </w:rPr>
        <w:t xml:space="preserve">when the debtor became </w:t>
      </w:r>
      <w:r w:rsidR="006D5E1E" w:rsidRPr="00241FC8">
        <w:rPr>
          <w:rFonts w:ascii="Arial" w:hAnsi="Arial" w:cs="Arial"/>
          <w:color w:val="2F5496" w:themeColor="accent1" w:themeShade="BF"/>
          <w:sz w:val="22"/>
          <w:szCs w:val="22"/>
        </w:rPr>
        <w:t xml:space="preserve">insolvent, or where </w:t>
      </w:r>
      <w:r w:rsidR="00C8671A" w:rsidRPr="00241FC8">
        <w:rPr>
          <w:rFonts w:ascii="Arial" w:hAnsi="Arial" w:cs="Arial"/>
          <w:color w:val="2F5496" w:themeColor="accent1" w:themeShade="BF"/>
          <w:sz w:val="22"/>
          <w:szCs w:val="22"/>
        </w:rPr>
        <w:t xml:space="preserve">the debtor became </w:t>
      </w:r>
      <w:r w:rsidR="006D5E1E" w:rsidRPr="00241FC8">
        <w:rPr>
          <w:rFonts w:ascii="Arial" w:hAnsi="Arial" w:cs="Arial"/>
          <w:color w:val="2F5496" w:themeColor="accent1" w:themeShade="BF"/>
          <w:sz w:val="22"/>
          <w:szCs w:val="22"/>
        </w:rPr>
        <w:t>insolvent because of the incurrence of such debt</w:t>
      </w:r>
      <w:r w:rsidR="00C8671A" w:rsidRPr="00241FC8">
        <w:rPr>
          <w:rFonts w:ascii="Arial" w:hAnsi="Arial" w:cs="Arial"/>
          <w:color w:val="2F5496" w:themeColor="accent1" w:themeShade="BF"/>
          <w:sz w:val="22"/>
          <w:szCs w:val="22"/>
        </w:rPr>
        <w:t>.</w:t>
      </w:r>
    </w:p>
    <w:p w14:paraId="2EC58C73" w14:textId="3D8D69F4" w:rsidR="001A5A01" w:rsidRPr="00241FC8" w:rsidRDefault="00703E01" w:rsidP="001438A2">
      <w:pPr>
        <w:pStyle w:val="ListParagraph"/>
        <w:numPr>
          <w:ilvl w:val="0"/>
          <w:numId w:val="19"/>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F</w:t>
      </w:r>
      <w:r w:rsidR="001A5A01" w:rsidRPr="00241FC8">
        <w:rPr>
          <w:rFonts w:ascii="Arial" w:hAnsi="Arial" w:cs="Arial"/>
          <w:color w:val="2F5496" w:themeColor="accent1" w:themeShade="BF"/>
          <w:sz w:val="22"/>
          <w:szCs w:val="22"/>
          <w:lang w:val="en-GB"/>
        </w:rPr>
        <w:t>raudulent trading</w:t>
      </w:r>
      <w:r w:rsidR="00C8671A" w:rsidRPr="00241FC8">
        <w:rPr>
          <w:rFonts w:ascii="Arial" w:hAnsi="Arial" w:cs="Arial"/>
          <w:color w:val="2F5496" w:themeColor="accent1" w:themeShade="BF"/>
          <w:sz w:val="22"/>
          <w:szCs w:val="22"/>
          <w:lang w:val="en-GB"/>
        </w:rPr>
        <w:t xml:space="preserve">, where it is proved that any business of the debtor was carried out by any of its officers with the intent to defraud creditors or the debtor (the company) itself. </w:t>
      </w:r>
    </w:p>
    <w:p w14:paraId="5F55B824" w14:textId="5BDE3188" w:rsidR="00C8671A" w:rsidRPr="00241FC8" w:rsidRDefault="00C8671A" w:rsidP="00C8671A">
      <w:pPr>
        <w:jc w:val="both"/>
        <w:rPr>
          <w:rFonts w:ascii="Arial" w:hAnsi="Arial" w:cs="Arial"/>
          <w:color w:val="2F5496" w:themeColor="accent1" w:themeShade="BF"/>
          <w:sz w:val="22"/>
          <w:szCs w:val="22"/>
          <w:lang w:val="en-GB"/>
        </w:rPr>
      </w:pPr>
    </w:p>
    <w:p w14:paraId="761F17D4" w14:textId="7B16C9A3" w:rsidR="00C8671A" w:rsidRPr="00C8671A" w:rsidRDefault="00C8671A" w:rsidP="00C8671A">
      <w:pPr>
        <w:jc w:val="both"/>
        <w:rPr>
          <w:rFonts w:ascii="Arial" w:hAnsi="Arial" w:cs="Arial"/>
          <w:color w:val="7B7B7B" w:themeColor="accent3" w:themeShade="BF"/>
          <w:sz w:val="22"/>
          <w:szCs w:val="22"/>
          <w:lang w:val="en-GB"/>
        </w:rPr>
      </w:pPr>
      <w:r w:rsidRPr="00241FC8">
        <w:rPr>
          <w:rFonts w:ascii="Arial" w:hAnsi="Arial" w:cs="Arial"/>
          <w:color w:val="2F5496" w:themeColor="accent1" w:themeShade="BF"/>
          <w:sz w:val="22"/>
          <w:szCs w:val="22"/>
          <w:lang w:val="en-GB"/>
        </w:rPr>
        <w:t xml:space="preserve">The provisions </w:t>
      </w:r>
      <w:r w:rsidR="001E7216" w:rsidRPr="00241FC8">
        <w:rPr>
          <w:rFonts w:ascii="Arial" w:hAnsi="Arial" w:cs="Arial"/>
          <w:color w:val="2F5496" w:themeColor="accent1" w:themeShade="BF"/>
          <w:sz w:val="22"/>
          <w:szCs w:val="22"/>
          <w:lang w:val="en-GB"/>
        </w:rPr>
        <w:t>of</w:t>
      </w:r>
      <w:r w:rsidRPr="00241FC8">
        <w:rPr>
          <w:rFonts w:ascii="Arial" w:hAnsi="Arial" w:cs="Arial"/>
          <w:color w:val="2F5496" w:themeColor="accent1" w:themeShade="BF"/>
          <w:sz w:val="22"/>
          <w:szCs w:val="22"/>
          <w:lang w:val="en-GB"/>
        </w:rPr>
        <w:t xml:space="preserve"> IRDA have enhanced the ability of liquidators and judicial managers to bring the legal action to pursue claims </w:t>
      </w:r>
      <w:r w:rsidR="001E7216" w:rsidRPr="00241FC8">
        <w:rPr>
          <w:rFonts w:ascii="Arial" w:hAnsi="Arial" w:cs="Arial"/>
          <w:color w:val="2F5496" w:themeColor="accent1" w:themeShade="BF"/>
          <w:sz w:val="22"/>
          <w:szCs w:val="22"/>
          <w:lang w:val="en-GB"/>
        </w:rPr>
        <w:t xml:space="preserve">related to the </w:t>
      </w:r>
      <w:r w:rsidRPr="00241FC8">
        <w:rPr>
          <w:rFonts w:ascii="Arial" w:hAnsi="Arial" w:cs="Arial"/>
          <w:color w:val="2F5496" w:themeColor="accent1" w:themeShade="BF"/>
          <w:sz w:val="22"/>
          <w:szCs w:val="22"/>
          <w:lang w:val="en-GB"/>
        </w:rPr>
        <w:t>impeachable transactions above</w:t>
      </w:r>
      <w:r w:rsidR="001E7216" w:rsidRPr="00241FC8">
        <w:rPr>
          <w:rFonts w:ascii="Arial" w:hAnsi="Arial" w:cs="Arial"/>
          <w:color w:val="2F5496" w:themeColor="accent1" w:themeShade="BF"/>
          <w:sz w:val="22"/>
          <w:szCs w:val="22"/>
          <w:lang w:val="en-GB"/>
        </w:rPr>
        <w:t xml:space="preserve">, given that IRDA has statutorily </w:t>
      </w:r>
      <w:r w:rsidR="001E7216" w:rsidRPr="00241FC8">
        <w:rPr>
          <w:rFonts w:ascii="Arial" w:hAnsi="Arial" w:cs="Arial"/>
          <w:color w:val="2F5496" w:themeColor="accent1" w:themeShade="BF"/>
          <w:sz w:val="22"/>
          <w:szCs w:val="22"/>
        </w:rPr>
        <w:t xml:space="preserve">empowered judicial managers and liquidators with the ability to </w:t>
      </w:r>
      <w:r w:rsidR="00A40885" w:rsidRPr="00241FC8">
        <w:rPr>
          <w:rFonts w:ascii="Arial" w:hAnsi="Arial" w:cs="Arial"/>
          <w:color w:val="2F5496" w:themeColor="accent1" w:themeShade="BF"/>
          <w:sz w:val="22"/>
          <w:szCs w:val="22"/>
        </w:rPr>
        <w:t xml:space="preserve">assign certain causes of action to </w:t>
      </w:r>
      <w:r w:rsidR="001E7216" w:rsidRPr="00241FC8">
        <w:rPr>
          <w:rFonts w:ascii="Arial" w:hAnsi="Arial" w:cs="Arial"/>
          <w:color w:val="2F5496" w:themeColor="accent1" w:themeShade="BF"/>
          <w:sz w:val="22"/>
          <w:szCs w:val="22"/>
        </w:rPr>
        <w:t xml:space="preserve">third-party </w:t>
      </w:r>
      <w:r w:rsidR="00A40885" w:rsidRPr="00241FC8">
        <w:rPr>
          <w:rFonts w:ascii="Arial" w:hAnsi="Arial" w:cs="Arial"/>
          <w:color w:val="2F5496" w:themeColor="accent1" w:themeShade="BF"/>
          <w:sz w:val="22"/>
          <w:szCs w:val="22"/>
        </w:rPr>
        <w:t xml:space="preserve">funders </w:t>
      </w:r>
      <w:r w:rsidR="001E7216" w:rsidRPr="00241FC8">
        <w:rPr>
          <w:rFonts w:ascii="Arial" w:hAnsi="Arial" w:cs="Arial"/>
          <w:color w:val="2F5496" w:themeColor="accent1" w:themeShade="BF"/>
          <w:sz w:val="22"/>
          <w:szCs w:val="22"/>
        </w:rPr>
        <w:t xml:space="preserve">(with </w:t>
      </w:r>
      <w:r w:rsidR="00914638" w:rsidRPr="00241FC8">
        <w:rPr>
          <w:rFonts w:ascii="Arial" w:hAnsi="Arial" w:cs="Arial"/>
          <w:color w:val="2F5496" w:themeColor="accent1" w:themeShade="BF"/>
          <w:sz w:val="22"/>
          <w:szCs w:val="22"/>
        </w:rPr>
        <w:t>approval</w:t>
      </w:r>
      <w:r w:rsidR="001E7216" w:rsidRPr="00241FC8">
        <w:rPr>
          <w:rFonts w:ascii="Arial" w:hAnsi="Arial" w:cs="Arial"/>
          <w:color w:val="2F5496" w:themeColor="accent1" w:themeShade="BF"/>
          <w:sz w:val="22"/>
          <w:szCs w:val="22"/>
        </w:rPr>
        <w:t xml:space="preserve"> by the court </w:t>
      </w:r>
      <w:r w:rsidR="00914638" w:rsidRPr="00241FC8">
        <w:rPr>
          <w:rFonts w:ascii="Arial" w:hAnsi="Arial" w:cs="Arial"/>
          <w:color w:val="2F5496" w:themeColor="accent1" w:themeShade="BF"/>
          <w:sz w:val="22"/>
          <w:szCs w:val="22"/>
        </w:rPr>
        <w:t xml:space="preserve">or with authorization from </w:t>
      </w:r>
      <w:r w:rsidR="001E7216" w:rsidRPr="00241FC8">
        <w:rPr>
          <w:rFonts w:ascii="Arial" w:hAnsi="Arial" w:cs="Arial"/>
          <w:color w:val="2F5496" w:themeColor="accent1" w:themeShade="BF"/>
          <w:sz w:val="22"/>
          <w:szCs w:val="22"/>
        </w:rPr>
        <w:t xml:space="preserve">committee of inspection) </w:t>
      </w:r>
      <w:r w:rsidR="00A40885" w:rsidRPr="00241FC8">
        <w:rPr>
          <w:rFonts w:ascii="Arial" w:hAnsi="Arial" w:cs="Arial"/>
          <w:color w:val="2F5496" w:themeColor="accent1" w:themeShade="BF"/>
          <w:sz w:val="22"/>
          <w:szCs w:val="22"/>
        </w:rPr>
        <w:t xml:space="preserve">who will </w:t>
      </w:r>
      <w:r w:rsidR="001E7216" w:rsidRPr="00241FC8">
        <w:rPr>
          <w:rFonts w:ascii="Arial" w:hAnsi="Arial" w:cs="Arial"/>
          <w:color w:val="2F5496" w:themeColor="accent1" w:themeShade="BF"/>
          <w:sz w:val="22"/>
          <w:szCs w:val="22"/>
        </w:rPr>
        <w:t xml:space="preserve">fund the </w:t>
      </w:r>
      <w:r w:rsidR="00703E01" w:rsidRPr="00241FC8">
        <w:rPr>
          <w:rFonts w:ascii="Arial" w:hAnsi="Arial" w:cs="Arial"/>
          <w:color w:val="2F5496" w:themeColor="accent1" w:themeShade="BF"/>
          <w:sz w:val="22"/>
          <w:szCs w:val="22"/>
        </w:rPr>
        <w:t xml:space="preserve">legal action and </w:t>
      </w:r>
      <w:r w:rsidR="001E7216" w:rsidRPr="00241FC8">
        <w:rPr>
          <w:rFonts w:ascii="Arial" w:hAnsi="Arial" w:cs="Arial"/>
          <w:color w:val="2F5496" w:themeColor="accent1" w:themeShade="BF"/>
          <w:sz w:val="22"/>
          <w:szCs w:val="22"/>
        </w:rPr>
        <w:t>pursuit of claims related to the above mentioned impeachable transactions</w:t>
      </w:r>
      <w:r w:rsidR="00914638" w:rsidRPr="00241FC8">
        <w:rPr>
          <w:rFonts w:ascii="Arial" w:hAnsi="Arial" w:cs="Arial"/>
          <w:color w:val="2F5496" w:themeColor="accent1" w:themeShade="BF"/>
          <w:sz w:val="22"/>
          <w:szCs w:val="22"/>
        </w:rPr>
        <w:t xml:space="preserve"> (as well as funding for assessment of damages against delinquent officers of the debtor)</w:t>
      </w:r>
      <w:r w:rsidR="001E7216" w:rsidRPr="00241FC8">
        <w:rPr>
          <w:rFonts w:ascii="Arial" w:hAnsi="Arial" w:cs="Arial"/>
          <w:color w:val="2F5496" w:themeColor="accent1" w:themeShade="BF"/>
          <w:sz w:val="22"/>
          <w:szCs w:val="22"/>
        </w:rPr>
        <w:t xml:space="preserve">, </w:t>
      </w:r>
      <w:r w:rsidR="00A40885" w:rsidRPr="00241FC8">
        <w:rPr>
          <w:rFonts w:ascii="Arial" w:hAnsi="Arial" w:cs="Arial"/>
          <w:color w:val="2F5496" w:themeColor="accent1" w:themeShade="BF"/>
          <w:sz w:val="22"/>
          <w:szCs w:val="22"/>
        </w:rPr>
        <w:t xml:space="preserve">which </w:t>
      </w:r>
      <w:r w:rsidR="001E7216" w:rsidRPr="00241FC8">
        <w:rPr>
          <w:rFonts w:ascii="Arial" w:hAnsi="Arial" w:cs="Arial"/>
          <w:color w:val="2F5496" w:themeColor="accent1" w:themeShade="BF"/>
          <w:sz w:val="22"/>
          <w:szCs w:val="22"/>
        </w:rPr>
        <w:t>prior to IRDA may otherwise not be pursued given the lack of funding and resources.</w:t>
      </w: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0FDCA20D" w14:textId="58B789EB" w:rsidR="005F6951" w:rsidRPr="00241FC8" w:rsidRDefault="00B82E27" w:rsidP="002A37BB">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Section 94 of IRDA introduced a new process for launching a voluntary judicial management</w:t>
      </w:r>
      <w:r w:rsidR="00ED2A08" w:rsidRPr="00241FC8">
        <w:rPr>
          <w:rFonts w:ascii="Arial" w:hAnsi="Arial" w:cs="Arial"/>
          <w:color w:val="2F5496" w:themeColor="accent1" w:themeShade="BF"/>
          <w:sz w:val="22"/>
          <w:szCs w:val="22"/>
        </w:rPr>
        <w:t xml:space="preserve">. </w:t>
      </w:r>
      <w:r w:rsidR="00673B22" w:rsidRPr="00241FC8">
        <w:rPr>
          <w:rFonts w:ascii="Arial" w:hAnsi="Arial" w:cs="Arial"/>
          <w:color w:val="2F5496" w:themeColor="accent1" w:themeShade="BF"/>
          <w:sz w:val="22"/>
          <w:szCs w:val="22"/>
        </w:rPr>
        <w:t>On</w:t>
      </w:r>
      <w:r w:rsidR="00ED2A08" w:rsidRPr="00241FC8">
        <w:rPr>
          <w:rFonts w:ascii="Arial" w:hAnsi="Arial" w:cs="Arial"/>
          <w:color w:val="2F5496" w:themeColor="accent1" w:themeShade="BF"/>
          <w:sz w:val="22"/>
          <w:szCs w:val="22"/>
        </w:rPr>
        <w:t xml:space="preserve"> the voluntary route, there is no need to file an application to the court for the judicial management and as such, the judicial management is put in place</w:t>
      </w:r>
      <w:r w:rsidRPr="00241FC8">
        <w:rPr>
          <w:rFonts w:ascii="Arial" w:hAnsi="Arial" w:cs="Arial"/>
          <w:color w:val="2F5496" w:themeColor="accent1" w:themeShade="BF"/>
          <w:sz w:val="22"/>
          <w:szCs w:val="22"/>
        </w:rPr>
        <w:t xml:space="preserve"> without a </w:t>
      </w:r>
      <w:r w:rsidR="00ED2A08" w:rsidRPr="00241FC8">
        <w:rPr>
          <w:rFonts w:ascii="Arial" w:hAnsi="Arial" w:cs="Arial"/>
          <w:color w:val="2F5496" w:themeColor="accent1" w:themeShade="BF"/>
          <w:sz w:val="22"/>
          <w:szCs w:val="22"/>
        </w:rPr>
        <w:t>c</w:t>
      </w:r>
      <w:r w:rsidRPr="00241FC8">
        <w:rPr>
          <w:rFonts w:ascii="Arial" w:hAnsi="Arial" w:cs="Arial"/>
          <w:color w:val="2F5496" w:themeColor="accent1" w:themeShade="BF"/>
          <w:sz w:val="22"/>
          <w:szCs w:val="22"/>
        </w:rPr>
        <w:t xml:space="preserve">ourt order. </w:t>
      </w:r>
      <w:r w:rsidR="00B1527E" w:rsidRPr="00241FC8">
        <w:rPr>
          <w:rFonts w:ascii="Arial" w:hAnsi="Arial" w:cs="Arial"/>
          <w:color w:val="2F5496" w:themeColor="accent1" w:themeShade="BF"/>
          <w:sz w:val="22"/>
          <w:szCs w:val="22"/>
        </w:rPr>
        <w:t>T</w:t>
      </w:r>
      <w:r w:rsidR="005F6951" w:rsidRPr="00241FC8">
        <w:rPr>
          <w:rFonts w:ascii="Arial" w:hAnsi="Arial" w:cs="Arial"/>
          <w:color w:val="2F5496" w:themeColor="accent1" w:themeShade="BF"/>
          <w:sz w:val="22"/>
          <w:szCs w:val="22"/>
        </w:rPr>
        <w:t xml:space="preserve">he </w:t>
      </w:r>
      <w:r w:rsidR="00ED2A08" w:rsidRPr="00241FC8">
        <w:rPr>
          <w:rFonts w:ascii="Arial" w:hAnsi="Arial" w:cs="Arial"/>
          <w:color w:val="2F5496" w:themeColor="accent1" w:themeShade="BF"/>
          <w:sz w:val="22"/>
          <w:szCs w:val="22"/>
        </w:rPr>
        <w:t>voluntary judicial management</w:t>
      </w:r>
      <w:r w:rsidR="005F6951" w:rsidRPr="00241FC8">
        <w:rPr>
          <w:rFonts w:ascii="Arial" w:hAnsi="Arial" w:cs="Arial"/>
          <w:color w:val="2F5496" w:themeColor="accent1" w:themeShade="BF"/>
          <w:sz w:val="22"/>
          <w:szCs w:val="22"/>
        </w:rPr>
        <w:t xml:space="preserve"> is predicated on;</w:t>
      </w:r>
    </w:p>
    <w:p w14:paraId="56389979" w14:textId="32731442" w:rsidR="00ED2A08" w:rsidRPr="00241FC8" w:rsidRDefault="005F6951" w:rsidP="005F6951">
      <w:pPr>
        <w:pStyle w:val="ListParagraph"/>
        <w:numPr>
          <w:ilvl w:val="0"/>
          <w:numId w:val="20"/>
        </w:numPr>
        <w:ind w:left="426" w:hanging="437"/>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the company is (or is likely to become) unable to repay its debts;</w:t>
      </w:r>
    </w:p>
    <w:p w14:paraId="03DCFD40" w14:textId="10872CAE" w:rsidR="005F6951" w:rsidRPr="00241FC8" w:rsidRDefault="005F6951" w:rsidP="005F6951">
      <w:pPr>
        <w:pStyle w:val="ListParagraph"/>
        <w:numPr>
          <w:ilvl w:val="0"/>
          <w:numId w:val="20"/>
        </w:numPr>
        <w:ind w:left="426" w:hanging="437"/>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there is reasonable probability of achieving the objective of having a judicial management in place</w:t>
      </w:r>
      <w:r w:rsidR="00C14119" w:rsidRPr="00241FC8">
        <w:rPr>
          <w:rFonts w:ascii="Arial" w:hAnsi="Arial" w:cs="Arial"/>
          <w:color w:val="2F5496" w:themeColor="accent1" w:themeShade="BF"/>
          <w:sz w:val="22"/>
          <w:szCs w:val="22"/>
        </w:rPr>
        <w:t xml:space="preserve"> (the survival of the company, or preservation of all or part of its business as a going concern, or better realization of its assets than otherwise through winding up)</w:t>
      </w:r>
      <w:r w:rsidRPr="00241FC8">
        <w:rPr>
          <w:rFonts w:ascii="Arial" w:hAnsi="Arial" w:cs="Arial"/>
          <w:color w:val="2F5496" w:themeColor="accent1" w:themeShade="BF"/>
          <w:sz w:val="22"/>
          <w:szCs w:val="22"/>
        </w:rPr>
        <w:t>; and</w:t>
      </w:r>
    </w:p>
    <w:p w14:paraId="6AD524A4" w14:textId="000C72DB" w:rsidR="005F6951" w:rsidRPr="00241FC8" w:rsidRDefault="005F6951" w:rsidP="005F6951">
      <w:pPr>
        <w:pStyle w:val="ListParagraph"/>
        <w:numPr>
          <w:ilvl w:val="0"/>
          <w:numId w:val="20"/>
        </w:numPr>
        <w:ind w:left="426" w:hanging="437"/>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the company has obtained a resolution from its creditors to be put under a voluntary judicial management.</w:t>
      </w:r>
    </w:p>
    <w:p w14:paraId="34C2895D" w14:textId="77777777" w:rsidR="00ED2A08" w:rsidRPr="00241FC8" w:rsidRDefault="00ED2A08" w:rsidP="002A37BB">
      <w:pPr>
        <w:jc w:val="both"/>
        <w:rPr>
          <w:rFonts w:ascii="Arial" w:hAnsi="Arial" w:cs="Arial"/>
          <w:color w:val="2F5496" w:themeColor="accent1" w:themeShade="BF"/>
          <w:sz w:val="22"/>
          <w:szCs w:val="22"/>
        </w:rPr>
      </w:pPr>
    </w:p>
    <w:p w14:paraId="6916AE2F" w14:textId="012152DA" w:rsidR="00091463" w:rsidRPr="00241FC8" w:rsidRDefault="005F6951" w:rsidP="00087F21">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Once the creditors’ resolution is passed by a majority in number and value of the creditors present and voting, the voluntary judicial management process can then commence without the need</w:t>
      </w:r>
      <w:r w:rsidR="00AB2A3E" w:rsidRPr="00241FC8">
        <w:rPr>
          <w:rFonts w:ascii="Arial" w:hAnsi="Arial" w:cs="Arial"/>
          <w:color w:val="2F5496" w:themeColor="accent1" w:themeShade="BF"/>
          <w:sz w:val="22"/>
          <w:szCs w:val="22"/>
        </w:rPr>
        <w:t xml:space="preserve"> to go through any court proceedings and without the associated </w:t>
      </w:r>
      <w:r w:rsidRPr="00241FC8">
        <w:rPr>
          <w:rFonts w:ascii="Arial" w:hAnsi="Arial" w:cs="Arial"/>
          <w:color w:val="2F5496" w:themeColor="accent1" w:themeShade="BF"/>
          <w:sz w:val="22"/>
          <w:szCs w:val="22"/>
        </w:rPr>
        <w:t>court expenses</w:t>
      </w:r>
      <w:r w:rsidR="00AB2A3E" w:rsidRPr="00241FC8">
        <w:rPr>
          <w:rFonts w:ascii="Arial" w:hAnsi="Arial" w:cs="Arial"/>
          <w:color w:val="2F5496" w:themeColor="accent1" w:themeShade="BF"/>
          <w:sz w:val="22"/>
          <w:szCs w:val="22"/>
        </w:rPr>
        <w:t>.</w:t>
      </w:r>
      <w:r w:rsidR="00B1527E" w:rsidRPr="00241FC8">
        <w:rPr>
          <w:rFonts w:ascii="Arial" w:hAnsi="Arial" w:cs="Arial"/>
          <w:color w:val="2F5496" w:themeColor="accent1" w:themeShade="BF"/>
          <w:sz w:val="22"/>
          <w:szCs w:val="22"/>
        </w:rPr>
        <w:t xml:space="preserve"> </w:t>
      </w:r>
      <w:r w:rsidR="00AB2A3E" w:rsidRPr="00241FC8">
        <w:rPr>
          <w:rFonts w:ascii="Arial" w:hAnsi="Arial" w:cs="Arial"/>
          <w:color w:val="2F5496" w:themeColor="accent1" w:themeShade="BF"/>
          <w:sz w:val="22"/>
          <w:szCs w:val="22"/>
        </w:rPr>
        <w:t>T</w:t>
      </w:r>
      <w:r w:rsidR="00B1527E" w:rsidRPr="00241FC8">
        <w:rPr>
          <w:rFonts w:ascii="Arial" w:hAnsi="Arial" w:cs="Arial"/>
          <w:color w:val="2F5496" w:themeColor="accent1" w:themeShade="BF"/>
          <w:sz w:val="22"/>
          <w:szCs w:val="22"/>
        </w:rPr>
        <w:t xml:space="preserve">he company </w:t>
      </w:r>
      <w:r w:rsidR="00AB2A3E" w:rsidRPr="00241FC8">
        <w:rPr>
          <w:rFonts w:ascii="Arial" w:hAnsi="Arial" w:cs="Arial"/>
          <w:color w:val="2F5496" w:themeColor="accent1" w:themeShade="BF"/>
          <w:sz w:val="22"/>
          <w:szCs w:val="22"/>
        </w:rPr>
        <w:t xml:space="preserve">under voluntary judicial management </w:t>
      </w:r>
      <w:r w:rsidR="00B1527E" w:rsidRPr="00241FC8">
        <w:rPr>
          <w:rFonts w:ascii="Arial" w:hAnsi="Arial" w:cs="Arial"/>
          <w:color w:val="2F5496" w:themeColor="accent1" w:themeShade="BF"/>
          <w:sz w:val="22"/>
          <w:szCs w:val="22"/>
        </w:rPr>
        <w:t xml:space="preserve">will </w:t>
      </w:r>
      <w:r w:rsidR="00673B22" w:rsidRPr="00241FC8">
        <w:rPr>
          <w:rFonts w:ascii="Arial" w:hAnsi="Arial" w:cs="Arial"/>
          <w:color w:val="2F5496" w:themeColor="accent1" w:themeShade="BF"/>
          <w:sz w:val="22"/>
          <w:szCs w:val="22"/>
        </w:rPr>
        <w:t xml:space="preserve">then </w:t>
      </w:r>
      <w:r w:rsidR="00B1527E" w:rsidRPr="00241FC8">
        <w:rPr>
          <w:rFonts w:ascii="Arial" w:hAnsi="Arial" w:cs="Arial"/>
          <w:color w:val="2F5496" w:themeColor="accent1" w:themeShade="BF"/>
          <w:sz w:val="22"/>
          <w:szCs w:val="22"/>
        </w:rPr>
        <w:t xml:space="preserve">benefit from moratorium of potential </w:t>
      </w:r>
      <w:r w:rsidR="00673B22" w:rsidRPr="00241FC8">
        <w:rPr>
          <w:rFonts w:ascii="Arial" w:hAnsi="Arial" w:cs="Arial"/>
          <w:color w:val="2F5496" w:themeColor="accent1" w:themeShade="BF"/>
          <w:sz w:val="22"/>
          <w:szCs w:val="22"/>
        </w:rPr>
        <w:t>enforcements or legal processes, similar to moratorium accorded by the normal judicial management order</w:t>
      </w:r>
      <w:r w:rsidR="00AB2A3E" w:rsidRPr="00241FC8">
        <w:rPr>
          <w:rFonts w:ascii="Arial" w:hAnsi="Arial" w:cs="Arial"/>
          <w:color w:val="2F5496" w:themeColor="accent1" w:themeShade="BF"/>
          <w:sz w:val="22"/>
          <w:szCs w:val="22"/>
        </w:rPr>
        <w:t>ed by the court</w:t>
      </w:r>
      <w:r w:rsidRPr="00241FC8">
        <w:rPr>
          <w:rFonts w:ascii="Arial" w:hAnsi="Arial" w:cs="Arial"/>
          <w:color w:val="2F5496" w:themeColor="accent1" w:themeShade="BF"/>
          <w:sz w:val="22"/>
          <w:szCs w:val="22"/>
        </w:rPr>
        <w:t>.</w:t>
      </w:r>
      <w:r w:rsidR="00091463" w:rsidRPr="00241FC8">
        <w:rPr>
          <w:rFonts w:ascii="Arial" w:hAnsi="Arial" w:cs="Arial"/>
          <w:color w:val="2F5496" w:themeColor="accent1" w:themeShade="BF"/>
          <w:sz w:val="22"/>
          <w:szCs w:val="22"/>
        </w:rPr>
        <w:t xml:space="preserve"> </w:t>
      </w:r>
    </w:p>
    <w:p w14:paraId="7BBC6FB0" w14:textId="77777777" w:rsidR="00091463" w:rsidRPr="00241FC8" w:rsidRDefault="00091463" w:rsidP="00087F21">
      <w:pPr>
        <w:jc w:val="both"/>
        <w:rPr>
          <w:rFonts w:ascii="Arial" w:hAnsi="Arial" w:cs="Arial"/>
          <w:color w:val="2F5496" w:themeColor="accent1" w:themeShade="BF"/>
          <w:sz w:val="22"/>
          <w:szCs w:val="22"/>
        </w:rPr>
      </w:pPr>
    </w:p>
    <w:p w14:paraId="0B235784" w14:textId="4D320240" w:rsidR="00091463" w:rsidRDefault="00091463" w:rsidP="00AB2A3E">
      <w:pPr>
        <w:jc w:val="both"/>
        <w:rPr>
          <w:rFonts w:ascii="Arial" w:hAnsi="Arial" w:cs="Arial"/>
          <w:color w:val="7B7B7B" w:themeColor="accent3" w:themeShade="BF"/>
          <w:sz w:val="22"/>
          <w:szCs w:val="22"/>
        </w:rPr>
      </w:pPr>
      <w:r w:rsidRPr="00241FC8">
        <w:rPr>
          <w:rFonts w:ascii="Arial" w:hAnsi="Arial" w:cs="Arial"/>
          <w:color w:val="2F5496" w:themeColor="accent1" w:themeShade="BF"/>
          <w:sz w:val="22"/>
          <w:szCs w:val="22"/>
        </w:rPr>
        <w:t xml:space="preserve">The main difference between voluntary judicial management and the judicial management </w:t>
      </w:r>
      <w:r w:rsidR="00673B22" w:rsidRPr="00241FC8">
        <w:rPr>
          <w:rFonts w:ascii="Arial" w:hAnsi="Arial" w:cs="Arial"/>
          <w:color w:val="2F5496" w:themeColor="accent1" w:themeShade="BF"/>
          <w:sz w:val="22"/>
          <w:szCs w:val="22"/>
        </w:rPr>
        <w:t xml:space="preserve">by </w:t>
      </w:r>
      <w:r w:rsidRPr="00241FC8">
        <w:rPr>
          <w:rFonts w:ascii="Arial" w:hAnsi="Arial" w:cs="Arial"/>
          <w:color w:val="2F5496" w:themeColor="accent1" w:themeShade="BF"/>
          <w:sz w:val="22"/>
          <w:szCs w:val="22"/>
        </w:rPr>
        <w:t>court</w:t>
      </w:r>
      <w:r w:rsidR="00673B22" w:rsidRPr="00241FC8">
        <w:rPr>
          <w:rFonts w:ascii="Arial" w:hAnsi="Arial" w:cs="Arial"/>
          <w:color w:val="2F5496" w:themeColor="accent1" w:themeShade="BF"/>
          <w:sz w:val="22"/>
          <w:szCs w:val="22"/>
        </w:rPr>
        <w:t xml:space="preserve"> order</w:t>
      </w:r>
      <w:r w:rsidRPr="00241FC8">
        <w:rPr>
          <w:rFonts w:ascii="Arial" w:hAnsi="Arial" w:cs="Arial"/>
          <w:color w:val="2F5496" w:themeColor="accent1" w:themeShade="BF"/>
          <w:sz w:val="22"/>
          <w:szCs w:val="22"/>
        </w:rPr>
        <w:t xml:space="preserve">, is obviously the relevant court </w:t>
      </w:r>
      <w:r w:rsidR="00AB2A3E" w:rsidRPr="00241FC8">
        <w:rPr>
          <w:rFonts w:ascii="Arial" w:hAnsi="Arial" w:cs="Arial"/>
          <w:color w:val="2F5496" w:themeColor="accent1" w:themeShade="BF"/>
          <w:sz w:val="22"/>
          <w:szCs w:val="22"/>
        </w:rPr>
        <w:t>proceedings</w:t>
      </w:r>
      <w:r w:rsidRPr="00241FC8">
        <w:rPr>
          <w:rFonts w:ascii="Arial" w:hAnsi="Arial" w:cs="Arial"/>
          <w:color w:val="2F5496" w:themeColor="accent1" w:themeShade="BF"/>
          <w:sz w:val="22"/>
          <w:szCs w:val="22"/>
        </w:rPr>
        <w:t xml:space="preserve"> and incurrence of court expenses, which are absent in the voluntary route.</w:t>
      </w:r>
      <w:r w:rsidR="00AB2A3E" w:rsidRPr="00241FC8">
        <w:rPr>
          <w:rFonts w:ascii="Arial" w:hAnsi="Arial" w:cs="Arial"/>
          <w:color w:val="2F5496" w:themeColor="accent1" w:themeShade="BF"/>
          <w:sz w:val="22"/>
          <w:szCs w:val="22"/>
        </w:rPr>
        <w:t xml:space="preserve"> By bypassing court proceedings, the voluntary process reduces the expense, formality, and potential delays in obtaining a judicial management order.</w:t>
      </w:r>
      <w:r w:rsidR="00673B22" w:rsidRPr="00241FC8">
        <w:rPr>
          <w:rFonts w:ascii="Arial" w:hAnsi="Arial" w:cs="Arial"/>
          <w:color w:val="2F5496" w:themeColor="accent1" w:themeShade="BF"/>
          <w:sz w:val="22"/>
          <w:szCs w:val="22"/>
        </w:rPr>
        <w:t xml:space="preserve"> Additionally, given the voluntary route requires creditors’ resolution, </w:t>
      </w:r>
      <w:r w:rsidR="004B4AA5" w:rsidRPr="00241FC8">
        <w:rPr>
          <w:rFonts w:ascii="Arial" w:hAnsi="Arial" w:cs="Arial"/>
          <w:color w:val="2F5496" w:themeColor="accent1" w:themeShade="BF"/>
          <w:sz w:val="22"/>
          <w:szCs w:val="22"/>
        </w:rPr>
        <w:t xml:space="preserve">the </w:t>
      </w:r>
      <w:r w:rsidR="004B4AA5" w:rsidRPr="00241FC8">
        <w:rPr>
          <w:rFonts w:ascii="Arial" w:hAnsi="Arial" w:cs="Arial"/>
          <w:color w:val="2F5496" w:themeColor="accent1" w:themeShade="BF"/>
          <w:sz w:val="22"/>
          <w:szCs w:val="22"/>
        </w:rPr>
        <w:lastRenderedPageBreak/>
        <w:t xml:space="preserve">voluntary route is only possible where the company is able to engage, negotiate with, and obtain the </w:t>
      </w:r>
      <w:r w:rsidR="004F1E29" w:rsidRPr="00241FC8">
        <w:rPr>
          <w:rFonts w:ascii="Arial" w:hAnsi="Arial" w:cs="Arial"/>
          <w:color w:val="2F5496" w:themeColor="accent1" w:themeShade="BF"/>
          <w:sz w:val="22"/>
          <w:szCs w:val="22"/>
        </w:rPr>
        <w:t xml:space="preserve">necessary </w:t>
      </w:r>
      <w:r w:rsidR="004B4AA5" w:rsidRPr="00241FC8">
        <w:rPr>
          <w:rFonts w:ascii="Arial" w:hAnsi="Arial" w:cs="Arial"/>
          <w:color w:val="2F5496" w:themeColor="accent1" w:themeShade="BF"/>
          <w:sz w:val="22"/>
          <w:szCs w:val="22"/>
        </w:rPr>
        <w:t>supports from its creditors from the outset. On the other hand, the normal court-ordered judicial management application can be brought by either the company (pursuant to a member’s resolution), the company’s directors (pursuant to board resolution), or the company’s creditors either acting together or separately. As such,</w:t>
      </w:r>
      <w:r w:rsidR="004F1E29" w:rsidRPr="00241FC8">
        <w:rPr>
          <w:rFonts w:ascii="Arial" w:hAnsi="Arial" w:cs="Arial"/>
          <w:color w:val="2F5496" w:themeColor="accent1" w:themeShade="BF"/>
          <w:sz w:val="22"/>
          <w:szCs w:val="22"/>
        </w:rPr>
        <w:t xml:space="preserve"> in a normal court-ordered judicial management, it is possible that the negotiation and haggling with the creditors happen after the judicial management is put in place.</w:t>
      </w:r>
    </w:p>
    <w:p w14:paraId="129B6D88" w14:textId="77777777" w:rsidR="00091463" w:rsidRPr="007E40F0" w:rsidRDefault="00091463"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w:t>
      </w:r>
      <w:r>
        <w:rPr>
          <w:rFonts w:ascii="Arial" w:hAnsi="Arial" w:cs="Arial"/>
          <w:sz w:val="22"/>
          <w:szCs w:val="22"/>
          <w:lang w:val="en-GB"/>
        </w:rPr>
        <w:lastRenderedPageBreak/>
        <w:t xml:space="preserve">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5226BB1B" w14:textId="554FD64E" w:rsidR="00600A30" w:rsidRPr="00241FC8" w:rsidRDefault="00254160" w:rsidP="00254160">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Section 64 of IRDA </w:t>
      </w:r>
      <w:r w:rsidR="00617610" w:rsidRPr="00241FC8">
        <w:rPr>
          <w:rFonts w:ascii="Arial" w:hAnsi="Arial" w:cs="Arial"/>
          <w:color w:val="2F5496" w:themeColor="accent1" w:themeShade="BF"/>
          <w:sz w:val="22"/>
          <w:szCs w:val="22"/>
        </w:rPr>
        <w:t xml:space="preserve">provides </w:t>
      </w:r>
      <w:r w:rsidR="00600A30" w:rsidRPr="00241FC8">
        <w:rPr>
          <w:rFonts w:ascii="Arial" w:hAnsi="Arial" w:cs="Arial"/>
          <w:color w:val="2F5496" w:themeColor="accent1" w:themeShade="BF"/>
          <w:sz w:val="22"/>
          <w:szCs w:val="22"/>
        </w:rPr>
        <w:t xml:space="preserve">that </w:t>
      </w:r>
      <w:r w:rsidR="00617610" w:rsidRPr="00241FC8">
        <w:rPr>
          <w:rFonts w:ascii="Arial" w:hAnsi="Arial" w:cs="Arial"/>
          <w:color w:val="2F5496" w:themeColor="accent1" w:themeShade="BF"/>
          <w:sz w:val="22"/>
          <w:szCs w:val="22"/>
        </w:rPr>
        <w:t>a company that is proposing or intending to propose an arrangement or compromise with its creditors</w:t>
      </w:r>
      <w:r w:rsidR="00AB298E" w:rsidRPr="00241FC8">
        <w:rPr>
          <w:rFonts w:ascii="Arial" w:hAnsi="Arial" w:cs="Arial"/>
          <w:color w:val="2F5496" w:themeColor="accent1" w:themeShade="BF"/>
          <w:sz w:val="22"/>
          <w:szCs w:val="22"/>
        </w:rPr>
        <w:t xml:space="preserve"> (the “Subject Company”)</w:t>
      </w:r>
      <w:r w:rsidR="00617610" w:rsidRPr="00241FC8">
        <w:rPr>
          <w:rFonts w:ascii="Arial" w:hAnsi="Arial" w:cs="Arial"/>
          <w:color w:val="2F5496" w:themeColor="accent1" w:themeShade="BF"/>
          <w:sz w:val="22"/>
          <w:szCs w:val="22"/>
        </w:rPr>
        <w:t xml:space="preserve">, </w:t>
      </w:r>
      <w:r w:rsidR="00600A30" w:rsidRPr="00241FC8">
        <w:rPr>
          <w:rFonts w:ascii="Arial" w:hAnsi="Arial" w:cs="Arial"/>
          <w:color w:val="2F5496" w:themeColor="accent1" w:themeShade="BF"/>
          <w:sz w:val="22"/>
          <w:szCs w:val="22"/>
        </w:rPr>
        <w:t xml:space="preserve">will be able to obtain </w:t>
      </w:r>
      <w:r w:rsidRPr="00241FC8">
        <w:rPr>
          <w:rFonts w:ascii="Arial" w:hAnsi="Arial" w:cs="Arial"/>
          <w:color w:val="2F5496" w:themeColor="accent1" w:themeShade="BF"/>
          <w:sz w:val="22"/>
          <w:szCs w:val="22"/>
        </w:rPr>
        <w:t xml:space="preserve">a moratorium </w:t>
      </w:r>
      <w:r w:rsidR="00600A30" w:rsidRPr="00241FC8">
        <w:rPr>
          <w:rFonts w:ascii="Arial" w:hAnsi="Arial" w:cs="Arial"/>
          <w:color w:val="2F5496" w:themeColor="accent1" w:themeShade="BF"/>
          <w:sz w:val="22"/>
          <w:szCs w:val="22"/>
        </w:rPr>
        <w:t xml:space="preserve">protection </w:t>
      </w:r>
      <w:r w:rsidR="00617610" w:rsidRPr="00241FC8">
        <w:rPr>
          <w:rFonts w:ascii="Arial" w:hAnsi="Arial" w:cs="Arial"/>
          <w:color w:val="2F5496" w:themeColor="accent1" w:themeShade="BF"/>
          <w:sz w:val="22"/>
          <w:szCs w:val="22"/>
        </w:rPr>
        <w:t xml:space="preserve">following the application </w:t>
      </w:r>
      <w:r w:rsidR="001C0051" w:rsidRPr="00241FC8">
        <w:rPr>
          <w:rFonts w:ascii="Arial" w:hAnsi="Arial" w:cs="Arial"/>
          <w:color w:val="2F5496" w:themeColor="accent1" w:themeShade="BF"/>
          <w:sz w:val="22"/>
          <w:szCs w:val="22"/>
        </w:rPr>
        <w:t xml:space="preserve">to the Court </w:t>
      </w:r>
      <w:r w:rsidR="00617610" w:rsidRPr="00241FC8">
        <w:rPr>
          <w:rFonts w:ascii="Arial" w:hAnsi="Arial" w:cs="Arial"/>
          <w:color w:val="2F5496" w:themeColor="accent1" w:themeShade="BF"/>
          <w:sz w:val="22"/>
          <w:szCs w:val="22"/>
        </w:rPr>
        <w:t xml:space="preserve">in accordance with Section 64 of IRDA. </w:t>
      </w:r>
    </w:p>
    <w:p w14:paraId="66562419" w14:textId="11B3C0A1" w:rsidR="00F85837" w:rsidRPr="00241FC8" w:rsidRDefault="00F85837" w:rsidP="00254160">
      <w:pPr>
        <w:jc w:val="both"/>
        <w:rPr>
          <w:rFonts w:ascii="Arial" w:hAnsi="Arial" w:cs="Arial"/>
          <w:color w:val="2F5496" w:themeColor="accent1" w:themeShade="BF"/>
          <w:sz w:val="22"/>
          <w:szCs w:val="22"/>
        </w:rPr>
      </w:pPr>
    </w:p>
    <w:p w14:paraId="37F1A965" w14:textId="42EB6318" w:rsidR="00F85837" w:rsidRPr="00241FC8" w:rsidRDefault="00F85837" w:rsidP="00254160">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The application </w:t>
      </w:r>
      <w:r w:rsidR="00E65220" w:rsidRPr="00241FC8">
        <w:rPr>
          <w:rFonts w:ascii="Arial" w:hAnsi="Arial" w:cs="Arial"/>
          <w:color w:val="2F5496" w:themeColor="accent1" w:themeShade="BF"/>
          <w:sz w:val="22"/>
          <w:szCs w:val="22"/>
        </w:rPr>
        <w:t xml:space="preserve">pursuant to Section 64(1) of IRDA </w:t>
      </w:r>
      <w:r w:rsidRPr="00241FC8">
        <w:rPr>
          <w:rFonts w:ascii="Arial" w:hAnsi="Arial" w:cs="Arial"/>
          <w:color w:val="2F5496" w:themeColor="accent1" w:themeShade="BF"/>
          <w:sz w:val="22"/>
          <w:szCs w:val="22"/>
        </w:rPr>
        <w:t xml:space="preserve">is to be made by filing to the Court </w:t>
      </w:r>
      <w:r w:rsidRPr="00241FC8">
        <w:rPr>
          <w:rFonts w:ascii="Arial" w:hAnsi="Arial" w:cs="Arial"/>
          <w:i/>
          <w:iCs/>
          <w:color w:val="2F5496" w:themeColor="accent1" w:themeShade="BF"/>
          <w:sz w:val="22"/>
          <w:szCs w:val="22"/>
        </w:rPr>
        <w:t>ex-</w:t>
      </w:r>
      <w:proofErr w:type="spellStart"/>
      <w:r w:rsidRPr="00241FC8">
        <w:rPr>
          <w:rFonts w:ascii="Arial" w:hAnsi="Arial" w:cs="Arial"/>
          <w:i/>
          <w:iCs/>
          <w:color w:val="2F5496" w:themeColor="accent1" w:themeShade="BF"/>
          <w:sz w:val="22"/>
          <w:szCs w:val="22"/>
        </w:rPr>
        <w:t>parte</w:t>
      </w:r>
      <w:proofErr w:type="spellEnd"/>
      <w:r w:rsidRPr="00241FC8">
        <w:rPr>
          <w:rFonts w:ascii="Arial" w:hAnsi="Arial" w:cs="Arial"/>
          <w:color w:val="2F5496" w:themeColor="accent1" w:themeShade="BF"/>
          <w:sz w:val="22"/>
          <w:szCs w:val="22"/>
        </w:rPr>
        <w:t xml:space="preserve"> originating summon</w:t>
      </w:r>
      <w:r w:rsidR="00DF4C8B" w:rsidRPr="00241FC8">
        <w:rPr>
          <w:rFonts w:ascii="Arial" w:hAnsi="Arial" w:cs="Arial"/>
          <w:color w:val="2F5496" w:themeColor="accent1" w:themeShade="BF"/>
          <w:sz w:val="22"/>
          <w:szCs w:val="22"/>
        </w:rPr>
        <w:t>s</w:t>
      </w:r>
      <w:r w:rsidRPr="00241FC8">
        <w:rPr>
          <w:rFonts w:ascii="Arial" w:hAnsi="Arial" w:cs="Arial"/>
          <w:color w:val="2F5496" w:themeColor="accent1" w:themeShade="BF"/>
          <w:sz w:val="22"/>
          <w:szCs w:val="22"/>
        </w:rPr>
        <w:t xml:space="preserve"> </w:t>
      </w:r>
      <w:r w:rsidR="00DF4C8B" w:rsidRPr="00241FC8">
        <w:rPr>
          <w:rFonts w:ascii="Arial" w:hAnsi="Arial" w:cs="Arial"/>
          <w:color w:val="2F5496" w:themeColor="accent1" w:themeShade="BF"/>
          <w:sz w:val="22"/>
          <w:szCs w:val="22"/>
        </w:rPr>
        <w:t xml:space="preserve">accompanied with </w:t>
      </w:r>
      <w:r w:rsidRPr="00241FC8">
        <w:rPr>
          <w:rFonts w:ascii="Arial" w:hAnsi="Arial" w:cs="Arial"/>
          <w:color w:val="2F5496" w:themeColor="accent1" w:themeShade="BF"/>
          <w:sz w:val="22"/>
          <w:szCs w:val="22"/>
        </w:rPr>
        <w:t xml:space="preserve">supporting </w:t>
      </w:r>
      <w:r w:rsidR="00B642AD" w:rsidRPr="00241FC8">
        <w:rPr>
          <w:rFonts w:ascii="Arial" w:hAnsi="Arial" w:cs="Arial"/>
          <w:color w:val="2F5496" w:themeColor="accent1" w:themeShade="BF"/>
          <w:sz w:val="22"/>
          <w:szCs w:val="22"/>
        </w:rPr>
        <w:t xml:space="preserve">information and </w:t>
      </w:r>
      <w:r w:rsidRPr="00241FC8">
        <w:rPr>
          <w:rFonts w:ascii="Arial" w:hAnsi="Arial" w:cs="Arial"/>
          <w:color w:val="2F5496" w:themeColor="accent1" w:themeShade="BF"/>
          <w:sz w:val="22"/>
          <w:szCs w:val="22"/>
        </w:rPr>
        <w:t>affidavit</w:t>
      </w:r>
      <w:r w:rsidR="00DF4C8B" w:rsidRPr="00241FC8">
        <w:rPr>
          <w:rFonts w:ascii="Arial" w:hAnsi="Arial" w:cs="Arial"/>
          <w:color w:val="2F5496" w:themeColor="accent1" w:themeShade="BF"/>
          <w:sz w:val="22"/>
          <w:szCs w:val="22"/>
        </w:rPr>
        <w:t xml:space="preserve"> covering the following;</w:t>
      </w:r>
    </w:p>
    <w:p w14:paraId="40DB632C" w14:textId="0029EE9F" w:rsidR="00DF4C8B" w:rsidRPr="00241FC8" w:rsidRDefault="00DF4C8B" w:rsidP="00DF4C8B">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Confirmation that the Subject Company is not excluded from the definition of “company” under Section 63(3) of IRDA and is entitled to apply for an order under Section 64(1) of IRDA;</w:t>
      </w:r>
    </w:p>
    <w:p w14:paraId="63B3EBED" w14:textId="36D784AA" w:rsidR="00DF4C8B" w:rsidRPr="00241FC8" w:rsidRDefault="00DF4C8B" w:rsidP="00DF4C8B">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In case the Subject Company is a foreign company, the basis on which it may be liable to be wound up under </w:t>
      </w:r>
      <w:r w:rsidR="00292674" w:rsidRPr="00241FC8">
        <w:rPr>
          <w:rFonts w:ascii="Arial" w:hAnsi="Arial" w:cs="Arial"/>
          <w:color w:val="2F5496" w:themeColor="accent1" w:themeShade="BF"/>
          <w:sz w:val="22"/>
          <w:szCs w:val="22"/>
        </w:rPr>
        <w:t>IRDA;</w:t>
      </w:r>
    </w:p>
    <w:p w14:paraId="05093026" w14:textId="756ED8D5" w:rsidR="00292674" w:rsidRPr="00241FC8" w:rsidRDefault="00292674" w:rsidP="00DF4C8B">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Confirmation that there is no order made or resolution passed for the winding up of the Subject Company;</w:t>
      </w:r>
    </w:p>
    <w:p w14:paraId="560D4FC0" w14:textId="0CE88F7E" w:rsidR="00292674" w:rsidRPr="00241FC8" w:rsidRDefault="00292674" w:rsidP="00DF4C8B">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Undertaking that the Subject Company will as soon as possible file (if it has not already filed) an application to sanction a scheme of arrangement;</w:t>
      </w:r>
    </w:p>
    <w:p w14:paraId="50D5968F" w14:textId="2FE970A7" w:rsidR="00292674" w:rsidRPr="00241FC8" w:rsidRDefault="00292674" w:rsidP="00DF4C8B">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Confirmation that the Subject Company</w:t>
      </w:r>
      <w:r w:rsidR="00C52886" w:rsidRPr="00241FC8">
        <w:rPr>
          <w:rFonts w:ascii="Arial" w:hAnsi="Arial" w:cs="Arial"/>
          <w:color w:val="2F5496" w:themeColor="accent1" w:themeShade="BF"/>
          <w:sz w:val="22"/>
          <w:szCs w:val="22"/>
        </w:rPr>
        <w:t xml:space="preserve"> has not applied for moratorium protection under Section 210(10) of the Companies Act;</w:t>
      </w:r>
    </w:p>
    <w:p w14:paraId="2993789B" w14:textId="087F5F7D" w:rsidR="00C52886" w:rsidRPr="00241FC8" w:rsidRDefault="00B642AD" w:rsidP="00DF4C8B">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Confirmation w</w:t>
      </w:r>
      <w:r w:rsidR="00C52886" w:rsidRPr="00241FC8">
        <w:rPr>
          <w:rFonts w:ascii="Arial" w:hAnsi="Arial" w:cs="Arial"/>
          <w:color w:val="2F5496" w:themeColor="accent1" w:themeShade="BF"/>
          <w:sz w:val="22"/>
          <w:szCs w:val="22"/>
        </w:rPr>
        <w:t>hether the Subject Company has made an earlier application pursuant to Section 64(1) of IRDA within 12 months period preceding the current application;</w:t>
      </w:r>
    </w:p>
    <w:p w14:paraId="007D0C5D" w14:textId="36519E5D" w:rsidR="00C52886" w:rsidRPr="00241FC8" w:rsidRDefault="00C52886" w:rsidP="00C52886">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The date on which notice </w:t>
      </w:r>
      <w:r w:rsidR="00CE5A6A" w:rsidRPr="00241FC8">
        <w:rPr>
          <w:rFonts w:ascii="Arial" w:hAnsi="Arial" w:cs="Arial"/>
          <w:color w:val="2F5496" w:themeColor="accent1" w:themeShade="BF"/>
          <w:sz w:val="22"/>
          <w:szCs w:val="22"/>
        </w:rPr>
        <w:t xml:space="preserve">of </w:t>
      </w:r>
      <w:r w:rsidR="003056CC" w:rsidRPr="00241FC8">
        <w:rPr>
          <w:rFonts w:ascii="Arial" w:hAnsi="Arial" w:cs="Arial"/>
          <w:color w:val="2F5496" w:themeColor="accent1" w:themeShade="BF"/>
          <w:sz w:val="22"/>
          <w:szCs w:val="22"/>
        </w:rPr>
        <w:t xml:space="preserve">application under </w:t>
      </w:r>
      <w:r w:rsidR="00CE5A6A" w:rsidRPr="00241FC8">
        <w:rPr>
          <w:rFonts w:ascii="Arial" w:hAnsi="Arial" w:cs="Arial"/>
          <w:color w:val="2F5496" w:themeColor="accent1" w:themeShade="BF"/>
          <w:sz w:val="22"/>
          <w:szCs w:val="22"/>
        </w:rPr>
        <w:t xml:space="preserve">Section 64(1) </w:t>
      </w:r>
      <w:r w:rsidR="003056CC" w:rsidRPr="00241FC8">
        <w:rPr>
          <w:rFonts w:ascii="Arial" w:hAnsi="Arial" w:cs="Arial"/>
          <w:color w:val="2F5496" w:themeColor="accent1" w:themeShade="BF"/>
          <w:sz w:val="22"/>
          <w:szCs w:val="22"/>
        </w:rPr>
        <w:t xml:space="preserve">of IRDA </w:t>
      </w:r>
      <w:r w:rsidR="00CE5A6A" w:rsidRPr="00241FC8">
        <w:rPr>
          <w:rFonts w:ascii="Arial" w:hAnsi="Arial" w:cs="Arial"/>
          <w:color w:val="2F5496" w:themeColor="accent1" w:themeShade="BF"/>
          <w:sz w:val="22"/>
          <w:szCs w:val="22"/>
        </w:rPr>
        <w:t xml:space="preserve">was sent (or to be sent) </w:t>
      </w:r>
      <w:r w:rsidRPr="00241FC8">
        <w:rPr>
          <w:rFonts w:ascii="Arial" w:hAnsi="Arial" w:cs="Arial"/>
          <w:color w:val="2F5496" w:themeColor="accent1" w:themeShade="BF"/>
          <w:sz w:val="22"/>
          <w:szCs w:val="22"/>
        </w:rPr>
        <w:t xml:space="preserve">to each </w:t>
      </w:r>
      <w:r w:rsidR="00CE5A6A" w:rsidRPr="00241FC8">
        <w:rPr>
          <w:rFonts w:ascii="Arial" w:hAnsi="Arial" w:cs="Arial"/>
          <w:color w:val="2F5496" w:themeColor="accent1" w:themeShade="BF"/>
          <w:sz w:val="22"/>
          <w:szCs w:val="22"/>
        </w:rPr>
        <w:t xml:space="preserve">of the Subject Company’s </w:t>
      </w:r>
      <w:r w:rsidRPr="00241FC8">
        <w:rPr>
          <w:rFonts w:ascii="Arial" w:hAnsi="Arial" w:cs="Arial"/>
          <w:color w:val="2F5496" w:themeColor="accent1" w:themeShade="BF"/>
          <w:sz w:val="22"/>
          <w:szCs w:val="22"/>
        </w:rPr>
        <w:t>creditor</w:t>
      </w:r>
      <w:r w:rsidR="00CE5A6A" w:rsidRPr="00241FC8">
        <w:rPr>
          <w:rFonts w:ascii="Arial" w:hAnsi="Arial" w:cs="Arial"/>
          <w:color w:val="2F5496" w:themeColor="accent1" w:themeShade="BF"/>
          <w:sz w:val="22"/>
          <w:szCs w:val="22"/>
        </w:rPr>
        <w:t>s</w:t>
      </w:r>
      <w:r w:rsidRPr="00241FC8">
        <w:rPr>
          <w:rFonts w:ascii="Arial" w:hAnsi="Arial" w:cs="Arial"/>
          <w:color w:val="2F5496" w:themeColor="accent1" w:themeShade="BF"/>
          <w:sz w:val="22"/>
          <w:szCs w:val="22"/>
        </w:rPr>
        <w:t xml:space="preserve"> meant to be bound by the scheme of arrangement</w:t>
      </w:r>
      <w:r w:rsidR="003056CC" w:rsidRPr="00241FC8">
        <w:rPr>
          <w:rFonts w:ascii="Arial" w:hAnsi="Arial" w:cs="Arial"/>
          <w:color w:val="2F5496" w:themeColor="accent1" w:themeShade="BF"/>
          <w:sz w:val="22"/>
          <w:szCs w:val="22"/>
        </w:rPr>
        <w:t xml:space="preserve"> (this notice of application shall also be published in the Gazette and one English local daily newspaper)</w:t>
      </w:r>
      <w:r w:rsidRPr="00241FC8">
        <w:rPr>
          <w:rFonts w:ascii="Arial" w:hAnsi="Arial" w:cs="Arial"/>
          <w:color w:val="2F5496" w:themeColor="accent1" w:themeShade="BF"/>
          <w:sz w:val="22"/>
          <w:szCs w:val="22"/>
        </w:rPr>
        <w:t>;</w:t>
      </w:r>
    </w:p>
    <w:p w14:paraId="349E14BF" w14:textId="5C8F4E7A" w:rsidR="00B642AD" w:rsidRPr="00241FC8" w:rsidRDefault="00B642AD" w:rsidP="00B642AD">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Where no scheme has been proposed by the Subject Company, a brief description of the intended compromise or arrangement, with sufficient particulars to enable the Court to assess whether the such intended compromise or arrangement is feasible, and merits consideration by the Subject Company’s creditors;</w:t>
      </w:r>
    </w:p>
    <w:p w14:paraId="252A6886" w14:textId="46D37005" w:rsidR="00C52886" w:rsidRPr="00241FC8" w:rsidRDefault="00B642AD" w:rsidP="00C52886">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E</w:t>
      </w:r>
      <w:r w:rsidR="00C52886" w:rsidRPr="00241FC8">
        <w:rPr>
          <w:rFonts w:ascii="Arial" w:hAnsi="Arial" w:cs="Arial"/>
          <w:color w:val="2F5496" w:themeColor="accent1" w:themeShade="BF"/>
          <w:sz w:val="22"/>
          <w:szCs w:val="22"/>
        </w:rPr>
        <w:t>vidence of support from its creditors and explanation of how such support will be important to the success of the proposed compromise</w:t>
      </w:r>
      <w:r w:rsidRPr="00241FC8">
        <w:rPr>
          <w:rFonts w:ascii="Arial" w:hAnsi="Arial" w:cs="Arial"/>
          <w:color w:val="2F5496" w:themeColor="accent1" w:themeShade="BF"/>
          <w:sz w:val="22"/>
          <w:szCs w:val="22"/>
        </w:rPr>
        <w:t>;</w:t>
      </w:r>
    </w:p>
    <w:p w14:paraId="54646BDF" w14:textId="6619CC8B" w:rsidR="00C52886" w:rsidRPr="00241FC8" w:rsidRDefault="00B642AD" w:rsidP="00C52886">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lastRenderedPageBreak/>
        <w:t xml:space="preserve">List of </w:t>
      </w:r>
      <w:r w:rsidR="00EC3644" w:rsidRPr="00241FC8">
        <w:rPr>
          <w:rFonts w:ascii="Arial" w:hAnsi="Arial" w:cs="Arial"/>
          <w:color w:val="2F5496" w:themeColor="accent1" w:themeShade="BF"/>
          <w:sz w:val="22"/>
          <w:szCs w:val="22"/>
        </w:rPr>
        <w:t>all</w:t>
      </w:r>
      <w:r w:rsidRPr="00241FC8">
        <w:rPr>
          <w:rFonts w:ascii="Arial" w:hAnsi="Arial" w:cs="Arial"/>
          <w:color w:val="2F5496" w:themeColor="accent1" w:themeShade="BF"/>
          <w:sz w:val="22"/>
          <w:szCs w:val="22"/>
        </w:rPr>
        <w:t xml:space="preserve"> secured creditors and all unsecured creditors not related to the Subject Company (or where there are more than 20 such unsecured creditors, the list of 20 largest unsecured creditors)</w:t>
      </w:r>
      <w:r w:rsidR="00EC3644" w:rsidRPr="00241FC8">
        <w:rPr>
          <w:rFonts w:ascii="Arial" w:hAnsi="Arial" w:cs="Arial"/>
          <w:color w:val="2F5496" w:themeColor="accent1" w:themeShade="BF"/>
          <w:sz w:val="22"/>
          <w:szCs w:val="22"/>
        </w:rPr>
        <w:t>;</w:t>
      </w:r>
      <w:r w:rsidR="00F31907" w:rsidRPr="00241FC8">
        <w:rPr>
          <w:rFonts w:ascii="Arial" w:hAnsi="Arial" w:cs="Arial"/>
          <w:color w:val="2F5496" w:themeColor="accent1" w:themeShade="BF"/>
          <w:sz w:val="22"/>
          <w:szCs w:val="22"/>
        </w:rPr>
        <w:t xml:space="preserve"> and</w:t>
      </w:r>
    </w:p>
    <w:p w14:paraId="4A33D28B" w14:textId="7021864F" w:rsidR="00EC3644" w:rsidRPr="00DF4C8B" w:rsidRDefault="00EC3644" w:rsidP="00C52886">
      <w:pPr>
        <w:pStyle w:val="ListParagraph"/>
        <w:numPr>
          <w:ilvl w:val="0"/>
          <w:numId w:val="21"/>
        </w:numPr>
        <w:jc w:val="both"/>
        <w:rPr>
          <w:rFonts w:ascii="Arial" w:hAnsi="Arial" w:cs="Arial"/>
          <w:color w:val="7B7B7B" w:themeColor="accent3" w:themeShade="BF"/>
          <w:sz w:val="22"/>
          <w:szCs w:val="22"/>
        </w:rPr>
      </w:pPr>
      <w:r w:rsidRPr="00241FC8">
        <w:rPr>
          <w:rFonts w:ascii="Arial" w:hAnsi="Arial" w:cs="Arial"/>
          <w:color w:val="2F5496" w:themeColor="accent1" w:themeShade="BF"/>
          <w:sz w:val="22"/>
          <w:szCs w:val="22"/>
        </w:rPr>
        <w:t>Where the Subject Company seeks for the moratorium to apply to act</w:t>
      </w:r>
      <w:r w:rsidR="009426C4" w:rsidRPr="00241FC8">
        <w:rPr>
          <w:rFonts w:ascii="Arial" w:hAnsi="Arial" w:cs="Arial"/>
          <w:color w:val="2F5496" w:themeColor="accent1" w:themeShade="BF"/>
          <w:sz w:val="22"/>
          <w:szCs w:val="22"/>
        </w:rPr>
        <w:t>s taking place outside Singapore (such as in the case of Singaporean based creditors taking part in Angostura’s Indonesian PKPU process), the basis on which such moratorium is sought.</w:t>
      </w:r>
    </w:p>
    <w:p w14:paraId="221901A5" w14:textId="3F680A7A"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3CFEFA95" w14:textId="654F1078" w:rsidR="00384F62" w:rsidRPr="00241FC8" w:rsidRDefault="009426C4" w:rsidP="00F31907">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While Section 64 of IRDA is for the scheme of arrangement that is proposed (or intended to be proposed) by a Subject Company, Section 65</w:t>
      </w:r>
      <w:r w:rsidR="00DF54E0" w:rsidRPr="00241FC8">
        <w:rPr>
          <w:rFonts w:ascii="Arial" w:hAnsi="Arial" w:cs="Arial"/>
          <w:color w:val="2F5496" w:themeColor="accent1" w:themeShade="BF"/>
          <w:sz w:val="22"/>
          <w:szCs w:val="22"/>
        </w:rPr>
        <w:t>(1)</w:t>
      </w:r>
      <w:r w:rsidRPr="00241FC8">
        <w:rPr>
          <w:rFonts w:ascii="Arial" w:hAnsi="Arial" w:cs="Arial"/>
          <w:color w:val="2F5496" w:themeColor="accent1" w:themeShade="BF"/>
          <w:sz w:val="22"/>
          <w:szCs w:val="22"/>
        </w:rPr>
        <w:t xml:space="preserve"> </w:t>
      </w:r>
      <w:r w:rsidR="00DF54E0" w:rsidRPr="00241FC8">
        <w:rPr>
          <w:rFonts w:ascii="Arial" w:hAnsi="Arial" w:cs="Arial"/>
          <w:color w:val="2F5496" w:themeColor="accent1" w:themeShade="BF"/>
          <w:sz w:val="22"/>
          <w:szCs w:val="22"/>
        </w:rPr>
        <w:t>of IRDA provides the Subject Company’s holding or subsidiary(</w:t>
      </w:r>
      <w:proofErr w:type="spellStart"/>
      <w:r w:rsidR="00DF54E0" w:rsidRPr="00241FC8">
        <w:rPr>
          <w:rFonts w:ascii="Arial" w:hAnsi="Arial" w:cs="Arial"/>
          <w:color w:val="2F5496" w:themeColor="accent1" w:themeShade="BF"/>
          <w:sz w:val="22"/>
          <w:szCs w:val="22"/>
        </w:rPr>
        <w:t>ies</w:t>
      </w:r>
      <w:proofErr w:type="spellEnd"/>
      <w:r w:rsidR="00DF54E0" w:rsidRPr="00241FC8">
        <w:rPr>
          <w:rFonts w:ascii="Arial" w:hAnsi="Arial" w:cs="Arial"/>
          <w:color w:val="2F5496" w:themeColor="accent1" w:themeShade="BF"/>
          <w:sz w:val="22"/>
          <w:szCs w:val="22"/>
        </w:rPr>
        <w:t xml:space="preserve">) (the “Related Company”) with the </w:t>
      </w:r>
      <w:r w:rsidR="00E65220" w:rsidRPr="00241FC8">
        <w:rPr>
          <w:rFonts w:ascii="Arial" w:hAnsi="Arial" w:cs="Arial"/>
          <w:color w:val="2F5496" w:themeColor="accent1" w:themeShade="BF"/>
          <w:sz w:val="22"/>
          <w:szCs w:val="22"/>
        </w:rPr>
        <w:t xml:space="preserve">similar </w:t>
      </w:r>
      <w:r w:rsidR="00DF54E0" w:rsidRPr="00241FC8">
        <w:rPr>
          <w:rFonts w:ascii="Arial" w:hAnsi="Arial" w:cs="Arial"/>
          <w:color w:val="2F5496" w:themeColor="accent1" w:themeShade="BF"/>
          <w:sz w:val="22"/>
          <w:szCs w:val="22"/>
        </w:rPr>
        <w:t>benefit of moratorium.</w:t>
      </w:r>
      <w:r w:rsidR="00F31907" w:rsidRPr="00241FC8">
        <w:rPr>
          <w:rFonts w:ascii="Arial" w:hAnsi="Arial" w:cs="Arial"/>
          <w:color w:val="2F5496" w:themeColor="accent1" w:themeShade="BF"/>
          <w:sz w:val="22"/>
          <w:szCs w:val="22"/>
        </w:rPr>
        <w:t xml:space="preserve"> The Related Company’s application for moratorium should be filed concurrently with the Subject Company’s application for moratorium.</w:t>
      </w:r>
    </w:p>
    <w:p w14:paraId="073CA7D3" w14:textId="6508D124" w:rsidR="00384F62" w:rsidRPr="00241FC8" w:rsidRDefault="00384F62" w:rsidP="00384F62">
      <w:pPr>
        <w:jc w:val="both"/>
        <w:rPr>
          <w:rFonts w:ascii="Arial" w:hAnsi="Arial" w:cs="Arial"/>
          <w:color w:val="2F5496" w:themeColor="accent1" w:themeShade="BF"/>
          <w:sz w:val="22"/>
          <w:szCs w:val="22"/>
          <w:lang w:val="en-GB"/>
        </w:rPr>
      </w:pPr>
    </w:p>
    <w:p w14:paraId="1E4C4E3D" w14:textId="58D3E56D" w:rsidR="00E65220" w:rsidRPr="00241FC8" w:rsidRDefault="00E65220" w:rsidP="00384F62">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The application pursuant to Section 65(1) of IRDA is to be made by filing to the Court </w:t>
      </w:r>
      <w:r w:rsidRPr="00241FC8">
        <w:rPr>
          <w:rFonts w:ascii="Arial" w:hAnsi="Arial" w:cs="Arial"/>
          <w:i/>
          <w:iCs/>
          <w:color w:val="2F5496" w:themeColor="accent1" w:themeShade="BF"/>
          <w:sz w:val="22"/>
          <w:szCs w:val="22"/>
        </w:rPr>
        <w:t>ex-</w:t>
      </w:r>
      <w:proofErr w:type="spellStart"/>
      <w:r w:rsidRPr="00241FC8">
        <w:rPr>
          <w:rFonts w:ascii="Arial" w:hAnsi="Arial" w:cs="Arial"/>
          <w:i/>
          <w:iCs/>
          <w:color w:val="2F5496" w:themeColor="accent1" w:themeShade="BF"/>
          <w:sz w:val="22"/>
          <w:szCs w:val="22"/>
        </w:rPr>
        <w:t>parte</w:t>
      </w:r>
      <w:proofErr w:type="spellEnd"/>
      <w:r w:rsidRPr="00241FC8">
        <w:rPr>
          <w:rFonts w:ascii="Arial" w:hAnsi="Arial" w:cs="Arial"/>
          <w:color w:val="2F5496" w:themeColor="accent1" w:themeShade="BF"/>
          <w:sz w:val="22"/>
          <w:szCs w:val="22"/>
        </w:rPr>
        <w:t xml:space="preserve"> originating summons accompanied with supporting information and affidavit covering the following;</w:t>
      </w:r>
    </w:p>
    <w:p w14:paraId="1D65F104" w14:textId="79A77415" w:rsidR="00E65220" w:rsidRPr="00241FC8" w:rsidRDefault="00E65220" w:rsidP="00F31907">
      <w:pPr>
        <w:pStyle w:val="ListParagraph"/>
        <w:numPr>
          <w:ilvl w:val="0"/>
          <w:numId w:val="21"/>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rPr>
        <w:t>Confirmation that the Related Company is not excluded from the definition of “company” under Section 63(3) of IRDA and is entitled to apply for an order under Section 64(1) of IRDA;</w:t>
      </w:r>
    </w:p>
    <w:p w14:paraId="1A9F02AF" w14:textId="77777777" w:rsidR="006A5CC1" w:rsidRPr="00241FC8" w:rsidRDefault="00F31907" w:rsidP="00F31907">
      <w:pPr>
        <w:pStyle w:val="ListParagraph"/>
        <w:numPr>
          <w:ilvl w:val="0"/>
          <w:numId w:val="21"/>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rPr>
        <w:t xml:space="preserve">Whether an order pursuant to Section 64(1) </w:t>
      </w:r>
      <w:r w:rsidR="006A5CC1" w:rsidRPr="00241FC8">
        <w:rPr>
          <w:rFonts w:ascii="Arial" w:hAnsi="Arial" w:cs="Arial"/>
          <w:color w:val="2F5496" w:themeColor="accent1" w:themeShade="BF"/>
          <w:sz w:val="22"/>
          <w:szCs w:val="22"/>
        </w:rPr>
        <w:t xml:space="preserve">of IRDA </w:t>
      </w:r>
      <w:r w:rsidRPr="00241FC8">
        <w:rPr>
          <w:rFonts w:ascii="Arial" w:hAnsi="Arial" w:cs="Arial"/>
          <w:color w:val="2F5496" w:themeColor="accent1" w:themeShade="BF"/>
          <w:sz w:val="22"/>
          <w:szCs w:val="22"/>
        </w:rPr>
        <w:t>has been made on the Subject Company (and if so, whether such order is still in force), and if not</w:t>
      </w:r>
      <w:r w:rsidR="006A5CC1" w:rsidRPr="00241FC8">
        <w:rPr>
          <w:rFonts w:ascii="Arial" w:hAnsi="Arial" w:cs="Arial"/>
          <w:color w:val="2F5496" w:themeColor="accent1" w:themeShade="BF"/>
          <w:sz w:val="22"/>
          <w:szCs w:val="22"/>
        </w:rPr>
        <w:t>,</w:t>
      </w:r>
      <w:r w:rsidRPr="00241FC8">
        <w:rPr>
          <w:rFonts w:ascii="Arial" w:hAnsi="Arial" w:cs="Arial"/>
          <w:color w:val="2F5496" w:themeColor="accent1" w:themeShade="BF"/>
          <w:sz w:val="22"/>
          <w:szCs w:val="22"/>
        </w:rPr>
        <w:t xml:space="preserve"> the date and case number of the application </w:t>
      </w:r>
      <w:r w:rsidR="006A5CC1" w:rsidRPr="00241FC8">
        <w:rPr>
          <w:rFonts w:ascii="Arial" w:hAnsi="Arial" w:cs="Arial"/>
          <w:color w:val="2F5496" w:themeColor="accent1" w:themeShade="BF"/>
          <w:sz w:val="22"/>
          <w:szCs w:val="22"/>
        </w:rPr>
        <w:t xml:space="preserve">by the Subject Company </w:t>
      </w:r>
      <w:r w:rsidRPr="00241FC8">
        <w:rPr>
          <w:rFonts w:ascii="Arial" w:hAnsi="Arial" w:cs="Arial"/>
          <w:color w:val="2F5496" w:themeColor="accent1" w:themeShade="BF"/>
          <w:sz w:val="22"/>
          <w:szCs w:val="22"/>
        </w:rPr>
        <w:t>under Section 64(1)</w:t>
      </w:r>
      <w:r w:rsidR="006A5CC1" w:rsidRPr="00241FC8">
        <w:rPr>
          <w:rFonts w:ascii="Arial" w:hAnsi="Arial" w:cs="Arial"/>
          <w:color w:val="2F5496" w:themeColor="accent1" w:themeShade="BF"/>
          <w:sz w:val="22"/>
          <w:szCs w:val="22"/>
        </w:rPr>
        <w:t xml:space="preserve"> of IRDA;</w:t>
      </w:r>
    </w:p>
    <w:p w14:paraId="281D47F6" w14:textId="53BD1E3C" w:rsidR="00F31907" w:rsidRPr="00241FC8" w:rsidRDefault="006A5CC1" w:rsidP="006A5CC1">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Confirmation that there is no order made or resolution passed for the winding up of the Related Company;</w:t>
      </w:r>
    </w:p>
    <w:p w14:paraId="193DB6BF" w14:textId="2EBCBF95" w:rsidR="006A5CC1" w:rsidRPr="00241FC8" w:rsidRDefault="006A5CC1" w:rsidP="006A5CC1">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Explanation on how the Related Company plays a necessary and integral role in the compromise or arrangement that has been (or to be) proposed by the Subject Company under Section 64(1) of IRDA;</w:t>
      </w:r>
    </w:p>
    <w:p w14:paraId="1A0E7CBD" w14:textId="5DF351A7" w:rsidR="006A5CC1" w:rsidRPr="00241FC8" w:rsidRDefault="00CE5A6A" w:rsidP="006A5CC1">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Explanation on h</w:t>
      </w:r>
      <w:r w:rsidR="006A5CC1" w:rsidRPr="00241FC8">
        <w:rPr>
          <w:rFonts w:ascii="Arial" w:hAnsi="Arial" w:cs="Arial"/>
          <w:color w:val="2F5496" w:themeColor="accent1" w:themeShade="BF"/>
          <w:sz w:val="22"/>
          <w:szCs w:val="22"/>
        </w:rPr>
        <w:t xml:space="preserve">ow the Subject Company’s proposed compromise or arrangement will be frustrated if one or more actions that may be restrained by an order sought under </w:t>
      </w:r>
      <w:r w:rsidR="00434360" w:rsidRPr="00241FC8">
        <w:rPr>
          <w:rFonts w:ascii="Arial" w:hAnsi="Arial" w:cs="Arial"/>
          <w:color w:val="2F5496" w:themeColor="accent1" w:themeShade="BF"/>
          <w:sz w:val="22"/>
          <w:szCs w:val="22"/>
        </w:rPr>
        <w:t>S</w:t>
      </w:r>
      <w:r w:rsidR="006A5CC1" w:rsidRPr="00241FC8">
        <w:rPr>
          <w:rFonts w:ascii="Arial" w:hAnsi="Arial" w:cs="Arial"/>
          <w:color w:val="2F5496" w:themeColor="accent1" w:themeShade="BF"/>
          <w:sz w:val="22"/>
          <w:szCs w:val="22"/>
        </w:rPr>
        <w:t>ection 65(1) of IRDA</w:t>
      </w:r>
      <w:r w:rsidRPr="00241FC8">
        <w:rPr>
          <w:rFonts w:ascii="Arial" w:hAnsi="Arial" w:cs="Arial"/>
          <w:color w:val="2F5496" w:themeColor="accent1" w:themeShade="BF"/>
          <w:sz w:val="22"/>
          <w:szCs w:val="22"/>
        </w:rPr>
        <w:t>,</w:t>
      </w:r>
      <w:r w:rsidR="006A5CC1" w:rsidRPr="00241FC8">
        <w:rPr>
          <w:rFonts w:ascii="Arial" w:hAnsi="Arial" w:cs="Arial"/>
          <w:color w:val="2F5496" w:themeColor="accent1" w:themeShade="BF"/>
          <w:sz w:val="22"/>
          <w:szCs w:val="22"/>
        </w:rPr>
        <w:t xml:space="preserve"> are taken against the Related Company</w:t>
      </w:r>
      <w:r w:rsidRPr="00241FC8">
        <w:rPr>
          <w:rFonts w:ascii="Arial" w:hAnsi="Arial" w:cs="Arial"/>
          <w:color w:val="2F5496" w:themeColor="accent1" w:themeShade="BF"/>
          <w:sz w:val="22"/>
          <w:szCs w:val="22"/>
        </w:rPr>
        <w:t>;</w:t>
      </w:r>
    </w:p>
    <w:p w14:paraId="0F9B99F1" w14:textId="359A8340" w:rsidR="00CE5A6A" w:rsidRPr="00241FC8" w:rsidRDefault="00CE5A6A" w:rsidP="00CE5A6A">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Explanation on whether the Related Company’s creditors will be unfairly prejudiced if the Related Company’s moratorium is ordered; and</w:t>
      </w:r>
    </w:p>
    <w:p w14:paraId="5892B947" w14:textId="2F5A2E8E" w:rsidR="00CE5A6A" w:rsidRPr="00241FC8" w:rsidRDefault="00CE5A6A" w:rsidP="00CE5A6A">
      <w:pPr>
        <w:pStyle w:val="ListParagraph"/>
        <w:numPr>
          <w:ilvl w:val="0"/>
          <w:numId w:val="21"/>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The date on which notice of application under Section 65(1) of IRDA was sent (or will be sent) to each of the Related Company’s creditors meant to be bound by the order sought under Section 65(1) of IRDA</w:t>
      </w:r>
      <w:r w:rsidR="003056CC" w:rsidRPr="00241FC8">
        <w:rPr>
          <w:rFonts w:ascii="Arial" w:hAnsi="Arial" w:cs="Arial"/>
          <w:color w:val="2F5496" w:themeColor="accent1" w:themeShade="BF"/>
          <w:sz w:val="22"/>
          <w:szCs w:val="22"/>
        </w:rPr>
        <w:t xml:space="preserve"> (this notice of application shall also be published in the Gazette and one English local daily newspaper)</w:t>
      </w:r>
      <w:r w:rsidRPr="00241FC8">
        <w:rPr>
          <w:rFonts w:ascii="Arial" w:hAnsi="Arial" w:cs="Arial"/>
          <w:color w:val="2F5496" w:themeColor="accent1" w:themeShade="BF"/>
          <w:sz w:val="22"/>
          <w:szCs w:val="22"/>
        </w:rPr>
        <w:t>.</w:t>
      </w: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5EDC0D06" w14:textId="7877F4DE" w:rsidR="00EC6665" w:rsidRPr="00241FC8" w:rsidRDefault="004246E3" w:rsidP="00384F62">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Yes</w:t>
      </w:r>
      <w:r w:rsidR="006C794F" w:rsidRPr="00241FC8">
        <w:rPr>
          <w:rFonts w:ascii="Arial" w:hAnsi="Arial" w:cs="Arial"/>
          <w:color w:val="2F5496" w:themeColor="accent1" w:themeShade="BF"/>
          <w:sz w:val="22"/>
          <w:szCs w:val="22"/>
        </w:rPr>
        <w:t>,</w:t>
      </w:r>
      <w:r w:rsidRPr="00241FC8">
        <w:rPr>
          <w:rFonts w:ascii="Arial" w:hAnsi="Arial" w:cs="Arial"/>
          <w:color w:val="2F5496" w:themeColor="accent1" w:themeShade="BF"/>
          <w:sz w:val="22"/>
          <w:szCs w:val="22"/>
        </w:rPr>
        <w:t xml:space="preserve"> the moratoria sought by Juniperus and Casuarina may have extra-territorial effect</w:t>
      </w:r>
      <w:r w:rsidR="0052090E" w:rsidRPr="00241FC8">
        <w:rPr>
          <w:rFonts w:ascii="Arial" w:hAnsi="Arial" w:cs="Arial"/>
          <w:color w:val="2F5496" w:themeColor="accent1" w:themeShade="BF"/>
          <w:sz w:val="22"/>
          <w:szCs w:val="22"/>
        </w:rPr>
        <w:t>s</w:t>
      </w:r>
      <w:r w:rsidRPr="00241FC8">
        <w:rPr>
          <w:rFonts w:ascii="Arial" w:hAnsi="Arial" w:cs="Arial"/>
          <w:color w:val="2F5496" w:themeColor="accent1" w:themeShade="BF"/>
          <w:sz w:val="22"/>
          <w:szCs w:val="22"/>
        </w:rPr>
        <w:t xml:space="preserve"> </w:t>
      </w:r>
      <w:r w:rsidR="006C794F" w:rsidRPr="00241FC8">
        <w:rPr>
          <w:rFonts w:ascii="Arial" w:hAnsi="Arial" w:cs="Arial"/>
          <w:color w:val="2F5496" w:themeColor="accent1" w:themeShade="BF"/>
          <w:sz w:val="22"/>
          <w:szCs w:val="22"/>
        </w:rPr>
        <w:t xml:space="preserve">as the moratoria under IRDA may be </w:t>
      </w:r>
      <w:r w:rsidR="00B0766E" w:rsidRPr="00241FC8">
        <w:rPr>
          <w:rFonts w:ascii="Arial" w:hAnsi="Arial" w:cs="Arial"/>
          <w:color w:val="2F5496" w:themeColor="accent1" w:themeShade="BF"/>
          <w:sz w:val="22"/>
          <w:szCs w:val="22"/>
        </w:rPr>
        <w:t xml:space="preserve">applied </w:t>
      </w:r>
      <w:r w:rsidR="006C794F" w:rsidRPr="00241FC8">
        <w:rPr>
          <w:rFonts w:ascii="Arial" w:hAnsi="Arial" w:cs="Arial"/>
          <w:color w:val="2F5496" w:themeColor="accent1" w:themeShade="BF"/>
          <w:sz w:val="22"/>
          <w:szCs w:val="22"/>
        </w:rPr>
        <w:t>to "</w:t>
      </w:r>
      <w:r w:rsidR="006C794F" w:rsidRPr="00241FC8">
        <w:rPr>
          <w:rFonts w:ascii="Arial" w:hAnsi="Arial" w:cs="Arial"/>
          <w:i/>
          <w:iCs/>
          <w:color w:val="2F5496" w:themeColor="accent1" w:themeShade="BF"/>
          <w:sz w:val="22"/>
          <w:szCs w:val="22"/>
        </w:rPr>
        <w:t>any act of any person in Singapore</w:t>
      </w:r>
      <w:r w:rsidR="00B0766E" w:rsidRPr="00241FC8">
        <w:rPr>
          <w:rFonts w:ascii="Arial" w:hAnsi="Arial" w:cs="Arial"/>
          <w:i/>
          <w:iCs/>
          <w:color w:val="2F5496" w:themeColor="accent1" w:themeShade="BF"/>
          <w:sz w:val="22"/>
          <w:szCs w:val="22"/>
        </w:rPr>
        <w:t xml:space="preserve"> or within the jurisdiction of the Court</w:t>
      </w:r>
      <w:r w:rsidR="00B0766E" w:rsidRPr="00241FC8">
        <w:rPr>
          <w:rFonts w:ascii="Arial" w:hAnsi="Arial" w:cs="Arial"/>
          <w:color w:val="2F5496" w:themeColor="accent1" w:themeShade="BF"/>
          <w:sz w:val="22"/>
          <w:szCs w:val="22"/>
        </w:rPr>
        <w:t>,</w:t>
      </w:r>
      <w:r w:rsidR="006C794F" w:rsidRPr="00241FC8">
        <w:rPr>
          <w:rFonts w:ascii="Arial" w:hAnsi="Arial" w:cs="Arial"/>
          <w:color w:val="2F5496" w:themeColor="accent1" w:themeShade="BF"/>
          <w:sz w:val="22"/>
          <w:szCs w:val="22"/>
        </w:rPr>
        <w:t xml:space="preserve"> </w:t>
      </w:r>
      <w:r w:rsidR="006C794F" w:rsidRPr="00241FC8">
        <w:rPr>
          <w:rFonts w:ascii="Arial" w:hAnsi="Arial" w:cs="Arial"/>
          <w:i/>
          <w:iCs/>
          <w:color w:val="2F5496" w:themeColor="accent1" w:themeShade="BF"/>
          <w:sz w:val="22"/>
          <w:szCs w:val="22"/>
        </w:rPr>
        <w:t>whether the act takes place in Singapore or elsewhere</w:t>
      </w:r>
      <w:r w:rsidR="006C794F" w:rsidRPr="00241FC8">
        <w:rPr>
          <w:rFonts w:ascii="Arial" w:hAnsi="Arial" w:cs="Arial"/>
          <w:color w:val="2F5496" w:themeColor="accent1" w:themeShade="BF"/>
          <w:sz w:val="22"/>
          <w:szCs w:val="22"/>
        </w:rPr>
        <w:t>"</w:t>
      </w:r>
      <w:r w:rsidR="00B0766E" w:rsidRPr="00241FC8">
        <w:rPr>
          <w:rFonts w:ascii="Arial" w:hAnsi="Arial" w:cs="Arial"/>
          <w:color w:val="2F5496" w:themeColor="accent1" w:themeShade="BF"/>
          <w:sz w:val="22"/>
          <w:szCs w:val="22"/>
        </w:rPr>
        <w:t xml:space="preserve"> (Section 64(5) and 65(4) of IRDA).</w:t>
      </w:r>
      <w:r w:rsidR="00BA4503" w:rsidRPr="00241FC8">
        <w:rPr>
          <w:rFonts w:ascii="Arial" w:hAnsi="Arial" w:cs="Arial"/>
          <w:color w:val="2F5496" w:themeColor="accent1" w:themeShade="BF"/>
          <w:sz w:val="22"/>
          <w:szCs w:val="22"/>
        </w:rPr>
        <w:t xml:space="preserve"> The extra</w:t>
      </w:r>
      <w:r w:rsidR="00551CF6" w:rsidRPr="00241FC8">
        <w:rPr>
          <w:rFonts w:ascii="Arial" w:hAnsi="Arial" w:cs="Arial"/>
          <w:color w:val="2F5496" w:themeColor="accent1" w:themeShade="BF"/>
          <w:sz w:val="22"/>
          <w:szCs w:val="22"/>
        </w:rPr>
        <w:t xml:space="preserve">-territorial effect would be applicable to creditors that are based in Singapore or within the jurisdiction of Singapore Court, and to the acts of these creditors </w:t>
      </w:r>
      <w:r w:rsidR="00F76CFE" w:rsidRPr="00241FC8">
        <w:rPr>
          <w:rFonts w:ascii="Arial" w:hAnsi="Arial" w:cs="Arial"/>
          <w:color w:val="2F5496" w:themeColor="accent1" w:themeShade="BF"/>
          <w:sz w:val="22"/>
          <w:szCs w:val="22"/>
        </w:rPr>
        <w:t>taking place</w:t>
      </w:r>
      <w:r w:rsidR="00551CF6" w:rsidRPr="00241FC8">
        <w:rPr>
          <w:rFonts w:ascii="Arial" w:hAnsi="Arial" w:cs="Arial"/>
          <w:color w:val="2F5496" w:themeColor="accent1" w:themeShade="BF"/>
          <w:sz w:val="22"/>
          <w:szCs w:val="22"/>
        </w:rPr>
        <w:t xml:space="preserve"> outside of Singapore</w:t>
      </w:r>
      <w:r w:rsidR="00EC6665" w:rsidRPr="00241FC8">
        <w:rPr>
          <w:rFonts w:ascii="Arial" w:hAnsi="Arial" w:cs="Arial"/>
          <w:color w:val="2F5496" w:themeColor="accent1" w:themeShade="BF"/>
          <w:sz w:val="22"/>
          <w:szCs w:val="22"/>
        </w:rPr>
        <w:t>.</w:t>
      </w:r>
    </w:p>
    <w:p w14:paraId="12C7F562" w14:textId="77777777" w:rsidR="005662E9" w:rsidRPr="00241FC8" w:rsidRDefault="00EC6665" w:rsidP="00384F62">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lastRenderedPageBreak/>
        <w:t xml:space="preserve">As such, the moratoria </w:t>
      </w:r>
      <w:r w:rsidR="005662E9" w:rsidRPr="00241FC8">
        <w:rPr>
          <w:rFonts w:ascii="Arial" w:hAnsi="Arial" w:cs="Arial"/>
          <w:color w:val="2F5496" w:themeColor="accent1" w:themeShade="BF"/>
          <w:sz w:val="22"/>
          <w:szCs w:val="22"/>
        </w:rPr>
        <w:t>would</w:t>
      </w:r>
      <w:r w:rsidRPr="00241FC8">
        <w:rPr>
          <w:rFonts w:ascii="Arial" w:hAnsi="Arial" w:cs="Arial"/>
          <w:color w:val="2F5496" w:themeColor="accent1" w:themeShade="BF"/>
          <w:sz w:val="22"/>
          <w:szCs w:val="22"/>
        </w:rPr>
        <w:t xml:space="preserve"> </w:t>
      </w:r>
      <w:r w:rsidR="005662E9" w:rsidRPr="00241FC8">
        <w:rPr>
          <w:rFonts w:ascii="Arial" w:hAnsi="Arial" w:cs="Arial"/>
          <w:color w:val="2F5496" w:themeColor="accent1" w:themeShade="BF"/>
          <w:sz w:val="22"/>
          <w:szCs w:val="22"/>
        </w:rPr>
        <w:t xml:space="preserve">restrain </w:t>
      </w:r>
      <w:r w:rsidRPr="00241FC8">
        <w:rPr>
          <w:rFonts w:ascii="Arial" w:hAnsi="Arial" w:cs="Arial"/>
          <w:color w:val="2F5496" w:themeColor="accent1" w:themeShade="BF"/>
          <w:sz w:val="22"/>
          <w:szCs w:val="22"/>
        </w:rPr>
        <w:t>Singapore based creditors</w:t>
      </w:r>
      <w:r w:rsidR="002850A0" w:rsidRPr="00241FC8">
        <w:rPr>
          <w:rFonts w:ascii="Arial" w:hAnsi="Arial" w:cs="Arial"/>
          <w:color w:val="2F5496" w:themeColor="accent1" w:themeShade="BF"/>
          <w:sz w:val="22"/>
          <w:szCs w:val="22"/>
        </w:rPr>
        <w:t xml:space="preserve"> or those creditors that are subjected to the jurisdiction of the Court</w:t>
      </w:r>
      <w:r w:rsidRPr="00241FC8">
        <w:rPr>
          <w:rFonts w:ascii="Arial" w:hAnsi="Arial" w:cs="Arial"/>
          <w:color w:val="2F5496" w:themeColor="accent1" w:themeShade="BF"/>
          <w:sz w:val="22"/>
          <w:szCs w:val="22"/>
        </w:rPr>
        <w:t>, including the Juniperus bondholders, from</w:t>
      </w:r>
      <w:r w:rsidR="0052090E" w:rsidRPr="00241FC8">
        <w:rPr>
          <w:rFonts w:ascii="Arial" w:hAnsi="Arial" w:cs="Arial"/>
          <w:color w:val="2F5496" w:themeColor="accent1" w:themeShade="BF"/>
          <w:sz w:val="22"/>
          <w:szCs w:val="22"/>
        </w:rPr>
        <w:t xml:space="preserve"> commencing or continuing any proceedings</w:t>
      </w:r>
      <w:r w:rsidR="00FD4FF5" w:rsidRPr="00241FC8">
        <w:rPr>
          <w:rFonts w:ascii="Arial" w:hAnsi="Arial" w:cs="Arial"/>
          <w:color w:val="2F5496" w:themeColor="accent1" w:themeShade="BF"/>
          <w:sz w:val="22"/>
          <w:szCs w:val="22"/>
        </w:rPr>
        <w:t xml:space="preserve"> against, or enforcing any security over property of,</w:t>
      </w:r>
      <w:r w:rsidR="0052090E" w:rsidRPr="00241FC8">
        <w:rPr>
          <w:rFonts w:ascii="Arial" w:hAnsi="Arial" w:cs="Arial"/>
          <w:color w:val="2F5496" w:themeColor="accent1" w:themeShade="BF"/>
          <w:sz w:val="22"/>
          <w:szCs w:val="22"/>
        </w:rPr>
        <w:t xml:space="preserve"> </w:t>
      </w:r>
      <w:r w:rsidR="005662E9" w:rsidRPr="00241FC8">
        <w:rPr>
          <w:rFonts w:ascii="Arial" w:hAnsi="Arial" w:cs="Arial"/>
          <w:color w:val="2F5496" w:themeColor="accent1" w:themeShade="BF"/>
          <w:sz w:val="22"/>
          <w:szCs w:val="22"/>
        </w:rPr>
        <w:t xml:space="preserve">Juniperus as a </w:t>
      </w:r>
      <w:r w:rsidR="0052090E" w:rsidRPr="00241FC8">
        <w:rPr>
          <w:rFonts w:ascii="Arial" w:hAnsi="Arial" w:cs="Arial"/>
          <w:color w:val="2F5496" w:themeColor="accent1" w:themeShade="BF"/>
          <w:sz w:val="22"/>
          <w:szCs w:val="22"/>
        </w:rPr>
        <w:t xml:space="preserve">Subject Company (under Section 64(1) of IRDA) or </w:t>
      </w:r>
      <w:r w:rsidR="005662E9" w:rsidRPr="00241FC8">
        <w:rPr>
          <w:rFonts w:ascii="Arial" w:hAnsi="Arial" w:cs="Arial"/>
          <w:color w:val="2F5496" w:themeColor="accent1" w:themeShade="BF"/>
          <w:sz w:val="22"/>
          <w:szCs w:val="22"/>
        </w:rPr>
        <w:t xml:space="preserve">Casuarina as </w:t>
      </w:r>
      <w:r w:rsidR="00FD4FF5" w:rsidRPr="00241FC8">
        <w:rPr>
          <w:rFonts w:ascii="Arial" w:hAnsi="Arial" w:cs="Arial"/>
          <w:color w:val="2F5496" w:themeColor="accent1" w:themeShade="BF"/>
          <w:sz w:val="22"/>
          <w:szCs w:val="22"/>
        </w:rPr>
        <w:t xml:space="preserve">a </w:t>
      </w:r>
      <w:r w:rsidR="0052090E" w:rsidRPr="00241FC8">
        <w:rPr>
          <w:rFonts w:ascii="Arial" w:hAnsi="Arial" w:cs="Arial"/>
          <w:color w:val="2F5496" w:themeColor="accent1" w:themeShade="BF"/>
          <w:sz w:val="22"/>
          <w:szCs w:val="22"/>
        </w:rPr>
        <w:t>Related Company</w:t>
      </w:r>
      <w:r w:rsidR="00FD4FF5" w:rsidRPr="00241FC8">
        <w:rPr>
          <w:rFonts w:ascii="Arial" w:hAnsi="Arial" w:cs="Arial"/>
          <w:color w:val="2F5496" w:themeColor="accent1" w:themeShade="BF"/>
          <w:sz w:val="22"/>
          <w:szCs w:val="22"/>
        </w:rPr>
        <w:t xml:space="preserve"> </w:t>
      </w:r>
      <w:r w:rsidR="0052090E" w:rsidRPr="00241FC8">
        <w:rPr>
          <w:rFonts w:ascii="Arial" w:hAnsi="Arial" w:cs="Arial"/>
          <w:color w:val="2F5496" w:themeColor="accent1" w:themeShade="BF"/>
          <w:sz w:val="22"/>
          <w:szCs w:val="22"/>
        </w:rPr>
        <w:t>(under Section 65(1) of IRDA)</w:t>
      </w:r>
      <w:r w:rsidR="00FD4FF5" w:rsidRPr="00241FC8">
        <w:rPr>
          <w:rFonts w:ascii="Arial" w:hAnsi="Arial" w:cs="Arial"/>
          <w:color w:val="2F5496" w:themeColor="accent1" w:themeShade="BF"/>
          <w:sz w:val="22"/>
          <w:szCs w:val="22"/>
        </w:rPr>
        <w:t>. Enforcement</w:t>
      </w:r>
      <w:r w:rsidR="0052090E" w:rsidRPr="00241FC8">
        <w:rPr>
          <w:rFonts w:ascii="Arial" w:hAnsi="Arial" w:cs="Arial"/>
          <w:color w:val="2F5496" w:themeColor="accent1" w:themeShade="BF"/>
          <w:sz w:val="22"/>
          <w:szCs w:val="22"/>
        </w:rPr>
        <w:t xml:space="preserve"> </w:t>
      </w:r>
      <w:r w:rsidR="00FD4FF5" w:rsidRPr="00241FC8">
        <w:rPr>
          <w:rFonts w:ascii="Arial" w:hAnsi="Arial" w:cs="Arial"/>
          <w:color w:val="2F5496" w:themeColor="accent1" w:themeShade="BF"/>
          <w:sz w:val="22"/>
          <w:szCs w:val="22"/>
        </w:rPr>
        <w:t>of the bondholders’ security over the shares in Juniperus and Casuarina, will be stayed pursuant to the moratoria</w:t>
      </w:r>
      <w:r w:rsidR="002850A0" w:rsidRPr="00241FC8">
        <w:rPr>
          <w:rFonts w:ascii="Arial" w:hAnsi="Arial" w:cs="Arial"/>
          <w:color w:val="2F5496" w:themeColor="accent1" w:themeShade="BF"/>
          <w:sz w:val="22"/>
          <w:szCs w:val="22"/>
        </w:rPr>
        <w:t xml:space="preserve"> ordered under Sections 64(1) or 65(1) of IRDA. </w:t>
      </w:r>
    </w:p>
    <w:p w14:paraId="31BA00BA" w14:textId="77777777" w:rsidR="005662E9" w:rsidRPr="00241FC8" w:rsidRDefault="005662E9" w:rsidP="00384F62">
      <w:pPr>
        <w:jc w:val="both"/>
        <w:rPr>
          <w:rFonts w:ascii="Arial" w:hAnsi="Arial" w:cs="Arial"/>
          <w:color w:val="2F5496" w:themeColor="accent1" w:themeShade="BF"/>
          <w:sz w:val="22"/>
          <w:szCs w:val="22"/>
        </w:rPr>
      </w:pPr>
    </w:p>
    <w:p w14:paraId="1F3E8BB8" w14:textId="20EE01D1" w:rsidR="00EC6665" w:rsidRPr="00241FC8" w:rsidRDefault="005662E9" w:rsidP="00384F62">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On the other hand, </w:t>
      </w:r>
      <w:r w:rsidR="002850A0" w:rsidRPr="00241FC8">
        <w:rPr>
          <w:rFonts w:ascii="Arial" w:hAnsi="Arial" w:cs="Arial"/>
          <w:color w:val="2F5496" w:themeColor="accent1" w:themeShade="BF"/>
          <w:sz w:val="22"/>
          <w:szCs w:val="22"/>
        </w:rPr>
        <w:t xml:space="preserve">the Indonesian PKPU </w:t>
      </w:r>
      <w:r w:rsidRPr="00241FC8">
        <w:rPr>
          <w:rFonts w:ascii="Arial" w:hAnsi="Arial" w:cs="Arial"/>
          <w:color w:val="2F5496" w:themeColor="accent1" w:themeShade="BF"/>
          <w:sz w:val="22"/>
          <w:szCs w:val="22"/>
        </w:rPr>
        <w:t xml:space="preserve">proceedings against Angostura and its Indonesian subsidiaries should not be subjected to the moratoria as the Indonesian entities did not </w:t>
      </w:r>
      <w:r w:rsidR="004835C8" w:rsidRPr="00241FC8">
        <w:rPr>
          <w:rFonts w:ascii="Arial" w:hAnsi="Arial" w:cs="Arial"/>
          <w:color w:val="2F5496" w:themeColor="accent1" w:themeShade="BF"/>
          <w:sz w:val="22"/>
          <w:szCs w:val="22"/>
        </w:rPr>
        <w:t>file for protection under IRDA as either a Subject Company or a Related Company, and therefore the Juniperus bondholders shall be able to participate in the Indonesian PKPU proceedings based on their claims against the guarantor of the bonds (</w:t>
      </w:r>
      <w:proofErr w:type="spellStart"/>
      <w:proofErr w:type="gramStart"/>
      <w:r w:rsidR="004835C8" w:rsidRPr="00241FC8">
        <w:rPr>
          <w:rFonts w:ascii="Arial" w:hAnsi="Arial" w:cs="Arial"/>
          <w:color w:val="2F5496" w:themeColor="accent1" w:themeShade="BF"/>
          <w:sz w:val="22"/>
          <w:szCs w:val="22"/>
        </w:rPr>
        <w:t>ie</w:t>
      </w:r>
      <w:proofErr w:type="spellEnd"/>
      <w:proofErr w:type="gramEnd"/>
      <w:r w:rsidR="004835C8" w:rsidRPr="00241FC8">
        <w:rPr>
          <w:rFonts w:ascii="Arial" w:hAnsi="Arial" w:cs="Arial"/>
          <w:color w:val="2F5496" w:themeColor="accent1" w:themeShade="BF"/>
          <w:sz w:val="22"/>
          <w:szCs w:val="22"/>
        </w:rPr>
        <w:t xml:space="preserve"> Angostura).</w:t>
      </w:r>
    </w:p>
    <w:p w14:paraId="6DDB3861" w14:textId="5825830E" w:rsidR="00384F62" w:rsidRPr="004076F1" w:rsidRDefault="00551CF6" w:rsidP="001C0051">
      <w:pPr>
        <w:jc w:val="both"/>
        <w:rPr>
          <w:rFonts w:ascii="Arial" w:hAnsi="Arial" w:cs="Arial"/>
          <w:sz w:val="22"/>
          <w:szCs w:val="22"/>
          <w:lang w:val="en-GB"/>
        </w:rPr>
      </w:pPr>
      <w:r>
        <w:rPr>
          <w:rFonts w:ascii="Arial" w:hAnsi="Arial" w:cs="Arial"/>
          <w:color w:val="7B7B7B" w:themeColor="accent3" w:themeShade="BF"/>
          <w:sz w:val="22"/>
          <w:szCs w:val="22"/>
        </w:rPr>
        <w:t xml:space="preserve"> </w:t>
      </w: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1BEF1584" w:rsidR="00384F62" w:rsidRDefault="00384F62" w:rsidP="00384F62">
      <w:pPr>
        <w:jc w:val="both"/>
        <w:rPr>
          <w:rFonts w:ascii="Arial" w:hAnsi="Arial" w:cs="Arial"/>
          <w:b/>
          <w:bCs/>
          <w:sz w:val="22"/>
          <w:szCs w:val="22"/>
          <w:lang w:val="en-GB"/>
        </w:rPr>
      </w:pPr>
    </w:p>
    <w:p w14:paraId="3861A890" w14:textId="240D88A4" w:rsidR="004E4114" w:rsidRPr="00241FC8" w:rsidRDefault="004E4114" w:rsidP="00384F62">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Scheme of arrangement is a debtor-in-possession mechanism to secure </w:t>
      </w:r>
      <w:r w:rsidR="002B1C18" w:rsidRPr="00241FC8">
        <w:rPr>
          <w:rFonts w:ascii="Arial" w:hAnsi="Arial" w:cs="Arial"/>
          <w:color w:val="2F5496" w:themeColor="accent1" w:themeShade="BF"/>
          <w:sz w:val="22"/>
          <w:szCs w:val="22"/>
        </w:rPr>
        <w:t xml:space="preserve">a </w:t>
      </w:r>
      <w:r w:rsidRPr="00241FC8">
        <w:rPr>
          <w:rFonts w:ascii="Arial" w:hAnsi="Arial" w:cs="Arial"/>
          <w:color w:val="2F5496" w:themeColor="accent1" w:themeShade="BF"/>
          <w:sz w:val="22"/>
          <w:szCs w:val="22"/>
        </w:rPr>
        <w:t>restructuring agreement between a company (the debtor) with its creditors. The company (</w:t>
      </w:r>
      <w:proofErr w:type="spellStart"/>
      <w:proofErr w:type="gramStart"/>
      <w:r w:rsidRPr="00241FC8">
        <w:rPr>
          <w:rFonts w:ascii="Arial" w:hAnsi="Arial" w:cs="Arial"/>
          <w:color w:val="2F5496" w:themeColor="accent1" w:themeShade="BF"/>
          <w:sz w:val="22"/>
          <w:szCs w:val="22"/>
        </w:rPr>
        <w:t>ie</w:t>
      </w:r>
      <w:proofErr w:type="spellEnd"/>
      <w:proofErr w:type="gramEnd"/>
      <w:r w:rsidRPr="00241FC8">
        <w:rPr>
          <w:rFonts w:ascii="Arial" w:hAnsi="Arial" w:cs="Arial"/>
          <w:color w:val="2F5496" w:themeColor="accent1" w:themeShade="BF"/>
          <w:sz w:val="22"/>
          <w:szCs w:val="22"/>
        </w:rPr>
        <w:t xml:space="preserve"> the debtor) is responsible, with possibly the help of a financial advisor </w:t>
      </w:r>
      <w:r w:rsidR="002B1C18" w:rsidRPr="00241FC8">
        <w:rPr>
          <w:rFonts w:ascii="Arial" w:hAnsi="Arial" w:cs="Arial"/>
          <w:color w:val="2F5496" w:themeColor="accent1" w:themeShade="BF"/>
          <w:sz w:val="22"/>
          <w:szCs w:val="22"/>
        </w:rPr>
        <w:t>and/</w:t>
      </w:r>
      <w:r w:rsidRPr="00241FC8">
        <w:rPr>
          <w:rFonts w:ascii="Arial" w:hAnsi="Arial" w:cs="Arial"/>
          <w:color w:val="2F5496" w:themeColor="accent1" w:themeShade="BF"/>
          <w:sz w:val="22"/>
          <w:szCs w:val="22"/>
        </w:rPr>
        <w:t>or a scheme manager, to prepare and propose a restructuring proposal to be implemented (and possibly administered by the scheme manager). The company’s proposal would then be negotiated and voted on, by the creditors, and if approved, it would be sanctioned by the Court. The company’s management will also remain in control of the company, throughout the implementation of the scheme. While the role of the Court is mostly supervisory and directed at ensuring the required disclosure of information is satisfied and other due process is followed.</w:t>
      </w:r>
    </w:p>
    <w:p w14:paraId="5EED90EC" w14:textId="77777777" w:rsidR="004E4114" w:rsidRPr="00241FC8" w:rsidRDefault="004E4114" w:rsidP="00384F62">
      <w:pPr>
        <w:jc w:val="both"/>
        <w:rPr>
          <w:rFonts w:ascii="Arial" w:hAnsi="Arial" w:cs="Arial"/>
          <w:color w:val="2F5496" w:themeColor="accent1" w:themeShade="BF"/>
          <w:sz w:val="22"/>
          <w:szCs w:val="22"/>
          <w:lang w:val="en-GB"/>
        </w:rPr>
      </w:pPr>
    </w:p>
    <w:p w14:paraId="3E1937DA" w14:textId="5106BF4D" w:rsidR="004577D9" w:rsidRPr="00241FC8" w:rsidRDefault="004577D9" w:rsidP="00384F62">
      <w:p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 xml:space="preserve">Juniperus (and/or </w:t>
      </w:r>
      <w:proofErr w:type="spellStart"/>
      <w:r w:rsidRPr="00241FC8">
        <w:rPr>
          <w:rFonts w:ascii="Arial" w:hAnsi="Arial" w:cs="Arial"/>
          <w:color w:val="2F5496" w:themeColor="accent1" w:themeShade="BF"/>
          <w:sz w:val="22"/>
          <w:szCs w:val="22"/>
          <w:lang w:val="en-GB"/>
        </w:rPr>
        <w:t>Causarina</w:t>
      </w:r>
      <w:proofErr w:type="spellEnd"/>
      <w:r w:rsidRPr="00241FC8">
        <w:rPr>
          <w:rFonts w:ascii="Arial" w:hAnsi="Arial" w:cs="Arial"/>
          <w:color w:val="2F5496" w:themeColor="accent1" w:themeShade="BF"/>
          <w:sz w:val="22"/>
          <w:szCs w:val="22"/>
          <w:lang w:val="en-GB"/>
        </w:rPr>
        <w:t xml:space="preserve">) may launch a scheme of arrangement under </w:t>
      </w:r>
      <w:r w:rsidR="00ED6CBB" w:rsidRPr="00241FC8">
        <w:rPr>
          <w:rFonts w:ascii="Arial" w:hAnsi="Arial" w:cs="Arial"/>
          <w:color w:val="2F5496" w:themeColor="accent1" w:themeShade="BF"/>
          <w:sz w:val="22"/>
          <w:szCs w:val="22"/>
          <w:lang w:val="en-GB"/>
        </w:rPr>
        <w:t>S</w:t>
      </w:r>
      <w:r w:rsidRPr="00241FC8">
        <w:rPr>
          <w:rFonts w:ascii="Arial" w:hAnsi="Arial" w:cs="Arial"/>
          <w:color w:val="2F5496" w:themeColor="accent1" w:themeShade="BF"/>
          <w:sz w:val="22"/>
          <w:szCs w:val="22"/>
          <w:lang w:val="en-GB"/>
        </w:rPr>
        <w:t>ection 210 of the Companies Act by</w:t>
      </w:r>
      <w:r w:rsidR="004E4114" w:rsidRPr="00241FC8">
        <w:rPr>
          <w:rFonts w:ascii="Arial" w:hAnsi="Arial" w:cs="Arial"/>
          <w:color w:val="2F5496" w:themeColor="accent1" w:themeShade="BF"/>
          <w:sz w:val="22"/>
          <w:szCs w:val="22"/>
          <w:lang w:val="en-GB"/>
        </w:rPr>
        <w:t xml:space="preserve"> following these steps</w:t>
      </w:r>
      <w:r w:rsidRPr="00241FC8">
        <w:rPr>
          <w:rFonts w:ascii="Arial" w:hAnsi="Arial" w:cs="Arial"/>
          <w:color w:val="2F5496" w:themeColor="accent1" w:themeShade="BF"/>
          <w:sz w:val="22"/>
          <w:szCs w:val="22"/>
          <w:lang w:val="en-GB"/>
        </w:rPr>
        <w:t>;</w:t>
      </w:r>
    </w:p>
    <w:p w14:paraId="2AD55F22" w14:textId="6DC86E18" w:rsidR="004577D9" w:rsidRPr="00241FC8" w:rsidRDefault="009D4C81" w:rsidP="004577D9">
      <w:pPr>
        <w:pStyle w:val="ListParagraph"/>
        <w:numPr>
          <w:ilvl w:val="0"/>
          <w:numId w:val="26"/>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 xml:space="preserve">The company must apply to the Court for leave to convene a creditors’ meeting, to consider and approve the proposed scheme. </w:t>
      </w:r>
      <w:r w:rsidR="007A6E86" w:rsidRPr="00241FC8">
        <w:rPr>
          <w:rFonts w:ascii="Arial" w:hAnsi="Arial" w:cs="Arial"/>
          <w:color w:val="2F5496" w:themeColor="accent1" w:themeShade="BF"/>
          <w:sz w:val="22"/>
          <w:szCs w:val="22"/>
          <w:lang w:val="en-GB"/>
        </w:rPr>
        <w:t>In</w:t>
      </w:r>
      <w:r w:rsidR="00C73D53" w:rsidRPr="00241FC8">
        <w:rPr>
          <w:rFonts w:ascii="Arial" w:hAnsi="Arial" w:cs="Arial"/>
          <w:color w:val="2F5496" w:themeColor="accent1" w:themeShade="BF"/>
          <w:sz w:val="22"/>
          <w:szCs w:val="22"/>
          <w:lang w:val="en-GB"/>
        </w:rPr>
        <w:t xml:space="preserve"> </w:t>
      </w:r>
      <w:r w:rsidRPr="00241FC8">
        <w:rPr>
          <w:rFonts w:ascii="Arial" w:hAnsi="Arial" w:cs="Arial"/>
          <w:color w:val="2F5496" w:themeColor="accent1" w:themeShade="BF"/>
          <w:sz w:val="22"/>
          <w:szCs w:val="22"/>
          <w:lang w:val="en-GB"/>
        </w:rPr>
        <w:t xml:space="preserve">its application, the company need to </w:t>
      </w:r>
      <w:r w:rsidR="00C73D53" w:rsidRPr="00241FC8">
        <w:rPr>
          <w:rFonts w:ascii="Arial" w:hAnsi="Arial" w:cs="Arial"/>
          <w:color w:val="2F5496" w:themeColor="accent1" w:themeShade="BF"/>
          <w:sz w:val="22"/>
          <w:szCs w:val="22"/>
          <w:lang w:val="en-GB"/>
        </w:rPr>
        <w:t xml:space="preserve">disclose and </w:t>
      </w:r>
      <w:r w:rsidRPr="00241FC8">
        <w:rPr>
          <w:rFonts w:ascii="Arial" w:hAnsi="Arial" w:cs="Arial"/>
          <w:color w:val="2F5496" w:themeColor="accent1" w:themeShade="BF"/>
          <w:sz w:val="22"/>
          <w:szCs w:val="22"/>
          <w:lang w:val="en-GB"/>
        </w:rPr>
        <w:t xml:space="preserve">submit </w:t>
      </w:r>
      <w:r w:rsidR="004577D9" w:rsidRPr="00241FC8">
        <w:rPr>
          <w:rFonts w:ascii="Arial" w:hAnsi="Arial" w:cs="Arial"/>
          <w:color w:val="2F5496" w:themeColor="accent1" w:themeShade="BF"/>
          <w:sz w:val="22"/>
          <w:szCs w:val="22"/>
          <w:lang w:val="en-GB"/>
        </w:rPr>
        <w:t xml:space="preserve">all </w:t>
      </w:r>
      <w:r w:rsidR="00C7085D" w:rsidRPr="00241FC8">
        <w:rPr>
          <w:rFonts w:ascii="Arial" w:hAnsi="Arial" w:cs="Arial"/>
          <w:color w:val="2F5496" w:themeColor="accent1" w:themeShade="BF"/>
          <w:sz w:val="22"/>
          <w:szCs w:val="22"/>
          <w:lang w:val="en-GB"/>
        </w:rPr>
        <w:t>necessary</w:t>
      </w:r>
      <w:r w:rsidR="004577D9" w:rsidRPr="00241FC8">
        <w:rPr>
          <w:rFonts w:ascii="Arial" w:hAnsi="Arial" w:cs="Arial"/>
          <w:color w:val="2F5496" w:themeColor="accent1" w:themeShade="BF"/>
          <w:sz w:val="22"/>
          <w:szCs w:val="22"/>
          <w:lang w:val="en-GB"/>
        </w:rPr>
        <w:t xml:space="preserve"> </w:t>
      </w:r>
      <w:r w:rsidR="00C73D53" w:rsidRPr="00241FC8">
        <w:rPr>
          <w:rFonts w:ascii="Arial" w:hAnsi="Arial" w:cs="Arial"/>
          <w:color w:val="2F5496" w:themeColor="accent1" w:themeShade="BF"/>
          <w:sz w:val="22"/>
          <w:szCs w:val="22"/>
          <w:lang w:val="en-GB"/>
        </w:rPr>
        <w:t xml:space="preserve">relevant </w:t>
      </w:r>
      <w:r w:rsidR="004577D9" w:rsidRPr="00241FC8">
        <w:rPr>
          <w:rFonts w:ascii="Arial" w:hAnsi="Arial" w:cs="Arial"/>
          <w:color w:val="2F5496" w:themeColor="accent1" w:themeShade="BF"/>
          <w:sz w:val="22"/>
          <w:szCs w:val="22"/>
          <w:lang w:val="en-GB"/>
        </w:rPr>
        <w:t>information</w:t>
      </w:r>
      <w:r w:rsidR="00C7085D" w:rsidRPr="00241FC8">
        <w:rPr>
          <w:rFonts w:ascii="Arial" w:hAnsi="Arial" w:cs="Arial"/>
          <w:color w:val="2F5496" w:themeColor="accent1" w:themeShade="BF"/>
          <w:sz w:val="22"/>
          <w:szCs w:val="22"/>
          <w:lang w:val="en-GB"/>
        </w:rPr>
        <w:t xml:space="preserve"> </w:t>
      </w:r>
      <w:r w:rsidR="00C73D53" w:rsidRPr="00241FC8">
        <w:rPr>
          <w:rFonts w:ascii="Arial" w:hAnsi="Arial" w:cs="Arial"/>
          <w:color w:val="2F5496" w:themeColor="accent1" w:themeShade="BF"/>
          <w:sz w:val="22"/>
          <w:szCs w:val="22"/>
          <w:lang w:val="en-GB"/>
        </w:rPr>
        <w:t>that is required; (</w:t>
      </w:r>
      <w:proofErr w:type="spellStart"/>
      <w:r w:rsidR="00C73D53" w:rsidRPr="00241FC8">
        <w:rPr>
          <w:rFonts w:ascii="Arial" w:hAnsi="Arial" w:cs="Arial"/>
          <w:color w:val="2F5496" w:themeColor="accent1" w:themeShade="BF"/>
          <w:sz w:val="22"/>
          <w:szCs w:val="22"/>
          <w:lang w:val="en-GB"/>
        </w:rPr>
        <w:t>i</w:t>
      </w:r>
      <w:proofErr w:type="spellEnd"/>
      <w:r w:rsidR="00C73D53" w:rsidRPr="00241FC8">
        <w:rPr>
          <w:rFonts w:ascii="Arial" w:hAnsi="Arial" w:cs="Arial"/>
          <w:color w:val="2F5496" w:themeColor="accent1" w:themeShade="BF"/>
          <w:sz w:val="22"/>
          <w:szCs w:val="22"/>
          <w:lang w:val="en-GB"/>
        </w:rPr>
        <w:t xml:space="preserve">) for </w:t>
      </w:r>
      <w:r w:rsidRPr="00241FC8">
        <w:rPr>
          <w:rFonts w:ascii="Arial" w:hAnsi="Arial" w:cs="Arial"/>
          <w:color w:val="2F5496" w:themeColor="accent1" w:themeShade="BF"/>
          <w:sz w:val="22"/>
          <w:szCs w:val="22"/>
          <w:lang w:val="en-GB"/>
        </w:rPr>
        <w:t>the Court</w:t>
      </w:r>
      <w:r w:rsidR="00C73D53" w:rsidRPr="00241FC8">
        <w:rPr>
          <w:rFonts w:ascii="Arial" w:hAnsi="Arial" w:cs="Arial"/>
          <w:color w:val="2F5496" w:themeColor="accent1" w:themeShade="BF"/>
          <w:sz w:val="22"/>
          <w:szCs w:val="22"/>
          <w:lang w:val="en-GB"/>
        </w:rPr>
        <w:t xml:space="preserve">’s consideration in determining whether and how a creditors’ meeting is to be concluded, </w:t>
      </w:r>
      <w:r w:rsidR="00C73D53" w:rsidRPr="00241FC8">
        <w:rPr>
          <w:rFonts w:ascii="Arial" w:hAnsi="Arial" w:cs="Arial"/>
          <w:color w:val="2F5496" w:themeColor="accent1" w:themeShade="BF"/>
          <w:sz w:val="22"/>
          <w:szCs w:val="22"/>
          <w:lang w:val="en-GB"/>
        </w:rPr>
        <w:lastRenderedPageBreak/>
        <w:t>and (ii) for the creditors’ consideration</w:t>
      </w:r>
      <w:r w:rsidR="007A6E86" w:rsidRPr="00241FC8">
        <w:rPr>
          <w:rFonts w:ascii="Arial" w:hAnsi="Arial" w:cs="Arial"/>
          <w:color w:val="2F5496" w:themeColor="accent1" w:themeShade="BF"/>
          <w:sz w:val="22"/>
          <w:szCs w:val="22"/>
          <w:lang w:val="en-GB"/>
        </w:rPr>
        <w:t>,</w:t>
      </w:r>
      <w:r w:rsidR="00C73D53" w:rsidRPr="00241FC8">
        <w:rPr>
          <w:rFonts w:ascii="Arial" w:hAnsi="Arial" w:cs="Arial"/>
          <w:color w:val="2F5496" w:themeColor="accent1" w:themeShade="BF"/>
          <w:sz w:val="22"/>
          <w:szCs w:val="22"/>
          <w:lang w:val="en-GB"/>
        </w:rPr>
        <w:t xml:space="preserve"> to</w:t>
      </w:r>
      <w:r w:rsidR="00C7085D" w:rsidRPr="00241FC8">
        <w:rPr>
          <w:rFonts w:ascii="Arial" w:hAnsi="Arial" w:cs="Arial"/>
          <w:color w:val="2F5496" w:themeColor="accent1" w:themeShade="BF"/>
          <w:sz w:val="22"/>
          <w:szCs w:val="22"/>
          <w:lang w:val="en-GB"/>
        </w:rPr>
        <w:t xml:space="preserve"> make informed decision </w:t>
      </w:r>
      <w:r w:rsidR="00C73D53" w:rsidRPr="00241FC8">
        <w:rPr>
          <w:rFonts w:ascii="Arial" w:hAnsi="Arial" w:cs="Arial"/>
          <w:color w:val="2F5496" w:themeColor="accent1" w:themeShade="BF"/>
          <w:sz w:val="22"/>
          <w:szCs w:val="22"/>
          <w:lang w:val="en-GB"/>
        </w:rPr>
        <w:t xml:space="preserve">to support (or otherwise disapprove) the </w:t>
      </w:r>
      <w:r w:rsidR="00C7085D" w:rsidRPr="00241FC8">
        <w:rPr>
          <w:rFonts w:ascii="Arial" w:hAnsi="Arial" w:cs="Arial"/>
          <w:color w:val="2F5496" w:themeColor="accent1" w:themeShade="BF"/>
          <w:sz w:val="22"/>
          <w:szCs w:val="22"/>
          <w:lang w:val="en-GB"/>
        </w:rPr>
        <w:t>proposed scheme</w:t>
      </w:r>
      <w:r w:rsidR="009842F2" w:rsidRPr="00241FC8">
        <w:rPr>
          <w:rFonts w:ascii="Arial" w:hAnsi="Arial" w:cs="Arial"/>
          <w:color w:val="2F5496" w:themeColor="accent1" w:themeShade="BF"/>
          <w:sz w:val="22"/>
          <w:szCs w:val="22"/>
          <w:lang w:val="en-GB"/>
        </w:rPr>
        <w:t>.</w:t>
      </w:r>
    </w:p>
    <w:p w14:paraId="005658C6" w14:textId="0A6B6C8F" w:rsidR="004577D9" w:rsidRPr="00241FC8" w:rsidRDefault="00C73D53" w:rsidP="004577D9">
      <w:pPr>
        <w:pStyle w:val="ListParagraph"/>
        <w:numPr>
          <w:ilvl w:val="0"/>
          <w:numId w:val="26"/>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The company must s</w:t>
      </w:r>
      <w:r w:rsidR="004577D9" w:rsidRPr="00241FC8">
        <w:rPr>
          <w:rFonts w:ascii="Arial" w:hAnsi="Arial" w:cs="Arial"/>
          <w:color w:val="2F5496" w:themeColor="accent1" w:themeShade="BF"/>
          <w:sz w:val="22"/>
          <w:szCs w:val="22"/>
          <w:lang w:val="en-GB"/>
        </w:rPr>
        <w:t xml:space="preserve">end out notices and explanation of the proposed scheme </w:t>
      </w:r>
      <w:r w:rsidRPr="00241FC8">
        <w:rPr>
          <w:rFonts w:ascii="Arial" w:hAnsi="Arial" w:cs="Arial"/>
          <w:color w:val="2F5496" w:themeColor="accent1" w:themeShade="BF"/>
          <w:sz w:val="22"/>
          <w:szCs w:val="22"/>
          <w:lang w:val="en-GB"/>
        </w:rPr>
        <w:t xml:space="preserve">(and the relevant accompanying information), </w:t>
      </w:r>
      <w:r w:rsidR="004577D9" w:rsidRPr="00241FC8">
        <w:rPr>
          <w:rFonts w:ascii="Arial" w:hAnsi="Arial" w:cs="Arial"/>
          <w:color w:val="2F5496" w:themeColor="accent1" w:themeShade="BF"/>
          <w:sz w:val="22"/>
          <w:szCs w:val="22"/>
          <w:lang w:val="en-GB"/>
        </w:rPr>
        <w:t>to the creditors</w:t>
      </w:r>
      <w:r w:rsidR="004E4114" w:rsidRPr="00241FC8">
        <w:rPr>
          <w:rFonts w:ascii="Arial" w:hAnsi="Arial" w:cs="Arial"/>
          <w:color w:val="2F5496" w:themeColor="accent1" w:themeShade="BF"/>
          <w:sz w:val="22"/>
          <w:szCs w:val="22"/>
          <w:lang w:val="en-GB"/>
        </w:rPr>
        <w:t xml:space="preserve">, </w:t>
      </w:r>
      <w:r w:rsidR="009842F2" w:rsidRPr="00241FC8">
        <w:rPr>
          <w:rFonts w:ascii="Arial" w:hAnsi="Arial" w:cs="Arial"/>
          <w:color w:val="2F5496" w:themeColor="accent1" w:themeShade="BF"/>
          <w:sz w:val="22"/>
          <w:szCs w:val="22"/>
          <w:lang w:val="en-GB"/>
        </w:rPr>
        <w:t xml:space="preserve">summoning scheme meetings and </w:t>
      </w:r>
      <w:r w:rsidR="007A6E86" w:rsidRPr="00241FC8">
        <w:rPr>
          <w:rFonts w:ascii="Arial" w:hAnsi="Arial" w:cs="Arial"/>
          <w:color w:val="2F5496" w:themeColor="accent1" w:themeShade="BF"/>
          <w:sz w:val="22"/>
          <w:szCs w:val="22"/>
          <w:lang w:val="en-GB"/>
        </w:rPr>
        <w:t>elaborating on</w:t>
      </w:r>
      <w:r w:rsidR="004577D9" w:rsidRPr="00241FC8">
        <w:rPr>
          <w:rFonts w:ascii="Arial" w:hAnsi="Arial" w:cs="Arial"/>
          <w:color w:val="2F5496" w:themeColor="accent1" w:themeShade="BF"/>
          <w:sz w:val="22"/>
          <w:szCs w:val="22"/>
          <w:lang w:val="en-GB"/>
        </w:rPr>
        <w:t>;</w:t>
      </w:r>
    </w:p>
    <w:p w14:paraId="14D533AF" w14:textId="13F781BA" w:rsidR="009842F2" w:rsidRPr="00241FC8" w:rsidRDefault="009842F2" w:rsidP="009842F2">
      <w:pPr>
        <w:pStyle w:val="ListParagraph"/>
        <w:numPr>
          <w:ilvl w:val="0"/>
          <w:numId w:val="27"/>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How the proof of claims can be submitted by the creditors; and</w:t>
      </w:r>
    </w:p>
    <w:p w14:paraId="193883AE" w14:textId="1EF75BF1" w:rsidR="009842F2" w:rsidRPr="00241FC8" w:rsidRDefault="009842F2" w:rsidP="009842F2">
      <w:pPr>
        <w:pStyle w:val="ListParagraph"/>
        <w:numPr>
          <w:ilvl w:val="0"/>
          <w:numId w:val="27"/>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The period to submit and file such proof of claims.</w:t>
      </w:r>
    </w:p>
    <w:p w14:paraId="6CCC83B2" w14:textId="5B99D187" w:rsidR="004577D9" w:rsidRPr="00241FC8" w:rsidRDefault="004577D9" w:rsidP="004577D9">
      <w:pPr>
        <w:pStyle w:val="ListParagraph"/>
        <w:numPr>
          <w:ilvl w:val="0"/>
          <w:numId w:val="26"/>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 xml:space="preserve">The scheme manager or the chairman of the scheme meetings would </w:t>
      </w:r>
      <w:r w:rsidR="004E4114" w:rsidRPr="00241FC8">
        <w:rPr>
          <w:rFonts w:ascii="Arial" w:hAnsi="Arial" w:cs="Arial"/>
          <w:color w:val="2F5496" w:themeColor="accent1" w:themeShade="BF"/>
          <w:sz w:val="22"/>
          <w:szCs w:val="22"/>
          <w:lang w:val="en-GB"/>
        </w:rPr>
        <w:t xml:space="preserve">then </w:t>
      </w:r>
      <w:r w:rsidRPr="00241FC8">
        <w:rPr>
          <w:rFonts w:ascii="Arial" w:hAnsi="Arial" w:cs="Arial"/>
          <w:color w:val="2F5496" w:themeColor="accent1" w:themeShade="BF"/>
          <w:sz w:val="22"/>
          <w:szCs w:val="22"/>
          <w:lang w:val="en-GB"/>
        </w:rPr>
        <w:t>review proof of claims submitted by prospective scheme creditors, and decides which claims to admit</w:t>
      </w:r>
      <w:r w:rsidR="00BC430A" w:rsidRPr="00241FC8">
        <w:rPr>
          <w:rFonts w:ascii="Arial" w:hAnsi="Arial" w:cs="Arial"/>
          <w:color w:val="2F5496" w:themeColor="accent1" w:themeShade="BF"/>
          <w:sz w:val="22"/>
          <w:szCs w:val="22"/>
          <w:lang w:val="en-GB"/>
        </w:rPr>
        <w:t>.</w:t>
      </w:r>
    </w:p>
    <w:p w14:paraId="7A981425" w14:textId="7FBDBFA3" w:rsidR="004577D9" w:rsidRPr="00241FC8" w:rsidRDefault="004577D9" w:rsidP="004577D9">
      <w:pPr>
        <w:pStyle w:val="ListParagraph"/>
        <w:numPr>
          <w:ilvl w:val="0"/>
          <w:numId w:val="26"/>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The proposed scheme would then be vote</w:t>
      </w:r>
      <w:r w:rsidR="00C73D53" w:rsidRPr="00241FC8">
        <w:rPr>
          <w:rFonts w:ascii="Arial" w:hAnsi="Arial" w:cs="Arial"/>
          <w:color w:val="2F5496" w:themeColor="accent1" w:themeShade="BF"/>
          <w:sz w:val="22"/>
          <w:szCs w:val="22"/>
          <w:lang w:val="en-GB"/>
        </w:rPr>
        <w:t>d</w:t>
      </w:r>
      <w:r w:rsidRPr="00241FC8">
        <w:rPr>
          <w:rFonts w:ascii="Arial" w:hAnsi="Arial" w:cs="Arial"/>
          <w:color w:val="2F5496" w:themeColor="accent1" w:themeShade="BF"/>
          <w:sz w:val="22"/>
          <w:szCs w:val="22"/>
          <w:lang w:val="en-GB"/>
        </w:rPr>
        <w:t xml:space="preserve"> by the creditors, with the following approval threshold;</w:t>
      </w:r>
    </w:p>
    <w:p w14:paraId="353306B7" w14:textId="6A598FE0" w:rsidR="004E4114" w:rsidRPr="00241FC8" w:rsidRDefault="009842F2" w:rsidP="004E4114">
      <w:pPr>
        <w:pStyle w:val="ListParagraph"/>
        <w:numPr>
          <w:ilvl w:val="1"/>
          <w:numId w:val="26"/>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Majority (</w:t>
      </w:r>
      <w:proofErr w:type="spellStart"/>
      <w:proofErr w:type="gramStart"/>
      <w:r w:rsidRPr="00241FC8">
        <w:rPr>
          <w:rFonts w:ascii="Arial" w:hAnsi="Arial" w:cs="Arial"/>
          <w:color w:val="2F5496" w:themeColor="accent1" w:themeShade="BF"/>
          <w:sz w:val="22"/>
          <w:szCs w:val="22"/>
          <w:lang w:val="en-GB"/>
        </w:rPr>
        <w:t>ie</w:t>
      </w:r>
      <w:proofErr w:type="spellEnd"/>
      <w:proofErr w:type="gramEnd"/>
      <w:r w:rsidRPr="00241FC8">
        <w:rPr>
          <w:rFonts w:ascii="Arial" w:hAnsi="Arial" w:cs="Arial"/>
          <w:color w:val="2F5496" w:themeColor="accent1" w:themeShade="BF"/>
          <w:sz w:val="22"/>
          <w:szCs w:val="22"/>
          <w:lang w:val="en-GB"/>
        </w:rPr>
        <w:t xml:space="preserve"> more than 50%) in number of each class of creditors voting (in person or through proxy); and</w:t>
      </w:r>
    </w:p>
    <w:p w14:paraId="08F1711A" w14:textId="4A5F5FB6" w:rsidR="009842F2" w:rsidRPr="00241FC8" w:rsidRDefault="009842F2" w:rsidP="004E4114">
      <w:pPr>
        <w:pStyle w:val="ListParagraph"/>
        <w:numPr>
          <w:ilvl w:val="1"/>
          <w:numId w:val="26"/>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These favourable votes represent not less than 75% of claims value of the respective class voting (in person or through proxy)</w:t>
      </w:r>
      <w:r w:rsidR="00BC430A" w:rsidRPr="00241FC8">
        <w:rPr>
          <w:rFonts w:ascii="Arial" w:hAnsi="Arial" w:cs="Arial"/>
          <w:color w:val="2F5496" w:themeColor="accent1" w:themeShade="BF"/>
          <w:sz w:val="22"/>
          <w:szCs w:val="22"/>
          <w:lang w:val="en-GB"/>
        </w:rPr>
        <w:t>.</w:t>
      </w:r>
    </w:p>
    <w:p w14:paraId="61A0C34B" w14:textId="60A82252" w:rsidR="004577D9" w:rsidRPr="00241FC8" w:rsidRDefault="004E4114" w:rsidP="004577D9">
      <w:pPr>
        <w:pStyle w:val="ListParagraph"/>
        <w:numPr>
          <w:ilvl w:val="0"/>
          <w:numId w:val="26"/>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Once approved, the Court will sanction the scheme and a copy of the scheme must be lodged with</w:t>
      </w:r>
      <w:r w:rsidR="006566D2" w:rsidRPr="00241FC8">
        <w:rPr>
          <w:rFonts w:ascii="Arial" w:hAnsi="Arial" w:cs="Arial"/>
          <w:color w:val="2F5496" w:themeColor="accent1" w:themeShade="BF"/>
          <w:sz w:val="22"/>
          <w:szCs w:val="22"/>
          <w:lang w:val="en-GB"/>
        </w:rPr>
        <w:t xml:space="preserve"> the official registrar</w:t>
      </w:r>
      <w:r w:rsidR="00CB14C4" w:rsidRPr="00241FC8">
        <w:rPr>
          <w:rFonts w:ascii="Arial" w:hAnsi="Arial" w:cs="Arial"/>
          <w:color w:val="2F5496" w:themeColor="accent1" w:themeShade="BF"/>
          <w:sz w:val="22"/>
          <w:szCs w:val="22"/>
          <w:lang w:val="en-GB"/>
        </w:rPr>
        <w:t xml:space="preserve"> of companies</w:t>
      </w:r>
      <w:r w:rsidR="006566D2" w:rsidRPr="00241FC8">
        <w:rPr>
          <w:rFonts w:ascii="Arial" w:hAnsi="Arial" w:cs="Arial"/>
          <w:color w:val="2F5496" w:themeColor="accent1" w:themeShade="BF"/>
          <w:sz w:val="22"/>
          <w:szCs w:val="22"/>
          <w:lang w:val="en-GB"/>
        </w:rPr>
        <w:t>,</w:t>
      </w:r>
      <w:r w:rsidRPr="00241FC8">
        <w:rPr>
          <w:rFonts w:ascii="Arial" w:hAnsi="Arial" w:cs="Arial"/>
          <w:color w:val="2F5496" w:themeColor="accent1" w:themeShade="BF"/>
          <w:sz w:val="22"/>
          <w:szCs w:val="22"/>
          <w:lang w:val="en-GB"/>
        </w:rPr>
        <w:t xml:space="preserve"> ACRA.</w:t>
      </w:r>
    </w:p>
    <w:p w14:paraId="2646793A" w14:textId="072F2E0C" w:rsidR="004577D9" w:rsidRPr="00241FC8" w:rsidRDefault="004577D9" w:rsidP="00384F62">
      <w:pPr>
        <w:jc w:val="both"/>
        <w:rPr>
          <w:rFonts w:ascii="Arial" w:hAnsi="Arial" w:cs="Arial"/>
          <w:b/>
          <w:bCs/>
          <w:color w:val="2F5496" w:themeColor="accent1" w:themeShade="BF"/>
          <w:sz w:val="22"/>
          <w:szCs w:val="22"/>
          <w:lang w:val="en-GB"/>
        </w:rPr>
      </w:pPr>
    </w:p>
    <w:p w14:paraId="3C0232DF" w14:textId="3547B238" w:rsidR="00480528" w:rsidRPr="00241FC8" w:rsidRDefault="007125BD" w:rsidP="00384F62">
      <w:p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A ‘prepack’ scheme proposed under Section 71 of IRDA, on the other hand, allows the Court to make an order approving a creditor scheme of arrangement even though no meeting of creditors has been ordered or held.</w:t>
      </w:r>
      <w:r w:rsidR="00480528" w:rsidRPr="00241FC8">
        <w:rPr>
          <w:rFonts w:ascii="Arial" w:hAnsi="Arial" w:cs="Arial"/>
          <w:color w:val="2F5496" w:themeColor="accent1" w:themeShade="BF"/>
          <w:sz w:val="22"/>
          <w:szCs w:val="22"/>
          <w:lang w:val="en-GB"/>
        </w:rPr>
        <w:t xml:space="preserve"> </w:t>
      </w:r>
      <w:r w:rsidR="007B61DB" w:rsidRPr="00241FC8">
        <w:rPr>
          <w:rFonts w:ascii="Arial" w:hAnsi="Arial" w:cs="Arial"/>
          <w:color w:val="2F5496" w:themeColor="accent1" w:themeShade="BF"/>
          <w:sz w:val="22"/>
          <w:szCs w:val="22"/>
          <w:lang w:val="en-GB"/>
        </w:rPr>
        <w:t>As such, i</w:t>
      </w:r>
      <w:r w:rsidR="00480528" w:rsidRPr="00241FC8">
        <w:rPr>
          <w:rFonts w:ascii="Arial" w:hAnsi="Arial" w:cs="Arial"/>
          <w:color w:val="2F5496" w:themeColor="accent1" w:themeShade="BF"/>
          <w:sz w:val="22"/>
          <w:szCs w:val="22"/>
          <w:lang w:val="en-GB"/>
        </w:rPr>
        <w:t>n a prepack route, the discussion and negotiation with the creditors would have been completed before the application to approve the scheme is made to the Court (as opposed to the Section 210 application, where the scheme meetings are part of the process under the supervision of the Court</w:t>
      </w:r>
      <w:r w:rsidR="00FA0175" w:rsidRPr="00241FC8">
        <w:rPr>
          <w:rFonts w:ascii="Arial" w:hAnsi="Arial" w:cs="Arial"/>
          <w:color w:val="2F5496" w:themeColor="accent1" w:themeShade="BF"/>
          <w:sz w:val="22"/>
          <w:szCs w:val="22"/>
          <w:lang w:val="en-GB"/>
        </w:rPr>
        <w:t>, and there would be two applications to the Court – one to summon creditors’ meeting and another one to sanction the scheme</w:t>
      </w:r>
      <w:r w:rsidR="00480528" w:rsidRPr="00241FC8">
        <w:rPr>
          <w:rFonts w:ascii="Arial" w:hAnsi="Arial" w:cs="Arial"/>
          <w:color w:val="2F5496" w:themeColor="accent1" w:themeShade="BF"/>
          <w:sz w:val="22"/>
          <w:szCs w:val="22"/>
          <w:lang w:val="en-GB"/>
        </w:rPr>
        <w:t>).</w:t>
      </w:r>
      <w:r w:rsidRPr="00241FC8">
        <w:rPr>
          <w:rFonts w:ascii="Arial" w:hAnsi="Arial" w:cs="Arial"/>
          <w:color w:val="2F5496" w:themeColor="accent1" w:themeShade="BF"/>
          <w:sz w:val="22"/>
          <w:szCs w:val="22"/>
          <w:lang w:val="en-GB"/>
        </w:rPr>
        <w:t xml:space="preserve"> </w:t>
      </w:r>
    </w:p>
    <w:p w14:paraId="6158EE27" w14:textId="77777777" w:rsidR="00480528" w:rsidRPr="00241FC8" w:rsidRDefault="00480528" w:rsidP="00384F62">
      <w:pPr>
        <w:jc w:val="both"/>
        <w:rPr>
          <w:rFonts w:ascii="Arial" w:hAnsi="Arial" w:cs="Arial"/>
          <w:color w:val="2F5496" w:themeColor="accent1" w:themeShade="BF"/>
          <w:sz w:val="22"/>
          <w:szCs w:val="22"/>
          <w:lang w:val="en-GB"/>
        </w:rPr>
      </w:pPr>
    </w:p>
    <w:p w14:paraId="1C317819" w14:textId="0FF937EB" w:rsidR="00480528" w:rsidRPr="00241FC8" w:rsidRDefault="00480528" w:rsidP="00384F62">
      <w:p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Section 71(3) of IRDA</w:t>
      </w:r>
      <w:r w:rsidR="009D4C81" w:rsidRPr="00241FC8">
        <w:rPr>
          <w:rFonts w:ascii="Arial" w:hAnsi="Arial" w:cs="Arial"/>
          <w:color w:val="2F5496" w:themeColor="accent1" w:themeShade="BF"/>
          <w:sz w:val="22"/>
          <w:szCs w:val="22"/>
          <w:lang w:val="en-GB"/>
        </w:rPr>
        <w:t xml:space="preserve"> stipulates the following conditions before a prepack scheme can be approved</w:t>
      </w:r>
      <w:r w:rsidRPr="00241FC8">
        <w:rPr>
          <w:rFonts w:ascii="Arial" w:hAnsi="Arial" w:cs="Arial"/>
          <w:color w:val="2F5496" w:themeColor="accent1" w:themeShade="BF"/>
          <w:sz w:val="22"/>
          <w:szCs w:val="22"/>
          <w:lang w:val="en-GB"/>
        </w:rPr>
        <w:t xml:space="preserve">; </w:t>
      </w:r>
    </w:p>
    <w:p w14:paraId="20D0DC75" w14:textId="1CC9541E" w:rsidR="00480528" w:rsidRPr="00241FC8" w:rsidRDefault="00480528" w:rsidP="00480528">
      <w:pPr>
        <w:pStyle w:val="ListParagraph"/>
        <w:numPr>
          <w:ilvl w:val="0"/>
          <w:numId w:val="28"/>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 xml:space="preserve">The company has provided the creditors with relevant information necessary for the creditors to make an informed decision about the scheme </w:t>
      </w:r>
    </w:p>
    <w:p w14:paraId="5C3ED5FC" w14:textId="24175C01" w:rsidR="007B61DB" w:rsidRPr="00241FC8" w:rsidRDefault="00480528" w:rsidP="00480528">
      <w:pPr>
        <w:pStyle w:val="ListParagraph"/>
        <w:numPr>
          <w:ilvl w:val="0"/>
          <w:numId w:val="28"/>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 xml:space="preserve">The company </w:t>
      </w:r>
      <w:r w:rsidR="007B61DB" w:rsidRPr="00241FC8">
        <w:rPr>
          <w:rFonts w:ascii="Arial" w:hAnsi="Arial" w:cs="Arial"/>
          <w:color w:val="2F5496" w:themeColor="accent1" w:themeShade="BF"/>
          <w:sz w:val="22"/>
          <w:szCs w:val="22"/>
          <w:lang w:val="en-GB"/>
        </w:rPr>
        <w:t xml:space="preserve">has published in the Gazette and one English newspaper, its </w:t>
      </w:r>
      <w:r w:rsidRPr="00241FC8">
        <w:rPr>
          <w:rFonts w:ascii="Arial" w:hAnsi="Arial" w:cs="Arial"/>
          <w:color w:val="2F5496" w:themeColor="accent1" w:themeShade="BF"/>
          <w:sz w:val="22"/>
          <w:szCs w:val="22"/>
          <w:lang w:val="en-GB"/>
        </w:rPr>
        <w:t>application to the court</w:t>
      </w:r>
      <w:r w:rsidR="007B61DB" w:rsidRPr="00241FC8">
        <w:rPr>
          <w:rFonts w:ascii="Arial" w:hAnsi="Arial" w:cs="Arial"/>
          <w:color w:val="2F5496" w:themeColor="accent1" w:themeShade="BF"/>
          <w:sz w:val="22"/>
          <w:szCs w:val="22"/>
          <w:lang w:val="en-GB"/>
        </w:rPr>
        <w:t>, and has sent a copy of this publication to ACRA</w:t>
      </w:r>
      <w:r w:rsidRPr="00241FC8">
        <w:rPr>
          <w:rFonts w:ascii="Arial" w:hAnsi="Arial" w:cs="Arial"/>
          <w:color w:val="2F5496" w:themeColor="accent1" w:themeShade="BF"/>
          <w:sz w:val="22"/>
          <w:szCs w:val="22"/>
          <w:lang w:val="en-GB"/>
        </w:rPr>
        <w:t xml:space="preserve">; </w:t>
      </w:r>
    </w:p>
    <w:p w14:paraId="2F314BAF" w14:textId="0082B5FA" w:rsidR="007B61DB" w:rsidRPr="00241FC8" w:rsidRDefault="007B61DB" w:rsidP="00480528">
      <w:pPr>
        <w:pStyle w:val="ListParagraph"/>
        <w:numPr>
          <w:ilvl w:val="0"/>
          <w:numId w:val="28"/>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The company has also sent notices and copies of the application to each creditor that is meant to be bound by the scheme;</w:t>
      </w:r>
    </w:p>
    <w:p w14:paraId="5195D780" w14:textId="11824EAE" w:rsidR="00480528" w:rsidRPr="00241FC8" w:rsidRDefault="007B61DB" w:rsidP="00480528">
      <w:pPr>
        <w:pStyle w:val="ListParagraph"/>
        <w:numPr>
          <w:ilvl w:val="0"/>
          <w:numId w:val="28"/>
        </w:numPr>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T</w:t>
      </w:r>
      <w:r w:rsidR="00480528" w:rsidRPr="00241FC8">
        <w:rPr>
          <w:rFonts w:ascii="Arial" w:hAnsi="Arial" w:cs="Arial"/>
          <w:color w:val="2F5496" w:themeColor="accent1" w:themeShade="BF"/>
          <w:sz w:val="22"/>
          <w:szCs w:val="22"/>
          <w:lang w:val="en-GB"/>
        </w:rPr>
        <w:t xml:space="preserve">he </w:t>
      </w:r>
      <w:r w:rsidR="009D4C81" w:rsidRPr="00241FC8">
        <w:rPr>
          <w:rFonts w:ascii="Arial" w:hAnsi="Arial" w:cs="Arial"/>
          <w:color w:val="2F5496" w:themeColor="accent1" w:themeShade="BF"/>
          <w:sz w:val="22"/>
          <w:szCs w:val="22"/>
          <w:lang w:val="en-GB"/>
        </w:rPr>
        <w:t>C</w:t>
      </w:r>
      <w:r w:rsidR="00480528" w:rsidRPr="00241FC8">
        <w:rPr>
          <w:rFonts w:ascii="Arial" w:hAnsi="Arial" w:cs="Arial"/>
          <w:color w:val="2F5496" w:themeColor="accent1" w:themeShade="BF"/>
          <w:sz w:val="22"/>
          <w:szCs w:val="22"/>
          <w:lang w:val="en-GB"/>
        </w:rPr>
        <w:t xml:space="preserve">ourt is satisfied that had a meeting of creditors been </w:t>
      </w:r>
      <w:r w:rsidR="009D4C81" w:rsidRPr="00241FC8">
        <w:rPr>
          <w:rFonts w:ascii="Arial" w:hAnsi="Arial" w:cs="Arial"/>
          <w:color w:val="2F5496" w:themeColor="accent1" w:themeShade="BF"/>
          <w:sz w:val="22"/>
          <w:szCs w:val="22"/>
          <w:lang w:val="en-GB"/>
        </w:rPr>
        <w:t>convened</w:t>
      </w:r>
      <w:r w:rsidR="00480528" w:rsidRPr="00241FC8">
        <w:rPr>
          <w:rFonts w:ascii="Arial" w:hAnsi="Arial" w:cs="Arial"/>
          <w:color w:val="2F5496" w:themeColor="accent1" w:themeShade="BF"/>
          <w:sz w:val="22"/>
          <w:szCs w:val="22"/>
          <w:lang w:val="en-GB"/>
        </w:rPr>
        <w:t xml:space="preserve">, the </w:t>
      </w:r>
      <w:r w:rsidR="009D4C81" w:rsidRPr="00241FC8">
        <w:rPr>
          <w:rFonts w:ascii="Arial" w:hAnsi="Arial" w:cs="Arial"/>
          <w:color w:val="2F5496" w:themeColor="accent1" w:themeShade="BF"/>
          <w:sz w:val="22"/>
          <w:szCs w:val="22"/>
          <w:lang w:val="en-GB"/>
        </w:rPr>
        <w:t xml:space="preserve">statutory threshold </w:t>
      </w:r>
      <w:r w:rsidR="00480528" w:rsidRPr="00241FC8">
        <w:rPr>
          <w:rFonts w:ascii="Arial" w:hAnsi="Arial" w:cs="Arial"/>
          <w:color w:val="2F5496" w:themeColor="accent1" w:themeShade="BF"/>
          <w:sz w:val="22"/>
          <w:szCs w:val="22"/>
          <w:lang w:val="en-GB"/>
        </w:rPr>
        <w:t xml:space="preserve">of </w:t>
      </w:r>
      <w:r w:rsidR="009D4C81" w:rsidRPr="00241FC8">
        <w:rPr>
          <w:rFonts w:ascii="Arial" w:hAnsi="Arial" w:cs="Arial"/>
          <w:color w:val="2F5496" w:themeColor="accent1" w:themeShade="BF"/>
          <w:sz w:val="22"/>
          <w:szCs w:val="22"/>
          <w:lang w:val="en-GB"/>
        </w:rPr>
        <w:t xml:space="preserve">creditors’ </w:t>
      </w:r>
      <w:r w:rsidR="00480528" w:rsidRPr="00241FC8">
        <w:rPr>
          <w:rFonts w:ascii="Arial" w:hAnsi="Arial" w:cs="Arial"/>
          <w:color w:val="2F5496" w:themeColor="accent1" w:themeShade="BF"/>
          <w:sz w:val="22"/>
          <w:szCs w:val="22"/>
          <w:lang w:val="en-GB"/>
        </w:rPr>
        <w:t xml:space="preserve">support would </w:t>
      </w:r>
      <w:r w:rsidR="009D4C81" w:rsidRPr="00241FC8">
        <w:rPr>
          <w:rFonts w:ascii="Arial" w:hAnsi="Arial" w:cs="Arial"/>
          <w:color w:val="2F5496" w:themeColor="accent1" w:themeShade="BF"/>
          <w:sz w:val="22"/>
          <w:szCs w:val="22"/>
          <w:lang w:val="en-GB"/>
        </w:rPr>
        <w:t xml:space="preserve">have </w:t>
      </w:r>
      <w:r w:rsidR="00480528" w:rsidRPr="00241FC8">
        <w:rPr>
          <w:rFonts w:ascii="Arial" w:hAnsi="Arial" w:cs="Arial"/>
          <w:color w:val="2F5496" w:themeColor="accent1" w:themeShade="BF"/>
          <w:sz w:val="22"/>
          <w:szCs w:val="22"/>
          <w:lang w:val="en-GB"/>
        </w:rPr>
        <w:t>be</w:t>
      </w:r>
      <w:r w:rsidR="009D4C81" w:rsidRPr="00241FC8">
        <w:rPr>
          <w:rFonts w:ascii="Arial" w:hAnsi="Arial" w:cs="Arial"/>
          <w:color w:val="2F5496" w:themeColor="accent1" w:themeShade="BF"/>
          <w:sz w:val="22"/>
          <w:szCs w:val="22"/>
          <w:lang w:val="en-GB"/>
        </w:rPr>
        <w:t>en</w:t>
      </w:r>
      <w:r w:rsidR="00480528" w:rsidRPr="00241FC8">
        <w:rPr>
          <w:rFonts w:ascii="Arial" w:hAnsi="Arial" w:cs="Arial"/>
          <w:color w:val="2F5496" w:themeColor="accent1" w:themeShade="BF"/>
          <w:sz w:val="22"/>
          <w:szCs w:val="22"/>
          <w:lang w:val="en-GB"/>
        </w:rPr>
        <w:t xml:space="preserve"> </w:t>
      </w:r>
      <w:r w:rsidR="009D4C81" w:rsidRPr="00241FC8">
        <w:rPr>
          <w:rFonts w:ascii="Arial" w:hAnsi="Arial" w:cs="Arial"/>
          <w:color w:val="2F5496" w:themeColor="accent1" w:themeShade="BF"/>
          <w:sz w:val="22"/>
          <w:szCs w:val="22"/>
          <w:lang w:val="en-GB"/>
        </w:rPr>
        <w:t>obtained.</w:t>
      </w:r>
    </w:p>
    <w:p w14:paraId="4E8D2973" w14:textId="77777777" w:rsidR="007125BD" w:rsidRDefault="007125BD" w:rsidP="00384F62">
      <w:pPr>
        <w:jc w:val="both"/>
        <w:rPr>
          <w:rFonts w:ascii="Arial" w:hAnsi="Arial" w:cs="Arial"/>
          <w:b/>
          <w:bCs/>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60FBEB4F" w14:textId="2F65EAAC" w:rsidR="00C64150" w:rsidRPr="00241FC8" w:rsidRDefault="00C77C8A" w:rsidP="00C77C8A">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Under </w:t>
      </w:r>
      <w:r w:rsidR="0083600F" w:rsidRPr="00241FC8">
        <w:rPr>
          <w:rFonts w:ascii="Arial" w:hAnsi="Arial" w:cs="Arial"/>
          <w:color w:val="2F5496" w:themeColor="accent1" w:themeShade="BF"/>
          <w:sz w:val="22"/>
          <w:szCs w:val="22"/>
        </w:rPr>
        <w:t>S</w:t>
      </w:r>
      <w:r w:rsidRPr="00241FC8">
        <w:rPr>
          <w:rFonts w:ascii="Arial" w:hAnsi="Arial" w:cs="Arial"/>
          <w:color w:val="2F5496" w:themeColor="accent1" w:themeShade="BF"/>
          <w:sz w:val="22"/>
          <w:szCs w:val="22"/>
        </w:rPr>
        <w:t xml:space="preserve">ection 67 of IRDA, the Court may grant an order that a rescue financing be given super priority status </w:t>
      </w:r>
      <w:r w:rsidR="0000035B" w:rsidRPr="00241FC8">
        <w:rPr>
          <w:rFonts w:ascii="Arial" w:hAnsi="Arial" w:cs="Arial"/>
          <w:color w:val="2F5496" w:themeColor="accent1" w:themeShade="BF"/>
          <w:sz w:val="22"/>
          <w:szCs w:val="22"/>
        </w:rPr>
        <w:t>where</w:t>
      </w:r>
      <w:r w:rsidRPr="00241FC8">
        <w:rPr>
          <w:rFonts w:ascii="Arial" w:hAnsi="Arial" w:cs="Arial"/>
          <w:color w:val="2F5496" w:themeColor="accent1" w:themeShade="BF"/>
          <w:sz w:val="22"/>
          <w:szCs w:val="22"/>
        </w:rPr>
        <w:t xml:space="preserve"> a company has made an application for the purposes of a scheme of arrangement under Section 210 of the Companies Act or </w:t>
      </w:r>
      <w:r w:rsidR="0000035B" w:rsidRPr="00241FC8">
        <w:rPr>
          <w:rFonts w:ascii="Arial" w:hAnsi="Arial" w:cs="Arial"/>
          <w:color w:val="2F5496" w:themeColor="accent1" w:themeShade="BF"/>
          <w:sz w:val="22"/>
          <w:szCs w:val="22"/>
        </w:rPr>
        <w:t xml:space="preserve">for </w:t>
      </w:r>
      <w:r w:rsidRPr="00241FC8">
        <w:rPr>
          <w:rFonts w:ascii="Arial" w:hAnsi="Arial" w:cs="Arial"/>
          <w:color w:val="2F5496" w:themeColor="accent1" w:themeShade="BF"/>
          <w:sz w:val="22"/>
          <w:szCs w:val="22"/>
        </w:rPr>
        <w:t xml:space="preserve">a moratorium under Section 64(1) of IRDA. As such, the </w:t>
      </w:r>
      <w:r w:rsidR="00C64150" w:rsidRPr="00241FC8">
        <w:rPr>
          <w:rFonts w:ascii="Arial" w:hAnsi="Arial" w:cs="Arial"/>
          <w:color w:val="2F5496" w:themeColor="accent1" w:themeShade="BF"/>
          <w:sz w:val="22"/>
          <w:szCs w:val="22"/>
        </w:rPr>
        <w:t xml:space="preserve">first </w:t>
      </w:r>
      <w:r w:rsidRPr="00241FC8">
        <w:rPr>
          <w:rFonts w:ascii="Arial" w:hAnsi="Arial" w:cs="Arial"/>
          <w:color w:val="2F5496" w:themeColor="accent1" w:themeShade="BF"/>
          <w:sz w:val="22"/>
          <w:szCs w:val="22"/>
        </w:rPr>
        <w:t xml:space="preserve">prerequisite </w:t>
      </w:r>
      <w:r w:rsidR="00C64150" w:rsidRPr="00241FC8">
        <w:rPr>
          <w:rFonts w:ascii="Arial" w:hAnsi="Arial" w:cs="Arial"/>
          <w:color w:val="2F5496" w:themeColor="accent1" w:themeShade="BF"/>
          <w:sz w:val="22"/>
          <w:szCs w:val="22"/>
        </w:rPr>
        <w:t>for</w:t>
      </w:r>
      <w:r w:rsidRPr="00241FC8">
        <w:rPr>
          <w:rFonts w:ascii="Arial" w:hAnsi="Arial" w:cs="Arial"/>
          <w:color w:val="2F5496" w:themeColor="accent1" w:themeShade="BF"/>
          <w:sz w:val="22"/>
          <w:szCs w:val="22"/>
        </w:rPr>
        <w:t xml:space="preserve"> accessing the rescue financing under IRDA would be for the Angostura Group to submit application </w:t>
      </w:r>
      <w:r w:rsidR="0000035B" w:rsidRPr="00241FC8">
        <w:rPr>
          <w:rFonts w:ascii="Arial" w:hAnsi="Arial" w:cs="Arial"/>
          <w:color w:val="2F5496" w:themeColor="accent1" w:themeShade="BF"/>
          <w:sz w:val="22"/>
          <w:szCs w:val="22"/>
        </w:rPr>
        <w:t>for</w:t>
      </w:r>
      <w:r w:rsidRPr="00241FC8">
        <w:rPr>
          <w:rFonts w:ascii="Arial" w:hAnsi="Arial" w:cs="Arial"/>
          <w:color w:val="2F5496" w:themeColor="accent1" w:themeShade="BF"/>
          <w:sz w:val="22"/>
          <w:szCs w:val="22"/>
        </w:rPr>
        <w:t xml:space="preserve"> the scheme of arrangement, or for a moratorium protection.</w:t>
      </w:r>
      <w:r w:rsidR="009B05FB" w:rsidRPr="00241FC8">
        <w:rPr>
          <w:rFonts w:ascii="Arial" w:hAnsi="Arial" w:cs="Arial"/>
          <w:color w:val="2F5496" w:themeColor="accent1" w:themeShade="BF"/>
          <w:sz w:val="22"/>
          <w:szCs w:val="22"/>
        </w:rPr>
        <w:t xml:space="preserve"> </w:t>
      </w:r>
      <w:r w:rsidR="007A6E86" w:rsidRPr="00241FC8">
        <w:rPr>
          <w:rFonts w:ascii="Arial" w:hAnsi="Arial" w:cs="Arial"/>
          <w:color w:val="2F5496" w:themeColor="accent1" w:themeShade="BF"/>
          <w:sz w:val="22"/>
          <w:szCs w:val="22"/>
        </w:rPr>
        <w:t>As both Juniperus and Casuarina have filed for and obtained moratorium protection, they would qualify to be considered a</w:t>
      </w:r>
      <w:r w:rsidR="008349AD" w:rsidRPr="00241FC8">
        <w:rPr>
          <w:rFonts w:ascii="Arial" w:hAnsi="Arial" w:cs="Arial"/>
          <w:color w:val="2F5496" w:themeColor="accent1" w:themeShade="BF"/>
          <w:sz w:val="22"/>
          <w:szCs w:val="22"/>
        </w:rPr>
        <w:t>ccess to</w:t>
      </w:r>
      <w:r w:rsidR="007A6E86" w:rsidRPr="00241FC8">
        <w:rPr>
          <w:rFonts w:ascii="Arial" w:hAnsi="Arial" w:cs="Arial"/>
          <w:color w:val="2F5496" w:themeColor="accent1" w:themeShade="BF"/>
          <w:sz w:val="22"/>
          <w:szCs w:val="22"/>
        </w:rPr>
        <w:t xml:space="preserve"> rescue financing</w:t>
      </w:r>
      <w:r w:rsidR="008349AD" w:rsidRPr="00241FC8">
        <w:rPr>
          <w:rFonts w:ascii="Arial" w:hAnsi="Arial" w:cs="Arial"/>
          <w:color w:val="2F5496" w:themeColor="accent1" w:themeShade="BF"/>
          <w:sz w:val="22"/>
          <w:szCs w:val="22"/>
        </w:rPr>
        <w:t xml:space="preserve"> under IRDA</w:t>
      </w:r>
      <w:r w:rsidR="007A6E86" w:rsidRPr="00241FC8">
        <w:rPr>
          <w:rFonts w:ascii="Arial" w:hAnsi="Arial" w:cs="Arial"/>
          <w:color w:val="2F5496" w:themeColor="accent1" w:themeShade="BF"/>
          <w:sz w:val="22"/>
          <w:szCs w:val="22"/>
        </w:rPr>
        <w:t>.</w:t>
      </w:r>
    </w:p>
    <w:p w14:paraId="15670897" w14:textId="77777777" w:rsidR="00C64150" w:rsidRPr="00241FC8" w:rsidRDefault="00C64150" w:rsidP="00C77C8A">
      <w:pPr>
        <w:jc w:val="both"/>
        <w:rPr>
          <w:rFonts w:ascii="Arial" w:hAnsi="Arial" w:cs="Arial"/>
          <w:color w:val="2F5496" w:themeColor="accent1" w:themeShade="BF"/>
          <w:sz w:val="22"/>
          <w:szCs w:val="22"/>
        </w:rPr>
      </w:pPr>
    </w:p>
    <w:p w14:paraId="066B3754" w14:textId="06768C44" w:rsidR="00384F62" w:rsidRPr="00241FC8" w:rsidRDefault="007A6E86" w:rsidP="00C77C8A">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lastRenderedPageBreak/>
        <w:t>Additionally</w:t>
      </w:r>
      <w:r w:rsidR="009B05FB" w:rsidRPr="00241FC8">
        <w:rPr>
          <w:rFonts w:ascii="Arial" w:hAnsi="Arial" w:cs="Arial"/>
          <w:color w:val="2F5496" w:themeColor="accent1" w:themeShade="BF"/>
          <w:sz w:val="22"/>
          <w:szCs w:val="22"/>
        </w:rPr>
        <w:t xml:space="preserve">, </w:t>
      </w:r>
      <w:r w:rsidR="00C64150" w:rsidRPr="00241FC8">
        <w:rPr>
          <w:rFonts w:ascii="Arial" w:hAnsi="Arial" w:cs="Arial"/>
          <w:color w:val="2F5496" w:themeColor="accent1" w:themeShade="BF"/>
          <w:sz w:val="22"/>
          <w:szCs w:val="22"/>
        </w:rPr>
        <w:t xml:space="preserve">to qualify as a rescue financing under IRDA, </w:t>
      </w:r>
      <w:r w:rsidR="0000035B" w:rsidRPr="00241FC8">
        <w:rPr>
          <w:rFonts w:ascii="Arial" w:hAnsi="Arial" w:cs="Arial"/>
          <w:color w:val="2F5496" w:themeColor="accent1" w:themeShade="BF"/>
          <w:sz w:val="22"/>
          <w:szCs w:val="22"/>
        </w:rPr>
        <w:t>the financing</w:t>
      </w:r>
      <w:r w:rsidR="00C64150" w:rsidRPr="00241FC8">
        <w:rPr>
          <w:rFonts w:ascii="Arial" w:hAnsi="Arial" w:cs="Arial"/>
          <w:color w:val="2F5496" w:themeColor="accent1" w:themeShade="BF"/>
          <w:sz w:val="22"/>
          <w:szCs w:val="22"/>
        </w:rPr>
        <w:t xml:space="preserve"> </w:t>
      </w:r>
      <w:r w:rsidR="003B6714" w:rsidRPr="00241FC8">
        <w:rPr>
          <w:rFonts w:ascii="Arial" w:hAnsi="Arial" w:cs="Arial"/>
          <w:color w:val="2F5496" w:themeColor="accent1" w:themeShade="BF"/>
          <w:sz w:val="22"/>
          <w:szCs w:val="22"/>
        </w:rPr>
        <w:t xml:space="preserve">must meet the definition of </w:t>
      </w:r>
      <w:r w:rsidR="009B05FB" w:rsidRPr="00241FC8">
        <w:rPr>
          <w:rFonts w:ascii="Arial" w:hAnsi="Arial" w:cs="Arial"/>
          <w:color w:val="2F5496" w:themeColor="accent1" w:themeShade="BF"/>
          <w:sz w:val="22"/>
          <w:szCs w:val="22"/>
        </w:rPr>
        <w:t xml:space="preserve">a rescue financing </w:t>
      </w:r>
      <w:r w:rsidR="003B6714" w:rsidRPr="00241FC8">
        <w:rPr>
          <w:rFonts w:ascii="Arial" w:hAnsi="Arial" w:cs="Arial"/>
          <w:color w:val="2F5496" w:themeColor="accent1" w:themeShade="BF"/>
          <w:sz w:val="22"/>
          <w:szCs w:val="22"/>
        </w:rPr>
        <w:t>as stipulated in Section 67(9) of IRDA, which defines rescue financing as financing that is</w:t>
      </w:r>
      <w:r w:rsidR="00C64150" w:rsidRPr="00241FC8">
        <w:rPr>
          <w:rFonts w:ascii="Arial" w:hAnsi="Arial" w:cs="Arial"/>
          <w:color w:val="2F5496" w:themeColor="accent1" w:themeShade="BF"/>
          <w:sz w:val="22"/>
          <w:szCs w:val="22"/>
        </w:rPr>
        <w:t xml:space="preserve"> both</w:t>
      </w:r>
      <w:r w:rsidR="009B05FB" w:rsidRPr="00241FC8">
        <w:rPr>
          <w:rFonts w:ascii="Arial" w:hAnsi="Arial" w:cs="Arial"/>
          <w:color w:val="2F5496" w:themeColor="accent1" w:themeShade="BF"/>
          <w:sz w:val="22"/>
          <w:szCs w:val="22"/>
        </w:rPr>
        <w:t>;</w:t>
      </w:r>
    </w:p>
    <w:p w14:paraId="53605531" w14:textId="0D134ECD" w:rsidR="009B05FB" w:rsidRPr="00241FC8" w:rsidRDefault="009B05FB" w:rsidP="009B05FB">
      <w:pPr>
        <w:pStyle w:val="ListParagraph"/>
        <w:numPr>
          <w:ilvl w:val="0"/>
          <w:numId w:val="24"/>
        </w:numPr>
        <w:ind w:left="284" w:hanging="295"/>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Required for the survival</w:t>
      </w:r>
      <w:r w:rsidR="00796160" w:rsidRPr="00241FC8">
        <w:rPr>
          <w:rFonts w:ascii="Arial" w:hAnsi="Arial" w:cs="Arial"/>
          <w:color w:val="2F5496" w:themeColor="accent1" w:themeShade="BF"/>
          <w:sz w:val="22"/>
          <w:szCs w:val="22"/>
        </w:rPr>
        <w:t xml:space="preserve"> </w:t>
      </w:r>
      <w:r w:rsidR="009F0666" w:rsidRPr="00241FC8">
        <w:rPr>
          <w:rFonts w:ascii="Arial" w:hAnsi="Arial" w:cs="Arial"/>
          <w:color w:val="2F5496" w:themeColor="accent1" w:themeShade="BF"/>
          <w:sz w:val="22"/>
          <w:szCs w:val="22"/>
        </w:rPr>
        <w:t>or the going-concern of</w:t>
      </w:r>
      <w:r w:rsidR="00796160" w:rsidRPr="00241FC8">
        <w:rPr>
          <w:rFonts w:ascii="Arial" w:hAnsi="Arial" w:cs="Arial"/>
          <w:color w:val="2F5496" w:themeColor="accent1" w:themeShade="BF"/>
          <w:sz w:val="22"/>
          <w:szCs w:val="22"/>
        </w:rPr>
        <w:t xml:space="preserve"> the debtor obtaining it; and</w:t>
      </w:r>
    </w:p>
    <w:p w14:paraId="22B0F0FE" w14:textId="0B431DE9" w:rsidR="00796160" w:rsidRPr="00241FC8" w:rsidRDefault="00796160" w:rsidP="009B05FB">
      <w:pPr>
        <w:pStyle w:val="ListParagraph"/>
        <w:numPr>
          <w:ilvl w:val="0"/>
          <w:numId w:val="24"/>
        </w:numPr>
        <w:ind w:left="284" w:hanging="295"/>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Required to achieve better realization</w:t>
      </w:r>
      <w:r w:rsidR="009F0666" w:rsidRPr="00241FC8">
        <w:rPr>
          <w:rFonts w:ascii="Arial" w:hAnsi="Arial" w:cs="Arial"/>
          <w:color w:val="2F5496" w:themeColor="accent1" w:themeShade="BF"/>
          <w:sz w:val="22"/>
          <w:szCs w:val="22"/>
        </w:rPr>
        <w:t xml:space="preserve"> of assets</w:t>
      </w:r>
      <w:r w:rsidRPr="00241FC8">
        <w:rPr>
          <w:rFonts w:ascii="Arial" w:hAnsi="Arial" w:cs="Arial"/>
          <w:color w:val="2F5496" w:themeColor="accent1" w:themeShade="BF"/>
          <w:sz w:val="22"/>
          <w:szCs w:val="22"/>
        </w:rPr>
        <w:t xml:space="preserve"> than </w:t>
      </w:r>
      <w:r w:rsidR="009F0666" w:rsidRPr="00241FC8">
        <w:rPr>
          <w:rFonts w:ascii="Arial" w:hAnsi="Arial" w:cs="Arial"/>
          <w:color w:val="2F5496" w:themeColor="accent1" w:themeShade="BF"/>
          <w:sz w:val="22"/>
          <w:szCs w:val="22"/>
        </w:rPr>
        <w:t xml:space="preserve">from a </w:t>
      </w:r>
      <w:r w:rsidRPr="00241FC8">
        <w:rPr>
          <w:rFonts w:ascii="Arial" w:hAnsi="Arial" w:cs="Arial"/>
          <w:color w:val="2F5496" w:themeColor="accent1" w:themeShade="BF"/>
          <w:sz w:val="22"/>
          <w:szCs w:val="22"/>
        </w:rPr>
        <w:t>winding up.</w:t>
      </w:r>
    </w:p>
    <w:p w14:paraId="0FEB953E" w14:textId="77777777" w:rsidR="003B6714" w:rsidRPr="00241FC8" w:rsidRDefault="003B6714" w:rsidP="00C77C8A">
      <w:pPr>
        <w:jc w:val="both"/>
        <w:rPr>
          <w:rFonts w:ascii="Arial" w:hAnsi="Arial" w:cs="Arial"/>
          <w:color w:val="2F5496" w:themeColor="accent1" w:themeShade="BF"/>
          <w:sz w:val="22"/>
          <w:szCs w:val="22"/>
        </w:rPr>
      </w:pPr>
    </w:p>
    <w:p w14:paraId="6BEDF1B9" w14:textId="20449848" w:rsidR="009B05FB" w:rsidRPr="00241FC8" w:rsidRDefault="008349AD" w:rsidP="00C77C8A">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Furthermore</w:t>
      </w:r>
      <w:r w:rsidR="00796160" w:rsidRPr="00241FC8">
        <w:rPr>
          <w:rFonts w:ascii="Arial" w:hAnsi="Arial" w:cs="Arial"/>
          <w:color w:val="2F5496" w:themeColor="accent1" w:themeShade="BF"/>
          <w:sz w:val="22"/>
          <w:szCs w:val="22"/>
        </w:rPr>
        <w:t>, t</w:t>
      </w:r>
      <w:r w:rsidR="009B05FB" w:rsidRPr="00241FC8">
        <w:rPr>
          <w:rFonts w:ascii="Arial" w:hAnsi="Arial" w:cs="Arial"/>
          <w:color w:val="2F5496" w:themeColor="accent1" w:themeShade="BF"/>
          <w:sz w:val="22"/>
          <w:szCs w:val="22"/>
        </w:rPr>
        <w:t xml:space="preserve">he </w:t>
      </w:r>
      <w:r w:rsidR="009F0666" w:rsidRPr="00241FC8">
        <w:rPr>
          <w:rFonts w:ascii="Arial" w:hAnsi="Arial" w:cs="Arial"/>
          <w:color w:val="2F5496" w:themeColor="accent1" w:themeShade="BF"/>
          <w:sz w:val="22"/>
          <w:szCs w:val="22"/>
        </w:rPr>
        <w:t xml:space="preserve">stronger </w:t>
      </w:r>
      <w:r w:rsidR="009B05FB" w:rsidRPr="00241FC8">
        <w:rPr>
          <w:rFonts w:ascii="Arial" w:hAnsi="Arial" w:cs="Arial"/>
          <w:color w:val="2F5496" w:themeColor="accent1" w:themeShade="BF"/>
          <w:sz w:val="22"/>
          <w:szCs w:val="22"/>
        </w:rPr>
        <w:t>type of super priority status that the Court may grant</w:t>
      </w:r>
      <w:r w:rsidR="006967D7" w:rsidRPr="00241FC8">
        <w:rPr>
          <w:rFonts w:ascii="Arial" w:hAnsi="Arial" w:cs="Arial"/>
          <w:color w:val="2F5496" w:themeColor="accent1" w:themeShade="BF"/>
          <w:sz w:val="22"/>
          <w:szCs w:val="22"/>
        </w:rPr>
        <w:t>,</w:t>
      </w:r>
      <w:r w:rsidR="009B05FB" w:rsidRPr="00241FC8">
        <w:rPr>
          <w:rFonts w:ascii="Arial" w:hAnsi="Arial" w:cs="Arial"/>
          <w:color w:val="2F5496" w:themeColor="accent1" w:themeShade="BF"/>
          <w:sz w:val="22"/>
          <w:szCs w:val="22"/>
        </w:rPr>
        <w:t xml:space="preserve"> would come with further requirements to be satisfied by the applicant </w:t>
      </w:r>
      <w:r w:rsidR="0055433A" w:rsidRPr="00241FC8">
        <w:rPr>
          <w:rFonts w:ascii="Arial" w:hAnsi="Arial" w:cs="Arial"/>
          <w:color w:val="2F5496" w:themeColor="accent1" w:themeShade="BF"/>
          <w:sz w:val="22"/>
          <w:szCs w:val="22"/>
        </w:rPr>
        <w:t>(the</w:t>
      </w:r>
      <w:r w:rsidR="009B05FB" w:rsidRPr="00241FC8">
        <w:rPr>
          <w:rFonts w:ascii="Arial" w:hAnsi="Arial" w:cs="Arial"/>
          <w:color w:val="2F5496" w:themeColor="accent1" w:themeShade="BF"/>
          <w:sz w:val="22"/>
          <w:szCs w:val="22"/>
        </w:rPr>
        <w:t xml:space="preserve"> debtor</w:t>
      </w:r>
      <w:r w:rsidR="0055433A" w:rsidRPr="00241FC8">
        <w:rPr>
          <w:rFonts w:ascii="Arial" w:hAnsi="Arial" w:cs="Arial"/>
          <w:color w:val="2F5496" w:themeColor="accent1" w:themeShade="BF"/>
          <w:sz w:val="22"/>
          <w:szCs w:val="22"/>
        </w:rPr>
        <w:t>)</w:t>
      </w:r>
      <w:r w:rsidR="009B05FB" w:rsidRPr="00241FC8">
        <w:rPr>
          <w:rFonts w:ascii="Arial" w:hAnsi="Arial" w:cs="Arial"/>
          <w:color w:val="2F5496" w:themeColor="accent1" w:themeShade="BF"/>
          <w:sz w:val="22"/>
          <w:szCs w:val="22"/>
        </w:rPr>
        <w:t>;</w:t>
      </w:r>
    </w:p>
    <w:p w14:paraId="4991C681" w14:textId="49BA0C72" w:rsidR="00796160" w:rsidRPr="00241FC8" w:rsidRDefault="0055433A" w:rsidP="009B05FB">
      <w:pPr>
        <w:pStyle w:val="ListParagraph"/>
        <w:numPr>
          <w:ilvl w:val="0"/>
          <w:numId w:val="23"/>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For </w:t>
      </w:r>
      <w:r w:rsidR="00796160" w:rsidRPr="00241FC8">
        <w:rPr>
          <w:rFonts w:ascii="Arial" w:hAnsi="Arial" w:cs="Arial"/>
          <w:color w:val="2F5496" w:themeColor="accent1" w:themeShade="BF"/>
          <w:sz w:val="22"/>
          <w:szCs w:val="22"/>
        </w:rPr>
        <w:t xml:space="preserve">the rescue financing </w:t>
      </w:r>
      <w:r w:rsidRPr="00241FC8">
        <w:rPr>
          <w:rFonts w:ascii="Arial" w:hAnsi="Arial" w:cs="Arial"/>
          <w:color w:val="2F5496" w:themeColor="accent1" w:themeShade="BF"/>
          <w:sz w:val="22"/>
          <w:szCs w:val="22"/>
        </w:rPr>
        <w:t xml:space="preserve">to have </w:t>
      </w:r>
      <w:r w:rsidR="00796160" w:rsidRPr="00241FC8">
        <w:rPr>
          <w:rFonts w:ascii="Arial" w:hAnsi="Arial" w:cs="Arial"/>
          <w:color w:val="2F5496" w:themeColor="accent1" w:themeShade="BF"/>
          <w:sz w:val="22"/>
          <w:szCs w:val="22"/>
        </w:rPr>
        <w:t>priority over all other preferential and unsecured claims if the debtor is eventually wound up (Section 67(1)(b) of IRDA)</w:t>
      </w:r>
      <w:r w:rsidR="003B6714" w:rsidRPr="00241FC8">
        <w:rPr>
          <w:rFonts w:ascii="Arial" w:hAnsi="Arial" w:cs="Arial"/>
          <w:color w:val="2F5496" w:themeColor="accent1" w:themeShade="BF"/>
          <w:sz w:val="22"/>
          <w:szCs w:val="22"/>
        </w:rPr>
        <w:t>, the</w:t>
      </w:r>
      <w:r w:rsidR="009F0666" w:rsidRPr="00241FC8">
        <w:rPr>
          <w:rFonts w:ascii="Arial" w:hAnsi="Arial" w:cs="Arial"/>
          <w:color w:val="2F5496" w:themeColor="accent1" w:themeShade="BF"/>
          <w:sz w:val="22"/>
          <w:szCs w:val="22"/>
        </w:rPr>
        <w:t xml:space="preserve"> debtor shall have made reasonable effort to obtain financing without such super priority status so it can be demonstrated that the debtor would not be able to secure such rescue financing without th</w:t>
      </w:r>
      <w:r w:rsidR="003D5130" w:rsidRPr="00241FC8">
        <w:rPr>
          <w:rFonts w:ascii="Arial" w:hAnsi="Arial" w:cs="Arial"/>
          <w:color w:val="2F5496" w:themeColor="accent1" w:themeShade="BF"/>
          <w:sz w:val="22"/>
          <w:szCs w:val="22"/>
        </w:rPr>
        <w:t xml:space="preserve">is type of </w:t>
      </w:r>
      <w:r w:rsidR="009F0666" w:rsidRPr="00241FC8">
        <w:rPr>
          <w:rFonts w:ascii="Arial" w:hAnsi="Arial" w:cs="Arial"/>
          <w:color w:val="2F5496" w:themeColor="accent1" w:themeShade="BF"/>
          <w:sz w:val="22"/>
          <w:szCs w:val="22"/>
        </w:rPr>
        <w:t>super priority</w:t>
      </w:r>
      <w:r w:rsidR="00796160" w:rsidRPr="00241FC8">
        <w:rPr>
          <w:rFonts w:ascii="Arial" w:hAnsi="Arial" w:cs="Arial"/>
          <w:color w:val="2F5496" w:themeColor="accent1" w:themeShade="BF"/>
          <w:sz w:val="22"/>
          <w:szCs w:val="22"/>
        </w:rPr>
        <w:t>;</w:t>
      </w:r>
    </w:p>
    <w:p w14:paraId="66DC4DCD" w14:textId="77777777" w:rsidR="003D5130" w:rsidRPr="00241FC8" w:rsidRDefault="0055433A" w:rsidP="003D5130">
      <w:pPr>
        <w:pStyle w:val="ListParagraph"/>
        <w:numPr>
          <w:ilvl w:val="0"/>
          <w:numId w:val="23"/>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For </w:t>
      </w:r>
      <w:r w:rsidR="00796160" w:rsidRPr="00241FC8">
        <w:rPr>
          <w:rFonts w:ascii="Arial" w:hAnsi="Arial" w:cs="Arial"/>
          <w:color w:val="2F5496" w:themeColor="accent1" w:themeShade="BF"/>
          <w:sz w:val="22"/>
          <w:szCs w:val="22"/>
        </w:rPr>
        <w:t xml:space="preserve">the rescue financing </w:t>
      </w:r>
      <w:r w:rsidRPr="00241FC8">
        <w:rPr>
          <w:rFonts w:ascii="Arial" w:hAnsi="Arial" w:cs="Arial"/>
          <w:color w:val="2F5496" w:themeColor="accent1" w:themeShade="BF"/>
          <w:sz w:val="22"/>
          <w:szCs w:val="22"/>
        </w:rPr>
        <w:t xml:space="preserve">to </w:t>
      </w:r>
      <w:r w:rsidR="00796160" w:rsidRPr="00241FC8">
        <w:rPr>
          <w:rFonts w:ascii="Arial" w:hAnsi="Arial" w:cs="Arial"/>
          <w:color w:val="2F5496" w:themeColor="accent1" w:themeShade="BF"/>
          <w:sz w:val="22"/>
          <w:szCs w:val="22"/>
        </w:rPr>
        <w:t xml:space="preserve">be secured with </w:t>
      </w:r>
      <w:r w:rsidRPr="00241FC8">
        <w:rPr>
          <w:rFonts w:ascii="Arial" w:hAnsi="Arial" w:cs="Arial"/>
          <w:color w:val="2F5496" w:themeColor="accent1" w:themeShade="BF"/>
          <w:sz w:val="22"/>
          <w:szCs w:val="22"/>
        </w:rPr>
        <w:t>either (</w:t>
      </w:r>
      <w:proofErr w:type="spellStart"/>
      <w:r w:rsidRPr="00241FC8">
        <w:rPr>
          <w:rFonts w:ascii="Arial" w:hAnsi="Arial" w:cs="Arial"/>
          <w:color w:val="2F5496" w:themeColor="accent1" w:themeShade="BF"/>
          <w:sz w:val="22"/>
          <w:szCs w:val="22"/>
        </w:rPr>
        <w:t>i</w:t>
      </w:r>
      <w:proofErr w:type="spellEnd"/>
      <w:r w:rsidRPr="00241FC8">
        <w:rPr>
          <w:rFonts w:ascii="Arial" w:hAnsi="Arial" w:cs="Arial"/>
          <w:color w:val="2F5496" w:themeColor="accent1" w:themeShade="BF"/>
          <w:sz w:val="22"/>
          <w:szCs w:val="22"/>
        </w:rPr>
        <w:t xml:space="preserve">) </w:t>
      </w:r>
      <w:r w:rsidR="00796160" w:rsidRPr="00241FC8">
        <w:rPr>
          <w:rFonts w:ascii="Arial" w:hAnsi="Arial" w:cs="Arial"/>
          <w:color w:val="2F5496" w:themeColor="accent1" w:themeShade="BF"/>
          <w:sz w:val="22"/>
          <w:szCs w:val="22"/>
        </w:rPr>
        <w:t>the debtor’s property that is not otherwise subject to any other security interest</w:t>
      </w:r>
      <w:r w:rsidRPr="00241FC8">
        <w:rPr>
          <w:rFonts w:ascii="Arial" w:hAnsi="Arial" w:cs="Arial"/>
          <w:color w:val="2F5496" w:themeColor="accent1" w:themeShade="BF"/>
          <w:sz w:val="22"/>
          <w:szCs w:val="22"/>
        </w:rPr>
        <w:t>, or (ii) junior ranking security over debtor’s property that is already under other security interest</w:t>
      </w:r>
      <w:r w:rsidR="003B6714" w:rsidRPr="00241FC8">
        <w:rPr>
          <w:rFonts w:ascii="Arial" w:hAnsi="Arial" w:cs="Arial"/>
          <w:color w:val="2F5496" w:themeColor="accent1" w:themeShade="BF"/>
          <w:sz w:val="22"/>
          <w:szCs w:val="22"/>
        </w:rPr>
        <w:t xml:space="preserve"> (Section 67(1)(c) of IRDA)</w:t>
      </w:r>
      <w:r w:rsidRPr="00241FC8">
        <w:rPr>
          <w:rFonts w:ascii="Arial" w:hAnsi="Arial" w:cs="Arial"/>
          <w:color w:val="2F5496" w:themeColor="accent1" w:themeShade="BF"/>
          <w:sz w:val="22"/>
          <w:szCs w:val="22"/>
        </w:rPr>
        <w:t>,</w:t>
      </w:r>
      <w:r w:rsidR="003D5130" w:rsidRPr="00241FC8">
        <w:rPr>
          <w:rFonts w:ascii="Arial" w:hAnsi="Arial" w:cs="Arial"/>
          <w:color w:val="2F5496" w:themeColor="accent1" w:themeShade="BF"/>
          <w:sz w:val="22"/>
          <w:szCs w:val="22"/>
        </w:rPr>
        <w:t xml:space="preserve"> the debtor shall have made reasonable effort to obtain financing without such super priority status so it can be demonstrated that the debtor would not be able to secure such rescue financing without this type of super priority;</w:t>
      </w:r>
    </w:p>
    <w:p w14:paraId="14A79E01" w14:textId="74D62658" w:rsidR="003D5130" w:rsidRPr="00241FC8" w:rsidRDefault="003B6714" w:rsidP="003D5130">
      <w:pPr>
        <w:pStyle w:val="ListParagraph"/>
        <w:numPr>
          <w:ilvl w:val="0"/>
          <w:numId w:val="23"/>
        </w:num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For the rescue financing to be secured with either the same ranking or higher priority over debtor’s property that already has other security interest (Section 67(1)(d) of IRDA),</w:t>
      </w:r>
      <w:r w:rsidR="003D5130" w:rsidRPr="00241FC8">
        <w:rPr>
          <w:rFonts w:ascii="Arial" w:hAnsi="Arial" w:cs="Arial"/>
          <w:color w:val="2F5496" w:themeColor="accent1" w:themeShade="BF"/>
          <w:sz w:val="22"/>
          <w:szCs w:val="22"/>
        </w:rPr>
        <w:t xml:space="preserve"> the debtor shall have made reasonable effort to obtain financing without such super priority status so it can be demonstrated that the debtor would not be able to secure such rescue financing without this type of super priority, and additionally there should be adequate protection for the interests of the holder of the existing security interest that is primed or superseded by the rescue financing.</w:t>
      </w:r>
    </w:p>
    <w:p w14:paraId="6264C4C4" w14:textId="7D653ABE" w:rsidR="0055433A" w:rsidRPr="009B05FB" w:rsidRDefault="0055433A" w:rsidP="003D5130">
      <w:pPr>
        <w:pStyle w:val="ListParagraph"/>
        <w:ind w:left="360"/>
        <w:jc w:val="both"/>
        <w:rPr>
          <w:rFonts w:ascii="Arial" w:hAnsi="Arial" w:cs="Arial"/>
          <w:sz w:val="22"/>
          <w:szCs w:val="22"/>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66D4B224" w14:textId="52792E08" w:rsidR="00384F62" w:rsidRPr="00241FC8" w:rsidRDefault="00C64150" w:rsidP="00291366">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 xml:space="preserve">Singapore </w:t>
      </w:r>
      <w:r w:rsidR="008349AD" w:rsidRPr="00241FC8">
        <w:rPr>
          <w:rFonts w:ascii="Arial" w:hAnsi="Arial" w:cs="Arial"/>
          <w:color w:val="2F5496" w:themeColor="accent1" w:themeShade="BF"/>
          <w:sz w:val="22"/>
          <w:szCs w:val="22"/>
        </w:rPr>
        <w:t xml:space="preserve">has </w:t>
      </w:r>
      <w:r w:rsidRPr="00241FC8">
        <w:rPr>
          <w:rFonts w:ascii="Arial" w:hAnsi="Arial" w:cs="Arial"/>
          <w:color w:val="2F5496" w:themeColor="accent1" w:themeShade="BF"/>
          <w:sz w:val="22"/>
          <w:szCs w:val="22"/>
        </w:rPr>
        <w:t>adopted the UNCITRAL Model Law on Cross-Border Insolvency</w:t>
      </w:r>
      <w:r w:rsidR="008745D9" w:rsidRPr="00241FC8">
        <w:rPr>
          <w:rFonts w:ascii="Arial" w:hAnsi="Arial" w:cs="Arial"/>
          <w:color w:val="2F5496" w:themeColor="accent1" w:themeShade="BF"/>
          <w:sz w:val="22"/>
          <w:szCs w:val="22"/>
        </w:rPr>
        <w:t xml:space="preserve"> (the “</w:t>
      </w:r>
      <w:r w:rsidR="00291366" w:rsidRPr="00241FC8">
        <w:rPr>
          <w:rFonts w:ascii="Arial" w:hAnsi="Arial" w:cs="Arial"/>
          <w:color w:val="2F5496" w:themeColor="accent1" w:themeShade="BF"/>
          <w:sz w:val="22"/>
          <w:szCs w:val="22"/>
        </w:rPr>
        <w:t>MLCBI</w:t>
      </w:r>
      <w:r w:rsidR="008745D9" w:rsidRPr="00241FC8">
        <w:rPr>
          <w:rFonts w:ascii="Arial" w:hAnsi="Arial" w:cs="Arial"/>
          <w:color w:val="2F5496" w:themeColor="accent1" w:themeShade="BF"/>
          <w:sz w:val="22"/>
          <w:szCs w:val="22"/>
        </w:rPr>
        <w:t>”)</w:t>
      </w:r>
      <w:r w:rsidR="00FF366A" w:rsidRPr="00241FC8">
        <w:rPr>
          <w:rFonts w:ascii="Arial" w:hAnsi="Arial" w:cs="Arial"/>
          <w:color w:val="2F5496" w:themeColor="accent1" w:themeShade="BF"/>
          <w:sz w:val="22"/>
          <w:szCs w:val="22"/>
        </w:rPr>
        <w:t>,</w:t>
      </w:r>
      <w:r w:rsidR="008745D9" w:rsidRPr="00241FC8">
        <w:rPr>
          <w:rFonts w:ascii="Arial" w:hAnsi="Arial" w:cs="Arial"/>
          <w:color w:val="2F5496" w:themeColor="accent1" w:themeShade="BF"/>
          <w:sz w:val="22"/>
          <w:szCs w:val="22"/>
        </w:rPr>
        <w:t xml:space="preserve"> initially through the Amendment Act of 2017, and later </w:t>
      </w:r>
      <w:r w:rsidR="00146773" w:rsidRPr="00241FC8">
        <w:rPr>
          <w:rFonts w:ascii="Arial" w:hAnsi="Arial" w:cs="Arial"/>
          <w:color w:val="2F5496" w:themeColor="accent1" w:themeShade="BF"/>
          <w:sz w:val="22"/>
          <w:szCs w:val="22"/>
        </w:rPr>
        <w:t>adopted</w:t>
      </w:r>
      <w:r w:rsidR="008745D9" w:rsidRPr="00241FC8">
        <w:rPr>
          <w:rFonts w:ascii="Arial" w:hAnsi="Arial" w:cs="Arial"/>
          <w:color w:val="2F5496" w:themeColor="accent1" w:themeShade="BF"/>
          <w:sz w:val="22"/>
          <w:szCs w:val="22"/>
        </w:rPr>
        <w:t xml:space="preserve"> in</w:t>
      </w:r>
      <w:r w:rsidR="00046CE5" w:rsidRPr="00241FC8">
        <w:rPr>
          <w:rFonts w:ascii="Arial" w:hAnsi="Arial" w:cs="Arial"/>
          <w:color w:val="2F5496" w:themeColor="accent1" w:themeShade="BF"/>
          <w:sz w:val="22"/>
          <w:szCs w:val="22"/>
        </w:rPr>
        <w:t>to</w:t>
      </w:r>
      <w:r w:rsidR="008745D9" w:rsidRPr="00241FC8">
        <w:rPr>
          <w:rFonts w:ascii="Arial" w:hAnsi="Arial" w:cs="Arial"/>
          <w:color w:val="2F5496" w:themeColor="accent1" w:themeShade="BF"/>
          <w:sz w:val="22"/>
          <w:szCs w:val="22"/>
        </w:rPr>
        <w:t xml:space="preserve"> </w:t>
      </w:r>
      <w:r w:rsidR="00FF366A" w:rsidRPr="00241FC8">
        <w:rPr>
          <w:rFonts w:ascii="Arial" w:hAnsi="Arial" w:cs="Arial"/>
          <w:color w:val="2F5496" w:themeColor="accent1" w:themeShade="BF"/>
          <w:sz w:val="22"/>
          <w:szCs w:val="22"/>
        </w:rPr>
        <w:t>IRDA (the “SG Model Law”)</w:t>
      </w:r>
      <w:r w:rsidR="008745D9" w:rsidRPr="00241FC8">
        <w:rPr>
          <w:rFonts w:ascii="Arial" w:hAnsi="Arial" w:cs="Arial"/>
          <w:color w:val="2F5496" w:themeColor="accent1" w:themeShade="BF"/>
          <w:sz w:val="22"/>
          <w:szCs w:val="22"/>
        </w:rPr>
        <w:t xml:space="preserve">, in substantially the same form as the original </w:t>
      </w:r>
      <w:r w:rsidR="00291366" w:rsidRPr="00241FC8">
        <w:rPr>
          <w:rFonts w:ascii="Arial" w:hAnsi="Arial" w:cs="Arial"/>
          <w:color w:val="2F5496" w:themeColor="accent1" w:themeShade="BF"/>
          <w:sz w:val="22"/>
          <w:szCs w:val="22"/>
        </w:rPr>
        <w:t>MLCBI</w:t>
      </w:r>
      <w:r w:rsidR="008745D9" w:rsidRPr="00241FC8">
        <w:rPr>
          <w:rFonts w:ascii="Arial" w:hAnsi="Arial" w:cs="Arial"/>
          <w:color w:val="2F5496" w:themeColor="accent1" w:themeShade="BF"/>
          <w:sz w:val="22"/>
          <w:szCs w:val="22"/>
        </w:rPr>
        <w:t>.</w:t>
      </w:r>
      <w:r w:rsidR="00146773" w:rsidRPr="00241FC8">
        <w:rPr>
          <w:rFonts w:ascii="Arial" w:hAnsi="Arial" w:cs="Arial"/>
          <w:color w:val="2F5496" w:themeColor="accent1" w:themeShade="BF"/>
          <w:sz w:val="22"/>
          <w:szCs w:val="22"/>
        </w:rPr>
        <w:t xml:space="preserve"> As such, foreign insolvency proceedings can be recognized in Singapore, pursuant to the </w:t>
      </w:r>
      <w:r w:rsidR="00291366" w:rsidRPr="00241FC8">
        <w:rPr>
          <w:rFonts w:ascii="Arial" w:hAnsi="Arial" w:cs="Arial"/>
          <w:color w:val="2F5496" w:themeColor="accent1" w:themeShade="BF"/>
          <w:sz w:val="22"/>
          <w:szCs w:val="22"/>
        </w:rPr>
        <w:t xml:space="preserve">MLCBI </w:t>
      </w:r>
      <w:r w:rsidR="00146773" w:rsidRPr="00241FC8">
        <w:rPr>
          <w:rFonts w:ascii="Arial" w:hAnsi="Arial" w:cs="Arial"/>
          <w:color w:val="2F5496" w:themeColor="accent1" w:themeShade="BF"/>
          <w:sz w:val="22"/>
          <w:szCs w:val="22"/>
        </w:rPr>
        <w:t>/ SG Model Law</w:t>
      </w:r>
      <w:r w:rsidR="00E42C21" w:rsidRPr="00241FC8">
        <w:rPr>
          <w:rFonts w:ascii="Arial" w:hAnsi="Arial" w:cs="Arial"/>
          <w:color w:val="2F5496" w:themeColor="accent1" w:themeShade="BF"/>
          <w:sz w:val="22"/>
          <w:szCs w:val="22"/>
        </w:rPr>
        <w:t>, as either a foreign main or foreign non-main proceeding</w:t>
      </w:r>
      <w:r w:rsidR="00146773" w:rsidRPr="00241FC8">
        <w:rPr>
          <w:rFonts w:ascii="Arial" w:hAnsi="Arial" w:cs="Arial"/>
          <w:color w:val="2F5496" w:themeColor="accent1" w:themeShade="BF"/>
          <w:sz w:val="22"/>
          <w:szCs w:val="22"/>
        </w:rPr>
        <w:t>.</w:t>
      </w:r>
    </w:p>
    <w:p w14:paraId="6CDAC678" w14:textId="1FFCD4E5" w:rsidR="00291366" w:rsidRPr="00241FC8" w:rsidRDefault="00291366" w:rsidP="00291366">
      <w:pPr>
        <w:jc w:val="both"/>
        <w:rPr>
          <w:rFonts w:ascii="Arial" w:hAnsi="Arial" w:cs="Arial"/>
          <w:color w:val="2F5496" w:themeColor="accent1" w:themeShade="BF"/>
          <w:sz w:val="22"/>
          <w:szCs w:val="22"/>
        </w:rPr>
      </w:pPr>
    </w:p>
    <w:p w14:paraId="20C0AF9A" w14:textId="1ABEDAF5" w:rsidR="00565DF5" w:rsidRPr="00241FC8" w:rsidRDefault="00565DF5" w:rsidP="00291366">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T</w:t>
      </w:r>
      <w:r w:rsidR="00291366" w:rsidRPr="00241FC8">
        <w:rPr>
          <w:rFonts w:ascii="Arial" w:hAnsi="Arial" w:cs="Arial"/>
          <w:color w:val="2F5496" w:themeColor="accent1" w:themeShade="BF"/>
          <w:sz w:val="22"/>
          <w:szCs w:val="22"/>
        </w:rPr>
        <w:t xml:space="preserve">he provisions in </w:t>
      </w:r>
      <w:r w:rsidRPr="00241FC8">
        <w:rPr>
          <w:rFonts w:ascii="Arial" w:hAnsi="Arial" w:cs="Arial"/>
          <w:color w:val="2F5496" w:themeColor="accent1" w:themeShade="BF"/>
          <w:sz w:val="22"/>
          <w:szCs w:val="22"/>
        </w:rPr>
        <w:t xml:space="preserve">the </w:t>
      </w:r>
      <w:r w:rsidR="00291366" w:rsidRPr="00241FC8">
        <w:rPr>
          <w:rFonts w:ascii="Arial" w:hAnsi="Arial" w:cs="Arial"/>
          <w:color w:val="2F5496" w:themeColor="accent1" w:themeShade="BF"/>
          <w:sz w:val="22"/>
          <w:szCs w:val="22"/>
        </w:rPr>
        <w:t xml:space="preserve">MLCBI </w:t>
      </w:r>
      <w:r w:rsidRPr="00241FC8">
        <w:rPr>
          <w:rFonts w:ascii="Arial" w:hAnsi="Arial" w:cs="Arial"/>
          <w:color w:val="2F5496" w:themeColor="accent1" w:themeShade="BF"/>
          <w:sz w:val="22"/>
          <w:szCs w:val="22"/>
        </w:rPr>
        <w:t xml:space="preserve">(and as such, the SG Model Law) </w:t>
      </w:r>
      <w:r w:rsidR="00291366" w:rsidRPr="00241FC8">
        <w:rPr>
          <w:rFonts w:ascii="Arial" w:hAnsi="Arial" w:cs="Arial"/>
          <w:color w:val="2F5496" w:themeColor="accent1" w:themeShade="BF"/>
          <w:sz w:val="22"/>
          <w:szCs w:val="22"/>
        </w:rPr>
        <w:t xml:space="preserve">are intended to expedite and simplify process for recognition of foreign </w:t>
      </w:r>
      <w:r w:rsidR="00620CC3" w:rsidRPr="00241FC8">
        <w:rPr>
          <w:rFonts w:ascii="Arial" w:hAnsi="Arial" w:cs="Arial"/>
          <w:color w:val="2F5496" w:themeColor="accent1" w:themeShade="BF"/>
          <w:sz w:val="22"/>
          <w:szCs w:val="22"/>
        </w:rPr>
        <w:t xml:space="preserve">insolvency </w:t>
      </w:r>
      <w:r w:rsidR="00291366" w:rsidRPr="00241FC8">
        <w:rPr>
          <w:rFonts w:ascii="Arial" w:hAnsi="Arial" w:cs="Arial"/>
          <w:color w:val="2F5496" w:themeColor="accent1" w:themeShade="BF"/>
          <w:sz w:val="22"/>
          <w:szCs w:val="22"/>
        </w:rPr>
        <w:t xml:space="preserve">proceedings, </w:t>
      </w:r>
      <w:r w:rsidR="00620CC3" w:rsidRPr="00241FC8">
        <w:rPr>
          <w:rFonts w:ascii="Arial" w:hAnsi="Arial" w:cs="Arial"/>
          <w:color w:val="2F5496" w:themeColor="accent1" w:themeShade="BF"/>
          <w:sz w:val="22"/>
          <w:szCs w:val="22"/>
        </w:rPr>
        <w:t xml:space="preserve">and </w:t>
      </w:r>
      <w:r w:rsidR="00291366" w:rsidRPr="00241FC8">
        <w:rPr>
          <w:rFonts w:ascii="Arial" w:hAnsi="Arial" w:cs="Arial"/>
          <w:color w:val="2F5496" w:themeColor="accent1" w:themeShade="BF"/>
          <w:sz w:val="22"/>
          <w:szCs w:val="22"/>
        </w:rPr>
        <w:t>the MLCBI prescribes straight-forward and easy-to-meet requirements for the recognition of foreign</w:t>
      </w:r>
      <w:r w:rsidR="00620CC3" w:rsidRPr="00241FC8">
        <w:rPr>
          <w:rFonts w:ascii="Arial" w:hAnsi="Arial" w:cs="Arial"/>
          <w:color w:val="2F5496" w:themeColor="accent1" w:themeShade="BF"/>
          <w:sz w:val="22"/>
          <w:szCs w:val="22"/>
        </w:rPr>
        <w:t xml:space="preserve"> insolvency</w:t>
      </w:r>
      <w:r w:rsidR="00291366" w:rsidRPr="00241FC8">
        <w:rPr>
          <w:rFonts w:ascii="Arial" w:hAnsi="Arial" w:cs="Arial"/>
          <w:color w:val="2F5496" w:themeColor="accent1" w:themeShade="BF"/>
          <w:sz w:val="22"/>
          <w:szCs w:val="22"/>
        </w:rPr>
        <w:t xml:space="preserve"> proceedings in </w:t>
      </w:r>
      <w:r w:rsidRPr="00241FC8">
        <w:rPr>
          <w:rFonts w:ascii="Arial" w:hAnsi="Arial" w:cs="Arial"/>
          <w:color w:val="2F5496" w:themeColor="accent1" w:themeShade="BF"/>
          <w:sz w:val="22"/>
          <w:szCs w:val="22"/>
        </w:rPr>
        <w:t xml:space="preserve">Singapore as an </w:t>
      </w:r>
      <w:r w:rsidR="00291366" w:rsidRPr="00241FC8">
        <w:rPr>
          <w:rFonts w:ascii="Arial" w:hAnsi="Arial" w:cs="Arial"/>
          <w:color w:val="2F5496" w:themeColor="accent1" w:themeShade="BF"/>
          <w:sz w:val="22"/>
          <w:szCs w:val="22"/>
        </w:rPr>
        <w:t xml:space="preserve">enacting State. </w:t>
      </w:r>
    </w:p>
    <w:p w14:paraId="525059D1" w14:textId="77777777" w:rsidR="00565DF5" w:rsidRPr="00241FC8" w:rsidRDefault="00565DF5" w:rsidP="00291366">
      <w:pPr>
        <w:jc w:val="both"/>
        <w:rPr>
          <w:rFonts w:ascii="Arial" w:hAnsi="Arial" w:cs="Arial"/>
          <w:color w:val="2F5496" w:themeColor="accent1" w:themeShade="BF"/>
          <w:sz w:val="22"/>
          <w:szCs w:val="22"/>
        </w:rPr>
      </w:pPr>
    </w:p>
    <w:p w14:paraId="0AA35C31" w14:textId="4B8C8D34" w:rsidR="00565DF5" w:rsidRPr="00241FC8" w:rsidRDefault="00291366" w:rsidP="00291366">
      <w:pPr>
        <w:jc w:val="both"/>
        <w:rPr>
          <w:rFonts w:ascii="Arial" w:hAnsi="Arial" w:cs="Arial"/>
          <w:color w:val="2F5496" w:themeColor="accent1" w:themeShade="BF"/>
          <w:sz w:val="22"/>
          <w:szCs w:val="22"/>
        </w:rPr>
      </w:pPr>
      <w:r w:rsidRPr="00241FC8">
        <w:rPr>
          <w:rFonts w:ascii="Arial" w:hAnsi="Arial" w:cs="Arial"/>
          <w:color w:val="2F5496" w:themeColor="accent1" w:themeShade="BF"/>
          <w:sz w:val="22"/>
          <w:szCs w:val="22"/>
        </w:rPr>
        <w:t>The key judicial scrutiny for recognition under the MLCBI is in the qualifications set out by the definitions of ‘foreign proceeding’ (</w:t>
      </w:r>
      <w:r w:rsidR="00434360" w:rsidRPr="00241FC8">
        <w:rPr>
          <w:rFonts w:ascii="Arial" w:hAnsi="Arial" w:cs="Arial"/>
          <w:color w:val="2F5496" w:themeColor="accent1" w:themeShade="BF"/>
          <w:sz w:val="22"/>
          <w:szCs w:val="22"/>
        </w:rPr>
        <w:t>A</w:t>
      </w:r>
      <w:r w:rsidRPr="00241FC8">
        <w:rPr>
          <w:rFonts w:ascii="Arial" w:hAnsi="Arial" w:cs="Arial"/>
          <w:color w:val="2F5496" w:themeColor="accent1" w:themeShade="BF"/>
          <w:sz w:val="22"/>
          <w:szCs w:val="22"/>
        </w:rPr>
        <w:t>rticle 2(a)</w:t>
      </w:r>
      <w:r w:rsidR="00565DF5" w:rsidRPr="00241FC8">
        <w:rPr>
          <w:rFonts w:ascii="Arial" w:hAnsi="Arial" w:cs="Arial"/>
          <w:color w:val="2F5496" w:themeColor="accent1" w:themeShade="BF"/>
          <w:sz w:val="22"/>
          <w:szCs w:val="22"/>
        </w:rPr>
        <w:t xml:space="preserve"> of the MLCBI</w:t>
      </w:r>
      <w:r w:rsidRPr="00241FC8">
        <w:rPr>
          <w:rFonts w:ascii="Arial" w:hAnsi="Arial" w:cs="Arial"/>
          <w:color w:val="2F5496" w:themeColor="accent1" w:themeShade="BF"/>
          <w:sz w:val="22"/>
          <w:szCs w:val="22"/>
        </w:rPr>
        <w:t>) and ‘foreign representative’ (</w:t>
      </w:r>
      <w:r w:rsidR="00434360" w:rsidRPr="00241FC8">
        <w:rPr>
          <w:rFonts w:ascii="Arial" w:hAnsi="Arial" w:cs="Arial"/>
          <w:color w:val="2F5496" w:themeColor="accent1" w:themeShade="BF"/>
          <w:sz w:val="22"/>
          <w:szCs w:val="22"/>
        </w:rPr>
        <w:t>A</w:t>
      </w:r>
      <w:r w:rsidRPr="00241FC8">
        <w:rPr>
          <w:rFonts w:ascii="Arial" w:hAnsi="Arial" w:cs="Arial"/>
          <w:color w:val="2F5496" w:themeColor="accent1" w:themeShade="BF"/>
          <w:sz w:val="22"/>
          <w:szCs w:val="22"/>
        </w:rPr>
        <w:t>rticle 2(d)</w:t>
      </w:r>
      <w:r w:rsidR="00565DF5" w:rsidRPr="00241FC8">
        <w:rPr>
          <w:rFonts w:ascii="Arial" w:hAnsi="Arial" w:cs="Arial"/>
          <w:color w:val="2F5496" w:themeColor="accent1" w:themeShade="BF"/>
          <w:sz w:val="22"/>
          <w:szCs w:val="22"/>
        </w:rPr>
        <w:t xml:space="preserve"> of the MLCBI</w:t>
      </w:r>
      <w:r w:rsidRPr="00241FC8">
        <w:rPr>
          <w:rFonts w:ascii="Arial" w:hAnsi="Arial" w:cs="Arial"/>
          <w:color w:val="2F5496" w:themeColor="accent1" w:themeShade="BF"/>
          <w:sz w:val="22"/>
          <w:szCs w:val="22"/>
        </w:rPr>
        <w:t xml:space="preserve">). </w:t>
      </w:r>
      <w:r w:rsidR="00565DF5" w:rsidRPr="00241FC8">
        <w:rPr>
          <w:rFonts w:ascii="Arial" w:hAnsi="Arial" w:cs="Arial"/>
          <w:color w:val="2F5496" w:themeColor="accent1" w:themeShade="BF"/>
          <w:sz w:val="22"/>
          <w:szCs w:val="22"/>
        </w:rPr>
        <w:t xml:space="preserve">The application for recognition shall be </w:t>
      </w:r>
      <w:r w:rsidR="00506528" w:rsidRPr="00241FC8">
        <w:rPr>
          <w:rFonts w:ascii="Arial" w:hAnsi="Arial" w:cs="Arial"/>
          <w:color w:val="2F5496" w:themeColor="accent1" w:themeShade="BF"/>
          <w:sz w:val="22"/>
          <w:szCs w:val="22"/>
        </w:rPr>
        <w:t>submitted</w:t>
      </w:r>
      <w:r w:rsidR="00565DF5" w:rsidRPr="00241FC8">
        <w:rPr>
          <w:rFonts w:ascii="Arial" w:hAnsi="Arial" w:cs="Arial"/>
          <w:color w:val="2F5496" w:themeColor="accent1" w:themeShade="BF"/>
          <w:sz w:val="22"/>
          <w:szCs w:val="22"/>
        </w:rPr>
        <w:t xml:space="preserve"> to the Singapore Court by a</w:t>
      </w:r>
      <w:r w:rsidR="005939C8" w:rsidRPr="00241FC8">
        <w:rPr>
          <w:rFonts w:ascii="Arial" w:hAnsi="Arial" w:cs="Arial"/>
          <w:color w:val="2F5496" w:themeColor="accent1" w:themeShade="BF"/>
          <w:sz w:val="22"/>
          <w:szCs w:val="22"/>
        </w:rPr>
        <w:t xml:space="preserve"> party that qualifies as a</w:t>
      </w:r>
      <w:r w:rsidR="00565DF5" w:rsidRPr="00241FC8">
        <w:rPr>
          <w:rFonts w:ascii="Arial" w:hAnsi="Arial" w:cs="Arial"/>
          <w:color w:val="2F5496" w:themeColor="accent1" w:themeShade="BF"/>
          <w:sz w:val="22"/>
          <w:szCs w:val="22"/>
        </w:rPr>
        <w:t xml:space="preserve"> ‘foreign representative’</w:t>
      </w:r>
      <w:r w:rsidR="005939C8" w:rsidRPr="00241FC8">
        <w:rPr>
          <w:rFonts w:ascii="Arial" w:hAnsi="Arial" w:cs="Arial"/>
          <w:color w:val="2F5496" w:themeColor="accent1" w:themeShade="BF"/>
          <w:sz w:val="22"/>
          <w:szCs w:val="22"/>
        </w:rPr>
        <w:t xml:space="preserve"> as prescribed by the MLCBI (and therefore by the SG Model Law)</w:t>
      </w:r>
      <w:r w:rsidR="00565DF5" w:rsidRPr="00241FC8">
        <w:rPr>
          <w:rFonts w:ascii="Arial" w:hAnsi="Arial" w:cs="Arial"/>
          <w:color w:val="2F5496" w:themeColor="accent1" w:themeShade="BF"/>
          <w:sz w:val="22"/>
          <w:szCs w:val="22"/>
        </w:rPr>
        <w:t xml:space="preserve">, and the foreign proceeding shall meet the criteria </w:t>
      </w:r>
      <w:r w:rsidR="00506528" w:rsidRPr="00241FC8">
        <w:rPr>
          <w:rFonts w:ascii="Arial" w:hAnsi="Arial" w:cs="Arial"/>
          <w:color w:val="2F5496" w:themeColor="accent1" w:themeShade="BF"/>
          <w:sz w:val="22"/>
          <w:szCs w:val="22"/>
        </w:rPr>
        <w:t>of a ‘foreign proceeding’</w:t>
      </w:r>
      <w:r w:rsidR="005939C8" w:rsidRPr="00241FC8">
        <w:rPr>
          <w:rFonts w:ascii="Arial" w:hAnsi="Arial" w:cs="Arial"/>
          <w:color w:val="2F5496" w:themeColor="accent1" w:themeShade="BF"/>
          <w:sz w:val="22"/>
          <w:szCs w:val="22"/>
        </w:rPr>
        <w:t xml:space="preserve"> as prescribed by the MLCBI (and therefore by the SG Model Law)</w:t>
      </w:r>
      <w:r w:rsidR="00506528" w:rsidRPr="00241FC8">
        <w:rPr>
          <w:rFonts w:ascii="Arial" w:hAnsi="Arial" w:cs="Arial"/>
          <w:color w:val="2F5496" w:themeColor="accent1" w:themeShade="BF"/>
          <w:sz w:val="22"/>
          <w:szCs w:val="22"/>
        </w:rPr>
        <w:t>.</w:t>
      </w:r>
    </w:p>
    <w:p w14:paraId="039B3732" w14:textId="77777777" w:rsidR="00565DF5" w:rsidRPr="00241FC8" w:rsidRDefault="00565DF5" w:rsidP="00291366">
      <w:pPr>
        <w:jc w:val="both"/>
        <w:rPr>
          <w:rFonts w:ascii="Arial" w:hAnsi="Arial" w:cs="Arial"/>
          <w:color w:val="2F5496" w:themeColor="accent1" w:themeShade="BF"/>
          <w:sz w:val="22"/>
          <w:szCs w:val="22"/>
        </w:rPr>
      </w:pPr>
    </w:p>
    <w:p w14:paraId="70A82A0E" w14:textId="2A686061" w:rsidR="000D2BEC" w:rsidRPr="00241FC8" w:rsidRDefault="00FB4EBC" w:rsidP="00087F21">
      <w:pPr>
        <w:autoSpaceDE w:val="0"/>
        <w:autoSpaceDN w:val="0"/>
        <w:adjustRightInd w:val="0"/>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Article 2(d) of the MLCBI (and the SG Model Law) defines a foreign representative under the MLCBI (and the SG Model Law) as either a ‘person’ or a ‘body’, authorized to administer the reorganization or the liquidation of the debtor’s assets or affairs, or to act as a representative of the foreign proceeding.</w:t>
      </w:r>
    </w:p>
    <w:p w14:paraId="7E625B5C" w14:textId="77777777" w:rsidR="000D2BEC" w:rsidRPr="00241FC8" w:rsidRDefault="000D2BEC" w:rsidP="00087F21">
      <w:pPr>
        <w:autoSpaceDE w:val="0"/>
        <w:autoSpaceDN w:val="0"/>
        <w:adjustRightInd w:val="0"/>
        <w:jc w:val="both"/>
        <w:rPr>
          <w:rFonts w:ascii="Arial" w:hAnsi="Arial" w:cs="Arial"/>
          <w:color w:val="2F5496" w:themeColor="accent1" w:themeShade="BF"/>
          <w:sz w:val="22"/>
          <w:szCs w:val="22"/>
          <w:lang w:val="en-GB"/>
        </w:rPr>
      </w:pPr>
    </w:p>
    <w:p w14:paraId="2C2F4A25" w14:textId="4D6DDE55" w:rsidR="00620CC3" w:rsidRPr="00241FC8" w:rsidRDefault="00A67051" w:rsidP="00087F21">
      <w:pPr>
        <w:autoSpaceDE w:val="0"/>
        <w:autoSpaceDN w:val="0"/>
        <w:adjustRightInd w:val="0"/>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T</w:t>
      </w:r>
      <w:r w:rsidR="00FB4EBC" w:rsidRPr="00241FC8">
        <w:rPr>
          <w:rFonts w:ascii="Arial" w:hAnsi="Arial" w:cs="Arial"/>
          <w:color w:val="2F5496" w:themeColor="accent1" w:themeShade="BF"/>
          <w:sz w:val="22"/>
          <w:szCs w:val="22"/>
          <w:lang w:val="en-GB"/>
        </w:rPr>
        <w:t xml:space="preserve">he Singapore Court of Appeal has </w:t>
      </w:r>
      <w:r w:rsidR="00620CC3" w:rsidRPr="00241FC8">
        <w:rPr>
          <w:rFonts w:ascii="Arial" w:hAnsi="Arial" w:cs="Arial"/>
          <w:color w:val="2F5496" w:themeColor="accent1" w:themeShade="BF"/>
          <w:sz w:val="22"/>
          <w:szCs w:val="22"/>
          <w:lang w:val="en-GB"/>
        </w:rPr>
        <w:t xml:space="preserve">also </w:t>
      </w:r>
      <w:r w:rsidR="00FB4EBC" w:rsidRPr="00241FC8">
        <w:rPr>
          <w:rFonts w:ascii="Arial" w:hAnsi="Arial" w:cs="Arial"/>
          <w:color w:val="2F5496" w:themeColor="accent1" w:themeShade="BF"/>
          <w:sz w:val="22"/>
          <w:szCs w:val="22"/>
          <w:lang w:val="en-GB"/>
        </w:rPr>
        <w:t xml:space="preserve">clarified that, in interpreting the provisions of the MLCBI, due considerations shall be accorded to </w:t>
      </w:r>
      <w:r w:rsidRPr="00241FC8">
        <w:rPr>
          <w:rFonts w:ascii="Arial" w:hAnsi="Arial" w:cs="Arial"/>
          <w:color w:val="2F5496" w:themeColor="accent1" w:themeShade="BF"/>
          <w:sz w:val="22"/>
          <w:szCs w:val="22"/>
          <w:lang w:val="en-GB"/>
        </w:rPr>
        <w:t xml:space="preserve">complementary texts and </w:t>
      </w:r>
      <w:r w:rsidR="00FB4EBC" w:rsidRPr="00241FC8">
        <w:rPr>
          <w:rFonts w:ascii="Arial" w:hAnsi="Arial" w:cs="Arial"/>
          <w:color w:val="2F5496" w:themeColor="accent1" w:themeShade="BF"/>
          <w:sz w:val="22"/>
          <w:szCs w:val="22"/>
          <w:lang w:val="en-GB"/>
        </w:rPr>
        <w:t>guidance developed</w:t>
      </w:r>
      <w:r w:rsidRPr="00241FC8">
        <w:rPr>
          <w:rFonts w:ascii="Arial" w:hAnsi="Arial" w:cs="Arial"/>
          <w:color w:val="2F5496" w:themeColor="accent1" w:themeShade="BF"/>
          <w:sz w:val="22"/>
          <w:szCs w:val="22"/>
          <w:lang w:val="en-GB"/>
        </w:rPr>
        <w:t xml:space="preserve"> </w:t>
      </w:r>
      <w:r w:rsidR="008349AD" w:rsidRPr="00241FC8">
        <w:rPr>
          <w:rFonts w:ascii="Arial" w:hAnsi="Arial" w:cs="Arial"/>
          <w:color w:val="2F5496" w:themeColor="accent1" w:themeShade="BF"/>
          <w:sz w:val="22"/>
          <w:szCs w:val="22"/>
          <w:lang w:val="en-GB"/>
        </w:rPr>
        <w:t xml:space="preserve">and published </w:t>
      </w:r>
      <w:r w:rsidRPr="00241FC8">
        <w:rPr>
          <w:rFonts w:ascii="Arial" w:hAnsi="Arial" w:cs="Arial"/>
          <w:color w:val="2F5496" w:themeColor="accent1" w:themeShade="BF"/>
          <w:sz w:val="22"/>
          <w:szCs w:val="22"/>
          <w:lang w:val="en-GB"/>
        </w:rPr>
        <w:t>by UNCITRAL, as well as case laws from other jurisdictions in applying the MLCBI</w:t>
      </w:r>
      <w:r w:rsidR="0088490D" w:rsidRPr="00241FC8">
        <w:rPr>
          <w:rFonts w:ascii="Arial" w:hAnsi="Arial" w:cs="Arial"/>
          <w:color w:val="2F5496" w:themeColor="accent1" w:themeShade="BF"/>
          <w:sz w:val="22"/>
          <w:szCs w:val="22"/>
          <w:lang w:val="en-GB"/>
        </w:rPr>
        <w:t xml:space="preserve">, as required by </w:t>
      </w:r>
      <w:r w:rsidR="00434360" w:rsidRPr="00241FC8">
        <w:rPr>
          <w:rFonts w:ascii="Arial" w:hAnsi="Arial" w:cs="Arial"/>
          <w:color w:val="2F5496" w:themeColor="accent1" w:themeShade="BF"/>
          <w:sz w:val="22"/>
          <w:szCs w:val="22"/>
          <w:lang w:val="en-GB"/>
        </w:rPr>
        <w:t>A</w:t>
      </w:r>
      <w:r w:rsidR="0088490D" w:rsidRPr="00241FC8">
        <w:rPr>
          <w:rFonts w:ascii="Arial" w:hAnsi="Arial" w:cs="Arial"/>
          <w:color w:val="2F5496" w:themeColor="accent1" w:themeShade="BF"/>
          <w:sz w:val="22"/>
          <w:szCs w:val="22"/>
          <w:lang w:val="en-GB"/>
        </w:rPr>
        <w:t>rticle 8 of the MLCBI / SG Model Law</w:t>
      </w:r>
      <w:r w:rsidR="0088490D" w:rsidRPr="00241FC8">
        <w:rPr>
          <w:rStyle w:val="FootnoteReference"/>
          <w:rFonts w:ascii="Arial" w:hAnsi="Arial" w:cs="Arial"/>
          <w:color w:val="2F5496" w:themeColor="accent1" w:themeShade="BF"/>
          <w:sz w:val="22"/>
          <w:szCs w:val="22"/>
          <w:lang w:val="en-GB"/>
        </w:rPr>
        <w:footnoteReference w:id="1"/>
      </w:r>
      <w:r w:rsidRPr="00241FC8">
        <w:rPr>
          <w:rFonts w:ascii="Arial" w:hAnsi="Arial" w:cs="Arial"/>
          <w:color w:val="2F5496" w:themeColor="accent1" w:themeShade="BF"/>
          <w:sz w:val="22"/>
          <w:szCs w:val="22"/>
          <w:lang w:val="en-GB"/>
        </w:rPr>
        <w:t xml:space="preserve">. </w:t>
      </w:r>
    </w:p>
    <w:p w14:paraId="799648B5" w14:textId="77777777" w:rsidR="00620CC3" w:rsidRPr="00241FC8" w:rsidRDefault="00620CC3" w:rsidP="00087F21">
      <w:pPr>
        <w:autoSpaceDE w:val="0"/>
        <w:autoSpaceDN w:val="0"/>
        <w:adjustRightInd w:val="0"/>
        <w:jc w:val="both"/>
        <w:rPr>
          <w:rFonts w:ascii="Arial" w:hAnsi="Arial" w:cs="Arial"/>
          <w:color w:val="2F5496" w:themeColor="accent1" w:themeShade="BF"/>
          <w:sz w:val="22"/>
          <w:szCs w:val="22"/>
          <w:lang w:val="en-GB"/>
        </w:rPr>
      </w:pPr>
    </w:p>
    <w:p w14:paraId="1E57D76D" w14:textId="2D3C33A7" w:rsidR="000D2BEC" w:rsidRPr="00241FC8" w:rsidRDefault="00A67051" w:rsidP="00087F21">
      <w:pPr>
        <w:autoSpaceDE w:val="0"/>
        <w:autoSpaceDN w:val="0"/>
        <w:adjustRightInd w:val="0"/>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 xml:space="preserve">With regards </w:t>
      </w:r>
      <w:r w:rsidR="009B27F8" w:rsidRPr="00241FC8">
        <w:rPr>
          <w:rFonts w:ascii="Arial" w:hAnsi="Arial" w:cs="Arial"/>
          <w:color w:val="2F5496" w:themeColor="accent1" w:themeShade="BF"/>
          <w:sz w:val="22"/>
          <w:szCs w:val="22"/>
          <w:lang w:val="en-GB"/>
        </w:rPr>
        <w:t xml:space="preserve">to </w:t>
      </w:r>
      <w:r w:rsidRPr="00241FC8">
        <w:rPr>
          <w:rFonts w:ascii="Arial" w:hAnsi="Arial" w:cs="Arial"/>
          <w:color w:val="2F5496" w:themeColor="accent1" w:themeShade="BF"/>
          <w:sz w:val="22"/>
          <w:szCs w:val="22"/>
          <w:lang w:val="en-GB"/>
        </w:rPr>
        <w:t>a ‘foreign proceeding’ under the MLCBI / SG Model Law, the Singapore Court of Appeal has clarified</w:t>
      </w:r>
      <w:r w:rsidR="009B27F8" w:rsidRPr="00241FC8">
        <w:rPr>
          <w:rFonts w:ascii="Arial" w:hAnsi="Arial" w:cs="Arial"/>
          <w:color w:val="2F5496" w:themeColor="accent1" w:themeShade="BF"/>
          <w:sz w:val="22"/>
          <w:szCs w:val="22"/>
          <w:lang w:val="en-GB"/>
        </w:rPr>
        <w:t xml:space="preserve"> that the following four attributes shall be met cumulatively</w:t>
      </w:r>
      <w:r w:rsidR="009B27F8" w:rsidRPr="00241FC8">
        <w:rPr>
          <w:rStyle w:val="FootnoteReference"/>
          <w:rFonts w:ascii="Arial" w:hAnsi="Arial" w:cs="Arial"/>
          <w:color w:val="2F5496" w:themeColor="accent1" w:themeShade="BF"/>
          <w:sz w:val="22"/>
          <w:szCs w:val="22"/>
          <w:lang w:val="en-GB"/>
        </w:rPr>
        <w:footnoteReference w:id="2"/>
      </w:r>
      <w:r w:rsidR="009B27F8" w:rsidRPr="00241FC8">
        <w:rPr>
          <w:rFonts w:ascii="Arial" w:hAnsi="Arial" w:cs="Arial"/>
          <w:color w:val="2F5496" w:themeColor="accent1" w:themeShade="BF"/>
          <w:sz w:val="22"/>
          <w:szCs w:val="22"/>
          <w:lang w:val="en-GB"/>
        </w:rPr>
        <w:t>;</w:t>
      </w:r>
    </w:p>
    <w:p w14:paraId="4DD6BC00" w14:textId="08468F3E" w:rsidR="00FB4EBC" w:rsidRPr="00241FC8" w:rsidRDefault="009B27F8" w:rsidP="009B27F8">
      <w:pPr>
        <w:pStyle w:val="ListParagraph"/>
        <w:numPr>
          <w:ilvl w:val="0"/>
          <w:numId w:val="25"/>
        </w:numPr>
        <w:autoSpaceDE w:val="0"/>
        <w:autoSpaceDN w:val="0"/>
        <w:adjustRightInd w:val="0"/>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 xml:space="preserve">The </w:t>
      </w:r>
      <w:r w:rsidR="00643A17" w:rsidRPr="00241FC8">
        <w:rPr>
          <w:rFonts w:ascii="Arial" w:hAnsi="Arial" w:cs="Arial"/>
          <w:color w:val="2F5496" w:themeColor="accent1" w:themeShade="BF"/>
          <w:sz w:val="22"/>
          <w:szCs w:val="22"/>
          <w:lang w:val="en-GB"/>
        </w:rPr>
        <w:t>foreign proceeding involves creditors collectively;</w:t>
      </w:r>
    </w:p>
    <w:p w14:paraId="15F1F5A6" w14:textId="1820AAD8" w:rsidR="00643A17" w:rsidRPr="00241FC8" w:rsidRDefault="00643A17" w:rsidP="009B27F8">
      <w:pPr>
        <w:pStyle w:val="ListParagraph"/>
        <w:numPr>
          <w:ilvl w:val="0"/>
          <w:numId w:val="25"/>
        </w:numPr>
        <w:autoSpaceDE w:val="0"/>
        <w:autoSpaceDN w:val="0"/>
        <w:adjustRightInd w:val="0"/>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The foreign proceeding has its basis in a law related to insolvency;</w:t>
      </w:r>
    </w:p>
    <w:p w14:paraId="3846DECF" w14:textId="0ECA0D45" w:rsidR="00643A17" w:rsidRPr="00241FC8" w:rsidRDefault="00643A17" w:rsidP="009B27F8">
      <w:pPr>
        <w:pStyle w:val="ListParagraph"/>
        <w:numPr>
          <w:ilvl w:val="0"/>
          <w:numId w:val="25"/>
        </w:numPr>
        <w:autoSpaceDE w:val="0"/>
        <w:autoSpaceDN w:val="0"/>
        <w:adjustRightInd w:val="0"/>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There is control or supervision by a court over the affairs and assets of the debtor; and</w:t>
      </w:r>
    </w:p>
    <w:p w14:paraId="786BBB86" w14:textId="3C0BC181" w:rsidR="00643A17" w:rsidRPr="00241FC8" w:rsidRDefault="00643A17" w:rsidP="009B27F8">
      <w:pPr>
        <w:pStyle w:val="ListParagraph"/>
        <w:numPr>
          <w:ilvl w:val="0"/>
          <w:numId w:val="25"/>
        </w:numPr>
        <w:autoSpaceDE w:val="0"/>
        <w:autoSpaceDN w:val="0"/>
        <w:adjustRightInd w:val="0"/>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The proceeding’s objective must be for the debtor’s reorganisation or liquidation.</w:t>
      </w:r>
    </w:p>
    <w:p w14:paraId="69C5729D" w14:textId="24877FDF" w:rsidR="009B27F8" w:rsidRPr="00241FC8" w:rsidRDefault="009B27F8" w:rsidP="00087F21">
      <w:pPr>
        <w:autoSpaceDE w:val="0"/>
        <w:autoSpaceDN w:val="0"/>
        <w:adjustRightInd w:val="0"/>
        <w:jc w:val="both"/>
        <w:rPr>
          <w:rFonts w:ascii="Arial" w:hAnsi="Arial" w:cs="Arial"/>
          <w:color w:val="2F5496" w:themeColor="accent1" w:themeShade="BF"/>
          <w:sz w:val="22"/>
          <w:szCs w:val="22"/>
          <w:lang w:val="en-GB"/>
        </w:rPr>
      </w:pPr>
    </w:p>
    <w:p w14:paraId="7D4145E8" w14:textId="0A03912B" w:rsidR="00E42C21" w:rsidRPr="00241FC8" w:rsidRDefault="00E42C21" w:rsidP="00087F21">
      <w:pPr>
        <w:autoSpaceDE w:val="0"/>
        <w:autoSpaceDN w:val="0"/>
        <w:adjustRightInd w:val="0"/>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 xml:space="preserve">Upon </w:t>
      </w:r>
      <w:r w:rsidR="00434360" w:rsidRPr="00241FC8">
        <w:rPr>
          <w:rFonts w:ascii="Arial" w:hAnsi="Arial" w:cs="Arial"/>
          <w:color w:val="2F5496" w:themeColor="accent1" w:themeShade="BF"/>
          <w:sz w:val="22"/>
          <w:szCs w:val="22"/>
          <w:lang w:val="en-GB"/>
        </w:rPr>
        <w:t xml:space="preserve">satisfying the judicial scrutiny set out by the definitions of ‘foreign representative’ and ‘foreign proceeding’, the foreign proceeding is likely to be granted recognition unless doing so would be contrary to public policy in Singapore (Article 6 of SG Model Law). Following the </w:t>
      </w:r>
      <w:r w:rsidRPr="00241FC8">
        <w:rPr>
          <w:rFonts w:ascii="Arial" w:hAnsi="Arial" w:cs="Arial"/>
          <w:color w:val="2F5496" w:themeColor="accent1" w:themeShade="BF"/>
          <w:sz w:val="22"/>
          <w:szCs w:val="22"/>
          <w:lang w:val="en-GB"/>
        </w:rPr>
        <w:t xml:space="preserve">recognition by the </w:t>
      </w:r>
      <w:r w:rsidR="004B2BC5" w:rsidRPr="00241FC8">
        <w:rPr>
          <w:rFonts w:ascii="Arial" w:hAnsi="Arial" w:cs="Arial"/>
          <w:color w:val="2F5496" w:themeColor="accent1" w:themeShade="BF"/>
          <w:sz w:val="22"/>
          <w:szCs w:val="22"/>
          <w:lang w:val="en-GB"/>
        </w:rPr>
        <w:t>C</w:t>
      </w:r>
      <w:r w:rsidRPr="00241FC8">
        <w:rPr>
          <w:rFonts w:ascii="Arial" w:hAnsi="Arial" w:cs="Arial"/>
          <w:color w:val="2F5496" w:themeColor="accent1" w:themeShade="BF"/>
          <w:sz w:val="22"/>
          <w:szCs w:val="22"/>
          <w:lang w:val="en-GB"/>
        </w:rPr>
        <w:t>ourt</w:t>
      </w:r>
      <w:r w:rsidR="00C24C02" w:rsidRPr="00241FC8">
        <w:rPr>
          <w:rFonts w:ascii="Arial" w:hAnsi="Arial" w:cs="Arial"/>
          <w:color w:val="2F5496" w:themeColor="accent1" w:themeShade="BF"/>
          <w:sz w:val="22"/>
          <w:szCs w:val="22"/>
          <w:lang w:val="en-GB"/>
        </w:rPr>
        <w:t xml:space="preserve"> in Singapore</w:t>
      </w:r>
      <w:r w:rsidRPr="00241FC8">
        <w:rPr>
          <w:rFonts w:ascii="Arial" w:hAnsi="Arial" w:cs="Arial"/>
          <w:color w:val="2F5496" w:themeColor="accent1" w:themeShade="BF"/>
          <w:sz w:val="22"/>
          <w:szCs w:val="22"/>
          <w:lang w:val="en-GB"/>
        </w:rPr>
        <w:t>, the foreign proceeding</w:t>
      </w:r>
      <w:r w:rsidR="004B2BC5" w:rsidRPr="00241FC8">
        <w:rPr>
          <w:rFonts w:ascii="Arial" w:hAnsi="Arial" w:cs="Arial"/>
          <w:color w:val="2F5496" w:themeColor="accent1" w:themeShade="BF"/>
          <w:sz w:val="22"/>
          <w:szCs w:val="22"/>
          <w:lang w:val="en-GB"/>
        </w:rPr>
        <w:t xml:space="preserve"> (and the foreign representative) would benefit from available reliefs to protect the debtor’s assets or interests of creditors (</w:t>
      </w:r>
      <w:r w:rsidR="00434360" w:rsidRPr="00241FC8">
        <w:rPr>
          <w:rFonts w:ascii="Arial" w:hAnsi="Arial" w:cs="Arial"/>
          <w:color w:val="2F5496" w:themeColor="accent1" w:themeShade="BF"/>
          <w:sz w:val="22"/>
          <w:szCs w:val="22"/>
          <w:lang w:val="en-GB"/>
        </w:rPr>
        <w:t>A</w:t>
      </w:r>
      <w:r w:rsidR="004B2BC5" w:rsidRPr="00241FC8">
        <w:rPr>
          <w:rFonts w:ascii="Arial" w:hAnsi="Arial" w:cs="Arial"/>
          <w:color w:val="2F5496" w:themeColor="accent1" w:themeShade="BF"/>
          <w:sz w:val="22"/>
          <w:szCs w:val="22"/>
          <w:lang w:val="en-GB"/>
        </w:rPr>
        <w:t xml:space="preserve">rticle 21 of the MLCBI / SG Model Law). Additionally, if the foreign proceeding is recognized as a foreign main proceeding, </w:t>
      </w:r>
      <w:r w:rsidR="00434360" w:rsidRPr="00241FC8">
        <w:rPr>
          <w:rFonts w:ascii="Arial" w:hAnsi="Arial" w:cs="Arial"/>
          <w:color w:val="2F5496" w:themeColor="accent1" w:themeShade="BF"/>
          <w:sz w:val="22"/>
          <w:szCs w:val="22"/>
          <w:lang w:val="en-GB"/>
        </w:rPr>
        <w:t>A</w:t>
      </w:r>
      <w:r w:rsidR="004B2BC5" w:rsidRPr="00241FC8">
        <w:rPr>
          <w:rFonts w:ascii="Arial" w:hAnsi="Arial" w:cs="Arial"/>
          <w:color w:val="2F5496" w:themeColor="accent1" w:themeShade="BF"/>
          <w:sz w:val="22"/>
          <w:szCs w:val="22"/>
          <w:lang w:val="en-GB"/>
        </w:rPr>
        <w:t xml:space="preserve">rticle 20 of SG Model Law </w:t>
      </w:r>
      <w:r w:rsidR="00C24C02" w:rsidRPr="00241FC8">
        <w:rPr>
          <w:rFonts w:ascii="Arial" w:hAnsi="Arial" w:cs="Arial"/>
          <w:color w:val="2F5496" w:themeColor="accent1" w:themeShade="BF"/>
          <w:sz w:val="22"/>
          <w:szCs w:val="22"/>
          <w:lang w:val="en-GB"/>
        </w:rPr>
        <w:t xml:space="preserve">provides </w:t>
      </w:r>
      <w:r w:rsidR="004B2BC5" w:rsidRPr="00241FC8">
        <w:rPr>
          <w:rFonts w:ascii="Arial" w:hAnsi="Arial" w:cs="Arial"/>
          <w:color w:val="2F5496" w:themeColor="accent1" w:themeShade="BF"/>
          <w:sz w:val="22"/>
          <w:szCs w:val="22"/>
          <w:lang w:val="en-GB"/>
        </w:rPr>
        <w:t xml:space="preserve">an automatic stay </w:t>
      </w:r>
      <w:r w:rsidR="00C24C02" w:rsidRPr="00241FC8">
        <w:rPr>
          <w:rFonts w:ascii="Arial" w:hAnsi="Arial" w:cs="Arial"/>
          <w:color w:val="2F5496" w:themeColor="accent1" w:themeShade="BF"/>
          <w:sz w:val="22"/>
          <w:szCs w:val="22"/>
          <w:lang w:val="en-GB"/>
        </w:rPr>
        <w:t>that is same in scope and effect as if the debtor had been made the subject of a winding up order under IRDA (</w:t>
      </w:r>
      <w:r w:rsidR="00434360" w:rsidRPr="00241FC8">
        <w:rPr>
          <w:rFonts w:ascii="Arial" w:hAnsi="Arial" w:cs="Arial"/>
          <w:color w:val="2F5496" w:themeColor="accent1" w:themeShade="BF"/>
          <w:sz w:val="22"/>
          <w:szCs w:val="22"/>
          <w:lang w:val="en-GB"/>
        </w:rPr>
        <w:t>A</w:t>
      </w:r>
      <w:r w:rsidR="00C24C02" w:rsidRPr="00241FC8">
        <w:rPr>
          <w:rFonts w:ascii="Arial" w:hAnsi="Arial" w:cs="Arial"/>
          <w:color w:val="2F5496" w:themeColor="accent1" w:themeShade="BF"/>
          <w:sz w:val="22"/>
          <w:szCs w:val="22"/>
          <w:lang w:val="en-GB"/>
        </w:rPr>
        <w:t>rticle 20(2) of the SG Model Law).</w:t>
      </w:r>
    </w:p>
    <w:p w14:paraId="0E2B5182" w14:textId="2EE2B195" w:rsidR="00240671" w:rsidRPr="00241FC8" w:rsidRDefault="00240671" w:rsidP="00087F21">
      <w:pPr>
        <w:autoSpaceDE w:val="0"/>
        <w:autoSpaceDN w:val="0"/>
        <w:adjustRightInd w:val="0"/>
        <w:jc w:val="both"/>
        <w:rPr>
          <w:rFonts w:ascii="Arial" w:hAnsi="Arial" w:cs="Arial"/>
          <w:color w:val="2F5496" w:themeColor="accent1" w:themeShade="BF"/>
          <w:sz w:val="22"/>
          <w:szCs w:val="22"/>
          <w:lang w:val="en-GB"/>
        </w:rPr>
      </w:pPr>
    </w:p>
    <w:p w14:paraId="49C3744D" w14:textId="463378CC" w:rsidR="00240671" w:rsidRPr="00241FC8" w:rsidRDefault="00FC03CD" w:rsidP="00087F21">
      <w:pPr>
        <w:autoSpaceDE w:val="0"/>
        <w:autoSpaceDN w:val="0"/>
        <w:adjustRightInd w:val="0"/>
        <w:jc w:val="both"/>
        <w:rPr>
          <w:rFonts w:ascii="Arial" w:hAnsi="Arial" w:cs="Arial"/>
          <w:color w:val="2F5496" w:themeColor="accent1" w:themeShade="BF"/>
          <w:sz w:val="22"/>
          <w:szCs w:val="22"/>
          <w:lang w:val="en-GB"/>
        </w:rPr>
      </w:pPr>
      <w:r w:rsidRPr="00241FC8">
        <w:rPr>
          <w:rFonts w:ascii="Arial" w:hAnsi="Arial" w:cs="Arial"/>
          <w:color w:val="2F5496" w:themeColor="accent1" w:themeShade="BF"/>
          <w:sz w:val="22"/>
          <w:szCs w:val="22"/>
          <w:lang w:val="en-GB"/>
        </w:rPr>
        <w:t xml:space="preserve">The foreign representative(s) of </w:t>
      </w:r>
      <w:r w:rsidR="00240671" w:rsidRPr="00241FC8">
        <w:rPr>
          <w:rFonts w:ascii="Arial" w:hAnsi="Arial" w:cs="Arial"/>
          <w:color w:val="2F5496" w:themeColor="accent1" w:themeShade="BF"/>
          <w:sz w:val="22"/>
          <w:szCs w:val="22"/>
          <w:lang w:val="en-GB"/>
        </w:rPr>
        <w:t>Angostura</w:t>
      </w:r>
      <w:r w:rsidRPr="00241FC8">
        <w:rPr>
          <w:rFonts w:ascii="Arial" w:hAnsi="Arial" w:cs="Arial"/>
          <w:color w:val="2F5496" w:themeColor="accent1" w:themeShade="BF"/>
          <w:sz w:val="22"/>
          <w:szCs w:val="22"/>
          <w:lang w:val="en-GB"/>
        </w:rPr>
        <w:t>’s foreign proceedings</w:t>
      </w:r>
      <w:r w:rsidR="00240671" w:rsidRPr="00241FC8">
        <w:rPr>
          <w:rFonts w:ascii="Arial" w:hAnsi="Arial" w:cs="Arial"/>
          <w:color w:val="2F5496" w:themeColor="accent1" w:themeShade="BF"/>
          <w:sz w:val="22"/>
          <w:szCs w:val="22"/>
          <w:lang w:val="en-GB"/>
        </w:rPr>
        <w:t xml:space="preserve"> may thus apply for recognition in Singapore, of </w:t>
      </w:r>
      <w:r w:rsidRPr="00241FC8">
        <w:rPr>
          <w:rFonts w:ascii="Arial" w:hAnsi="Arial" w:cs="Arial"/>
          <w:color w:val="2F5496" w:themeColor="accent1" w:themeShade="BF"/>
          <w:sz w:val="22"/>
          <w:szCs w:val="22"/>
          <w:lang w:val="en-GB"/>
        </w:rPr>
        <w:t>the</w:t>
      </w:r>
      <w:r w:rsidR="00240671" w:rsidRPr="00241FC8">
        <w:rPr>
          <w:rFonts w:ascii="Arial" w:hAnsi="Arial" w:cs="Arial"/>
          <w:color w:val="2F5496" w:themeColor="accent1" w:themeShade="BF"/>
          <w:sz w:val="22"/>
          <w:szCs w:val="22"/>
          <w:lang w:val="en-GB"/>
        </w:rPr>
        <w:t xml:space="preserve"> Indonesian PKPU proceeding</w:t>
      </w:r>
      <w:r w:rsidR="004552F7" w:rsidRPr="00241FC8">
        <w:rPr>
          <w:rFonts w:ascii="Arial" w:hAnsi="Arial" w:cs="Arial"/>
          <w:color w:val="2F5496" w:themeColor="accent1" w:themeShade="BF"/>
          <w:sz w:val="22"/>
          <w:szCs w:val="22"/>
          <w:lang w:val="en-GB"/>
        </w:rPr>
        <w:t xml:space="preserve"> (which will likely be recognized as a foreign main proceeding), or </w:t>
      </w:r>
      <w:r w:rsidRPr="00241FC8">
        <w:rPr>
          <w:rFonts w:ascii="Arial" w:hAnsi="Arial" w:cs="Arial"/>
          <w:color w:val="2F5496" w:themeColor="accent1" w:themeShade="BF"/>
          <w:sz w:val="22"/>
          <w:szCs w:val="22"/>
          <w:lang w:val="en-GB"/>
        </w:rPr>
        <w:t xml:space="preserve">the </w:t>
      </w:r>
      <w:r w:rsidR="004552F7" w:rsidRPr="00241FC8">
        <w:rPr>
          <w:rFonts w:ascii="Arial" w:hAnsi="Arial" w:cs="Arial"/>
          <w:color w:val="2F5496" w:themeColor="accent1" w:themeShade="BF"/>
          <w:sz w:val="22"/>
          <w:szCs w:val="22"/>
          <w:lang w:val="en-GB"/>
        </w:rPr>
        <w:t>other insolvency proceeding in the US</w:t>
      </w:r>
      <w:r w:rsidR="00BF7056" w:rsidRPr="00241FC8">
        <w:rPr>
          <w:rFonts w:ascii="Arial" w:hAnsi="Arial" w:cs="Arial"/>
          <w:color w:val="2F5496" w:themeColor="accent1" w:themeShade="BF"/>
          <w:sz w:val="22"/>
          <w:szCs w:val="22"/>
          <w:lang w:val="en-GB"/>
        </w:rPr>
        <w:t xml:space="preserve">, and if such foreign proceeding has been recognized and </w:t>
      </w:r>
      <w:r w:rsidR="00AD2A6C" w:rsidRPr="00241FC8">
        <w:rPr>
          <w:rFonts w:ascii="Arial" w:hAnsi="Arial" w:cs="Arial"/>
          <w:color w:val="2F5496" w:themeColor="accent1" w:themeShade="BF"/>
          <w:sz w:val="22"/>
          <w:szCs w:val="22"/>
          <w:lang w:val="en-GB"/>
        </w:rPr>
        <w:t xml:space="preserve">relevant </w:t>
      </w:r>
      <w:r w:rsidR="00BF7056" w:rsidRPr="00241FC8">
        <w:rPr>
          <w:rFonts w:ascii="Arial" w:hAnsi="Arial" w:cs="Arial"/>
          <w:color w:val="2F5496" w:themeColor="accent1" w:themeShade="BF"/>
          <w:sz w:val="22"/>
          <w:szCs w:val="22"/>
          <w:lang w:val="en-GB"/>
        </w:rPr>
        <w:t xml:space="preserve">relief </w:t>
      </w:r>
      <w:r w:rsidR="00AD2A6C" w:rsidRPr="00241FC8">
        <w:rPr>
          <w:rFonts w:ascii="Arial" w:hAnsi="Arial" w:cs="Arial"/>
          <w:color w:val="2F5496" w:themeColor="accent1" w:themeShade="BF"/>
          <w:sz w:val="22"/>
          <w:szCs w:val="22"/>
          <w:lang w:val="en-GB"/>
        </w:rPr>
        <w:t xml:space="preserve">has been </w:t>
      </w:r>
      <w:r w:rsidR="00BF7056" w:rsidRPr="00241FC8">
        <w:rPr>
          <w:rFonts w:ascii="Arial" w:hAnsi="Arial" w:cs="Arial"/>
          <w:color w:val="2F5496" w:themeColor="accent1" w:themeShade="BF"/>
          <w:sz w:val="22"/>
          <w:szCs w:val="22"/>
          <w:lang w:val="en-GB"/>
        </w:rPr>
        <w:t xml:space="preserve">granted, </w:t>
      </w:r>
      <w:r w:rsidR="00AD2A6C" w:rsidRPr="00241FC8">
        <w:rPr>
          <w:rFonts w:ascii="Arial" w:hAnsi="Arial" w:cs="Arial"/>
          <w:color w:val="2F5496" w:themeColor="accent1" w:themeShade="BF"/>
          <w:sz w:val="22"/>
          <w:szCs w:val="22"/>
          <w:lang w:val="en-GB"/>
        </w:rPr>
        <w:t xml:space="preserve">enforcement of security over </w:t>
      </w:r>
      <w:r w:rsidR="00BF7056" w:rsidRPr="00241FC8">
        <w:rPr>
          <w:rFonts w:ascii="Arial" w:hAnsi="Arial" w:cs="Arial"/>
          <w:color w:val="2F5496" w:themeColor="accent1" w:themeShade="BF"/>
          <w:sz w:val="22"/>
          <w:szCs w:val="22"/>
          <w:lang w:val="en-GB"/>
        </w:rPr>
        <w:t xml:space="preserve">Juniperus </w:t>
      </w:r>
      <w:r w:rsidR="00AD2A6C" w:rsidRPr="00241FC8">
        <w:rPr>
          <w:rFonts w:ascii="Arial" w:hAnsi="Arial" w:cs="Arial"/>
          <w:color w:val="2F5496" w:themeColor="accent1" w:themeShade="BF"/>
          <w:sz w:val="22"/>
          <w:szCs w:val="22"/>
          <w:lang w:val="en-GB"/>
        </w:rPr>
        <w:t xml:space="preserve">shares could </w:t>
      </w:r>
      <w:r w:rsidR="00BF7056" w:rsidRPr="00241FC8">
        <w:rPr>
          <w:rFonts w:ascii="Arial" w:hAnsi="Arial" w:cs="Arial"/>
          <w:color w:val="2F5496" w:themeColor="accent1" w:themeShade="BF"/>
          <w:sz w:val="22"/>
          <w:szCs w:val="22"/>
          <w:lang w:val="en-GB"/>
        </w:rPr>
        <w:t>be stayed.</w:t>
      </w:r>
    </w:p>
    <w:p w14:paraId="750635C0" w14:textId="77777777" w:rsidR="009B27F8" w:rsidRPr="00FB4EBC" w:rsidRDefault="009B27F8" w:rsidP="00087F21">
      <w:pPr>
        <w:autoSpaceDE w:val="0"/>
        <w:autoSpaceDN w:val="0"/>
        <w:adjustRightInd w:val="0"/>
        <w:jc w:val="both"/>
        <w:rPr>
          <w:rFonts w:ascii="Arial" w:hAnsi="Arial" w:cs="Arial"/>
          <w:color w:val="808080" w:themeColor="background1" w:themeShade="80"/>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26A7" w14:textId="77777777" w:rsidR="005C5D9A" w:rsidRDefault="005C5D9A">
      <w:r>
        <w:separator/>
      </w:r>
    </w:p>
  </w:endnote>
  <w:endnote w:type="continuationSeparator" w:id="0">
    <w:p w14:paraId="0FB104A9" w14:textId="77777777" w:rsidR="005C5D9A" w:rsidRDefault="005C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3D760E96" w:rsidR="008569B9" w:rsidRPr="009B4976" w:rsidRDefault="00874744" w:rsidP="009B4976">
    <w:pPr>
      <w:pStyle w:val="Footer"/>
      <w:ind w:right="360"/>
      <w:rPr>
        <w:rFonts w:ascii="Arial" w:hAnsi="Arial" w:cs="Arial"/>
        <w:sz w:val="18"/>
        <w:szCs w:val="18"/>
        <w:lang w:val="en-GB"/>
      </w:rPr>
    </w:pPr>
    <w:r>
      <w:rPr>
        <w:rFonts w:ascii="Arial" w:hAnsi="Arial" w:cs="Arial"/>
        <w:sz w:val="18"/>
        <w:szCs w:val="18"/>
        <w:lang w:val="en-GB"/>
      </w:rPr>
      <w:t>202122-504</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424F" w14:textId="77777777" w:rsidR="005C5D9A" w:rsidRDefault="005C5D9A">
      <w:r>
        <w:separator/>
      </w:r>
    </w:p>
  </w:footnote>
  <w:footnote w:type="continuationSeparator" w:id="0">
    <w:p w14:paraId="79CDA52E" w14:textId="77777777" w:rsidR="005C5D9A" w:rsidRDefault="005C5D9A">
      <w:r>
        <w:continuationSeparator/>
      </w:r>
    </w:p>
  </w:footnote>
  <w:footnote w:id="1">
    <w:p w14:paraId="75B24111" w14:textId="59BF3BE9" w:rsidR="0088490D" w:rsidRPr="00241FC8" w:rsidRDefault="0088490D" w:rsidP="009B27F8">
      <w:pPr>
        <w:pStyle w:val="FootnoteText"/>
        <w:jc w:val="both"/>
        <w:rPr>
          <w:color w:val="2F5496" w:themeColor="accent1" w:themeShade="BF"/>
        </w:rPr>
      </w:pPr>
      <w:r w:rsidRPr="00241FC8">
        <w:rPr>
          <w:rStyle w:val="FootnoteReference"/>
          <w:color w:val="2F5496" w:themeColor="accent1" w:themeShade="BF"/>
        </w:rPr>
        <w:footnoteRef/>
      </w:r>
      <w:r w:rsidRPr="00241FC8">
        <w:rPr>
          <w:color w:val="2F5496" w:themeColor="accent1" w:themeShade="BF"/>
        </w:rPr>
        <w:t xml:space="preserve"> Sheila Ng, “The Singapore Court of Appeal’s First Reported Decision on the Model Law on Cross-Border Insolvency” [2022] SAL PRAC 6, at [</w:t>
      </w:r>
      <w:r w:rsidR="009B27F8" w:rsidRPr="00241FC8">
        <w:rPr>
          <w:color w:val="2F5496" w:themeColor="accent1" w:themeShade="BF"/>
        </w:rPr>
        <w:t>10] and [11].</w:t>
      </w:r>
      <w:r w:rsidRPr="00241FC8">
        <w:rPr>
          <w:color w:val="2F5496" w:themeColor="accent1" w:themeShade="BF"/>
        </w:rPr>
        <w:t xml:space="preserve"> </w:t>
      </w:r>
    </w:p>
  </w:footnote>
  <w:footnote w:id="2">
    <w:p w14:paraId="1579D9A4" w14:textId="4B3AC533" w:rsidR="009B27F8" w:rsidRPr="00241FC8" w:rsidRDefault="009B27F8">
      <w:pPr>
        <w:pStyle w:val="FootnoteText"/>
        <w:rPr>
          <w:color w:val="2F5496" w:themeColor="accent1" w:themeShade="BF"/>
        </w:rPr>
      </w:pPr>
      <w:r w:rsidRPr="00241FC8">
        <w:rPr>
          <w:rStyle w:val="FootnoteReference"/>
          <w:color w:val="2F5496" w:themeColor="accent1" w:themeShade="BF"/>
        </w:rPr>
        <w:footnoteRef/>
      </w:r>
      <w:r w:rsidRPr="00241FC8">
        <w:rPr>
          <w:color w:val="2F5496" w:themeColor="accent1" w:themeShade="BF"/>
        </w:rPr>
        <w:t xml:space="preserve"> Ibid, at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9F5"/>
    <w:multiLevelType w:val="hybridMultilevel"/>
    <w:tmpl w:val="D45C485C"/>
    <w:lvl w:ilvl="0" w:tplc="020CC456">
      <w:start w:val="1"/>
      <w:numFmt w:val="decimal"/>
      <w:lvlText w:val="(%1)"/>
      <w:lvlJc w:val="left"/>
      <w:pPr>
        <w:ind w:left="390" w:hanging="39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C5199"/>
    <w:multiLevelType w:val="hybridMultilevel"/>
    <w:tmpl w:val="DBE69906"/>
    <w:lvl w:ilvl="0" w:tplc="281C39FC">
      <w:start w:val="1"/>
      <w:numFmt w:val="lowerRoman"/>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6"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F648B"/>
    <w:multiLevelType w:val="hybridMultilevel"/>
    <w:tmpl w:val="C53E95AC"/>
    <w:lvl w:ilvl="0" w:tplc="FE8E3934">
      <w:start w:val="1"/>
      <w:numFmt w:val="bullet"/>
      <w:lvlText w:val=""/>
      <w:lvlJc w:val="left"/>
      <w:pPr>
        <w:ind w:left="360" w:hanging="360"/>
      </w:pPr>
      <w:rPr>
        <w:rFonts w:ascii="Symbol" w:hAnsi="Symbol" w:hint="default"/>
        <w:color w:val="808080" w:themeColor="background1" w:themeShade="80"/>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715CD"/>
    <w:multiLevelType w:val="hybridMultilevel"/>
    <w:tmpl w:val="A53C9940"/>
    <w:lvl w:ilvl="0" w:tplc="FE8E3934">
      <w:start w:val="1"/>
      <w:numFmt w:val="bullet"/>
      <w:lvlText w:val=""/>
      <w:lvlJc w:val="left"/>
      <w:pPr>
        <w:ind w:left="360" w:hanging="360"/>
      </w:pPr>
      <w:rPr>
        <w:rFonts w:ascii="Symbol" w:hAnsi="Symbol" w:hint="default"/>
        <w:color w:val="808080" w:themeColor="background1" w:themeShade="80"/>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4"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E3C9F"/>
    <w:multiLevelType w:val="hybridMultilevel"/>
    <w:tmpl w:val="A10CE0E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6" w15:restartNumberingAfterBreak="0">
    <w:nsid w:val="522D6022"/>
    <w:multiLevelType w:val="hybridMultilevel"/>
    <w:tmpl w:val="95626E46"/>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7" w15:restartNumberingAfterBreak="0">
    <w:nsid w:val="55F553D8"/>
    <w:multiLevelType w:val="hybridMultilevel"/>
    <w:tmpl w:val="B41057CC"/>
    <w:lvl w:ilvl="0" w:tplc="A1C451FC">
      <w:start w:val="1"/>
      <w:numFmt w:val="lowerRoman"/>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6AE20BF"/>
    <w:multiLevelType w:val="hybridMultilevel"/>
    <w:tmpl w:val="AC1073B2"/>
    <w:lvl w:ilvl="0" w:tplc="38090001">
      <w:start w:val="1"/>
      <w:numFmt w:val="bullet"/>
      <w:lvlText w:val=""/>
      <w:lvlJc w:val="left"/>
      <w:pPr>
        <w:ind w:left="360" w:hanging="360"/>
      </w:pPr>
      <w:rPr>
        <w:rFonts w:ascii="Symbol" w:hAnsi="Symbol" w:hint="default"/>
      </w:rPr>
    </w:lvl>
    <w:lvl w:ilvl="1" w:tplc="A1C451FC">
      <w:start w:val="1"/>
      <w:numFmt w:val="lowerRoman"/>
      <w:lvlText w:val="(%2)"/>
      <w:lvlJc w:val="left"/>
      <w:pPr>
        <w:ind w:left="720" w:hanging="360"/>
      </w:pPr>
      <w:rPr>
        <w:rFonts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9" w15:restartNumberingAfterBreak="0">
    <w:nsid w:val="64C77962"/>
    <w:multiLevelType w:val="hybridMultilevel"/>
    <w:tmpl w:val="9CB20660"/>
    <w:lvl w:ilvl="0" w:tplc="A1C451FC">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5CA51EE"/>
    <w:multiLevelType w:val="hybridMultilevel"/>
    <w:tmpl w:val="AA6455C2"/>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531257"/>
    <w:multiLevelType w:val="hybridMultilevel"/>
    <w:tmpl w:val="A4B41DB0"/>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5"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44192B"/>
    <w:multiLevelType w:val="hybridMultilevel"/>
    <w:tmpl w:val="E21844D6"/>
    <w:lvl w:ilvl="0" w:tplc="FE8E3934">
      <w:start w:val="1"/>
      <w:numFmt w:val="bullet"/>
      <w:lvlText w:val=""/>
      <w:lvlJc w:val="left"/>
      <w:pPr>
        <w:ind w:left="360" w:hanging="360"/>
      </w:pPr>
      <w:rPr>
        <w:rFonts w:ascii="Symbol" w:hAnsi="Symbol" w:hint="default"/>
        <w:color w:val="808080" w:themeColor="background1" w:themeShade="80"/>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7"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244949812">
    <w:abstractNumId w:val="5"/>
  </w:num>
  <w:num w:numId="2" w16cid:durableId="739209243">
    <w:abstractNumId w:val="4"/>
  </w:num>
  <w:num w:numId="3" w16cid:durableId="1500735676">
    <w:abstractNumId w:val="10"/>
  </w:num>
  <w:num w:numId="4" w16cid:durableId="781876212">
    <w:abstractNumId w:val="1"/>
  </w:num>
  <w:num w:numId="5" w16cid:durableId="1415662060">
    <w:abstractNumId w:val="11"/>
  </w:num>
  <w:num w:numId="6" w16cid:durableId="2071221999">
    <w:abstractNumId w:val="27"/>
  </w:num>
  <w:num w:numId="7" w16cid:durableId="830294423">
    <w:abstractNumId w:val="3"/>
  </w:num>
  <w:num w:numId="8" w16cid:durableId="899055224">
    <w:abstractNumId w:val="22"/>
  </w:num>
  <w:num w:numId="9" w16cid:durableId="1901942796">
    <w:abstractNumId w:val="23"/>
  </w:num>
  <w:num w:numId="10" w16cid:durableId="1446458541">
    <w:abstractNumId w:val="9"/>
  </w:num>
  <w:num w:numId="11" w16cid:durableId="60711216">
    <w:abstractNumId w:val="21"/>
  </w:num>
  <w:num w:numId="12" w16cid:durableId="288049498">
    <w:abstractNumId w:val="12"/>
  </w:num>
  <w:num w:numId="13" w16cid:durableId="1921062147">
    <w:abstractNumId w:val="14"/>
  </w:num>
  <w:num w:numId="14" w16cid:durableId="1820225176">
    <w:abstractNumId w:val="25"/>
  </w:num>
  <w:num w:numId="15" w16cid:durableId="1310863360">
    <w:abstractNumId w:val="7"/>
  </w:num>
  <w:num w:numId="16" w16cid:durableId="1118642883">
    <w:abstractNumId w:val="6"/>
  </w:num>
  <w:num w:numId="17" w16cid:durableId="1043286130">
    <w:abstractNumId w:val="20"/>
  </w:num>
  <w:num w:numId="18" w16cid:durableId="1276017874">
    <w:abstractNumId w:val="26"/>
  </w:num>
  <w:num w:numId="19" w16cid:durableId="1449086440">
    <w:abstractNumId w:val="24"/>
  </w:num>
  <w:num w:numId="20" w16cid:durableId="1257715529">
    <w:abstractNumId w:val="19"/>
  </w:num>
  <w:num w:numId="21" w16cid:durableId="1648587558">
    <w:abstractNumId w:val="13"/>
  </w:num>
  <w:num w:numId="22" w16cid:durableId="557129588">
    <w:abstractNumId w:val="16"/>
  </w:num>
  <w:num w:numId="23" w16cid:durableId="418715519">
    <w:abstractNumId w:val="8"/>
  </w:num>
  <w:num w:numId="24" w16cid:durableId="1222863115">
    <w:abstractNumId w:val="2"/>
  </w:num>
  <w:num w:numId="25" w16cid:durableId="1422875183">
    <w:abstractNumId w:val="15"/>
  </w:num>
  <w:num w:numId="26" w16cid:durableId="1136069301">
    <w:abstractNumId w:val="18"/>
  </w:num>
  <w:num w:numId="27" w16cid:durableId="1012562754">
    <w:abstractNumId w:val="17"/>
  </w:num>
  <w:num w:numId="28" w16cid:durableId="132234653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35B"/>
    <w:rsid w:val="00000774"/>
    <w:rsid w:val="000036E5"/>
    <w:rsid w:val="00010BA0"/>
    <w:rsid w:val="00012B36"/>
    <w:rsid w:val="00015FF5"/>
    <w:rsid w:val="00020557"/>
    <w:rsid w:val="000214ED"/>
    <w:rsid w:val="00021FC2"/>
    <w:rsid w:val="000232A1"/>
    <w:rsid w:val="00023D66"/>
    <w:rsid w:val="000250C7"/>
    <w:rsid w:val="00026F16"/>
    <w:rsid w:val="00033C8E"/>
    <w:rsid w:val="00037621"/>
    <w:rsid w:val="00044D46"/>
    <w:rsid w:val="00045088"/>
    <w:rsid w:val="00045904"/>
    <w:rsid w:val="00046211"/>
    <w:rsid w:val="00046CE5"/>
    <w:rsid w:val="000502FD"/>
    <w:rsid w:val="00051719"/>
    <w:rsid w:val="00052B3C"/>
    <w:rsid w:val="00062F53"/>
    <w:rsid w:val="00065166"/>
    <w:rsid w:val="00067A22"/>
    <w:rsid w:val="0007291B"/>
    <w:rsid w:val="00073435"/>
    <w:rsid w:val="00082609"/>
    <w:rsid w:val="0008464C"/>
    <w:rsid w:val="000851CC"/>
    <w:rsid w:val="00087F21"/>
    <w:rsid w:val="00091463"/>
    <w:rsid w:val="00091975"/>
    <w:rsid w:val="00093BE8"/>
    <w:rsid w:val="000A407B"/>
    <w:rsid w:val="000A68ED"/>
    <w:rsid w:val="000B26C9"/>
    <w:rsid w:val="000B4074"/>
    <w:rsid w:val="000B5FF1"/>
    <w:rsid w:val="000B609F"/>
    <w:rsid w:val="000D2BEC"/>
    <w:rsid w:val="000D55A8"/>
    <w:rsid w:val="000E0D36"/>
    <w:rsid w:val="000E1246"/>
    <w:rsid w:val="000E4841"/>
    <w:rsid w:val="000E4CFB"/>
    <w:rsid w:val="000F0B79"/>
    <w:rsid w:val="000F0CF2"/>
    <w:rsid w:val="000F1677"/>
    <w:rsid w:val="000F3D6C"/>
    <w:rsid w:val="00101707"/>
    <w:rsid w:val="00102CC9"/>
    <w:rsid w:val="0010593A"/>
    <w:rsid w:val="001118C8"/>
    <w:rsid w:val="0011473D"/>
    <w:rsid w:val="00115C85"/>
    <w:rsid w:val="00121735"/>
    <w:rsid w:val="00123855"/>
    <w:rsid w:val="00124A1B"/>
    <w:rsid w:val="00126A4D"/>
    <w:rsid w:val="0013379E"/>
    <w:rsid w:val="0014171F"/>
    <w:rsid w:val="001438A2"/>
    <w:rsid w:val="0014622C"/>
    <w:rsid w:val="00146773"/>
    <w:rsid w:val="00151F58"/>
    <w:rsid w:val="00152348"/>
    <w:rsid w:val="00152FD4"/>
    <w:rsid w:val="0015456D"/>
    <w:rsid w:val="00155FA2"/>
    <w:rsid w:val="001600E5"/>
    <w:rsid w:val="00161F1B"/>
    <w:rsid w:val="00162829"/>
    <w:rsid w:val="0016368E"/>
    <w:rsid w:val="00166A82"/>
    <w:rsid w:val="00170EF8"/>
    <w:rsid w:val="00171789"/>
    <w:rsid w:val="00180548"/>
    <w:rsid w:val="00180AC4"/>
    <w:rsid w:val="00180CCE"/>
    <w:rsid w:val="00181A91"/>
    <w:rsid w:val="0018267A"/>
    <w:rsid w:val="00182779"/>
    <w:rsid w:val="001830DF"/>
    <w:rsid w:val="00192A11"/>
    <w:rsid w:val="001957E8"/>
    <w:rsid w:val="00195E02"/>
    <w:rsid w:val="001966D9"/>
    <w:rsid w:val="001A007A"/>
    <w:rsid w:val="001A4484"/>
    <w:rsid w:val="001A5A01"/>
    <w:rsid w:val="001A7E9A"/>
    <w:rsid w:val="001B0F70"/>
    <w:rsid w:val="001B5016"/>
    <w:rsid w:val="001B7156"/>
    <w:rsid w:val="001B73FB"/>
    <w:rsid w:val="001C0051"/>
    <w:rsid w:val="001C45FC"/>
    <w:rsid w:val="001D0469"/>
    <w:rsid w:val="001D29C0"/>
    <w:rsid w:val="001D40C7"/>
    <w:rsid w:val="001D4862"/>
    <w:rsid w:val="001E25B9"/>
    <w:rsid w:val="001E49E0"/>
    <w:rsid w:val="001E7216"/>
    <w:rsid w:val="001E7B5A"/>
    <w:rsid w:val="001F7412"/>
    <w:rsid w:val="0020090A"/>
    <w:rsid w:val="00202DFE"/>
    <w:rsid w:val="00206971"/>
    <w:rsid w:val="0020725B"/>
    <w:rsid w:val="002110F1"/>
    <w:rsid w:val="002176C5"/>
    <w:rsid w:val="002208D9"/>
    <w:rsid w:val="00223CAE"/>
    <w:rsid w:val="002262BA"/>
    <w:rsid w:val="002311E3"/>
    <w:rsid w:val="002356EA"/>
    <w:rsid w:val="00235D7D"/>
    <w:rsid w:val="00240671"/>
    <w:rsid w:val="00240B0E"/>
    <w:rsid w:val="0024116D"/>
    <w:rsid w:val="00241B44"/>
    <w:rsid w:val="00241FA3"/>
    <w:rsid w:val="00241FC8"/>
    <w:rsid w:val="00245EFB"/>
    <w:rsid w:val="0024716F"/>
    <w:rsid w:val="00252DCF"/>
    <w:rsid w:val="0025386E"/>
    <w:rsid w:val="00254160"/>
    <w:rsid w:val="00255890"/>
    <w:rsid w:val="00262940"/>
    <w:rsid w:val="002638B0"/>
    <w:rsid w:val="0026647A"/>
    <w:rsid w:val="002668D3"/>
    <w:rsid w:val="0027299F"/>
    <w:rsid w:val="00284EBE"/>
    <w:rsid w:val="002850A0"/>
    <w:rsid w:val="002903A7"/>
    <w:rsid w:val="00291366"/>
    <w:rsid w:val="00292674"/>
    <w:rsid w:val="0029433F"/>
    <w:rsid w:val="00294829"/>
    <w:rsid w:val="0029690F"/>
    <w:rsid w:val="00297C8A"/>
    <w:rsid w:val="002A1DB2"/>
    <w:rsid w:val="002A2A60"/>
    <w:rsid w:val="002A37BB"/>
    <w:rsid w:val="002B1C18"/>
    <w:rsid w:val="002B1C45"/>
    <w:rsid w:val="002B2F9F"/>
    <w:rsid w:val="002B3B64"/>
    <w:rsid w:val="002B66ED"/>
    <w:rsid w:val="002C13C8"/>
    <w:rsid w:val="002C3547"/>
    <w:rsid w:val="002C72F3"/>
    <w:rsid w:val="002D0021"/>
    <w:rsid w:val="002D0C55"/>
    <w:rsid w:val="002D0E18"/>
    <w:rsid w:val="002D299D"/>
    <w:rsid w:val="002D3473"/>
    <w:rsid w:val="002E213A"/>
    <w:rsid w:val="002E2697"/>
    <w:rsid w:val="002E38E2"/>
    <w:rsid w:val="002F1956"/>
    <w:rsid w:val="002F3440"/>
    <w:rsid w:val="002F75A3"/>
    <w:rsid w:val="002F7D0F"/>
    <w:rsid w:val="00303C2F"/>
    <w:rsid w:val="0030493B"/>
    <w:rsid w:val="003056CC"/>
    <w:rsid w:val="003144EF"/>
    <w:rsid w:val="00320A75"/>
    <w:rsid w:val="00323BF3"/>
    <w:rsid w:val="00326292"/>
    <w:rsid w:val="00326415"/>
    <w:rsid w:val="00330937"/>
    <w:rsid w:val="00330F31"/>
    <w:rsid w:val="00332EA4"/>
    <w:rsid w:val="00334648"/>
    <w:rsid w:val="0033768C"/>
    <w:rsid w:val="00337938"/>
    <w:rsid w:val="00340769"/>
    <w:rsid w:val="00341AA6"/>
    <w:rsid w:val="0034270D"/>
    <w:rsid w:val="00342A74"/>
    <w:rsid w:val="00352779"/>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A612D"/>
    <w:rsid w:val="003B170F"/>
    <w:rsid w:val="003B3C5F"/>
    <w:rsid w:val="003B41B7"/>
    <w:rsid w:val="003B6014"/>
    <w:rsid w:val="003B6714"/>
    <w:rsid w:val="003C4471"/>
    <w:rsid w:val="003D0A6D"/>
    <w:rsid w:val="003D1EF3"/>
    <w:rsid w:val="003D5130"/>
    <w:rsid w:val="003D70A7"/>
    <w:rsid w:val="003E0B16"/>
    <w:rsid w:val="003E22E2"/>
    <w:rsid w:val="003E5642"/>
    <w:rsid w:val="003E67D1"/>
    <w:rsid w:val="003F62D8"/>
    <w:rsid w:val="003F6783"/>
    <w:rsid w:val="003F776B"/>
    <w:rsid w:val="00401777"/>
    <w:rsid w:val="00404329"/>
    <w:rsid w:val="00405DC1"/>
    <w:rsid w:val="00406AE7"/>
    <w:rsid w:val="00415F1F"/>
    <w:rsid w:val="00416B96"/>
    <w:rsid w:val="0042108F"/>
    <w:rsid w:val="004246E3"/>
    <w:rsid w:val="00430C5C"/>
    <w:rsid w:val="00430FED"/>
    <w:rsid w:val="00434360"/>
    <w:rsid w:val="00434A8C"/>
    <w:rsid w:val="00437297"/>
    <w:rsid w:val="00444284"/>
    <w:rsid w:val="00445CE6"/>
    <w:rsid w:val="004534C2"/>
    <w:rsid w:val="0045446F"/>
    <w:rsid w:val="00454FBC"/>
    <w:rsid w:val="004552F7"/>
    <w:rsid w:val="0045683E"/>
    <w:rsid w:val="004574A1"/>
    <w:rsid w:val="004577D9"/>
    <w:rsid w:val="00465497"/>
    <w:rsid w:val="0046555A"/>
    <w:rsid w:val="00477C72"/>
    <w:rsid w:val="00480528"/>
    <w:rsid w:val="004835C8"/>
    <w:rsid w:val="00483BC6"/>
    <w:rsid w:val="00491675"/>
    <w:rsid w:val="00493855"/>
    <w:rsid w:val="00494E28"/>
    <w:rsid w:val="00495E79"/>
    <w:rsid w:val="004A2D83"/>
    <w:rsid w:val="004A57DD"/>
    <w:rsid w:val="004A7B51"/>
    <w:rsid w:val="004A7D71"/>
    <w:rsid w:val="004A7EF3"/>
    <w:rsid w:val="004B11FD"/>
    <w:rsid w:val="004B23A2"/>
    <w:rsid w:val="004B2BC5"/>
    <w:rsid w:val="004B2F6B"/>
    <w:rsid w:val="004B4AA5"/>
    <w:rsid w:val="004B73B4"/>
    <w:rsid w:val="004C294D"/>
    <w:rsid w:val="004D1A5A"/>
    <w:rsid w:val="004D2FFF"/>
    <w:rsid w:val="004D363D"/>
    <w:rsid w:val="004D3721"/>
    <w:rsid w:val="004D64F9"/>
    <w:rsid w:val="004D7749"/>
    <w:rsid w:val="004E30B0"/>
    <w:rsid w:val="004E3A6B"/>
    <w:rsid w:val="004E4114"/>
    <w:rsid w:val="004E622C"/>
    <w:rsid w:val="004E6D1C"/>
    <w:rsid w:val="004E7D70"/>
    <w:rsid w:val="004F1E29"/>
    <w:rsid w:val="004F5DE9"/>
    <w:rsid w:val="004F5FDF"/>
    <w:rsid w:val="004F716A"/>
    <w:rsid w:val="00506528"/>
    <w:rsid w:val="00510B34"/>
    <w:rsid w:val="00513A41"/>
    <w:rsid w:val="005177FE"/>
    <w:rsid w:val="0052090E"/>
    <w:rsid w:val="0052263B"/>
    <w:rsid w:val="00524728"/>
    <w:rsid w:val="005312B3"/>
    <w:rsid w:val="00531721"/>
    <w:rsid w:val="005331CA"/>
    <w:rsid w:val="00537970"/>
    <w:rsid w:val="00540E3A"/>
    <w:rsid w:val="00544127"/>
    <w:rsid w:val="005463A9"/>
    <w:rsid w:val="00546D65"/>
    <w:rsid w:val="00551CF6"/>
    <w:rsid w:val="0055251A"/>
    <w:rsid w:val="00553EB2"/>
    <w:rsid w:val="0055433A"/>
    <w:rsid w:val="00560534"/>
    <w:rsid w:val="0056391B"/>
    <w:rsid w:val="005650E2"/>
    <w:rsid w:val="00565DF5"/>
    <w:rsid w:val="005662E9"/>
    <w:rsid w:val="00567AD7"/>
    <w:rsid w:val="005758A7"/>
    <w:rsid w:val="00575B2D"/>
    <w:rsid w:val="005771EA"/>
    <w:rsid w:val="0058230B"/>
    <w:rsid w:val="005833D0"/>
    <w:rsid w:val="005846F3"/>
    <w:rsid w:val="0058622F"/>
    <w:rsid w:val="00592F82"/>
    <w:rsid w:val="005939C8"/>
    <w:rsid w:val="005A0CCA"/>
    <w:rsid w:val="005A6ED5"/>
    <w:rsid w:val="005A6FF2"/>
    <w:rsid w:val="005A726D"/>
    <w:rsid w:val="005B5514"/>
    <w:rsid w:val="005B67AC"/>
    <w:rsid w:val="005B79F4"/>
    <w:rsid w:val="005C523F"/>
    <w:rsid w:val="005C529D"/>
    <w:rsid w:val="005C5B99"/>
    <w:rsid w:val="005C5D9A"/>
    <w:rsid w:val="005D16DD"/>
    <w:rsid w:val="005D43E0"/>
    <w:rsid w:val="005D58A3"/>
    <w:rsid w:val="005E1B79"/>
    <w:rsid w:val="005E32B3"/>
    <w:rsid w:val="005E6076"/>
    <w:rsid w:val="005E7008"/>
    <w:rsid w:val="005E78B6"/>
    <w:rsid w:val="005E7EC1"/>
    <w:rsid w:val="005F026D"/>
    <w:rsid w:val="005F2AEA"/>
    <w:rsid w:val="005F2D0B"/>
    <w:rsid w:val="005F4B31"/>
    <w:rsid w:val="005F6951"/>
    <w:rsid w:val="00600A30"/>
    <w:rsid w:val="00610388"/>
    <w:rsid w:val="00610AC7"/>
    <w:rsid w:val="00612CA5"/>
    <w:rsid w:val="006153EC"/>
    <w:rsid w:val="006155A9"/>
    <w:rsid w:val="00617610"/>
    <w:rsid w:val="00620CC3"/>
    <w:rsid w:val="00621A17"/>
    <w:rsid w:val="00622586"/>
    <w:rsid w:val="00625778"/>
    <w:rsid w:val="00627CC9"/>
    <w:rsid w:val="00627E7B"/>
    <w:rsid w:val="006302A0"/>
    <w:rsid w:val="00630542"/>
    <w:rsid w:val="00631DDB"/>
    <w:rsid w:val="00632E44"/>
    <w:rsid w:val="00634622"/>
    <w:rsid w:val="006358BA"/>
    <w:rsid w:val="00636808"/>
    <w:rsid w:val="00641515"/>
    <w:rsid w:val="00643A17"/>
    <w:rsid w:val="006452E6"/>
    <w:rsid w:val="00645F3A"/>
    <w:rsid w:val="006532AA"/>
    <w:rsid w:val="00654AF0"/>
    <w:rsid w:val="00654C2F"/>
    <w:rsid w:val="00654C95"/>
    <w:rsid w:val="006566D2"/>
    <w:rsid w:val="00657087"/>
    <w:rsid w:val="00661BA6"/>
    <w:rsid w:val="00661D51"/>
    <w:rsid w:val="006639DB"/>
    <w:rsid w:val="006661EF"/>
    <w:rsid w:val="00670CB1"/>
    <w:rsid w:val="00673B22"/>
    <w:rsid w:val="00677AEB"/>
    <w:rsid w:val="00680EF2"/>
    <w:rsid w:val="00684441"/>
    <w:rsid w:val="00687A1D"/>
    <w:rsid w:val="006967D7"/>
    <w:rsid w:val="00697EA1"/>
    <w:rsid w:val="006A2646"/>
    <w:rsid w:val="006A3012"/>
    <w:rsid w:val="006A5CC1"/>
    <w:rsid w:val="006A6530"/>
    <w:rsid w:val="006B435A"/>
    <w:rsid w:val="006B4C64"/>
    <w:rsid w:val="006C03D4"/>
    <w:rsid w:val="006C794F"/>
    <w:rsid w:val="006D2BBF"/>
    <w:rsid w:val="006D5E1E"/>
    <w:rsid w:val="006D6BD5"/>
    <w:rsid w:val="006E4183"/>
    <w:rsid w:val="006E481A"/>
    <w:rsid w:val="006E5298"/>
    <w:rsid w:val="006F2457"/>
    <w:rsid w:val="006F4A78"/>
    <w:rsid w:val="006F734A"/>
    <w:rsid w:val="00700D83"/>
    <w:rsid w:val="00703E01"/>
    <w:rsid w:val="00704852"/>
    <w:rsid w:val="007074E9"/>
    <w:rsid w:val="007125BD"/>
    <w:rsid w:val="00713DA4"/>
    <w:rsid w:val="00714BF1"/>
    <w:rsid w:val="00716A47"/>
    <w:rsid w:val="00721383"/>
    <w:rsid w:val="00723343"/>
    <w:rsid w:val="007237A9"/>
    <w:rsid w:val="00726B93"/>
    <w:rsid w:val="00730E8C"/>
    <w:rsid w:val="0073158B"/>
    <w:rsid w:val="007333CC"/>
    <w:rsid w:val="0073399A"/>
    <w:rsid w:val="00737587"/>
    <w:rsid w:val="00740DAD"/>
    <w:rsid w:val="0075476C"/>
    <w:rsid w:val="007603F5"/>
    <w:rsid w:val="00764DB0"/>
    <w:rsid w:val="0076764D"/>
    <w:rsid w:val="0077498C"/>
    <w:rsid w:val="00775109"/>
    <w:rsid w:val="007809BC"/>
    <w:rsid w:val="00781734"/>
    <w:rsid w:val="007818AF"/>
    <w:rsid w:val="00784128"/>
    <w:rsid w:val="00784A74"/>
    <w:rsid w:val="00784E9B"/>
    <w:rsid w:val="0078564D"/>
    <w:rsid w:val="00787521"/>
    <w:rsid w:val="00787BCC"/>
    <w:rsid w:val="00793173"/>
    <w:rsid w:val="00796160"/>
    <w:rsid w:val="00796810"/>
    <w:rsid w:val="007A0F86"/>
    <w:rsid w:val="007A2A33"/>
    <w:rsid w:val="007A50B0"/>
    <w:rsid w:val="007A6E86"/>
    <w:rsid w:val="007B5C89"/>
    <w:rsid w:val="007B61DB"/>
    <w:rsid w:val="007C1FCC"/>
    <w:rsid w:val="007C23F2"/>
    <w:rsid w:val="007C6201"/>
    <w:rsid w:val="007C6CC7"/>
    <w:rsid w:val="007C7036"/>
    <w:rsid w:val="007D3C92"/>
    <w:rsid w:val="007D55FE"/>
    <w:rsid w:val="007D7C92"/>
    <w:rsid w:val="007E1154"/>
    <w:rsid w:val="007E40F0"/>
    <w:rsid w:val="007E6BA4"/>
    <w:rsid w:val="007E7678"/>
    <w:rsid w:val="007F41F8"/>
    <w:rsid w:val="007F659B"/>
    <w:rsid w:val="007F7FA2"/>
    <w:rsid w:val="0080454E"/>
    <w:rsid w:val="00804C32"/>
    <w:rsid w:val="00806302"/>
    <w:rsid w:val="00807119"/>
    <w:rsid w:val="0082483F"/>
    <w:rsid w:val="0082694D"/>
    <w:rsid w:val="008277A3"/>
    <w:rsid w:val="008279C0"/>
    <w:rsid w:val="00831582"/>
    <w:rsid w:val="008349AD"/>
    <w:rsid w:val="0083600F"/>
    <w:rsid w:val="0084683C"/>
    <w:rsid w:val="00851178"/>
    <w:rsid w:val="00853901"/>
    <w:rsid w:val="008560C4"/>
    <w:rsid w:val="008569B9"/>
    <w:rsid w:val="008569BF"/>
    <w:rsid w:val="00856BD4"/>
    <w:rsid w:val="00867701"/>
    <w:rsid w:val="008723F3"/>
    <w:rsid w:val="008745D9"/>
    <w:rsid w:val="00874744"/>
    <w:rsid w:val="00876F56"/>
    <w:rsid w:val="00881DE6"/>
    <w:rsid w:val="008837A6"/>
    <w:rsid w:val="0088490D"/>
    <w:rsid w:val="0089145D"/>
    <w:rsid w:val="008A0C22"/>
    <w:rsid w:val="008A4DF2"/>
    <w:rsid w:val="008A6CFE"/>
    <w:rsid w:val="008B0F78"/>
    <w:rsid w:val="008B155E"/>
    <w:rsid w:val="008B16E7"/>
    <w:rsid w:val="008B5333"/>
    <w:rsid w:val="008B6223"/>
    <w:rsid w:val="008B779D"/>
    <w:rsid w:val="008C66E0"/>
    <w:rsid w:val="008E3339"/>
    <w:rsid w:val="008E6553"/>
    <w:rsid w:val="008F20FC"/>
    <w:rsid w:val="008F5FFE"/>
    <w:rsid w:val="00905A43"/>
    <w:rsid w:val="00912C79"/>
    <w:rsid w:val="00914638"/>
    <w:rsid w:val="00921B8C"/>
    <w:rsid w:val="00942123"/>
    <w:rsid w:val="009426C4"/>
    <w:rsid w:val="0095207B"/>
    <w:rsid w:val="00954F89"/>
    <w:rsid w:val="00962045"/>
    <w:rsid w:val="009734DE"/>
    <w:rsid w:val="00975A7E"/>
    <w:rsid w:val="00980E61"/>
    <w:rsid w:val="00982D07"/>
    <w:rsid w:val="009842F2"/>
    <w:rsid w:val="00987CB1"/>
    <w:rsid w:val="00991428"/>
    <w:rsid w:val="00992676"/>
    <w:rsid w:val="00994947"/>
    <w:rsid w:val="009954B2"/>
    <w:rsid w:val="00995576"/>
    <w:rsid w:val="00996691"/>
    <w:rsid w:val="009A3AB7"/>
    <w:rsid w:val="009B05FB"/>
    <w:rsid w:val="009B0723"/>
    <w:rsid w:val="009B07AD"/>
    <w:rsid w:val="009B0883"/>
    <w:rsid w:val="009B15E2"/>
    <w:rsid w:val="009B27F8"/>
    <w:rsid w:val="009B4976"/>
    <w:rsid w:val="009C0B8E"/>
    <w:rsid w:val="009C1BC8"/>
    <w:rsid w:val="009C2442"/>
    <w:rsid w:val="009C5286"/>
    <w:rsid w:val="009C616E"/>
    <w:rsid w:val="009D0811"/>
    <w:rsid w:val="009D0EE1"/>
    <w:rsid w:val="009D23C6"/>
    <w:rsid w:val="009D4C81"/>
    <w:rsid w:val="009D62BD"/>
    <w:rsid w:val="009E2A56"/>
    <w:rsid w:val="009E2AEB"/>
    <w:rsid w:val="009E2E27"/>
    <w:rsid w:val="009E3DF6"/>
    <w:rsid w:val="009E45DF"/>
    <w:rsid w:val="009E4DE3"/>
    <w:rsid w:val="009E717E"/>
    <w:rsid w:val="009F0666"/>
    <w:rsid w:val="009F1595"/>
    <w:rsid w:val="009F206F"/>
    <w:rsid w:val="009F275E"/>
    <w:rsid w:val="00A01DDA"/>
    <w:rsid w:val="00A047EE"/>
    <w:rsid w:val="00A2274A"/>
    <w:rsid w:val="00A235B7"/>
    <w:rsid w:val="00A27A7A"/>
    <w:rsid w:val="00A34ABE"/>
    <w:rsid w:val="00A407EF"/>
    <w:rsid w:val="00A40885"/>
    <w:rsid w:val="00A46B4C"/>
    <w:rsid w:val="00A5117B"/>
    <w:rsid w:val="00A568A0"/>
    <w:rsid w:val="00A56D34"/>
    <w:rsid w:val="00A57528"/>
    <w:rsid w:val="00A60074"/>
    <w:rsid w:val="00A64900"/>
    <w:rsid w:val="00A6627C"/>
    <w:rsid w:val="00A67051"/>
    <w:rsid w:val="00A71019"/>
    <w:rsid w:val="00A81029"/>
    <w:rsid w:val="00A83871"/>
    <w:rsid w:val="00A84283"/>
    <w:rsid w:val="00A845F5"/>
    <w:rsid w:val="00A915E4"/>
    <w:rsid w:val="00A92054"/>
    <w:rsid w:val="00A94591"/>
    <w:rsid w:val="00A94F39"/>
    <w:rsid w:val="00A96489"/>
    <w:rsid w:val="00AB124F"/>
    <w:rsid w:val="00AB2425"/>
    <w:rsid w:val="00AB298E"/>
    <w:rsid w:val="00AB2A3E"/>
    <w:rsid w:val="00AB4451"/>
    <w:rsid w:val="00AB6201"/>
    <w:rsid w:val="00AB685C"/>
    <w:rsid w:val="00AB6C2D"/>
    <w:rsid w:val="00AC08F7"/>
    <w:rsid w:val="00AC3839"/>
    <w:rsid w:val="00AC7082"/>
    <w:rsid w:val="00AD2A6C"/>
    <w:rsid w:val="00AD4BE8"/>
    <w:rsid w:val="00AD6223"/>
    <w:rsid w:val="00AE2020"/>
    <w:rsid w:val="00AE43E0"/>
    <w:rsid w:val="00AF228E"/>
    <w:rsid w:val="00AF44E3"/>
    <w:rsid w:val="00AF5D9C"/>
    <w:rsid w:val="00B016A8"/>
    <w:rsid w:val="00B0766E"/>
    <w:rsid w:val="00B14819"/>
    <w:rsid w:val="00B1527E"/>
    <w:rsid w:val="00B15C97"/>
    <w:rsid w:val="00B15E2F"/>
    <w:rsid w:val="00B17582"/>
    <w:rsid w:val="00B17AA9"/>
    <w:rsid w:val="00B32DE4"/>
    <w:rsid w:val="00B40EA4"/>
    <w:rsid w:val="00B44713"/>
    <w:rsid w:val="00B44D9A"/>
    <w:rsid w:val="00B50EA0"/>
    <w:rsid w:val="00B51B95"/>
    <w:rsid w:val="00B54D7D"/>
    <w:rsid w:val="00B56103"/>
    <w:rsid w:val="00B642AD"/>
    <w:rsid w:val="00B64929"/>
    <w:rsid w:val="00B736DF"/>
    <w:rsid w:val="00B743D6"/>
    <w:rsid w:val="00B74FBD"/>
    <w:rsid w:val="00B77F46"/>
    <w:rsid w:val="00B81AE8"/>
    <w:rsid w:val="00B82586"/>
    <w:rsid w:val="00B829A3"/>
    <w:rsid w:val="00B82E27"/>
    <w:rsid w:val="00B86DB1"/>
    <w:rsid w:val="00B87869"/>
    <w:rsid w:val="00B9639B"/>
    <w:rsid w:val="00BA4503"/>
    <w:rsid w:val="00BA7F71"/>
    <w:rsid w:val="00BB0F2B"/>
    <w:rsid w:val="00BC159B"/>
    <w:rsid w:val="00BC2272"/>
    <w:rsid w:val="00BC430A"/>
    <w:rsid w:val="00BE1A6A"/>
    <w:rsid w:val="00BE4FF3"/>
    <w:rsid w:val="00BE5B8E"/>
    <w:rsid w:val="00BE65AA"/>
    <w:rsid w:val="00BF42A8"/>
    <w:rsid w:val="00BF50F7"/>
    <w:rsid w:val="00BF7056"/>
    <w:rsid w:val="00C02F29"/>
    <w:rsid w:val="00C041E8"/>
    <w:rsid w:val="00C05347"/>
    <w:rsid w:val="00C0731E"/>
    <w:rsid w:val="00C105DA"/>
    <w:rsid w:val="00C14119"/>
    <w:rsid w:val="00C17718"/>
    <w:rsid w:val="00C20AFE"/>
    <w:rsid w:val="00C21EB5"/>
    <w:rsid w:val="00C22A25"/>
    <w:rsid w:val="00C24C02"/>
    <w:rsid w:val="00C2645B"/>
    <w:rsid w:val="00C27B8C"/>
    <w:rsid w:val="00C35671"/>
    <w:rsid w:val="00C35B77"/>
    <w:rsid w:val="00C376EB"/>
    <w:rsid w:val="00C46A92"/>
    <w:rsid w:val="00C46EC1"/>
    <w:rsid w:val="00C52796"/>
    <w:rsid w:val="00C52886"/>
    <w:rsid w:val="00C5332A"/>
    <w:rsid w:val="00C53E2C"/>
    <w:rsid w:val="00C550C8"/>
    <w:rsid w:val="00C55824"/>
    <w:rsid w:val="00C56B61"/>
    <w:rsid w:val="00C606C3"/>
    <w:rsid w:val="00C620F4"/>
    <w:rsid w:val="00C64150"/>
    <w:rsid w:val="00C66D43"/>
    <w:rsid w:val="00C7085D"/>
    <w:rsid w:val="00C72848"/>
    <w:rsid w:val="00C73D53"/>
    <w:rsid w:val="00C7736C"/>
    <w:rsid w:val="00C77C8A"/>
    <w:rsid w:val="00C82D87"/>
    <w:rsid w:val="00C8671A"/>
    <w:rsid w:val="00C8712A"/>
    <w:rsid w:val="00C87FF9"/>
    <w:rsid w:val="00C902C8"/>
    <w:rsid w:val="00C919D1"/>
    <w:rsid w:val="00C960CA"/>
    <w:rsid w:val="00C963D3"/>
    <w:rsid w:val="00C973A8"/>
    <w:rsid w:val="00CB14C4"/>
    <w:rsid w:val="00CB1983"/>
    <w:rsid w:val="00CB2480"/>
    <w:rsid w:val="00CB2CBB"/>
    <w:rsid w:val="00CB58CF"/>
    <w:rsid w:val="00CB5FD0"/>
    <w:rsid w:val="00CB7CAC"/>
    <w:rsid w:val="00CC158E"/>
    <w:rsid w:val="00CC5335"/>
    <w:rsid w:val="00CC5742"/>
    <w:rsid w:val="00CC5BA4"/>
    <w:rsid w:val="00CD4998"/>
    <w:rsid w:val="00CE05A6"/>
    <w:rsid w:val="00CE1035"/>
    <w:rsid w:val="00CE5A6A"/>
    <w:rsid w:val="00CE6A70"/>
    <w:rsid w:val="00CE6E50"/>
    <w:rsid w:val="00CF14BE"/>
    <w:rsid w:val="00CF2819"/>
    <w:rsid w:val="00CF3A5A"/>
    <w:rsid w:val="00CF4F9D"/>
    <w:rsid w:val="00CF6E14"/>
    <w:rsid w:val="00CF70DC"/>
    <w:rsid w:val="00D0080B"/>
    <w:rsid w:val="00D1030E"/>
    <w:rsid w:val="00D148DC"/>
    <w:rsid w:val="00D17FDC"/>
    <w:rsid w:val="00D21D8C"/>
    <w:rsid w:val="00D21F25"/>
    <w:rsid w:val="00D22565"/>
    <w:rsid w:val="00D266D2"/>
    <w:rsid w:val="00D307FA"/>
    <w:rsid w:val="00D53719"/>
    <w:rsid w:val="00D63EFD"/>
    <w:rsid w:val="00D6427A"/>
    <w:rsid w:val="00D65741"/>
    <w:rsid w:val="00D71413"/>
    <w:rsid w:val="00D77884"/>
    <w:rsid w:val="00D80DC2"/>
    <w:rsid w:val="00D84752"/>
    <w:rsid w:val="00D86B3B"/>
    <w:rsid w:val="00D8748A"/>
    <w:rsid w:val="00D93196"/>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4C8B"/>
    <w:rsid w:val="00DF54E0"/>
    <w:rsid w:val="00DF75F8"/>
    <w:rsid w:val="00DF7A3A"/>
    <w:rsid w:val="00E00C00"/>
    <w:rsid w:val="00E07C5A"/>
    <w:rsid w:val="00E15BA9"/>
    <w:rsid w:val="00E23A7A"/>
    <w:rsid w:val="00E26E19"/>
    <w:rsid w:val="00E3041B"/>
    <w:rsid w:val="00E30CC7"/>
    <w:rsid w:val="00E31DF3"/>
    <w:rsid w:val="00E40797"/>
    <w:rsid w:val="00E42C21"/>
    <w:rsid w:val="00E450A4"/>
    <w:rsid w:val="00E45264"/>
    <w:rsid w:val="00E45B05"/>
    <w:rsid w:val="00E506BE"/>
    <w:rsid w:val="00E522E3"/>
    <w:rsid w:val="00E534E3"/>
    <w:rsid w:val="00E55547"/>
    <w:rsid w:val="00E6302B"/>
    <w:rsid w:val="00E6452F"/>
    <w:rsid w:val="00E64F45"/>
    <w:rsid w:val="00E65220"/>
    <w:rsid w:val="00E6742D"/>
    <w:rsid w:val="00E700E4"/>
    <w:rsid w:val="00E71CB0"/>
    <w:rsid w:val="00E73133"/>
    <w:rsid w:val="00E73C3B"/>
    <w:rsid w:val="00E77C3D"/>
    <w:rsid w:val="00E87A2C"/>
    <w:rsid w:val="00E90991"/>
    <w:rsid w:val="00E909F0"/>
    <w:rsid w:val="00E90D47"/>
    <w:rsid w:val="00E91E1D"/>
    <w:rsid w:val="00E92B30"/>
    <w:rsid w:val="00E93993"/>
    <w:rsid w:val="00E9597C"/>
    <w:rsid w:val="00E95C42"/>
    <w:rsid w:val="00E966D9"/>
    <w:rsid w:val="00E96FB1"/>
    <w:rsid w:val="00EA0913"/>
    <w:rsid w:val="00EA5B00"/>
    <w:rsid w:val="00EA6F96"/>
    <w:rsid w:val="00EB146B"/>
    <w:rsid w:val="00EB45AC"/>
    <w:rsid w:val="00EB7B75"/>
    <w:rsid w:val="00EC1A1D"/>
    <w:rsid w:val="00EC3644"/>
    <w:rsid w:val="00EC441F"/>
    <w:rsid w:val="00EC4755"/>
    <w:rsid w:val="00EC6665"/>
    <w:rsid w:val="00EC6A65"/>
    <w:rsid w:val="00EC7C9B"/>
    <w:rsid w:val="00ED0BC4"/>
    <w:rsid w:val="00ED21C1"/>
    <w:rsid w:val="00ED29B3"/>
    <w:rsid w:val="00ED2A08"/>
    <w:rsid w:val="00ED447D"/>
    <w:rsid w:val="00ED6CBB"/>
    <w:rsid w:val="00EE030D"/>
    <w:rsid w:val="00EE4971"/>
    <w:rsid w:val="00EE6CB0"/>
    <w:rsid w:val="00EF090E"/>
    <w:rsid w:val="00EF4D30"/>
    <w:rsid w:val="00EF4EE8"/>
    <w:rsid w:val="00EF5572"/>
    <w:rsid w:val="00EF632A"/>
    <w:rsid w:val="00F033DA"/>
    <w:rsid w:val="00F0392F"/>
    <w:rsid w:val="00F04BDB"/>
    <w:rsid w:val="00F130CF"/>
    <w:rsid w:val="00F13691"/>
    <w:rsid w:val="00F13FB1"/>
    <w:rsid w:val="00F22C53"/>
    <w:rsid w:val="00F27CD8"/>
    <w:rsid w:val="00F30351"/>
    <w:rsid w:val="00F31907"/>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76CFE"/>
    <w:rsid w:val="00F83F59"/>
    <w:rsid w:val="00F84715"/>
    <w:rsid w:val="00F85837"/>
    <w:rsid w:val="00F860C9"/>
    <w:rsid w:val="00F87B8B"/>
    <w:rsid w:val="00F927F0"/>
    <w:rsid w:val="00F94E23"/>
    <w:rsid w:val="00F97C5B"/>
    <w:rsid w:val="00FA0175"/>
    <w:rsid w:val="00FA3D50"/>
    <w:rsid w:val="00FA4DD1"/>
    <w:rsid w:val="00FA721C"/>
    <w:rsid w:val="00FB4EBC"/>
    <w:rsid w:val="00FB7FBD"/>
    <w:rsid w:val="00FC03CD"/>
    <w:rsid w:val="00FC32B6"/>
    <w:rsid w:val="00FC374A"/>
    <w:rsid w:val="00FC50AA"/>
    <w:rsid w:val="00FC74C8"/>
    <w:rsid w:val="00FC7B47"/>
    <w:rsid w:val="00FD035C"/>
    <w:rsid w:val="00FD1A35"/>
    <w:rsid w:val="00FD2EA4"/>
    <w:rsid w:val="00FD36C5"/>
    <w:rsid w:val="00FD4FF5"/>
    <w:rsid w:val="00FD6310"/>
    <w:rsid w:val="00FD7C7B"/>
    <w:rsid w:val="00FE1D12"/>
    <w:rsid w:val="00FE2122"/>
    <w:rsid w:val="00FE26F6"/>
    <w:rsid w:val="00FE2A86"/>
    <w:rsid w:val="00FE2DE2"/>
    <w:rsid w:val="00FF045E"/>
    <w:rsid w:val="00FF296F"/>
    <w:rsid w:val="00FF366A"/>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Pages>
  <Words>6071</Words>
  <Characters>34606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dc:creator>
  <cp:lastModifiedBy>OAKSHIRE</cp:lastModifiedBy>
  <cp:revision>41</cp:revision>
  <dcterms:created xsi:type="dcterms:W3CDTF">2022-03-04T03:23:00Z</dcterms:created>
  <dcterms:modified xsi:type="dcterms:W3CDTF">2022-05-29T07:09:00Z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