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1103C" w:rsidRDefault="00AE5B6F" w:rsidP="00B04033">
      <w:pPr>
        <w:pStyle w:val="ListParagraph"/>
        <w:numPr>
          <w:ilvl w:val="0"/>
          <w:numId w:val="1"/>
        </w:numPr>
        <w:ind w:left="426"/>
        <w:jc w:val="both"/>
        <w:rPr>
          <w:rFonts w:ascii="Arial" w:hAnsi="Arial" w:cs="Arial"/>
          <w:sz w:val="22"/>
          <w:szCs w:val="22"/>
          <w:highlight w:val="yellow"/>
          <w:lang w:val="en-GB"/>
        </w:rPr>
      </w:pPr>
      <w:r w:rsidRPr="00B1103C">
        <w:rPr>
          <w:rFonts w:ascii="Arial" w:hAnsi="Arial" w:cs="Arial"/>
          <w:sz w:val="22"/>
          <w:szCs w:val="22"/>
          <w:highlight w:val="yellow"/>
          <w:lang w:val="en-GB"/>
        </w:rPr>
        <w:t>w</w:t>
      </w:r>
      <w:r w:rsidR="00C91062" w:rsidRPr="00B1103C">
        <w:rPr>
          <w:rFonts w:ascii="Arial" w:hAnsi="Arial" w:cs="Arial"/>
          <w:sz w:val="22"/>
          <w:szCs w:val="22"/>
          <w:highlight w:val="yellow"/>
          <w:lang w:val="en-GB"/>
        </w:rPr>
        <w:t>ithin 8 weeks of the commencement of the administration</w:t>
      </w:r>
      <w:r w:rsidR="00763348" w:rsidRPr="00B1103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B1103C" w:rsidRDefault="00E443D7" w:rsidP="00B04033">
      <w:pPr>
        <w:pStyle w:val="ListParagraph"/>
        <w:numPr>
          <w:ilvl w:val="0"/>
          <w:numId w:val="2"/>
        </w:numPr>
        <w:ind w:left="426"/>
        <w:jc w:val="both"/>
        <w:rPr>
          <w:rFonts w:ascii="Arial" w:hAnsi="Arial" w:cs="Arial"/>
          <w:sz w:val="22"/>
          <w:szCs w:val="22"/>
          <w:highlight w:val="yellow"/>
          <w:lang w:val="en-GB"/>
        </w:rPr>
      </w:pPr>
      <w:r w:rsidRPr="00B1103C">
        <w:rPr>
          <w:rFonts w:ascii="Arial" w:hAnsi="Arial" w:cs="Arial"/>
          <w:sz w:val="22"/>
          <w:szCs w:val="22"/>
          <w:highlight w:val="yellow"/>
          <w:lang w:val="en-GB"/>
        </w:rPr>
        <w:t>One year</w:t>
      </w:r>
      <w:r w:rsidR="00763348" w:rsidRPr="00B1103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771685" w:rsidRDefault="00AE5B6F" w:rsidP="00B04033">
      <w:pPr>
        <w:pStyle w:val="ListParagraph"/>
        <w:numPr>
          <w:ilvl w:val="0"/>
          <w:numId w:val="3"/>
        </w:numPr>
        <w:ind w:left="426"/>
        <w:jc w:val="both"/>
        <w:rPr>
          <w:rFonts w:ascii="Arial" w:hAnsi="Arial" w:cs="Arial"/>
          <w:sz w:val="22"/>
          <w:szCs w:val="22"/>
          <w:highlight w:val="yellow"/>
          <w:lang w:val="en-GB"/>
        </w:rPr>
      </w:pPr>
      <w:r w:rsidRPr="00771685">
        <w:rPr>
          <w:rFonts w:ascii="Arial" w:hAnsi="Arial" w:cs="Arial"/>
          <w:sz w:val="22"/>
          <w:szCs w:val="22"/>
          <w:highlight w:val="yellow"/>
          <w:lang w:val="en-GB"/>
        </w:rPr>
        <w:t>T</w:t>
      </w:r>
      <w:r w:rsidR="008D1616" w:rsidRPr="00771685">
        <w:rPr>
          <w:rFonts w:ascii="Arial" w:hAnsi="Arial" w:cs="Arial"/>
          <w:sz w:val="22"/>
          <w:szCs w:val="22"/>
          <w:highlight w:val="yellow"/>
          <w:lang w:val="en-GB"/>
        </w:rPr>
        <w:t>he company is, or is likely to become, unable to pay their debts, as defined under s</w:t>
      </w:r>
      <w:r w:rsidR="00E833F4" w:rsidRPr="00771685">
        <w:rPr>
          <w:rFonts w:ascii="Arial" w:hAnsi="Arial" w:cs="Arial"/>
          <w:sz w:val="22"/>
          <w:szCs w:val="22"/>
          <w:highlight w:val="yellow"/>
          <w:lang w:val="en-GB"/>
        </w:rPr>
        <w:t>ection</w:t>
      </w:r>
      <w:r w:rsidR="008D1616" w:rsidRPr="00771685">
        <w:rPr>
          <w:rFonts w:ascii="Arial" w:hAnsi="Arial" w:cs="Arial"/>
          <w:sz w:val="22"/>
          <w:szCs w:val="22"/>
          <w:highlight w:val="yellow"/>
          <w:lang w:val="en-GB"/>
        </w:rPr>
        <w:t xml:space="preserve"> 123 of the Insolvency Act 1986</w:t>
      </w:r>
      <w:r w:rsidR="00763348" w:rsidRPr="00771685">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771685" w:rsidRDefault="00C91062" w:rsidP="00B04033">
      <w:pPr>
        <w:pStyle w:val="ListParagraph"/>
        <w:numPr>
          <w:ilvl w:val="0"/>
          <w:numId w:val="4"/>
        </w:numPr>
        <w:ind w:left="426"/>
        <w:jc w:val="both"/>
        <w:rPr>
          <w:rFonts w:ascii="Arial" w:hAnsi="Arial" w:cs="Arial"/>
          <w:sz w:val="22"/>
          <w:szCs w:val="22"/>
          <w:highlight w:val="yellow"/>
          <w:lang w:val="en-GB"/>
        </w:rPr>
      </w:pPr>
      <w:r w:rsidRPr="00771685">
        <w:rPr>
          <w:rFonts w:ascii="Arial" w:hAnsi="Arial" w:cs="Arial"/>
          <w:sz w:val="22"/>
          <w:szCs w:val="22"/>
          <w:highlight w:val="yellow"/>
          <w:lang w:val="en-GB"/>
        </w:rPr>
        <w:t>The purchaser</w:t>
      </w:r>
      <w:r w:rsidR="00763348" w:rsidRPr="00771685">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281440" w:rsidRDefault="00BA1CFD" w:rsidP="00B04033">
      <w:pPr>
        <w:pStyle w:val="ListParagraph"/>
        <w:numPr>
          <w:ilvl w:val="0"/>
          <w:numId w:val="5"/>
        </w:numPr>
        <w:ind w:left="426"/>
        <w:jc w:val="both"/>
        <w:rPr>
          <w:rFonts w:ascii="Arial" w:hAnsi="Arial" w:cs="Arial"/>
          <w:sz w:val="22"/>
          <w:szCs w:val="22"/>
          <w:highlight w:val="yellow"/>
          <w:lang w:val="en-GB"/>
        </w:rPr>
      </w:pPr>
      <w:r w:rsidRPr="00281440">
        <w:rPr>
          <w:rFonts w:ascii="Arial" w:hAnsi="Arial" w:cs="Arial"/>
          <w:sz w:val="22"/>
          <w:szCs w:val="22"/>
          <w:highlight w:val="yellow"/>
          <w:lang w:val="en-GB"/>
        </w:rPr>
        <w:t>Administration</w:t>
      </w:r>
      <w:r w:rsidR="00763348" w:rsidRPr="00281440">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281440" w:rsidRDefault="00BA1CFD" w:rsidP="00B04033">
      <w:pPr>
        <w:pStyle w:val="ListParagraph"/>
        <w:numPr>
          <w:ilvl w:val="0"/>
          <w:numId w:val="6"/>
        </w:numPr>
        <w:ind w:left="426"/>
        <w:jc w:val="both"/>
        <w:rPr>
          <w:rFonts w:ascii="Arial" w:hAnsi="Arial" w:cs="Arial"/>
          <w:sz w:val="22"/>
          <w:szCs w:val="22"/>
          <w:highlight w:val="yellow"/>
          <w:lang w:val="en-GB"/>
        </w:rPr>
      </w:pPr>
      <w:r w:rsidRPr="0028144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5F69B1" w:rsidRDefault="00BA1CFD" w:rsidP="00B04033">
      <w:pPr>
        <w:pStyle w:val="ListParagraph"/>
        <w:numPr>
          <w:ilvl w:val="0"/>
          <w:numId w:val="7"/>
        </w:numPr>
        <w:ind w:left="426"/>
        <w:jc w:val="both"/>
        <w:rPr>
          <w:rFonts w:ascii="Arial" w:hAnsi="Arial" w:cs="Arial"/>
          <w:sz w:val="22"/>
          <w:szCs w:val="22"/>
          <w:highlight w:val="yellow"/>
          <w:lang w:val="en-GB"/>
        </w:rPr>
      </w:pPr>
      <w:r w:rsidRPr="005F69B1">
        <w:rPr>
          <w:rFonts w:ascii="Arial" w:hAnsi="Arial" w:cs="Arial"/>
          <w:sz w:val="22"/>
          <w:szCs w:val="22"/>
          <w:highlight w:val="yellow"/>
          <w:lang w:val="en-GB"/>
        </w:rPr>
        <w:t>Wrongful trading</w:t>
      </w:r>
      <w:r w:rsidR="00763348" w:rsidRPr="005F69B1">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CB03E2" w:rsidRDefault="00876F56" w:rsidP="00B04033">
      <w:pPr>
        <w:pStyle w:val="ListParagraph"/>
        <w:numPr>
          <w:ilvl w:val="0"/>
          <w:numId w:val="8"/>
        </w:numPr>
        <w:ind w:left="426"/>
        <w:jc w:val="both"/>
        <w:rPr>
          <w:rFonts w:ascii="Arial" w:hAnsi="Arial" w:cs="Arial"/>
          <w:sz w:val="22"/>
          <w:szCs w:val="22"/>
          <w:highlight w:val="yellow"/>
          <w:lang w:val="en-GB"/>
        </w:rPr>
      </w:pPr>
      <w:r w:rsidRPr="00CB03E2">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CB03E2" w:rsidRDefault="00E833F4" w:rsidP="00B04033">
      <w:pPr>
        <w:pStyle w:val="ListParagraph"/>
        <w:numPr>
          <w:ilvl w:val="0"/>
          <w:numId w:val="9"/>
        </w:numPr>
        <w:ind w:left="426"/>
        <w:jc w:val="both"/>
        <w:rPr>
          <w:rFonts w:ascii="Arial" w:hAnsi="Arial" w:cs="Arial"/>
          <w:sz w:val="22"/>
          <w:szCs w:val="22"/>
          <w:highlight w:val="yellow"/>
          <w:lang w:val="en-GB"/>
        </w:rPr>
      </w:pPr>
      <w:r w:rsidRPr="00CB03E2">
        <w:rPr>
          <w:rFonts w:ascii="Arial" w:hAnsi="Arial" w:cs="Arial"/>
          <w:sz w:val="22"/>
          <w:szCs w:val="22"/>
          <w:highlight w:val="yellow"/>
          <w:lang w:val="en-GB"/>
        </w:rPr>
        <w:t>A</w:t>
      </w:r>
      <w:r w:rsidR="000D10C6" w:rsidRPr="00CB03E2">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7D766C" w:rsidRDefault="0020204E" w:rsidP="00B04033">
      <w:pPr>
        <w:pStyle w:val="ListParagraph"/>
        <w:numPr>
          <w:ilvl w:val="0"/>
          <w:numId w:val="10"/>
        </w:numPr>
        <w:ind w:left="426"/>
        <w:jc w:val="both"/>
        <w:rPr>
          <w:rFonts w:ascii="Arial" w:hAnsi="Arial" w:cs="Arial"/>
          <w:sz w:val="22"/>
          <w:szCs w:val="22"/>
          <w:highlight w:val="yellow"/>
          <w:lang w:val="en-GB"/>
        </w:rPr>
      </w:pPr>
      <w:r w:rsidRPr="007D766C">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E165A2B" w:rsidR="00AE5B6F" w:rsidRPr="00AE3264" w:rsidRDefault="000C4B9C" w:rsidP="005E2C03">
      <w:pPr>
        <w:pStyle w:val="ListParagraph"/>
        <w:numPr>
          <w:ilvl w:val="0"/>
          <w:numId w:val="18"/>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following parties may bring action under s</w:t>
      </w:r>
      <w:r w:rsidR="005E2C03" w:rsidRPr="00AE3264">
        <w:rPr>
          <w:rFonts w:ascii="Arial" w:hAnsi="Arial" w:cs="Arial"/>
          <w:color w:val="2F5496" w:themeColor="accent1" w:themeShade="BF"/>
          <w:sz w:val="22"/>
          <w:szCs w:val="22"/>
          <w:lang w:val="en-GB"/>
        </w:rPr>
        <w:t>ection 423 of the Insolvency Act 1986</w:t>
      </w:r>
      <w:r w:rsidR="00275B9C" w:rsidRPr="00AE3264">
        <w:rPr>
          <w:rFonts w:ascii="Arial" w:hAnsi="Arial" w:cs="Arial"/>
          <w:color w:val="2F5496" w:themeColor="accent1" w:themeShade="BF"/>
          <w:sz w:val="22"/>
          <w:szCs w:val="22"/>
          <w:lang w:val="en-GB"/>
        </w:rPr>
        <w:t xml:space="preserve"> to attack transactions defrauding the creditors</w:t>
      </w:r>
      <w:r w:rsidRPr="00AE3264">
        <w:rPr>
          <w:rFonts w:ascii="Arial" w:hAnsi="Arial" w:cs="Arial"/>
          <w:color w:val="2F5496" w:themeColor="accent1" w:themeShade="BF"/>
          <w:sz w:val="22"/>
          <w:szCs w:val="22"/>
          <w:lang w:val="en-GB"/>
        </w:rPr>
        <w:t>;</w:t>
      </w:r>
    </w:p>
    <w:p w14:paraId="647A29B8" w14:textId="24D75A11" w:rsidR="005E2C03" w:rsidRPr="00AE3264" w:rsidRDefault="000D3F32" w:rsidP="000C4B9C">
      <w:pPr>
        <w:pStyle w:val="ListParagraph"/>
        <w:numPr>
          <w:ilvl w:val="0"/>
          <w:numId w:val="19"/>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Where the company is in administration or being wound up</w:t>
      </w:r>
      <w:r w:rsidR="00275B9C"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xml:space="preserve"> t</w:t>
      </w:r>
      <w:r w:rsidR="000C4B9C" w:rsidRPr="00AE3264">
        <w:rPr>
          <w:rFonts w:ascii="Arial" w:hAnsi="Arial" w:cs="Arial"/>
          <w:color w:val="2F5496" w:themeColor="accent1" w:themeShade="BF"/>
          <w:sz w:val="22"/>
          <w:szCs w:val="22"/>
          <w:lang w:val="en-GB"/>
        </w:rPr>
        <w:t xml:space="preserve">he </w:t>
      </w:r>
      <w:r w:rsidRPr="00AE3264">
        <w:rPr>
          <w:rFonts w:ascii="Arial" w:hAnsi="Arial" w:cs="Arial"/>
          <w:color w:val="2F5496" w:themeColor="accent1" w:themeShade="BF"/>
          <w:sz w:val="22"/>
          <w:szCs w:val="22"/>
          <w:lang w:val="en-GB"/>
        </w:rPr>
        <w:t xml:space="preserve">administrator, the official receiver, </w:t>
      </w:r>
      <w:r w:rsidR="000C4B9C" w:rsidRPr="00AE3264">
        <w:rPr>
          <w:rFonts w:ascii="Arial" w:hAnsi="Arial" w:cs="Arial"/>
          <w:color w:val="2F5496" w:themeColor="accent1" w:themeShade="BF"/>
          <w:sz w:val="22"/>
          <w:szCs w:val="22"/>
          <w:lang w:val="en-GB"/>
        </w:rPr>
        <w:t>the liquidator</w:t>
      </w:r>
      <w:r w:rsidRPr="00AE3264">
        <w:rPr>
          <w:rFonts w:ascii="Arial" w:hAnsi="Arial" w:cs="Arial"/>
          <w:color w:val="2F5496" w:themeColor="accent1" w:themeShade="BF"/>
          <w:sz w:val="22"/>
          <w:szCs w:val="22"/>
          <w:lang w:val="en-GB"/>
        </w:rPr>
        <w:t xml:space="preserve">, </w:t>
      </w:r>
      <w:r w:rsidR="002A128C" w:rsidRPr="00AE3264">
        <w:rPr>
          <w:rFonts w:ascii="Arial" w:hAnsi="Arial" w:cs="Arial"/>
          <w:color w:val="2F5496" w:themeColor="accent1" w:themeShade="BF"/>
          <w:sz w:val="22"/>
          <w:szCs w:val="22"/>
          <w:lang w:val="en-GB"/>
        </w:rPr>
        <w:t>or t</w:t>
      </w:r>
      <w:r w:rsidRPr="00AE3264">
        <w:rPr>
          <w:rFonts w:ascii="Arial" w:hAnsi="Arial" w:cs="Arial"/>
          <w:color w:val="2F5496" w:themeColor="accent1" w:themeShade="BF"/>
          <w:sz w:val="22"/>
          <w:szCs w:val="22"/>
          <w:lang w:val="en-GB"/>
        </w:rPr>
        <w:t xml:space="preserve">he victim of such transaction </w:t>
      </w:r>
      <w:r w:rsidR="00275B9C" w:rsidRPr="00AE3264">
        <w:rPr>
          <w:rFonts w:ascii="Arial" w:hAnsi="Arial" w:cs="Arial"/>
          <w:color w:val="2F5496" w:themeColor="accent1" w:themeShade="BF"/>
          <w:sz w:val="22"/>
          <w:szCs w:val="22"/>
          <w:lang w:val="en-GB"/>
        </w:rPr>
        <w:t xml:space="preserve">(with a leave </w:t>
      </w:r>
      <w:r w:rsidR="002A128C" w:rsidRPr="00AE3264">
        <w:rPr>
          <w:rFonts w:ascii="Arial" w:hAnsi="Arial" w:cs="Arial"/>
          <w:color w:val="2F5496" w:themeColor="accent1" w:themeShade="BF"/>
          <w:sz w:val="22"/>
          <w:szCs w:val="22"/>
          <w:lang w:val="en-GB"/>
        </w:rPr>
        <w:t xml:space="preserve">from </w:t>
      </w:r>
      <w:r w:rsidR="00275B9C" w:rsidRPr="00AE3264">
        <w:rPr>
          <w:rFonts w:ascii="Arial" w:hAnsi="Arial" w:cs="Arial"/>
          <w:color w:val="2F5496" w:themeColor="accent1" w:themeShade="BF"/>
          <w:sz w:val="22"/>
          <w:szCs w:val="22"/>
          <w:lang w:val="en-GB"/>
        </w:rPr>
        <w:t>the court);</w:t>
      </w:r>
    </w:p>
    <w:p w14:paraId="74A6FF23" w14:textId="42771B27" w:rsidR="002A128C" w:rsidRPr="00AE3264" w:rsidRDefault="002A128C" w:rsidP="000C4B9C">
      <w:pPr>
        <w:pStyle w:val="ListParagraph"/>
        <w:numPr>
          <w:ilvl w:val="0"/>
          <w:numId w:val="19"/>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Where there is a binding Company Voluntary Arrangement (CVA) in place; the supervisor of the CVA or the victim of the transaction (whether bound by the CVA or not); </w:t>
      </w:r>
      <w:r w:rsidR="00E276A3" w:rsidRPr="00AE3264">
        <w:rPr>
          <w:rFonts w:ascii="Arial" w:hAnsi="Arial" w:cs="Arial"/>
          <w:color w:val="2F5496" w:themeColor="accent1" w:themeShade="BF"/>
          <w:sz w:val="22"/>
          <w:szCs w:val="22"/>
          <w:lang w:val="en-GB"/>
        </w:rPr>
        <w:t>or</w:t>
      </w:r>
    </w:p>
    <w:p w14:paraId="73E0EFB2" w14:textId="2938C730" w:rsidR="00275B9C" w:rsidRPr="00AE3264" w:rsidRDefault="00275B9C" w:rsidP="000C4B9C">
      <w:pPr>
        <w:pStyle w:val="ListParagraph"/>
        <w:numPr>
          <w:ilvl w:val="0"/>
          <w:numId w:val="19"/>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Victims of the transaction in any other case.</w:t>
      </w:r>
    </w:p>
    <w:p w14:paraId="240F54CC" w14:textId="77777777" w:rsidR="000C4B9C" w:rsidRPr="00AE3264" w:rsidRDefault="000C4B9C" w:rsidP="005E2C03">
      <w:pPr>
        <w:pStyle w:val="ListParagraph"/>
        <w:ind w:left="360"/>
        <w:jc w:val="both"/>
        <w:rPr>
          <w:rFonts w:ascii="Arial" w:hAnsi="Arial" w:cs="Arial"/>
          <w:color w:val="2F5496" w:themeColor="accent1" w:themeShade="BF"/>
          <w:sz w:val="22"/>
          <w:szCs w:val="22"/>
          <w:lang w:val="en-GB"/>
        </w:rPr>
      </w:pPr>
    </w:p>
    <w:p w14:paraId="251E8BF6" w14:textId="509CA442" w:rsidR="005E2C03" w:rsidRPr="00AE3264" w:rsidRDefault="005E2C03" w:rsidP="00AE3264">
      <w:pPr>
        <w:pStyle w:val="ListParagraph"/>
        <w:numPr>
          <w:ilvl w:val="0"/>
          <w:numId w:val="18"/>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Section 6 of the Company Directors Disqualification Act 1986</w:t>
      </w:r>
      <w:r w:rsidR="00715464" w:rsidRPr="00AE3264">
        <w:rPr>
          <w:rFonts w:ascii="Arial" w:hAnsi="Arial" w:cs="Arial"/>
          <w:color w:val="2F5496" w:themeColor="accent1" w:themeShade="BF"/>
          <w:sz w:val="22"/>
          <w:szCs w:val="22"/>
          <w:lang w:val="en-GB"/>
        </w:rPr>
        <w:t xml:space="preserve"> is the most common ground to seek disqualification of directors</w:t>
      </w:r>
      <w:r w:rsidR="00177B16" w:rsidRPr="00AE3264">
        <w:rPr>
          <w:rFonts w:ascii="Arial" w:hAnsi="Arial" w:cs="Arial"/>
          <w:color w:val="2F5496" w:themeColor="accent1" w:themeShade="BF"/>
          <w:sz w:val="22"/>
          <w:szCs w:val="22"/>
          <w:lang w:val="en-GB"/>
        </w:rPr>
        <w:t xml:space="preserve"> of insolvent companies</w:t>
      </w:r>
      <w:r w:rsidR="00715464" w:rsidRPr="00AE3264">
        <w:rPr>
          <w:rFonts w:ascii="Arial" w:hAnsi="Arial" w:cs="Arial"/>
          <w:color w:val="2F5496" w:themeColor="accent1" w:themeShade="BF"/>
          <w:sz w:val="22"/>
          <w:szCs w:val="22"/>
          <w:lang w:val="en-GB"/>
        </w:rPr>
        <w:t xml:space="preserve">, and can be brought by the </w:t>
      </w:r>
      <w:r w:rsidR="00177B16" w:rsidRPr="00AE3264">
        <w:rPr>
          <w:rFonts w:ascii="Arial" w:hAnsi="Arial" w:cs="Arial"/>
          <w:color w:val="2F5496" w:themeColor="accent1" w:themeShade="BF"/>
          <w:sz w:val="22"/>
          <w:szCs w:val="22"/>
          <w:lang w:val="en-GB"/>
        </w:rPr>
        <w:t xml:space="preserve">Secretary of State, based </w:t>
      </w:r>
      <w:r w:rsidR="001A4105" w:rsidRPr="00AE3264">
        <w:rPr>
          <w:rFonts w:ascii="Arial" w:hAnsi="Arial" w:cs="Arial"/>
          <w:color w:val="2F5496" w:themeColor="accent1" w:themeShade="BF"/>
          <w:sz w:val="22"/>
          <w:szCs w:val="22"/>
          <w:lang w:val="en-GB"/>
        </w:rPr>
        <w:t xml:space="preserve">upon reports made by the relevant </w:t>
      </w:r>
      <w:r w:rsidR="00E276A3" w:rsidRPr="00AE3264">
        <w:rPr>
          <w:rFonts w:ascii="Arial" w:hAnsi="Arial" w:cs="Arial"/>
          <w:color w:val="2F5496" w:themeColor="accent1" w:themeShade="BF"/>
          <w:sz w:val="22"/>
          <w:szCs w:val="22"/>
          <w:lang w:val="en-GB"/>
        </w:rPr>
        <w:t xml:space="preserve">insolvency </w:t>
      </w:r>
      <w:r w:rsidR="001A4105" w:rsidRPr="00AE3264">
        <w:rPr>
          <w:rFonts w:ascii="Arial" w:hAnsi="Arial" w:cs="Arial"/>
          <w:color w:val="2F5496" w:themeColor="accent1" w:themeShade="BF"/>
          <w:sz w:val="22"/>
          <w:szCs w:val="22"/>
          <w:lang w:val="en-GB"/>
        </w:rPr>
        <w:t>office holders (such as official receiver, administrator, or liquidator)</w:t>
      </w:r>
      <w:r w:rsidR="00E276A3" w:rsidRPr="00AE3264">
        <w:rPr>
          <w:rFonts w:ascii="Arial" w:hAnsi="Arial" w:cs="Arial"/>
          <w:color w:val="2F5496" w:themeColor="accent1" w:themeShade="BF"/>
          <w:sz w:val="22"/>
          <w:szCs w:val="22"/>
          <w:lang w:val="en-GB"/>
        </w:rPr>
        <w:t xml:space="preserve"> regarding the unfitness of the director</w:t>
      </w:r>
      <w:r w:rsidR="0025573C" w:rsidRPr="00AE3264">
        <w:rPr>
          <w:rFonts w:ascii="Arial" w:hAnsi="Arial" w:cs="Arial"/>
          <w:color w:val="2F5496" w:themeColor="accent1" w:themeShade="BF"/>
          <w:sz w:val="22"/>
          <w:szCs w:val="22"/>
          <w:lang w:val="en-GB"/>
        </w:rPr>
        <w:t>(s) to be disqualified</w:t>
      </w:r>
      <w:r w:rsidR="00E276A3" w:rsidRPr="00AE3264">
        <w:rPr>
          <w:rFonts w:ascii="Arial" w:hAnsi="Arial" w:cs="Arial"/>
          <w:color w:val="2F5496" w:themeColor="accent1" w:themeShade="BF"/>
          <w:sz w:val="22"/>
          <w:szCs w:val="22"/>
          <w:lang w:val="en-GB"/>
        </w:rPr>
        <w:t>.</w:t>
      </w:r>
    </w:p>
    <w:p w14:paraId="6DFF7A5A" w14:textId="77777777" w:rsidR="00715464" w:rsidRPr="00AE3264" w:rsidRDefault="00715464" w:rsidP="005E2C03">
      <w:pPr>
        <w:pStyle w:val="ListParagraph"/>
        <w:ind w:left="360"/>
        <w:jc w:val="both"/>
        <w:rPr>
          <w:rFonts w:ascii="Arial" w:hAnsi="Arial" w:cs="Arial"/>
          <w:color w:val="2F5496" w:themeColor="accent1" w:themeShade="BF"/>
          <w:sz w:val="22"/>
          <w:szCs w:val="22"/>
          <w:lang w:val="en-GB"/>
        </w:rPr>
      </w:pPr>
    </w:p>
    <w:p w14:paraId="1F2B46FD" w14:textId="1DF018DF" w:rsidR="005E2C03" w:rsidRPr="00AE3264" w:rsidRDefault="00BC3D16" w:rsidP="005E2C03">
      <w:pPr>
        <w:pStyle w:val="ListParagraph"/>
        <w:numPr>
          <w:ilvl w:val="0"/>
          <w:numId w:val="18"/>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S</w:t>
      </w:r>
      <w:r w:rsidR="005E2C03" w:rsidRPr="00AE3264">
        <w:rPr>
          <w:rFonts w:ascii="Arial" w:hAnsi="Arial" w:cs="Arial"/>
          <w:color w:val="2F5496" w:themeColor="accent1" w:themeShade="BF"/>
          <w:sz w:val="22"/>
          <w:szCs w:val="22"/>
          <w:lang w:val="en-GB"/>
        </w:rPr>
        <w:t>ection 246ZB of the Insolvency Act 1986</w:t>
      </w:r>
      <w:r w:rsidR="0025573C" w:rsidRPr="00AE3264">
        <w:rPr>
          <w:rFonts w:ascii="Arial" w:hAnsi="Arial" w:cs="Arial"/>
          <w:color w:val="2F5496" w:themeColor="accent1" w:themeShade="BF"/>
          <w:sz w:val="22"/>
          <w:szCs w:val="22"/>
          <w:lang w:val="en-GB"/>
        </w:rPr>
        <w:t xml:space="preserve"> </w:t>
      </w:r>
      <w:r w:rsidR="00236824" w:rsidRPr="00AE3264">
        <w:rPr>
          <w:rFonts w:ascii="Arial" w:hAnsi="Arial" w:cs="Arial"/>
          <w:color w:val="2F5496" w:themeColor="accent1" w:themeShade="BF"/>
          <w:sz w:val="22"/>
          <w:szCs w:val="22"/>
          <w:lang w:val="en-GB"/>
        </w:rPr>
        <w:t xml:space="preserve">extended </w:t>
      </w:r>
      <w:r w:rsidR="000A639B" w:rsidRPr="00AE3264">
        <w:rPr>
          <w:rFonts w:ascii="Arial" w:hAnsi="Arial" w:cs="Arial"/>
          <w:color w:val="2F5496" w:themeColor="accent1" w:themeShade="BF"/>
          <w:sz w:val="22"/>
          <w:szCs w:val="22"/>
          <w:lang w:val="en-GB"/>
        </w:rPr>
        <w:t xml:space="preserve">the legal action that can be brought against directors </w:t>
      </w:r>
      <w:r w:rsidR="00CB6741" w:rsidRPr="00AE3264">
        <w:rPr>
          <w:rFonts w:ascii="Arial" w:hAnsi="Arial" w:cs="Arial"/>
          <w:color w:val="2F5496" w:themeColor="accent1" w:themeShade="BF"/>
          <w:sz w:val="22"/>
          <w:szCs w:val="22"/>
          <w:lang w:val="en-GB"/>
        </w:rPr>
        <w:t xml:space="preserve">of insolvent companies </w:t>
      </w:r>
      <w:r w:rsidR="000A639B" w:rsidRPr="00AE3264">
        <w:rPr>
          <w:rFonts w:ascii="Arial" w:hAnsi="Arial" w:cs="Arial"/>
          <w:color w:val="2F5496" w:themeColor="accent1" w:themeShade="BF"/>
          <w:sz w:val="22"/>
          <w:szCs w:val="22"/>
          <w:lang w:val="en-GB"/>
        </w:rPr>
        <w:t>based on wrongful trading (</w:t>
      </w:r>
      <w:r w:rsidR="00CB6741" w:rsidRPr="00AE3264">
        <w:rPr>
          <w:rFonts w:ascii="Arial" w:hAnsi="Arial" w:cs="Arial"/>
          <w:color w:val="2F5496" w:themeColor="accent1" w:themeShade="BF"/>
          <w:sz w:val="22"/>
          <w:szCs w:val="22"/>
          <w:lang w:val="en-GB"/>
        </w:rPr>
        <w:t xml:space="preserve">applicable to directors of companies in liquidation, under </w:t>
      </w:r>
      <w:r w:rsidR="000A639B" w:rsidRPr="00AE3264">
        <w:rPr>
          <w:rFonts w:ascii="Arial" w:hAnsi="Arial" w:cs="Arial"/>
          <w:color w:val="2F5496" w:themeColor="accent1" w:themeShade="BF"/>
          <w:sz w:val="22"/>
          <w:szCs w:val="22"/>
          <w:lang w:val="en-GB"/>
        </w:rPr>
        <w:t>section 214 of the Act)</w:t>
      </w:r>
      <w:r w:rsidR="00CB6741" w:rsidRPr="00AE3264">
        <w:rPr>
          <w:rFonts w:ascii="Arial" w:hAnsi="Arial" w:cs="Arial"/>
          <w:color w:val="2F5496" w:themeColor="accent1" w:themeShade="BF"/>
          <w:sz w:val="22"/>
          <w:szCs w:val="22"/>
          <w:lang w:val="en-GB"/>
        </w:rPr>
        <w:t>,</w:t>
      </w:r>
      <w:r w:rsidR="000A639B" w:rsidRPr="00AE3264">
        <w:rPr>
          <w:rFonts w:ascii="Arial" w:hAnsi="Arial" w:cs="Arial"/>
          <w:color w:val="2F5496" w:themeColor="accent1" w:themeShade="BF"/>
          <w:sz w:val="22"/>
          <w:szCs w:val="22"/>
          <w:lang w:val="en-GB"/>
        </w:rPr>
        <w:t xml:space="preserve"> to </w:t>
      </w:r>
      <w:r w:rsidR="00CB6741" w:rsidRPr="00AE3264">
        <w:rPr>
          <w:rFonts w:ascii="Arial" w:hAnsi="Arial" w:cs="Arial"/>
          <w:color w:val="2F5496" w:themeColor="accent1" w:themeShade="BF"/>
          <w:sz w:val="22"/>
          <w:szCs w:val="22"/>
          <w:lang w:val="en-GB"/>
        </w:rPr>
        <w:t xml:space="preserve">directors of companies in </w:t>
      </w:r>
      <w:r w:rsidRPr="00AE3264">
        <w:rPr>
          <w:rFonts w:ascii="Arial" w:hAnsi="Arial" w:cs="Arial"/>
          <w:color w:val="2F5496" w:themeColor="accent1" w:themeShade="BF"/>
          <w:sz w:val="22"/>
          <w:szCs w:val="22"/>
          <w:lang w:val="en-GB"/>
        </w:rPr>
        <w:t xml:space="preserve">insolvent </w:t>
      </w:r>
      <w:r w:rsidR="000A639B" w:rsidRPr="00AE3264">
        <w:rPr>
          <w:rFonts w:ascii="Arial" w:hAnsi="Arial" w:cs="Arial"/>
          <w:color w:val="2F5496" w:themeColor="accent1" w:themeShade="BF"/>
          <w:sz w:val="22"/>
          <w:szCs w:val="22"/>
          <w:lang w:val="en-GB"/>
        </w:rPr>
        <w:t>administration</w:t>
      </w:r>
      <w:r w:rsidR="00CB6741"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xml:space="preserve"> and </w:t>
      </w:r>
      <w:r w:rsidR="00CB6741" w:rsidRPr="00AE3264">
        <w:rPr>
          <w:rFonts w:ascii="Arial" w:hAnsi="Arial" w:cs="Arial"/>
          <w:color w:val="2F5496" w:themeColor="accent1" w:themeShade="BF"/>
          <w:sz w:val="22"/>
          <w:szCs w:val="22"/>
          <w:lang w:val="en-GB"/>
        </w:rPr>
        <w:t xml:space="preserve">legal </w:t>
      </w:r>
      <w:r w:rsidRPr="00AE3264">
        <w:rPr>
          <w:rFonts w:ascii="Arial" w:hAnsi="Arial" w:cs="Arial"/>
          <w:color w:val="2F5496" w:themeColor="accent1" w:themeShade="BF"/>
          <w:sz w:val="22"/>
          <w:szCs w:val="22"/>
          <w:lang w:val="en-GB"/>
        </w:rPr>
        <w:t>actions under this section 246ZB can only be brought by the administrator</w:t>
      </w:r>
      <w:r w:rsidR="00CB6741" w:rsidRPr="00AE3264">
        <w:rPr>
          <w:rFonts w:ascii="Arial" w:hAnsi="Arial" w:cs="Arial"/>
          <w:color w:val="2F5496" w:themeColor="accent1" w:themeShade="BF"/>
          <w:sz w:val="22"/>
          <w:szCs w:val="22"/>
          <w:lang w:val="en-GB"/>
        </w:rPr>
        <w:t>s of such companies</w:t>
      </w:r>
      <w:r w:rsidRPr="00AE3264">
        <w:rPr>
          <w:rFonts w:ascii="Arial" w:hAnsi="Arial" w:cs="Arial"/>
          <w:color w:val="2F5496" w:themeColor="accent1" w:themeShade="BF"/>
          <w:sz w:val="22"/>
          <w:szCs w:val="22"/>
          <w:lang w:val="en-GB"/>
        </w:rPr>
        <w:t>.</w:t>
      </w:r>
    </w:p>
    <w:p w14:paraId="68F3A59D" w14:textId="20CB6BF9" w:rsidR="00FF5098" w:rsidRDefault="00FF5098" w:rsidP="002A37BB">
      <w:pPr>
        <w:jc w:val="both"/>
        <w:rPr>
          <w:rFonts w:ascii="Arial" w:hAnsi="Arial" w:cs="Arial"/>
          <w:sz w:val="22"/>
          <w:szCs w:val="22"/>
        </w:rPr>
      </w:pPr>
    </w:p>
    <w:p w14:paraId="36F9E867" w14:textId="77777777" w:rsidR="00710878" w:rsidRPr="002A37BB" w:rsidRDefault="0071087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36ECB6A" w:rsidR="00FF5098" w:rsidRPr="00AE3264" w:rsidRDefault="00710878"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five qualifying decision procedures consist of;</w:t>
      </w:r>
    </w:p>
    <w:p w14:paraId="4C7E62EB" w14:textId="4BFF1A0A" w:rsidR="00710878" w:rsidRPr="00AE3264" w:rsidRDefault="00710878" w:rsidP="00710878">
      <w:pPr>
        <w:pStyle w:val="ListParagraph"/>
        <w:numPr>
          <w:ilvl w:val="0"/>
          <w:numId w:val="21"/>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Correspondence;</w:t>
      </w:r>
    </w:p>
    <w:p w14:paraId="1496D3DE" w14:textId="14EC33F1" w:rsidR="00710878" w:rsidRPr="00AE3264" w:rsidRDefault="00710878" w:rsidP="00710878">
      <w:pPr>
        <w:pStyle w:val="ListParagraph"/>
        <w:numPr>
          <w:ilvl w:val="0"/>
          <w:numId w:val="21"/>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Electronic voting;</w:t>
      </w:r>
    </w:p>
    <w:p w14:paraId="44916F67" w14:textId="122129C6" w:rsidR="00710878" w:rsidRPr="00AE3264" w:rsidRDefault="00710878" w:rsidP="00710878">
      <w:pPr>
        <w:pStyle w:val="ListParagraph"/>
        <w:numPr>
          <w:ilvl w:val="0"/>
          <w:numId w:val="21"/>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Virtual meeting;</w:t>
      </w:r>
    </w:p>
    <w:p w14:paraId="1D4C3C04" w14:textId="535A9CDC" w:rsidR="00710878" w:rsidRPr="00AE3264" w:rsidRDefault="00710878" w:rsidP="00710878">
      <w:pPr>
        <w:pStyle w:val="ListParagraph"/>
        <w:numPr>
          <w:ilvl w:val="0"/>
          <w:numId w:val="21"/>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Physical meeting</w:t>
      </w:r>
      <w:r w:rsidR="007435EC" w:rsidRPr="00AE3264">
        <w:rPr>
          <w:rFonts w:ascii="Arial" w:hAnsi="Arial" w:cs="Arial"/>
          <w:color w:val="2F5496" w:themeColor="accent1" w:themeShade="BF"/>
          <w:sz w:val="22"/>
          <w:szCs w:val="22"/>
          <w:lang w:val="en-GB"/>
        </w:rPr>
        <w:t xml:space="preserve"> (subject to written request from such prescribed </w:t>
      </w:r>
      <w:r w:rsidR="00F41B9B" w:rsidRPr="00AE3264">
        <w:rPr>
          <w:rFonts w:ascii="Arial" w:hAnsi="Arial" w:cs="Arial"/>
          <w:color w:val="2F5496" w:themeColor="accent1" w:themeShade="BF"/>
          <w:sz w:val="22"/>
          <w:szCs w:val="22"/>
          <w:lang w:val="en-GB"/>
        </w:rPr>
        <w:t xml:space="preserve">threshold </w:t>
      </w:r>
      <w:r w:rsidR="007435EC" w:rsidRPr="00AE3264">
        <w:rPr>
          <w:rFonts w:ascii="Arial" w:hAnsi="Arial" w:cs="Arial"/>
          <w:color w:val="2F5496" w:themeColor="accent1" w:themeShade="BF"/>
          <w:sz w:val="22"/>
          <w:szCs w:val="22"/>
          <w:lang w:val="en-GB"/>
        </w:rPr>
        <w:t>of creditors</w:t>
      </w:r>
      <w:r w:rsidR="00F41B9B" w:rsidRPr="00AE3264">
        <w:rPr>
          <w:rFonts w:ascii="Arial" w:hAnsi="Arial" w:cs="Arial"/>
          <w:color w:val="2F5496" w:themeColor="accent1" w:themeShade="BF"/>
          <w:sz w:val="22"/>
          <w:szCs w:val="22"/>
          <w:lang w:val="en-GB"/>
        </w:rPr>
        <w:t>, in numbers or values</w:t>
      </w:r>
      <w:r w:rsidR="007435EC"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and</w:t>
      </w:r>
    </w:p>
    <w:p w14:paraId="4F4F4309" w14:textId="0635D40F" w:rsidR="00710878" w:rsidRPr="00AE3264" w:rsidRDefault="00710878" w:rsidP="00710878">
      <w:pPr>
        <w:pStyle w:val="ListParagraph"/>
        <w:numPr>
          <w:ilvl w:val="0"/>
          <w:numId w:val="21"/>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Any other decision procedure that can ensure that all creditors that are entitled to vote or participate in the decision making, are able to do so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1DCBB55D" w:rsidR="00FF5098" w:rsidRPr="00AE3264" w:rsidRDefault="00B15F87"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lastRenderedPageBreak/>
        <w:t xml:space="preserve">Yes, </w:t>
      </w:r>
      <w:r w:rsidR="00B70996" w:rsidRPr="00AE3264">
        <w:rPr>
          <w:rFonts w:ascii="Arial" w:hAnsi="Arial" w:cs="Arial"/>
          <w:color w:val="2F5496" w:themeColor="accent1" w:themeShade="BF"/>
          <w:sz w:val="22"/>
          <w:szCs w:val="22"/>
          <w:lang w:val="en-GB"/>
        </w:rPr>
        <w:t xml:space="preserve">under </w:t>
      </w:r>
      <w:r w:rsidR="00C46EC2" w:rsidRPr="00AE3264">
        <w:rPr>
          <w:rFonts w:ascii="Arial" w:hAnsi="Arial" w:cs="Arial"/>
          <w:color w:val="2F5496" w:themeColor="accent1" w:themeShade="BF"/>
          <w:sz w:val="22"/>
          <w:szCs w:val="22"/>
          <w:lang w:val="en-GB"/>
        </w:rPr>
        <w:t>s</w:t>
      </w:r>
      <w:r w:rsidR="00B70996" w:rsidRPr="00AE3264">
        <w:rPr>
          <w:rFonts w:ascii="Arial" w:hAnsi="Arial" w:cs="Arial"/>
          <w:color w:val="2F5496" w:themeColor="accent1" w:themeShade="BF"/>
          <w:sz w:val="22"/>
          <w:szCs w:val="22"/>
          <w:lang w:val="en-GB"/>
        </w:rPr>
        <w:t xml:space="preserve">ections 233, 233A and 233B of the Insolvency Act, </w:t>
      </w:r>
      <w:r w:rsidRPr="00AE3264">
        <w:rPr>
          <w:rFonts w:ascii="Arial" w:hAnsi="Arial" w:cs="Arial"/>
          <w:color w:val="2F5496" w:themeColor="accent1" w:themeShade="BF"/>
          <w:sz w:val="22"/>
          <w:szCs w:val="22"/>
          <w:lang w:val="en-GB"/>
        </w:rPr>
        <w:t>the administrator may opt to continue the</w:t>
      </w:r>
      <w:r w:rsidR="00156331" w:rsidRPr="00AE3264">
        <w:rPr>
          <w:rFonts w:ascii="Arial" w:hAnsi="Arial" w:cs="Arial"/>
          <w:color w:val="2F5496" w:themeColor="accent1" w:themeShade="BF"/>
          <w:sz w:val="22"/>
          <w:szCs w:val="22"/>
          <w:lang w:val="en-GB"/>
        </w:rPr>
        <w:t xml:space="preserve"> supply</w:t>
      </w:r>
      <w:r w:rsidRPr="00AE3264">
        <w:rPr>
          <w:rFonts w:ascii="Arial" w:hAnsi="Arial" w:cs="Arial"/>
          <w:color w:val="2F5496" w:themeColor="accent1" w:themeShade="BF"/>
          <w:sz w:val="22"/>
          <w:szCs w:val="22"/>
          <w:lang w:val="en-GB"/>
        </w:rPr>
        <w:t xml:space="preserve"> contracts that are in place</w:t>
      </w:r>
      <w:r w:rsidR="00FA4D05" w:rsidRPr="00AE3264">
        <w:rPr>
          <w:rFonts w:ascii="Arial" w:hAnsi="Arial" w:cs="Arial"/>
          <w:color w:val="2F5496" w:themeColor="accent1" w:themeShade="BF"/>
          <w:sz w:val="22"/>
          <w:szCs w:val="22"/>
          <w:lang w:val="en-GB"/>
        </w:rPr>
        <w:t>, and therefore require the supplies be continued during the administration</w:t>
      </w:r>
      <w:r w:rsidRPr="00AE3264">
        <w:rPr>
          <w:rFonts w:ascii="Arial" w:hAnsi="Arial" w:cs="Arial"/>
          <w:color w:val="2F5496" w:themeColor="accent1" w:themeShade="BF"/>
          <w:sz w:val="22"/>
          <w:szCs w:val="22"/>
          <w:lang w:val="en-GB"/>
        </w:rPr>
        <w:t xml:space="preserve"> (</w:t>
      </w:r>
      <w:r w:rsidR="00B70996" w:rsidRPr="00AE3264">
        <w:rPr>
          <w:rFonts w:ascii="Arial" w:hAnsi="Arial" w:cs="Arial"/>
          <w:color w:val="2F5496" w:themeColor="accent1" w:themeShade="BF"/>
          <w:sz w:val="22"/>
          <w:szCs w:val="22"/>
          <w:lang w:val="en-GB"/>
        </w:rPr>
        <w:t xml:space="preserve">with certain limited number </w:t>
      </w:r>
      <w:r w:rsidR="007B297C" w:rsidRPr="00AE3264">
        <w:rPr>
          <w:rFonts w:ascii="Arial" w:hAnsi="Arial" w:cs="Arial"/>
          <w:color w:val="2F5496" w:themeColor="accent1" w:themeShade="BF"/>
          <w:sz w:val="22"/>
          <w:szCs w:val="22"/>
          <w:lang w:val="en-GB"/>
        </w:rPr>
        <w:t xml:space="preserve">of </w:t>
      </w:r>
      <w:r w:rsidR="00B70996" w:rsidRPr="00AE3264">
        <w:rPr>
          <w:rFonts w:ascii="Arial" w:hAnsi="Arial" w:cs="Arial"/>
          <w:color w:val="2F5496" w:themeColor="accent1" w:themeShade="BF"/>
          <w:sz w:val="22"/>
          <w:szCs w:val="22"/>
          <w:lang w:val="en-GB"/>
        </w:rPr>
        <w:t>exceptions</w:t>
      </w:r>
      <w:r w:rsidR="00156331" w:rsidRPr="00AE3264">
        <w:rPr>
          <w:rFonts w:ascii="Arial" w:hAnsi="Arial" w:cs="Arial"/>
          <w:color w:val="2F5496" w:themeColor="accent1" w:themeShade="BF"/>
          <w:sz w:val="22"/>
          <w:szCs w:val="22"/>
          <w:lang w:val="en-GB"/>
        </w:rPr>
        <w:t xml:space="preserve"> for supply</w:t>
      </w:r>
      <w:r w:rsidR="00B70996" w:rsidRPr="00AE3264">
        <w:rPr>
          <w:rFonts w:ascii="Arial" w:hAnsi="Arial" w:cs="Arial"/>
          <w:color w:val="2F5496" w:themeColor="accent1" w:themeShade="BF"/>
          <w:sz w:val="22"/>
          <w:szCs w:val="22"/>
          <w:lang w:val="en-GB"/>
        </w:rPr>
        <w:t xml:space="preserve"> contracts </w:t>
      </w:r>
      <w:r w:rsidR="00156331" w:rsidRPr="00AE3264">
        <w:rPr>
          <w:rFonts w:ascii="Arial" w:hAnsi="Arial" w:cs="Arial"/>
          <w:color w:val="2F5496" w:themeColor="accent1" w:themeShade="BF"/>
          <w:sz w:val="22"/>
          <w:szCs w:val="22"/>
          <w:lang w:val="en-GB"/>
        </w:rPr>
        <w:t xml:space="preserve">related to financial services such as contracts with </w:t>
      </w:r>
      <w:r w:rsidR="00B70996" w:rsidRPr="00AE3264">
        <w:rPr>
          <w:rFonts w:ascii="Arial" w:hAnsi="Arial" w:cs="Arial"/>
          <w:color w:val="2F5496" w:themeColor="accent1" w:themeShade="BF"/>
          <w:sz w:val="22"/>
          <w:szCs w:val="22"/>
          <w:lang w:val="en-GB"/>
        </w:rPr>
        <w:t>insurers</w:t>
      </w:r>
      <w:r w:rsidR="00665901" w:rsidRPr="00AE3264">
        <w:rPr>
          <w:rFonts w:ascii="Arial" w:hAnsi="Arial" w:cs="Arial"/>
          <w:color w:val="2F5496" w:themeColor="accent1" w:themeShade="BF"/>
          <w:sz w:val="22"/>
          <w:szCs w:val="22"/>
          <w:lang w:val="en-GB"/>
        </w:rPr>
        <w:t xml:space="preserve">, </w:t>
      </w:r>
      <w:r w:rsidR="00B70996" w:rsidRPr="00AE3264">
        <w:rPr>
          <w:rFonts w:ascii="Arial" w:hAnsi="Arial" w:cs="Arial"/>
          <w:color w:val="2F5496" w:themeColor="accent1" w:themeShade="BF"/>
          <w:sz w:val="22"/>
          <w:szCs w:val="22"/>
          <w:lang w:val="en-GB"/>
        </w:rPr>
        <w:t>banks</w:t>
      </w:r>
      <w:r w:rsidR="00665901" w:rsidRPr="00AE3264">
        <w:rPr>
          <w:rFonts w:ascii="Arial" w:hAnsi="Arial" w:cs="Arial"/>
          <w:color w:val="2F5496" w:themeColor="accent1" w:themeShade="BF"/>
          <w:sz w:val="22"/>
          <w:szCs w:val="22"/>
          <w:lang w:val="en-GB"/>
        </w:rPr>
        <w:t>, investment exchanges, clearing houses</w:t>
      </w:r>
      <w:r w:rsidRPr="00AE3264">
        <w:rPr>
          <w:rFonts w:ascii="Arial" w:hAnsi="Arial" w:cs="Arial"/>
          <w:color w:val="2F5496" w:themeColor="accent1" w:themeShade="BF"/>
          <w:sz w:val="22"/>
          <w:szCs w:val="22"/>
          <w:lang w:val="en-GB"/>
        </w:rPr>
        <w:t>)</w:t>
      </w:r>
      <w:r w:rsidR="00B70996"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xml:space="preserve"> </w:t>
      </w:r>
      <w:r w:rsidR="00B70996" w:rsidRPr="00AE3264">
        <w:rPr>
          <w:rFonts w:ascii="Arial" w:hAnsi="Arial" w:cs="Arial"/>
          <w:color w:val="2F5496" w:themeColor="accent1" w:themeShade="BF"/>
          <w:sz w:val="22"/>
          <w:szCs w:val="22"/>
          <w:lang w:val="en-GB"/>
        </w:rPr>
        <w:t>T</w:t>
      </w:r>
      <w:r w:rsidRPr="00AE3264">
        <w:rPr>
          <w:rFonts w:ascii="Arial" w:hAnsi="Arial" w:cs="Arial"/>
          <w:color w:val="2F5496" w:themeColor="accent1" w:themeShade="BF"/>
          <w:sz w:val="22"/>
          <w:szCs w:val="22"/>
          <w:lang w:val="en-GB"/>
        </w:rPr>
        <w:t>he suppliers are not permitted to terminate the supply</w:t>
      </w:r>
      <w:r w:rsidR="007B297C" w:rsidRPr="00AE3264">
        <w:rPr>
          <w:rFonts w:ascii="Arial" w:hAnsi="Arial" w:cs="Arial"/>
          <w:color w:val="2F5496" w:themeColor="accent1" w:themeShade="BF"/>
          <w:sz w:val="22"/>
          <w:szCs w:val="22"/>
          <w:lang w:val="en-GB"/>
        </w:rPr>
        <w:t>,</w:t>
      </w:r>
      <w:r w:rsidR="00B70996" w:rsidRPr="00AE3264">
        <w:rPr>
          <w:rFonts w:ascii="Arial" w:hAnsi="Arial" w:cs="Arial"/>
          <w:color w:val="2F5496" w:themeColor="accent1" w:themeShade="BF"/>
          <w:sz w:val="22"/>
          <w:szCs w:val="22"/>
          <w:lang w:val="en-GB"/>
        </w:rPr>
        <w:t xml:space="preserve"> or</w:t>
      </w:r>
      <w:r w:rsidRPr="00AE3264">
        <w:rPr>
          <w:rFonts w:ascii="Arial" w:hAnsi="Arial" w:cs="Arial"/>
          <w:color w:val="2F5496" w:themeColor="accent1" w:themeShade="BF"/>
          <w:sz w:val="22"/>
          <w:szCs w:val="22"/>
          <w:lang w:val="en-GB"/>
        </w:rPr>
        <w:t xml:space="preserve"> to rely on provision in the executory contract for </w:t>
      </w:r>
      <w:r w:rsidR="00C46EC2" w:rsidRPr="00AE3264">
        <w:rPr>
          <w:rFonts w:ascii="Arial" w:hAnsi="Arial" w:cs="Arial"/>
          <w:color w:val="2F5496" w:themeColor="accent1" w:themeShade="BF"/>
          <w:sz w:val="22"/>
          <w:szCs w:val="22"/>
          <w:lang w:val="en-GB"/>
        </w:rPr>
        <w:t xml:space="preserve">an </w:t>
      </w:r>
      <w:r w:rsidRPr="00AE3264">
        <w:rPr>
          <w:rFonts w:ascii="Arial" w:hAnsi="Arial" w:cs="Arial"/>
          <w:color w:val="2F5496" w:themeColor="accent1" w:themeShade="BF"/>
          <w:sz w:val="22"/>
          <w:szCs w:val="22"/>
          <w:lang w:val="en-GB"/>
        </w:rPr>
        <w:t xml:space="preserve">automatic termination upon insolvency (the </w:t>
      </w:r>
      <w:r w:rsidRPr="00AE3264">
        <w:rPr>
          <w:rFonts w:ascii="Arial" w:hAnsi="Arial" w:cs="Arial"/>
          <w:i/>
          <w:iCs/>
          <w:color w:val="2F5496" w:themeColor="accent1" w:themeShade="BF"/>
          <w:sz w:val="22"/>
          <w:szCs w:val="22"/>
          <w:lang w:val="en-GB"/>
        </w:rPr>
        <w:t>ipso-facto</w:t>
      </w:r>
      <w:r w:rsidRPr="00AE3264">
        <w:rPr>
          <w:rFonts w:ascii="Arial" w:hAnsi="Arial" w:cs="Arial"/>
          <w:color w:val="2F5496" w:themeColor="accent1" w:themeShade="BF"/>
          <w:sz w:val="22"/>
          <w:szCs w:val="22"/>
          <w:lang w:val="en-GB"/>
        </w:rPr>
        <w:t xml:space="preserve"> clauses)</w:t>
      </w:r>
      <w:r w:rsidR="00B70996" w:rsidRPr="00AE3264">
        <w:rPr>
          <w:rFonts w:ascii="Arial" w:hAnsi="Arial" w:cs="Arial"/>
          <w:color w:val="2F5496" w:themeColor="accent1" w:themeShade="BF"/>
          <w:sz w:val="22"/>
          <w:szCs w:val="22"/>
          <w:lang w:val="en-GB"/>
        </w:rPr>
        <w:t xml:space="preserve">. The suppliers are also prohibited from requiring payment of unpaid arrears before continuing the supply, or from </w:t>
      </w:r>
      <w:r w:rsidR="005D14E0" w:rsidRPr="00AE3264">
        <w:rPr>
          <w:rFonts w:ascii="Arial" w:hAnsi="Arial" w:cs="Arial"/>
          <w:color w:val="2F5496" w:themeColor="accent1" w:themeShade="BF"/>
          <w:sz w:val="22"/>
          <w:szCs w:val="22"/>
          <w:lang w:val="en-GB"/>
        </w:rPr>
        <w:t>making other modification to the contract such as</w:t>
      </w:r>
      <w:r w:rsidR="00B70996" w:rsidRPr="00AE3264">
        <w:rPr>
          <w:rFonts w:ascii="Arial" w:hAnsi="Arial" w:cs="Arial"/>
          <w:color w:val="2F5496" w:themeColor="accent1" w:themeShade="BF"/>
          <w:sz w:val="22"/>
          <w:szCs w:val="22"/>
          <w:lang w:val="en-GB"/>
        </w:rPr>
        <w:t xml:space="preserve"> higher prices for cont</w:t>
      </w:r>
      <w:r w:rsidR="00C46EC2" w:rsidRPr="00AE3264">
        <w:rPr>
          <w:rFonts w:ascii="Arial" w:hAnsi="Arial" w:cs="Arial"/>
          <w:color w:val="2F5496" w:themeColor="accent1" w:themeShade="BF"/>
          <w:sz w:val="22"/>
          <w:szCs w:val="22"/>
          <w:lang w:val="en-GB"/>
        </w:rPr>
        <w:t>inuing the supply.</w:t>
      </w:r>
      <w:r w:rsidR="00665901" w:rsidRPr="00AE3264">
        <w:rPr>
          <w:rFonts w:ascii="Arial" w:hAnsi="Arial" w:cs="Arial"/>
          <w:color w:val="2F5496" w:themeColor="accent1" w:themeShade="BF"/>
          <w:sz w:val="22"/>
          <w:szCs w:val="22"/>
          <w:lang w:val="en-GB"/>
        </w:rPr>
        <w:t xml:space="preserve"> </w:t>
      </w:r>
    </w:p>
    <w:p w14:paraId="4D107899" w14:textId="0BEF6006" w:rsidR="00C46EC2" w:rsidRPr="00AE3264" w:rsidRDefault="00C46EC2" w:rsidP="00FF5098">
      <w:pPr>
        <w:jc w:val="both"/>
        <w:rPr>
          <w:rFonts w:ascii="Arial" w:hAnsi="Arial" w:cs="Arial"/>
          <w:color w:val="2F5496" w:themeColor="accent1" w:themeShade="BF"/>
          <w:sz w:val="22"/>
          <w:szCs w:val="22"/>
          <w:lang w:val="en-GB"/>
        </w:rPr>
      </w:pPr>
    </w:p>
    <w:p w14:paraId="794382DE" w14:textId="52279611" w:rsidR="00C46EC2" w:rsidRPr="00AE3264" w:rsidRDefault="00C46EC2"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However, section 233A </w:t>
      </w:r>
      <w:r w:rsidR="00FA4D05" w:rsidRPr="00AE3264">
        <w:rPr>
          <w:rFonts w:ascii="Arial" w:hAnsi="Arial" w:cs="Arial"/>
          <w:color w:val="2F5496" w:themeColor="accent1" w:themeShade="BF"/>
          <w:sz w:val="22"/>
          <w:szCs w:val="22"/>
          <w:lang w:val="en-GB"/>
        </w:rPr>
        <w:t xml:space="preserve">of the Insolvency Act </w:t>
      </w:r>
      <w:r w:rsidRPr="00AE3264">
        <w:rPr>
          <w:rFonts w:ascii="Arial" w:hAnsi="Arial" w:cs="Arial"/>
          <w:color w:val="2F5496" w:themeColor="accent1" w:themeShade="BF"/>
          <w:sz w:val="22"/>
          <w:szCs w:val="22"/>
          <w:lang w:val="en-GB"/>
        </w:rPr>
        <w:t xml:space="preserve">permits a supplier to require that the administrator personally guarantee the payment of charges in respect of the </w:t>
      </w:r>
      <w:r w:rsidR="00665901" w:rsidRPr="00AE3264">
        <w:rPr>
          <w:rFonts w:ascii="Arial" w:hAnsi="Arial" w:cs="Arial"/>
          <w:color w:val="2F5496" w:themeColor="accent1" w:themeShade="BF"/>
          <w:sz w:val="22"/>
          <w:szCs w:val="22"/>
          <w:lang w:val="en-GB"/>
        </w:rPr>
        <w:t xml:space="preserve">continued </w:t>
      </w:r>
      <w:r w:rsidRPr="00AE3264">
        <w:rPr>
          <w:rFonts w:ascii="Arial" w:hAnsi="Arial" w:cs="Arial"/>
          <w:color w:val="2F5496" w:themeColor="accent1" w:themeShade="BF"/>
          <w:sz w:val="22"/>
          <w:szCs w:val="22"/>
          <w:lang w:val="en-GB"/>
        </w:rPr>
        <w:t xml:space="preserve">supply, and section 233B </w:t>
      </w:r>
      <w:r w:rsidR="00FA4D05" w:rsidRPr="00AE3264">
        <w:rPr>
          <w:rFonts w:ascii="Arial" w:hAnsi="Arial" w:cs="Arial"/>
          <w:color w:val="2F5496" w:themeColor="accent1" w:themeShade="BF"/>
          <w:sz w:val="22"/>
          <w:szCs w:val="22"/>
          <w:lang w:val="en-GB"/>
        </w:rPr>
        <w:t xml:space="preserve">of the Insolvency Act further </w:t>
      </w:r>
      <w:r w:rsidRPr="00AE3264">
        <w:rPr>
          <w:rFonts w:ascii="Arial" w:hAnsi="Arial" w:cs="Arial"/>
          <w:color w:val="2F5496" w:themeColor="accent1" w:themeShade="BF"/>
          <w:sz w:val="22"/>
          <w:szCs w:val="22"/>
          <w:lang w:val="en-GB"/>
        </w:rPr>
        <w:t>allows the supply be terminated</w:t>
      </w:r>
      <w:r w:rsidR="00FA4D05" w:rsidRPr="00AE3264">
        <w:rPr>
          <w:rFonts w:ascii="Arial" w:hAnsi="Arial" w:cs="Arial"/>
          <w:color w:val="2F5496" w:themeColor="accent1" w:themeShade="BF"/>
          <w:sz w:val="22"/>
          <w:szCs w:val="22"/>
          <w:lang w:val="en-GB"/>
        </w:rPr>
        <w:t xml:space="preserve"> with the consent of the administrator or with permission from the court (if the court is satisfied that the continuation of the supply would result in disproportionate hardship on the supplier).</w:t>
      </w:r>
    </w:p>
    <w:p w14:paraId="4E70DAD1" w14:textId="77777777" w:rsidR="00B15F87" w:rsidRPr="00FF5098" w:rsidRDefault="00B15F87" w:rsidP="00FF5098">
      <w:pPr>
        <w:jc w:val="both"/>
        <w:rPr>
          <w:rFonts w:ascii="Arial" w:hAnsi="Arial" w:cs="Arial"/>
          <w:color w:val="7B7B7B" w:themeColor="accent3" w:themeShade="BF"/>
          <w:sz w:val="22"/>
          <w:szCs w:val="22"/>
          <w:lang w:val="en-GB"/>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72545D7" w:rsidR="00FF5098" w:rsidRPr="00AE3264" w:rsidRDefault="00610DF6"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Holder</w:t>
      </w:r>
      <w:r w:rsidR="00743C43" w:rsidRPr="00AE3264">
        <w:rPr>
          <w:rFonts w:ascii="Arial" w:hAnsi="Arial" w:cs="Arial"/>
          <w:color w:val="2F5496" w:themeColor="accent1" w:themeShade="BF"/>
          <w:sz w:val="22"/>
          <w:szCs w:val="22"/>
          <w:lang w:val="en-GB"/>
        </w:rPr>
        <w:t>s</w:t>
      </w:r>
      <w:r w:rsidRPr="00AE3264">
        <w:rPr>
          <w:rFonts w:ascii="Arial" w:hAnsi="Arial" w:cs="Arial"/>
          <w:color w:val="2F5496" w:themeColor="accent1" w:themeShade="BF"/>
          <w:sz w:val="22"/>
          <w:szCs w:val="22"/>
          <w:lang w:val="en-GB"/>
        </w:rPr>
        <w:t xml:space="preserve"> of fixed </w:t>
      </w:r>
      <w:r w:rsidR="00743C43" w:rsidRPr="00AE3264">
        <w:rPr>
          <w:rFonts w:ascii="Arial" w:hAnsi="Arial" w:cs="Arial"/>
          <w:color w:val="2F5496" w:themeColor="accent1" w:themeShade="BF"/>
          <w:sz w:val="22"/>
          <w:szCs w:val="22"/>
          <w:lang w:val="en-GB"/>
        </w:rPr>
        <w:t xml:space="preserve">charge and </w:t>
      </w:r>
      <w:r w:rsidRPr="00AE3264">
        <w:rPr>
          <w:rFonts w:ascii="Arial" w:hAnsi="Arial" w:cs="Arial"/>
          <w:color w:val="2F5496" w:themeColor="accent1" w:themeShade="BF"/>
          <w:sz w:val="22"/>
          <w:szCs w:val="22"/>
          <w:lang w:val="en-GB"/>
        </w:rPr>
        <w:t>security</w:t>
      </w:r>
      <w:r w:rsidR="00743C43" w:rsidRPr="00AE3264">
        <w:rPr>
          <w:rFonts w:ascii="Arial" w:hAnsi="Arial" w:cs="Arial"/>
          <w:color w:val="2F5496" w:themeColor="accent1" w:themeShade="BF"/>
          <w:sz w:val="22"/>
          <w:szCs w:val="22"/>
          <w:lang w:val="en-GB"/>
        </w:rPr>
        <w:t xml:space="preserve"> </w:t>
      </w:r>
      <w:r w:rsidRPr="00AE3264">
        <w:rPr>
          <w:rFonts w:ascii="Arial" w:hAnsi="Arial" w:cs="Arial"/>
          <w:color w:val="2F5496" w:themeColor="accent1" w:themeShade="BF"/>
          <w:sz w:val="22"/>
          <w:szCs w:val="22"/>
          <w:lang w:val="en-GB"/>
        </w:rPr>
        <w:t>will usually be able to enforce and realise their collateral outside the insolvency or liquidation process.</w:t>
      </w:r>
      <w:r w:rsidR="00743C43" w:rsidRPr="00AE3264">
        <w:rPr>
          <w:rFonts w:ascii="Arial" w:hAnsi="Arial" w:cs="Arial"/>
          <w:color w:val="2F5496" w:themeColor="accent1" w:themeShade="BF"/>
          <w:sz w:val="22"/>
          <w:szCs w:val="22"/>
          <w:lang w:val="en-GB"/>
        </w:rPr>
        <w:t xml:space="preserve"> The following statutory order of priority would then apply to </w:t>
      </w:r>
      <w:r w:rsidR="008E3D71" w:rsidRPr="00AE3264">
        <w:rPr>
          <w:rFonts w:ascii="Arial" w:hAnsi="Arial" w:cs="Arial"/>
          <w:color w:val="2F5496" w:themeColor="accent1" w:themeShade="BF"/>
          <w:sz w:val="22"/>
          <w:szCs w:val="22"/>
          <w:lang w:val="en-GB"/>
        </w:rPr>
        <w:t xml:space="preserve">the </w:t>
      </w:r>
      <w:r w:rsidR="00743C43" w:rsidRPr="00AE3264">
        <w:rPr>
          <w:rFonts w:ascii="Arial" w:hAnsi="Arial" w:cs="Arial"/>
          <w:color w:val="2F5496" w:themeColor="accent1" w:themeShade="BF"/>
          <w:sz w:val="22"/>
          <w:szCs w:val="22"/>
          <w:lang w:val="en-GB"/>
        </w:rPr>
        <w:t>realisation of assets belonging to the company in liquidation;</w:t>
      </w:r>
    </w:p>
    <w:p w14:paraId="17E17D5A" w14:textId="77777777" w:rsidR="00B00C5C" w:rsidRPr="00AE3264" w:rsidRDefault="00B00C5C" w:rsidP="00FF5098">
      <w:pPr>
        <w:jc w:val="both"/>
        <w:rPr>
          <w:rFonts w:ascii="Arial" w:hAnsi="Arial" w:cs="Arial"/>
          <w:color w:val="2F5496" w:themeColor="accent1" w:themeShade="BF"/>
          <w:sz w:val="22"/>
          <w:szCs w:val="22"/>
          <w:lang w:val="en-GB"/>
        </w:rPr>
      </w:pPr>
    </w:p>
    <w:p w14:paraId="2AC09638" w14:textId="2DC47DB1" w:rsidR="00743C43" w:rsidRPr="00AE3264" w:rsidRDefault="0034683B" w:rsidP="00743C43">
      <w:pPr>
        <w:pStyle w:val="ListParagraph"/>
        <w:numPr>
          <w:ilvl w:val="0"/>
          <w:numId w:val="18"/>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u w:val="single"/>
          <w:lang w:val="en-GB"/>
        </w:rPr>
        <w:t xml:space="preserve">Liquidation </w:t>
      </w:r>
      <w:r w:rsidR="00743C43" w:rsidRPr="00AE3264">
        <w:rPr>
          <w:rFonts w:ascii="Arial" w:hAnsi="Arial" w:cs="Arial"/>
          <w:color w:val="2F5496" w:themeColor="accent1" w:themeShade="BF"/>
          <w:sz w:val="22"/>
          <w:szCs w:val="22"/>
          <w:u w:val="single"/>
          <w:lang w:val="en-GB"/>
        </w:rPr>
        <w:t>Expenses</w:t>
      </w:r>
    </w:p>
    <w:p w14:paraId="00CB93E5" w14:textId="723B4EF6" w:rsidR="00743C43" w:rsidRPr="00AE3264" w:rsidRDefault="0034683B"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Liquidation </w:t>
      </w:r>
      <w:r w:rsidR="00B00C5C" w:rsidRPr="00AE3264">
        <w:rPr>
          <w:rFonts w:ascii="Arial" w:hAnsi="Arial" w:cs="Arial"/>
          <w:color w:val="2F5496" w:themeColor="accent1" w:themeShade="BF"/>
          <w:sz w:val="22"/>
          <w:szCs w:val="22"/>
          <w:lang w:val="en-GB"/>
        </w:rPr>
        <w:t>expenses are given priority ahead of the other classes of creditors, and the</w:t>
      </w:r>
      <w:r w:rsidRPr="00AE3264">
        <w:rPr>
          <w:rFonts w:ascii="Arial" w:hAnsi="Arial" w:cs="Arial"/>
          <w:color w:val="2F5496" w:themeColor="accent1" w:themeShade="BF"/>
          <w:sz w:val="22"/>
          <w:szCs w:val="22"/>
          <w:lang w:val="en-GB"/>
        </w:rPr>
        <w:t>se</w:t>
      </w:r>
      <w:r w:rsidR="00B00C5C" w:rsidRPr="00AE3264">
        <w:rPr>
          <w:rFonts w:ascii="Arial" w:hAnsi="Arial" w:cs="Arial"/>
          <w:color w:val="2F5496" w:themeColor="accent1" w:themeShade="BF"/>
          <w:sz w:val="22"/>
          <w:szCs w:val="22"/>
          <w:lang w:val="en-GB"/>
        </w:rPr>
        <w:t xml:space="preserve"> prioritised expenses have the following order of seniority / priority;</w:t>
      </w:r>
    </w:p>
    <w:p w14:paraId="0CD47DD6" w14:textId="36954030" w:rsidR="00B00C5C" w:rsidRPr="00AE3264" w:rsidRDefault="00B00C5C" w:rsidP="00B00C5C">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Expenses incurred by the liquidator to preserve, realise or get the company’s assets (including the relevant legal costs);</w:t>
      </w:r>
    </w:p>
    <w:p w14:paraId="16CC4CC7" w14:textId="40B1A631" w:rsidR="00B00C5C" w:rsidRPr="00AE3264" w:rsidRDefault="008E3D71" w:rsidP="00B00C5C">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Costs of any security provided by the liquidator;</w:t>
      </w:r>
    </w:p>
    <w:p w14:paraId="3E507C90" w14:textId="71019E59"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Expenses related to preparation of the company’s statement of affairs;</w:t>
      </w:r>
    </w:p>
    <w:p w14:paraId="6624B81D" w14:textId="73EDA86A"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Disbursements incurred by the liquidator in the course of winding up;</w:t>
      </w:r>
    </w:p>
    <w:p w14:paraId="7F62ED8E" w14:textId="5BEE7843"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Remunerations of any person employed by the liquidator to cater services to the company;</w:t>
      </w:r>
    </w:p>
    <w:p w14:paraId="6688865E" w14:textId="03BDE194"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Remuneration of the liquidator;</w:t>
      </w:r>
    </w:p>
    <w:p w14:paraId="26839E78" w14:textId="7041AFAE"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Corporation tax on chargeable gains from realisation of the company’s assets;</w:t>
      </w:r>
    </w:p>
    <w:p w14:paraId="22FDA032" w14:textId="5AFD996B" w:rsidR="008E3D71" w:rsidRPr="00AE3264" w:rsidRDefault="008E3D71" w:rsidP="008E3D71">
      <w:pPr>
        <w:pStyle w:val="ListParagraph"/>
        <w:numPr>
          <w:ilvl w:val="0"/>
          <w:numId w:val="22"/>
        </w:num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Any other expenses in carrying out the liquidator’s functions in the winding up of the company</w:t>
      </w:r>
      <w:r w:rsidR="003E5FCE" w:rsidRPr="00AE3264">
        <w:rPr>
          <w:rFonts w:ascii="Arial" w:hAnsi="Arial" w:cs="Arial"/>
          <w:color w:val="2F5496" w:themeColor="accent1" w:themeShade="BF"/>
          <w:sz w:val="22"/>
          <w:szCs w:val="22"/>
          <w:lang w:val="en-GB"/>
        </w:rPr>
        <w:t>.</w:t>
      </w:r>
    </w:p>
    <w:p w14:paraId="362B4DDA" w14:textId="77777777" w:rsidR="00B00C5C" w:rsidRPr="00AE3264" w:rsidRDefault="00B00C5C" w:rsidP="00743C43">
      <w:pPr>
        <w:pStyle w:val="ListParagraph"/>
        <w:ind w:left="360"/>
        <w:jc w:val="both"/>
        <w:rPr>
          <w:rFonts w:ascii="Arial" w:hAnsi="Arial" w:cs="Arial"/>
          <w:color w:val="2F5496" w:themeColor="accent1" w:themeShade="BF"/>
          <w:sz w:val="22"/>
          <w:szCs w:val="22"/>
          <w:lang w:val="en-GB"/>
        </w:rPr>
      </w:pPr>
    </w:p>
    <w:p w14:paraId="65817036" w14:textId="0CD2E5F6" w:rsidR="00743C43" w:rsidRPr="00AE3264" w:rsidRDefault="00743C43" w:rsidP="00743C43">
      <w:pPr>
        <w:pStyle w:val="ListParagraph"/>
        <w:numPr>
          <w:ilvl w:val="0"/>
          <w:numId w:val="18"/>
        </w:numPr>
        <w:jc w:val="both"/>
        <w:rPr>
          <w:rFonts w:ascii="Arial" w:hAnsi="Arial" w:cs="Arial"/>
          <w:color w:val="2F5496" w:themeColor="accent1" w:themeShade="BF"/>
          <w:sz w:val="22"/>
          <w:szCs w:val="22"/>
          <w:u w:val="single"/>
          <w:lang w:val="en-GB"/>
        </w:rPr>
      </w:pPr>
      <w:r w:rsidRPr="00AE3264">
        <w:rPr>
          <w:rFonts w:ascii="Arial" w:hAnsi="Arial" w:cs="Arial"/>
          <w:color w:val="2F5496" w:themeColor="accent1" w:themeShade="BF"/>
          <w:sz w:val="22"/>
          <w:szCs w:val="22"/>
          <w:u w:val="single"/>
          <w:lang w:val="en-GB"/>
        </w:rPr>
        <w:t xml:space="preserve">Preferential </w:t>
      </w:r>
      <w:r w:rsidR="00AC0C7B" w:rsidRPr="00AE3264">
        <w:rPr>
          <w:rFonts w:ascii="Arial" w:hAnsi="Arial" w:cs="Arial"/>
          <w:color w:val="2F5496" w:themeColor="accent1" w:themeShade="BF"/>
          <w:sz w:val="22"/>
          <w:szCs w:val="22"/>
          <w:u w:val="single"/>
          <w:lang w:val="en-GB"/>
        </w:rPr>
        <w:t>Debts</w:t>
      </w:r>
    </w:p>
    <w:p w14:paraId="0F97A0A2" w14:textId="7642958B" w:rsidR="00743C43" w:rsidRPr="00AE3264" w:rsidRDefault="008E3D71"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Once expenses of the liquidation are paid in full, </w:t>
      </w:r>
      <w:r w:rsidR="003E5FCE" w:rsidRPr="00AE3264">
        <w:rPr>
          <w:rFonts w:ascii="Arial" w:hAnsi="Arial" w:cs="Arial"/>
          <w:color w:val="2F5496" w:themeColor="accent1" w:themeShade="BF"/>
          <w:sz w:val="22"/>
          <w:szCs w:val="22"/>
          <w:lang w:val="en-GB"/>
        </w:rPr>
        <w:t>the realisation of the company’s assets are then applied to pay the company’s preferential debts, which consist of Ordinary Preferential Debts and Secondary Preferential Debts. The Ordinary Preferential Debts shall be paid ahead of the Secondary Preferential Debts, and each debt in the respective class would rank equally</w:t>
      </w:r>
      <w:r w:rsidR="00A9452E" w:rsidRPr="00AE3264">
        <w:rPr>
          <w:rFonts w:ascii="Arial" w:hAnsi="Arial" w:cs="Arial"/>
          <w:color w:val="2F5496" w:themeColor="accent1" w:themeShade="BF"/>
          <w:sz w:val="22"/>
          <w:szCs w:val="22"/>
          <w:lang w:val="en-GB"/>
        </w:rPr>
        <w:t xml:space="preserve"> so if the remaining assets are insufficient to pay all these debts in full, each preferential debt from the same class would share the distribution of assets in equal proportion</w:t>
      </w:r>
      <w:r w:rsidR="003E5FCE" w:rsidRPr="00AE3264">
        <w:rPr>
          <w:rFonts w:ascii="Arial" w:hAnsi="Arial" w:cs="Arial"/>
          <w:color w:val="2F5496" w:themeColor="accent1" w:themeShade="BF"/>
          <w:sz w:val="22"/>
          <w:szCs w:val="22"/>
          <w:lang w:val="en-GB"/>
        </w:rPr>
        <w:t>.</w:t>
      </w:r>
    </w:p>
    <w:p w14:paraId="5AEE286C" w14:textId="7D918F7F" w:rsidR="003E5FCE" w:rsidRPr="00AE3264" w:rsidRDefault="003E5FCE" w:rsidP="00743C43">
      <w:pPr>
        <w:pStyle w:val="ListParagraph"/>
        <w:ind w:left="360"/>
        <w:jc w:val="both"/>
        <w:rPr>
          <w:rFonts w:ascii="Arial" w:hAnsi="Arial" w:cs="Arial"/>
          <w:color w:val="2F5496" w:themeColor="accent1" w:themeShade="BF"/>
          <w:sz w:val="22"/>
          <w:szCs w:val="22"/>
          <w:lang w:val="en-GB"/>
        </w:rPr>
      </w:pPr>
    </w:p>
    <w:p w14:paraId="543AFA4A" w14:textId="0DD877B3" w:rsidR="003E5FCE" w:rsidRPr="00AE3264" w:rsidRDefault="003E5FCE"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Ordinary Preferential Debts consist of;</w:t>
      </w:r>
    </w:p>
    <w:p w14:paraId="4474D44F" w14:textId="2DD9FCFC" w:rsidR="003E5FCE" w:rsidRPr="00AE3264" w:rsidRDefault="00816B17"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Amounts owed for employee’s contribution to occupational pension scheme, up to four months before the commencement of the winding up;</w:t>
      </w:r>
    </w:p>
    <w:p w14:paraId="1ECB2BA3" w14:textId="43519806" w:rsidR="00816B17" w:rsidRPr="00AE3264" w:rsidRDefault="00816B17"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Amounts owned for the employer’s contribution to occupational pension scheme, up to twelve months before the commencement of the winding up;</w:t>
      </w:r>
    </w:p>
    <w:p w14:paraId="2C41FCAA" w14:textId="0E6EB259" w:rsidR="00816B17" w:rsidRPr="00AE3264" w:rsidRDefault="00816B17"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lastRenderedPageBreak/>
        <w:t>Unpaid employees’ renumeration up to four months before the commencement of the winding up, and up to a maximum amount of £800;</w:t>
      </w:r>
    </w:p>
    <w:p w14:paraId="47BCAA71" w14:textId="03FA2BB8" w:rsidR="00816B17" w:rsidRPr="00AE3264" w:rsidRDefault="00A170A0"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Unpaid holiday remuneration in respect of any period before the winding up;</w:t>
      </w:r>
    </w:p>
    <w:p w14:paraId="2F6BDD27" w14:textId="1D699331" w:rsidR="00A170A0" w:rsidRPr="00AE3264" w:rsidRDefault="00A170A0"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Monies advanced to pay wages or holiday remuneration;</w:t>
      </w:r>
    </w:p>
    <w:p w14:paraId="76408707" w14:textId="2D3E293B" w:rsidR="00A170A0" w:rsidRPr="00AE3264" w:rsidRDefault="00A170A0"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Levies on production of coal and steel relevant articles in the European Coal and Steel Community Treaty;</w:t>
      </w:r>
    </w:p>
    <w:p w14:paraId="44C08D0E" w14:textId="1323B6EE" w:rsidR="00A170A0" w:rsidRPr="00AE3264" w:rsidRDefault="00A170A0"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Claims on which the company has been ordered to pay pursuant to the Reserve Forces (Safeguard of Employment) Act 1985;</w:t>
      </w:r>
    </w:p>
    <w:p w14:paraId="5C2D8DD8" w14:textId="749F502C" w:rsidR="00A170A0" w:rsidRPr="00AE3264" w:rsidRDefault="00A170A0"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Amounts owed by the company </w:t>
      </w:r>
      <w:r w:rsidR="00C61C99" w:rsidRPr="00AE3264">
        <w:rPr>
          <w:rFonts w:ascii="Arial" w:hAnsi="Arial" w:cs="Arial"/>
          <w:color w:val="2F5496" w:themeColor="accent1" w:themeShade="BF"/>
          <w:sz w:val="22"/>
          <w:szCs w:val="22"/>
          <w:lang w:val="en-GB"/>
        </w:rPr>
        <w:t xml:space="preserve">on </w:t>
      </w:r>
      <w:r w:rsidRPr="00AE3264">
        <w:rPr>
          <w:rFonts w:ascii="Arial" w:hAnsi="Arial" w:cs="Arial"/>
          <w:color w:val="2F5496" w:themeColor="accent1" w:themeShade="BF"/>
          <w:sz w:val="22"/>
          <w:szCs w:val="22"/>
          <w:lang w:val="en-GB"/>
        </w:rPr>
        <w:t>eligible deposits not in excess of compensation accorded by the Financial Services Compensation Scheme to the depositors.</w:t>
      </w:r>
    </w:p>
    <w:p w14:paraId="62566E85" w14:textId="77777777" w:rsidR="00816B17" w:rsidRPr="00AE3264" w:rsidRDefault="00816B17" w:rsidP="00743C43">
      <w:pPr>
        <w:pStyle w:val="ListParagraph"/>
        <w:ind w:left="360"/>
        <w:jc w:val="both"/>
        <w:rPr>
          <w:rFonts w:ascii="Arial" w:hAnsi="Arial" w:cs="Arial"/>
          <w:color w:val="2F5496" w:themeColor="accent1" w:themeShade="BF"/>
          <w:sz w:val="22"/>
          <w:szCs w:val="22"/>
          <w:lang w:val="en-GB"/>
        </w:rPr>
      </w:pPr>
    </w:p>
    <w:p w14:paraId="4BA58AB7" w14:textId="0FE04176" w:rsidR="003E5FCE" w:rsidRPr="00AE3264" w:rsidRDefault="003E5FCE"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Secondary Preferential Debts consist of;</w:t>
      </w:r>
    </w:p>
    <w:p w14:paraId="05A29180" w14:textId="7FB4AFA6" w:rsidR="008E3D71" w:rsidRPr="00AE3264" w:rsidRDefault="00C61C99"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amounts owed by the company on eligible deposits beyond the compensation accorded by the Financial Services Compensation Scheme to the depositors;</w:t>
      </w:r>
    </w:p>
    <w:p w14:paraId="6BE6157A" w14:textId="5278952D" w:rsidR="00C61C99" w:rsidRPr="00AE3264" w:rsidRDefault="00C61C99"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Amounts owed by the company on deposits made through a non-UK branch of credit institution authorised by the authority in the UK, which would have been eligible deposits if they were made through the UK branch of that credit institution;</w:t>
      </w:r>
    </w:p>
    <w:p w14:paraId="76FFD030" w14:textId="1256909E" w:rsidR="00C61C99" w:rsidRPr="00AE3264" w:rsidRDefault="00C61C99" w:rsidP="00C61C99">
      <w:pPr>
        <w:pStyle w:val="ListParagraph"/>
        <w:numPr>
          <w:ilvl w:val="0"/>
          <w:numId w:val="23"/>
        </w:numPr>
        <w:ind w:left="851" w:hanging="491"/>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Certain prescribed debts to the taxation authority (such as PAYE income tax deductions,</w:t>
      </w:r>
      <w:r w:rsidR="00AC0C7B" w:rsidRPr="00AE3264">
        <w:rPr>
          <w:rFonts w:ascii="Arial" w:hAnsi="Arial" w:cs="Arial"/>
          <w:color w:val="2F5496" w:themeColor="accent1" w:themeShade="BF"/>
          <w:sz w:val="22"/>
          <w:szCs w:val="22"/>
          <w:lang w:val="en-GB"/>
        </w:rPr>
        <w:t xml:space="preserve"> national insurance deductions, VAT payments, Construction Industry Scheme deductions, and student loan repayments).</w:t>
      </w:r>
    </w:p>
    <w:p w14:paraId="03D653EB" w14:textId="77777777" w:rsidR="00A170A0" w:rsidRDefault="00A170A0" w:rsidP="00743C43">
      <w:pPr>
        <w:pStyle w:val="ListParagraph"/>
        <w:ind w:left="360"/>
        <w:jc w:val="both"/>
        <w:rPr>
          <w:rFonts w:ascii="Arial" w:hAnsi="Arial" w:cs="Arial"/>
          <w:color w:val="7B7B7B" w:themeColor="accent3" w:themeShade="BF"/>
          <w:sz w:val="22"/>
          <w:szCs w:val="22"/>
          <w:lang w:val="en-GB"/>
        </w:rPr>
      </w:pPr>
    </w:p>
    <w:p w14:paraId="7F9883EA" w14:textId="6D6E2F01" w:rsidR="00743C43" w:rsidRPr="00AE3264" w:rsidRDefault="00743C43" w:rsidP="00743C43">
      <w:pPr>
        <w:pStyle w:val="ListParagraph"/>
        <w:numPr>
          <w:ilvl w:val="0"/>
          <w:numId w:val="18"/>
        </w:numPr>
        <w:jc w:val="both"/>
        <w:rPr>
          <w:rFonts w:ascii="Arial" w:hAnsi="Arial" w:cs="Arial"/>
          <w:color w:val="2F5496" w:themeColor="accent1" w:themeShade="BF"/>
          <w:sz w:val="22"/>
          <w:szCs w:val="22"/>
          <w:u w:val="single"/>
          <w:lang w:val="en-GB"/>
        </w:rPr>
      </w:pPr>
      <w:r w:rsidRPr="00AE3264">
        <w:rPr>
          <w:rFonts w:ascii="Arial" w:hAnsi="Arial" w:cs="Arial"/>
          <w:color w:val="2F5496" w:themeColor="accent1" w:themeShade="BF"/>
          <w:sz w:val="22"/>
          <w:szCs w:val="22"/>
          <w:u w:val="single"/>
          <w:lang w:val="en-GB"/>
        </w:rPr>
        <w:t xml:space="preserve">Floating </w:t>
      </w:r>
      <w:r w:rsidR="0034683B" w:rsidRPr="00AE3264">
        <w:rPr>
          <w:rFonts w:ascii="Arial" w:hAnsi="Arial" w:cs="Arial"/>
          <w:color w:val="2F5496" w:themeColor="accent1" w:themeShade="BF"/>
          <w:sz w:val="22"/>
          <w:szCs w:val="22"/>
          <w:u w:val="single"/>
          <w:lang w:val="en-GB"/>
        </w:rPr>
        <w:t>C</w:t>
      </w:r>
      <w:r w:rsidRPr="00AE3264">
        <w:rPr>
          <w:rFonts w:ascii="Arial" w:hAnsi="Arial" w:cs="Arial"/>
          <w:color w:val="2F5496" w:themeColor="accent1" w:themeShade="BF"/>
          <w:sz w:val="22"/>
          <w:szCs w:val="22"/>
          <w:u w:val="single"/>
          <w:lang w:val="en-GB"/>
        </w:rPr>
        <w:t xml:space="preserve">harge </w:t>
      </w:r>
      <w:r w:rsidR="0034683B" w:rsidRPr="00AE3264">
        <w:rPr>
          <w:rFonts w:ascii="Arial" w:hAnsi="Arial" w:cs="Arial"/>
          <w:color w:val="2F5496" w:themeColor="accent1" w:themeShade="BF"/>
          <w:sz w:val="22"/>
          <w:szCs w:val="22"/>
          <w:u w:val="single"/>
          <w:lang w:val="en-GB"/>
        </w:rPr>
        <w:t>H</w:t>
      </w:r>
      <w:r w:rsidRPr="00AE3264">
        <w:rPr>
          <w:rFonts w:ascii="Arial" w:hAnsi="Arial" w:cs="Arial"/>
          <w:color w:val="2F5496" w:themeColor="accent1" w:themeShade="BF"/>
          <w:sz w:val="22"/>
          <w:szCs w:val="22"/>
          <w:u w:val="single"/>
          <w:lang w:val="en-GB"/>
        </w:rPr>
        <w:t>olders</w:t>
      </w:r>
    </w:p>
    <w:p w14:paraId="03035370" w14:textId="4F5D564B" w:rsidR="00743C43" w:rsidRPr="00AE3264" w:rsidRDefault="00AC0C7B"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After preferential debts are paid, the next </w:t>
      </w:r>
      <w:r w:rsidR="001E2641" w:rsidRPr="00AE3264">
        <w:rPr>
          <w:rFonts w:ascii="Arial" w:hAnsi="Arial" w:cs="Arial"/>
          <w:color w:val="2F5496" w:themeColor="accent1" w:themeShade="BF"/>
          <w:sz w:val="22"/>
          <w:szCs w:val="22"/>
          <w:lang w:val="en-GB"/>
        </w:rPr>
        <w:t>in line</w:t>
      </w:r>
      <w:r w:rsidRPr="00AE3264">
        <w:rPr>
          <w:rFonts w:ascii="Arial" w:hAnsi="Arial" w:cs="Arial"/>
          <w:color w:val="2F5496" w:themeColor="accent1" w:themeShade="BF"/>
          <w:sz w:val="22"/>
          <w:szCs w:val="22"/>
          <w:lang w:val="en-GB"/>
        </w:rPr>
        <w:t xml:space="preserve"> would be the creditors holding floating charge on the company’s assets. The order of priority between or among multiple holders of floating charge would be determined by the time the charges were created (older charge would rank ahead of the newer charge).</w:t>
      </w:r>
    </w:p>
    <w:p w14:paraId="01A42A18" w14:textId="4AC46305" w:rsidR="00AC0C7B" w:rsidRPr="00AE3264" w:rsidRDefault="00AC0C7B" w:rsidP="00743C43">
      <w:pPr>
        <w:pStyle w:val="ListParagraph"/>
        <w:ind w:left="360"/>
        <w:jc w:val="both"/>
        <w:rPr>
          <w:rFonts w:ascii="Arial" w:hAnsi="Arial" w:cs="Arial"/>
          <w:color w:val="2F5496" w:themeColor="accent1" w:themeShade="BF"/>
          <w:sz w:val="22"/>
          <w:szCs w:val="22"/>
          <w:lang w:val="en-GB"/>
        </w:rPr>
      </w:pPr>
    </w:p>
    <w:p w14:paraId="6B17A69B" w14:textId="28539E26" w:rsidR="001E2641" w:rsidRPr="00AE3264" w:rsidRDefault="001E2641" w:rsidP="00743C43">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For floating charges that were created on or after 15 September 2003 however, the liquidator is under duty to retain a ‘prescribed part’ for the benefit of unsecured creditors, </w:t>
      </w:r>
      <w:r w:rsidR="001A41A2" w:rsidRPr="00AE3264">
        <w:rPr>
          <w:rFonts w:ascii="Arial" w:hAnsi="Arial" w:cs="Arial"/>
          <w:color w:val="2F5496" w:themeColor="accent1" w:themeShade="BF"/>
          <w:sz w:val="22"/>
          <w:szCs w:val="22"/>
          <w:lang w:val="en-GB"/>
        </w:rPr>
        <w:t>before making distribution to the floating charge holders</w:t>
      </w:r>
      <w:r w:rsidR="00B43930" w:rsidRPr="00AE3264">
        <w:rPr>
          <w:rFonts w:ascii="Arial" w:hAnsi="Arial" w:cs="Arial"/>
          <w:color w:val="2F5496" w:themeColor="accent1" w:themeShade="BF"/>
          <w:sz w:val="22"/>
          <w:szCs w:val="22"/>
          <w:lang w:val="en-GB"/>
        </w:rPr>
        <w:t xml:space="preserve"> (unless</w:t>
      </w:r>
      <w:r w:rsidR="001A56D3" w:rsidRPr="00AE3264">
        <w:rPr>
          <w:rFonts w:ascii="Arial" w:hAnsi="Arial" w:cs="Arial"/>
          <w:color w:val="2F5496" w:themeColor="accent1" w:themeShade="BF"/>
          <w:sz w:val="22"/>
          <w:szCs w:val="22"/>
          <w:lang w:val="en-GB"/>
        </w:rPr>
        <w:t xml:space="preserve"> for such prescribed part amount in excess of the unsecured debt)</w:t>
      </w:r>
      <w:r w:rsidR="001A41A2" w:rsidRPr="00AE3264">
        <w:rPr>
          <w:rFonts w:ascii="Arial" w:hAnsi="Arial" w:cs="Arial"/>
          <w:color w:val="2F5496" w:themeColor="accent1" w:themeShade="BF"/>
          <w:sz w:val="22"/>
          <w:szCs w:val="22"/>
          <w:lang w:val="en-GB"/>
        </w:rPr>
        <w:t xml:space="preserve">, </w:t>
      </w:r>
      <w:r w:rsidRPr="00AE3264">
        <w:rPr>
          <w:rFonts w:ascii="Arial" w:hAnsi="Arial" w:cs="Arial"/>
          <w:color w:val="2F5496" w:themeColor="accent1" w:themeShade="BF"/>
          <w:sz w:val="22"/>
          <w:szCs w:val="22"/>
          <w:lang w:val="en-GB"/>
        </w:rPr>
        <w:t xml:space="preserve">as mandated by section 176A of the </w:t>
      </w:r>
      <w:r w:rsidR="0071265E" w:rsidRPr="00AE3264">
        <w:rPr>
          <w:rFonts w:ascii="Arial" w:hAnsi="Arial" w:cs="Arial"/>
          <w:color w:val="2F5496" w:themeColor="accent1" w:themeShade="BF"/>
          <w:sz w:val="22"/>
          <w:szCs w:val="22"/>
          <w:lang w:val="en-GB"/>
        </w:rPr>
        <w:t xml:space="preserve">Insolvency </w:t>
      </w:r>
      <w:r w:rsidRPr="00AE3264">
        <w:rPr>
          <w:rFonts w:ascii="Arial" w:hAnsi="Arial" w:cs="Arial"/>
          <w:color w:val="2F5496" w:themeColor="accent1" w:themeShade="BF"/>
          <w:sz w:val="22"/>
          <w:szCs w:val="22"/>
          <w:lang w:val="en-GB"/>
        </w:rPr>
        <w:t>Act</w:t>
      </w:r>
      <w:r w:rsidR="0071265E" w:rsidRPr="00AE3264">
        <w:rPr>
          <w:rFonts w:ascii="Arial" w:hAnsi="Arial" w:cs="Arial"/>
          <w:color w:val="2F5496" w:themeColor="accent1" w:themeShade="BF"/>
          <w:sz w:val="22"/>
          <w:szCs w:val="22"/>
          <w:lang w:val="en-GB"/>
        </w:rPr>
        <w:t xml:space="preserve"> of 1986</w:t>
      </w:r>
      <w:r w:rsidRPr="00AE3264">
        <w:rPr>
          <w:rFonts w:ascii="Arial" w:hAnsi="Arial" w:cs="Arial"/>
          <w:color w:val="2F5496" w:themeColor="accent1" w:themeShade="BF"/>
          <w:sz w:val="22"/>
          <w:szCs w:val="22"/>
          <w:lang w:val="en-GB"/>
        </w:rPr>
        <w:t>.</w:t>
      </w:r>
      <w:r w:rsidR="00B43930" w:rsidRPr="00AE3264">
        <w:rPr>
          <w:rFonts w:ascii="Arial" w:hAnsi="Arial" w:cs="Arial"/>
          <w:color w:val="2F5496" w:themeColor="accent1" w:themeShade="BF"/>
          <w:sz w:val="22"/>
          <w:szCs w:val="22"/>
          <w:lang w:val="en-GB"/>
        </w:rPr>
        <w:t xml:space="preserve"> Where the value of the company’s remaining assets (after paying the liquidation expenses and preferential debts) which would become available to the floating charge holders (the ‘net asset’) does not exceed £10,000, the prescribed part is 50% of the net asset. The </w:t>
      </w:r>
      <w:r w:rsidR="001A56D3" w:rsidRPr="00AE3264">
        <w:rPr>
          <w:rFonts w:ascii="Arial" w:hAnsi="Arial" w:cs="Arial"/>
          <w:color w:val="2F5496" w:themeColor="accent1" w:themeShade="BF"/>
          <w:sz w:val="22"/>
          <w:szCs w:val="22"/>
          <w:lang w:val="en-GB"/>
        </w:rPr>
        <w:t>prescribed part requirement however would not apply if the company’s net asset is less than £10,000 and the liquidator thinks that making distribution to unsecured creditors would be disproportionate to the benefits. For cases where the company’s net asset is higher than £10,000, the prescribed part is the sum of (</w:t>
      </w:r>
      <w:proofErr w:type="spellStart"/>
      <w:r w:rsidR="001A56D3" w:rsidRPr="00AE3264">
        <w:rPr>
          <w:rFonts w:ascii="Arial" w:hAnsi="Arial" w:cs="Arial"/>
          <w:color w:val="2F5496" w:themeColor="accent1" w:themeShade="BF"/>
          <w:sz w:val="22"/>
          <w:szCs w:val="22"/>
          <w:lang w:val="en-GB"/>
        </w:rPr>
        <w:t>i</w:t>
      </w:r>
      <w:proofErr w:type="spellEnd"/>
      <w:r w:rsidR="001A56D3" w:rsidRPr="00AE3264">
        <w:rPr>
          <w:rFonts w:ascii="Arial" w:hAnsi="Arial" w:cs="Arial"/>
          <w:color w:val="2F5496" w:themeColor="accent1" w:themeShade="BF"/>
          <w:sz w:val="22"/>
          <w:szCs w:val="22"/>
          <w:lang w:val="en-GB"/>
        </w:rPr>
        <w:t>) 50% of the first £10,000, and (ii)</w:t>
      </w:r>
      <w:r w:rsidR="00EE2645" w:rsidRPr="00AE3264">
        <w:rPr>
          <w:rFonts w:ascii="Arial" w:hAnsi="Arial" w:cs="Arial"/>
          <w:color w:val="2F5496" w:themeColor="accent1" w:themeShade="BF"/>
          <w:sz w:val="22"/>
          <w:szCs w:val="22"/>
          <w:lang w:val="en-GB"/>
        </w:rPr>
        <w:t xml:space="preserve"> 20% of value in excess of £10,000, subject to maximum prescribed part of £80,000</w:t>
      </w:r>
    </w:p>
    <w:p w14:paraId="3D105AD2" w14:textId="77777777" w:rsidR="001E2641" w:rsidRPr="00AE3264" w:rsidRDefault="001E2641" w:rsidP="00743C43">
      <w:pPr>
        <w:pStyle w:val="ListParagraph"/>
        <w:ind w:left="360"/>
        <w:jc w:val="both"/>
        <w:rPr>
          <w:rFonts w:ascii="Arial" w:hAnsi="Arial" w:cs="Arial"/>
          <w:color w:val="2F5496" w:themeColor="accent1" w:themeShade="BF"/>
          <w:sz w:val="22"/>
          <w:szCs w:val="22"/>
          <w:lang w:val="en-GB"/>
        </w:rPr>
      </w:pPr>
    </w:p>
    <w:p w14:paraId="62C78DE5" w14:textId="0A43471C" w:rsidR="00743C43" w:rsidRPr="00AE3264" w:rsidRDefault="00743C43" w:rsidP="00743C43">
      <w:pPr>
        <w:pStyle w:val="ListParagraph"/>
        <w:numPr>
          <w:ilvl w:val="0"/>
          <w:numId w:val="18"/>
        </w:numPr>
        <w:jc w:val="both"/>
        <w:rPr>
          <w:rFonts w:ascii="Arial" w:hAnsi="Arial" w:cs="Arial"/>
          <w:color w:val="2F5496" w:themeColor="accent1" w:themeShade="BF"/>
          <w:sz w:val="22"/>
          <w:szCs w:val="22"/>
          <w:u w:val="single"/>
          <w:lang w:val="en-GB"/>
        </w:rPr>
      </w:pPr>
      <w:r w:rsidRPr="00AE3264">
        <w:rPr>
          <w:rFonts w:ascii="Arial" w:hAnsi="Arial" w:cs="Arial"/>
          <w:color w:val="2F5496" w:themeColor="accent1" w:themeShade="BF"/>
          <w:sz w:val="22"/>
          <w:szCs w:val="22"/>
          <w:u w:val="single"/>
          <w:lang w:val="en-GB"/>
        </w:rPr>
        <w:t xml:space="preserve">Unsecured </w:t>
      </w:r>
      <w:r w:rsidR="0034683B" w:rsidRPr="00AE3264">
        <w:rPr>
          <w:rFonts w:ascii="Arial" w:hAnsi="Arial" w:cs="Arial"/>
          <w:color w:val="2F5496" w:themeColor="accent1" w:themeShade="BF"/>
          <w:sz w:val="22"/>
          <w:szCs w:val="22"/>
          <w:u w:val="single"/>
          <w:lang w:val="en-GB"/>
        </w:rPr>
        <w:t>C</w:t>
      </w:r>
      <w:r w:rsidRPr="00AE3264">
        <w:rPr>
          <w:rFonts w:ascii="Arial" w:hAnsi="Arial" w:cs="Arial"/>
          <w:color w:val="2F5496" w:themeColor="accent1" w:themeShade="BF"/>
          <w:sz w:val="22"/>
          <w:szCs w:val="22"/>
          <w:u w:val="single"/>
          <w:lang w:val="en-GB"/>
        </w:rPr>
        <w:t>reditors</w:t>
      </w:r>
    </w:p>
    <w:p w14:paraId="64D2BE57" w14:textId="770FF9B1" w:rsidR="00743C43" w:rsidRPr="00AE3264" w:rsidRDefault="00B17AAB" w:rsidP="00B17AAB">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Those creditors not having the benefit of any </w:t>
      </w:r>
      <w:r w:rsidR="0071265E" w:rsidRPr="00AE3264">
        <w:rPr>
          <w:rFonts w:ascii="Arial" w:hAnsi="Arial" w:cs="Arial"/>
          <w:color w:val="2F5496" w:themeColor="accent1" w:themeShade="BF"/>
          <w:sz w:val="22"/>
          <w:szCs w:val="22"/>
          <w:lang w:val="en-GB"/>
        </w:rPr>
        <w:t xml:space="preserve">security or title to assets would fall into the general unsecured creditors pool. This class of creditors would normally consist of ordinary trade suppliers and non-preferential tax claims, and these creditors would benefit from the prescribed part retained as per section 176A of the Insolvency Act and any remaining realised assets after the liquidation expenses, preferential debts, and floating charge holders have been paid. </w:t>
      </w:r>
    </w:p>
    <w:p w14:paraId="0A2DE08B" w14:textId="77777777" w:rsidR="00B17AAB" w:rsidRPr="00AE3264" w:rsidRDefault="00B17AAB" w:rsidP="00743C43">
      <w:pPr>
        <w:pStyle w:val="ListParagraph"/>
        <w:rPr>
          <w:rFonts w:ascii="Arial" w:hAnsi="Arial" w:cs="Arial"/>
          <w:color w:val="2F5496" w:themeColor="accent1" w:themeShade="BF"/>
          <w:sz w:val="22"/>
          <w:szCs w:val="22"/>
          <w:lang w:val="en-GB"/>
        </w:rPr>
      </w:pPr>
    </w:p>
    <w:p w14:paraId="150E68AF" w14:textId="2B59ED77" w:rsidR="00743C43" w:rsidRPr="00AE3264" w:rsidRDefault="00743C43" w:rsidP="00743C43">
      <w:pPr>
        <w:pStyle w:val="ListParagraph"/>
        <w:numPr>
          <w:ilvl w:val="0"/>
          <w:numId w:val="18"/>
        </w:numPr>
        <w:jc w:val="both"/>
        <w:rPr>
          <w:rFonts w:ascii="Arial" w:hAnsi="Arial" w:cs="Arial"/>
          <w:color w:val="2F5496" w:themeColor="accent1" w:themeShade="BF"/>
          <w:sz w:val="22"/>
          <w:szCs w:val="22"/>
          <w:u w:val="single"/>
          <w:lang w:val="en-GB"/>
        </w:rPr>
      </w:pPr>
      <w:r w:rsidRPr="00AE3264">
        <w:rPr>
          <w:rFonts w:ascii="Arial" w:hAnsi="Arial" w:cs="Arial"/>
          <w:color w:val="2F5496" w:themeColor="accent1" w:themeShade="BF"/>
          <w:sz w:val="22"/>
          <w:szCs w:val="22"/>
          <w:u w:val="single"/>
          <w:lang w:val="en-GB"/>
        </w:rPr>
        <w:t>Members (</w:t>
      </w:r>
      <w:r w:rsidR="0071265E" w:rsidRPr="00AE3264">
        <w:rPr>
          <w:rFonts w:ascii="Arial" w:hAnsi="Arial" w:cs="Arial"/>
          <w:color w:val="2F5496" w:themeColor="accent1" w:themeShade="BF"/>
          <w:sz w:val="22"/>
          <w:szCs w:val="22"/>
          <w:u w:val="single"/>
          <w:lang w:val="en-GB"/>
        </w:rPr>
        <w:t>S</w:t>
      </w:r>
      <w:r w:rsidRPr="00AE3264">
        <w:rPr>
          <w:rFonts w:ascii="Arial" w:hAnsi="Arial" w:cs="Arial"/>
          <w:color w:val="2F5496" w:themeColor="accent1" w:themeShade="BF"/>
          <w:sz w:val="22"/>
          <w:szCs w:val="22"/>
          <w:u w:val="single"/>
          <w:lang w:val="en-GB"/>
        </w:rPr>
        <w:t>hareholders)</w:t>
      </w:r>
    </w:p>
    <w:p w14:paraId="5010EAC9" w14:textId="35939CF8" w:rsidR="005155FC" w:rsidRPr="00AE3264" w:rsidRDefault="0071265E" w:rsidP="0071265E">
      <w:pPr>
        <w:pStyle w:val="ListParagraph"/>
        <w:ind w:left="36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In the event the</w:t>
      </w:r>
      <w:r w:rsidR="0071219F" w:rsidRPr="00AE3264">
        <w:rPr>
          <w:rFonts w:ascii="Arial" w:hAnsi="Arial" w:cs="Arial"/>
          <w:color w:val="2F5496" w:themeColor="accent1" w:themeShade="BF"/>
          <w:sz w:val="22"/>
          <w:szCs w:val="22"/>
          <w:lang w:val="en-GB"/>
        </w:rPr>
        <w:t>re is still any surplus assets after all the unsecured creditors are paid in full, the surplus assets will then be distributed to the company’s members or shareholders according to the company’s constitution.</w:t>
      </w:r>
    </w:p>
    <w:p w14:paraId="400E96E4" w14:textId="0ABF6D17" w:rsidR="0071265E" w:rsidRDefault="0071265E" w:rsidP="00FF5098">
      <w:pPr>
        <w:jc w:val="both"/>
        <w:rPr>
          <w:rFonts w:ascii="Arial" w:hAnsi="Arial" w:cs="Arial"/>
          <w:color w:val="7B7B7B" w:themeColor="accent3" w:themeShade="BF"/>
          <w:sz w:val="22"/>
          <w:szCs w:val="22"/>
          <w:lang w:val="en-GB"/>
        </w:rPr>
      </w:pPr>
    </w:p>
    <w:p w14:paraId="6CC8D109" w14:textId="77777777" w:rsidR="0071265E" w:rsidRPr="00FF5098" w:rsidRDefault="0071265E" w:rsidP="00FF5098">
      <w:pPr>
        <w:jc w:val="both"/>
        <w:rPr>
          <w:rFonts w:ascii="Arial" w:hAnsi="Arial" w:cs="Arial"/>
          <w:color w:val="7B7B7B" w:themeColor="accent3" w:themeShade="BF"/>
          <w:sz w:val="22"/>
          <w:szCs w:val="22"/>
          <w:lang w:val="en-GB"/>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7248AB11" w14:textId="4A450069" w:rsidR="00330530" w:rsidRPr="00AE3264" w:rsidRDefault="00F910FC"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U</w:t>
      </w:r>
      <w:r w:rsidR="00123988" w:rsidRPr="00AE3264">
        <w:rPr>
          <w:rFonts w:ascii="Arial" w:hAnsi="Arial" w:cs="Arial"/>
          <w:color w:val="2F5496" w:themeColor="accent1" w:themeShade="BF"/>
          <w:sz w:val="22"/>
          <w:szCs w:val="22"/>
          <w:lang w:val="en-GB"/>
        </w:rPr>
        <w:t>nder section 245 of the Insolvency Act 1986</w:t>
      </w:r>
      <w:r w:rsidRPr="00AE3264">
        <w:rPr>
          <w:rFonts w:ascii="Arial" w:hAnsi="Arial" w:cs="Arial"/>
          <w:color w:val="2F5496" w:themeColor="accent1" w:themeShade="BF"/>
          <w:sz w:val="22"/>
          <w:szCs w:val="22"/>
          <w:lang w:val="en-GB"/>
        </w:rPr>
        <w:t>, a</w:t>
      </w:r>
      <w:r w:rsidR="001249D3" w:rsidRPr="00AE3264">
        <w:rPr>
          <w:rFonts w:ascii="Arial" w:hAnsi="Arial" w:cs="Arial"/>
          <w:color w:val="2F5496" w:themeColor="accent1" w:themeShade="BF"/>
          <w:sz w:val="22"/>
          <w:szCs w:val="22"/>
          <w:lang w:val="en-GB"/>
        </w:rPr>
        <w:t xml:space="preserve"> floating charge</w:t>
      </w:r>
      <w:r w:rsidRPr="00AE3264">
        <w:rPr>
          <w:rFonts w:ascii="Arial" w:hAnsi="Arial" w:cs="Arial"/>
          <w:color w:val="2F5496" w:themeColor="accent1" w:themeShade="BF"/>
          <w:sz w:val="22"/>
          <w:szCs w:val="22"/>
          <w:lang w:val="en-GB"/>
        </w:rPr>
        <w:t xml:space="preserve"> created for the benefit of an otherwise unsecured creditor</w:t>
      </w:r>
      <w:r w:rsidR="001249D3" w:rsidRPr="00AE3264">
        <w:rPr>
          <w:rFonts w:ascii="Arial" w:hAnsi="Arial" w:cs="Arial"/>
          <w:color w:val="2F5496" w:themeColor="accent1" w:themeShade="BF"/>
          <w:sz w:val="22"/>
          <w:szCs w:val="22"/>
          <w:lang w:val="en-GB"/>
        </w:rPr>
        <w:t xml:space="preserve">, </w:t>
      </w:r>
      <w:r w:rsidR="000000FF" w:rsidRPr="00AE3264">
        <w:rPr>
          <w:rFonts w:ascii="Arial" w:hAnsi="Arial" w:cs="Arial"/>
          <w:color w:val="2F5496" w:themeColor="accent1" w:themeShade="BF"/>
          <w:sz w:val="22"/>
          <w:szCs w:val="22"/>
          <w:lang w:val="en-GB"/>
        </w:rPr>
        <w:t xml:space="preserve">during the </w:t>
      </w:r>
      <w:r w:rsidR="00A94938" w:rsidRPr="00AE3264">
        <w:rPr>
          <w:rFonts w:ascii="Arial" w:hAnsi="Arial" w:cs="Arial"/>
          <w:color w:val="2F5496" w:themeColor="accent1" w:themeShade="BF"/>
          <w:sz w:val="22"/>
          <w:szCs w:val="22"/>
          <w:lang w:val="en-GB"/>
        </w:rPr>
        <w:t xml:space="preserve">prescribed </w:t>
      </w:r>
      <w:r w:rsidR="0075724F" w:rsidRPr="00AE3264">
        <w:rPr>
          <w:rFonts w:ascii="Arial" w:hAnsi="Arial" w:cs="Arial"/>
          <w:color w:val="2F5496" w:themeColor="accent1" w:themeShade="BF"/>
          <w:sz w:val="22"/>
          <w:szCs w:val="22"/>
          <w:lang w:val="en-GB"/>
        </w:rPr>
        <w:t>‘</w:t>
      </w:r>
      <w:r w:rsidR="000000FF" w:rsidRPr="00AE3264">
        <w:rPr>
          <w:rFonts w:ascii="Arial" w:hAnsi="Arial" w:cs="Arial"/>
          <w:color w:val="2F5496" w:themeColor="accent1" w:themeShade="BF"/>
          <w:sz w:val="22"/>
          <w:szCs w:val="22"/>
          <w:lang w:val="en-GB"/>
        </w:rPr>
        <w:t>relevant time</w:t>
      </w:r>
      <w:r w:rsidR="0075724F" w:rsidRPr="00AE3264">
        <w:rPr>
          <w:rFonts w:ascii="Arial" w:hAnsi="Arial" w:cs="Arial"/>
          <w:color w:val="2F5496" w:themeColor="accent1" w:themeShade="BF"/>
          <w:sz w:val="22"/>
          <w:szCs w:val="22"/>
          <w:lang w:val="en-GB"/>
        </w:rPr>
        <w:t>’</w:t>
      </w:r>
      <w:r w:rsidR="000000FF" w:rsidRPr="00AE3264">
        <w:rPr>
          <w:rFonts w:ascii="Arial" w:hAnsi="Arial" w:cs="Arial"/>
          <w:color w:val="2F5496" w:themeColor="accent1" w:themeShade="BF"/>
          <w:sz w:val="22"/>
          <w:szCs w:val="22"/>
          <w:lang w:val="en-GB"/>
        </w:rPr>
        <w:t xml:space="preserve"> </w:t>
      </w:r>
      <w:r w:rsidR="001249D3" w:rsidRPr="00AE3264">
        <w:rPr>
          <w:rFonts w:ascii="Arial" w:hAnsi="Arial" w:cs="Arial"/>
          <w:color w:val="2F5496" w:themeColor="accent1" w:themeShade="BF"/>
          <w:sz w:val="22"/>
          <w:szCs w:val="22"/>
          <w:lang w:val="en-GB"/>
        </w:rPr>
        <w:t>shortly before the onset of insolvency, without providing any fresh or new consideration for it</w:t>
      </w:r>
      <w:r w:rsidRPr="00AE3264">
        <w:rPr>
          <w:rFonts w:ascii="Arial" w:hAnsi="Arial" w:cs="Arial"/>
          <w:color w:val="2F5496" w:themeColor="accent1" w:themeShade="BF"/>
          <w:sz w:val="22"/>
          <w:szCs w:val="22"/>
          <w:lang w:val="en-GB"/>
        </w:rPr>
        <w:t>, shall be invalid</w:t>
      </w:r>
      <w:r w:rsidR="001249D3" w:rsidRPr="00AE3264">
        <w:rPr>
          <w:rFonts w:ascii="Arial" w:hAnsi="Arial" w:cs="Arial"/>
          <w:color w:val="2F5496" w:themeColor="accent1" w:themeShade="BF"/>
          <w:sz w:val="22"/>
          <w:szCs w:val="22"/>
          <w:lang w:val="en-GB"/>
        </w:rPr>
        <w:t xml:space="preserve">. </w:t>
      </w:r>
      <w:proofErr w:type="spellStart"/>
      <w:r w:rsidR="001249D3" w:rsidRPr="00AE3264">
        <w:rPr>
          <w:rFonts w:ascii="Arial" w:hAnsi="Arial" w:cs="Arial"/>
          <w:color w:val="2F5496" w:themeColor="accent1" w:themeShade="BF"/>
          <w:sz w:val="22"/>
          <w:szCs w:val="22"/>
          <w:lang w:val="en-GB"/>
        </w:rPr>
        <w:t>Stercus</w:t>
      </w:r>
      <w:proofErr w:type="spellEnd"/>
      <w:r w:rsidR="001249D3" w:rsidRPr="00AE3264">
        <w:rPr>
          <w:rFonts w:ascii="Arial" w:hAnsi="Arial" w:cs="Arial"/>
          <w:color w:val="2F5496" w:themeColor="accent1" w:themeShade="BF"/>
          <w:sz w:val="22"/>
          <w:szCs w:val="22"/>
          <w:lang w:val="en-GB"/>
        </w:rPr>
        <w:t xml:space="preserve"> Bank did not provide any new consideration for the grant of the </w:t>
      </w:r>
      <w:r w:rsidR="009A0E27" w:rsidRPr="00AE3264">
        <w:rPr>
          <w:rFonts w:ascii="Arial" w:hAnsi="Arial" w:cs="Arial"/>
          <w:color w:val="2F5496" w:themeColor="accent1" w:themeShade="BF"/>
          <w:sz w:val="22"/>
          <w:szCs w:val="22"/>
          <w:lang w:val="en-GB"/>
        </w:rPr>
        <w:t xml:space="preserve">debenture </w:t>
      </w:r>
      <w:r w:rsidR="00A94938" w:rsidRPr="00AE3264">
        <w:rPr>
          <w:rFonts w:ascii="Arial" w:hAnsi="Arial" w:cs="Arial"/>
          <w:color w:val="2F5496" w:themeColor="accent1" w:themeShade="BF"/>
          <w:sz w:val="22"/>
          <w:szCs w:val="22"/>
          <w:lang w:val="en-GB"/>
        </w:rPr>
        <w:t>which contained</w:t>
      </w:r>
      <w:r w:rsidR="009A0E27" w:rsidRPr="00AE3264">
        <w:rPr>
          <w:rFonts w:ascii="Arial" w:hAnsi="Arial" w:cs="Arial"/>
          <w:color w:val="2F5496" w:themeColor="accent1" w:themeShade="BF"/>
          <w:sz w:val="22"/>
          <w:szCs w:val="22"/>
          <w:lang w:val="en-GB"/>
        </w:rPr>
        <w:t xml:space="preserve"> the </w:t>
      </w:r>
      <w:r w:rsidR="001249D3" w:rsidRPr="00AE3264">
        <w:rPr>
          <w:rFonts w:ascii="Arial" w:hAnsi="Arial" w:cs="Arial"/>
          <w:color w:val="2F5496" w:themeColor="accent1" w:themeShade="BF"/>
          <w:sz w:val="22"/>
          <w:szCs w:val="22"/>
          <w:lang w:val="en-GB"/>
        </w:rPr>
        <w:t>floating charge</w:t>
      </w:r>
      <w:r w:rsidR="00A64AAA" w:rsidRPr="00AE3264">
        <w:rPr>
          <w:rFonts w:ascii="Arial" w:hAnsi="Arial" w:cs="Arial"/>
          <w:color w:val="2F5496" w:themeColor="accent1" w:themeShade="BF"/>
          <w:sz w:val="22"/>
          <w:szCs w:val="22"/>
          <w:lang w:val="en-GB"/>
        </w:rPr>
        <w:t>,</w:t>
      </w:r>
      <w:r w:rsidR="001249D3" w:rsidRPr="00AE3264">
        <w:rPr>
          <w:rFonts w:ascii="Arial" w:hAnsi="Arial" w:cs="Arial"/>
          <w:color w:val="2F5496" w:themeColor="accent1" w:themeShade="BF"/>
          <w:sz w:val="22"/>
          <w:szCs w:val="22"/>
          <w:lang w:val="en-GB"/>
        </w:rPr>
        <w:t xml:space="preserve"> and</w:t>
      </w:r>
      <w:r w:rsidR="000000FF" w:rsidRPr="00AE3264">
        <w:rPr>
          <w:rFonts w:ascii="Arial" w:hAnsi="Arial" w:cs="Arial"/>
          <w:color w:val="2F5496" w:themeColor="accent1" w:themeShade="BF"/>
          <w:sz w:val="22"/>
          <w:szCs w:val="22"/>
          <w:lang w:val="en-GB"/>
        </w:rPr>
        <w:t xml:space="preserve"> as such the floating charge is vulnerable for </w:t>
      </w:r>
      <w:r w:rsidR="00A94938" w:rsidRPr="00AE3264">
        <w:rPr>
          <w:rFonts w:ascii="Arial" w:hAnsi="Arial" w:cs="Arial"/>
          <w:color w:val="2F5496" w:themeColor="accent1" w:themeShade="BF"/>
          <w:sz w:val="22"/>
          <w:szCs w:val="22"/>
          <w:lang w:val="en-GB"/>
        </w:rPr>
        <w:t>invalidation</w:t>
      </w:r>
      <w:r w:rsidR="000000FF" w:rsidRPr="00AE3264">
        <w:rPr>
          <w:rFonts w:ascii="Arial" w:hAnsi="Arial" w:cs="Arial"/>
          <w:color w:val="2F5496" w:themeColor="accent1" w:themeShade="BF"/>
          <w:sz w:val="22"/>
          <w:szCs w:val="22"/>
          <w:lang w:val="en-GB"/>
        </w:rPr>
        <w:t xml:space="preserve"> under </w:t>
      </w:r>
      <w:r w:rsidRPr="00AE3264">
        <w:rPr>
          <w:rFonts w:ascii="Arial" w:hAnsi="Arial" w:cs="Arial"/>
          <w:color w:val="2F5496" w:themeColor="accent1" w:themeShade="BF"/>
          <w:sz w:val="22"/>
          <w:szCs w:val="22"/>
          <w:lang w:val="en-GB"/>
        </w:rPr>
        <w:t xml:space="preserve">this </w:t>
      </w:r>
      <w:r w:rsidR="000000FF" w:rsidRPr="00AE3264">
        <w:rPr>
          <w:rFonts w:ascii="Arial" w:hAnsi="Arial" w:cs="Arial"/>
          <w:color w:val="2F5496" w:themeColor="accent1" w:themeShade="BF"/>
          <w:sz w:val="22"/>
          <w:szCs w:val="22"/>
          <w:lang w:val="en-GB"/>
        </w:rPr>
        <w:t xml:space="preserve">section 245. </w:t>
      </w:r>
    </w:p>
    <w:p w14:paraId="31B19E33" w14:textId="77777777" w:rsidR="00330530" w:rsidRPr="00AE3264" w:rsidRDefault="00330530" w:rsidP="00FF5098">
      <w:pPr>
        <w:jc w:val="both"/>
        <w:rPr>
          <w:rFonts w:ascii="Arial" w:hAnsi="Arial" w:cs="Arial"/>
          <w:color w:val="2F5496" w:themeColor="accent1" w:themeShade="BF"/>
          <w:sz w:val="22"/>
          <w:szCs w:val="22"/>
          <w:lang w:val="en-GB"/>
        </w:rPr>
      </w:pPr>
    </w:p>
    <w:p w14:paraId="422513BC" w14:textId="51B3BABE" w:rsidR="008364C0" w:rsidRPr="00AE3264" w:rsidRDefault="000000FF"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The </w:t>
      </w:r>
      <w:r w:rsidR="00A94938"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relevant time</w:t>
      </w:r>
      <w:r w:rsidR="00A94938"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xml:space="preserve"> applicable for </w:t>
      </w:r>
      <w:proofErr w:type="spellStart"/>
      <w:r w:rsidRPr="00AE3264">
        <w:rPr>
          <w:rFonts w:ascii="Arial" w:hAnsi="Arial" w:cs="Arial"/>
          <w:color w:val="2F5496" w:themeColor="accent1" w:themeShade="BF"/>
          <w:sz w:val="22"/>
          <w:szCs w:val="22"/>
          <w:lang w:val="en-GB"/>
        </w:rPr>
        <w:t>Stercus</w:t>
      </w:r>
      <w:proofErr w:type="spellEnd"/>
      <w:r w:rsidRPr="00AE3264">
        <w:rPr>
          <w:rFonts w:ascii="Arial" w:hAnsi="Arial" w:cs="Arial"/>
          <w:color w:val="2F5496" w:themeColor="accent1" w:themeShade="BF"/>
          <w:sz w:val="22"/>
          <w:szCs w:val="22"/>
          <w:lang w:val="en-GB"/>
        </w:rPr>
        <w:t xml:space="preserve"> Bank’s floating charge</w:t>
      </w:r>
      <w:r w:rsidR="00330530" w:rsidRPr="00AE3264">
        <w:rPr>
          <w:rFonts w:ascii="Arial" w:hAnsi="Arial" w:cs="Arial"/>
          <w:color w:val="2F5496" w:themeColor="accent1" w:themeShade="BF"/>
          <w:sz w:val="22"/>
          <w:szCs w:val="22"/>
          <w:lang w:val="en-GB"/>
        </w:rPr>
        <w:t>,</w:t>
      </w:r>
      <w:r w:rsidRPr="00AE3264">
        <w:rPr>
          <w:rFonts w:ascii="Arial" w:hAnsi="Arial" w:cs="Arial"/>
          <w:color w:val="2F5496" w:themeColor="accent1" w:themeShade="BF"/>
          <w:sz w:val="22"/>
          <w:szCs w:val="22"/>
          <w:lang w:val="en-GB"/>
        </w:rPr>
        <w:t xml:space="preserve"> given that the bank is not a connected person, is </w:t>
      </w:r>
      <w:r w:rsidR="00F910FC" w:rsidRPr="00AE3264">
        <w:rPr>
          <w:rFonts w:ascii="Arial" w:hAnsi="Arial" w:cs="Arial"/>
          <w:color w:val="2F5496" w:themeColor="accent1" w:themeShade="BF"/>
          <w:sz w:val="22"/>
          <w:szCs w:val="22"/>
          <w:lang w:val="en-GB"/>
        </w:rPr>
        <w:t xml:space="preserve">the </w:t>
      </w:r>
      <w:r w:rsidRPr="00AE3264">
        <w:rPr>
          <w:rFonts w:ascii="Arial" w:hAnsi="Arial" w:cs="Arial"/>
          <w:color w:val="2F5496" w:themeColor="accent1" w:themeShade="BF"/>
          <w:sz w:val="22"/>
          <w:szCs w:val="22"/>
          <w:lang w:val="en-GB"/>
        </w:rPr>
        <w:t xml:space="preserve">12 months </w:t>
      </w:r>
      <w:r w:rsidR="00661D04" w:rsidRPr="00AE3264">
        <w:rPr>
          <w:rFonts w:ascii="Arial" w:hAnsi="Arial" w:cs="Arial"/>
          <w:color w:val="2F5496" w:themeColor="accent1" w:themeShade="BF"/>
          <w:sz w:val="22"/>
          <w:szCs w:val="22"/>
          <w:lang w:val="en-GB"/>
        </w:rPr>
        <w:t xml:space="preserve">period ending with </w:t>
      </w:r>
      <w:r w:rsidRPr="00AE3264">
        <w:rPr>
          <w:rFonts w:ascii="Arial" w:hAnsi="Arial" w:cs="Arial"/>
          <w:color w:val="2F5496" w:themeColor="accent1" w:themeShade="BF"/>
          <w:sz w:val="22"/>
          <w:szCs w:val="22"/>
          <w:lang w:val="en-GB"/>
        </w:rPr>
        <w:t xml:space="preserve">the onset of the </w:t>
      </w:r>
      <w:r w:rsidR="00330530" w:rsidRPr="00AE3264">
        <w:rPr>
          <w:rFonts w:ascii="Arial" w:hAnsi="Arial" w:cs="Arial"/>
          <w:color w:val="2F5496" w:themeColor="accent1" w:themeShade="BF"/>
          <w:sz w:val="22"/>
          <w:szCs w:val="22"/>
          <w:lang w:val="en-GB"/>
        </w:rPr>
        <w:t>insolvency</w:t>
      </w:r>
      <w:r w:rsidR="00285073" w:rsidRPr="00AE3264">
        <w:rPr>
          <w:rFonts w:ascii="Arial" w:hAnsi="Arial" w:cs="Arial"/>
          <w:color w:val="2F5496" w:themeColor="accent1" w:themeShade="BF"/>
          <w:sz w:val="22"/>
          <w:szCs w:val="22"/>
          <w:lang w:val="en-GB"/>
        </w:rPr>
        <w:t xml:space="preserve">, </w:t>
      </w:r>
      <w:r w:rsidR="009A0E27" w:rsidRPr="00AE3264">
        <w:rPr>
          <w:rFonts w:ascii="Arial" w:hAnsi="Arial" w:cs="Arial"/>
          <w:color w:val="2F5496" w:themeColor="accent1" w:themeShade="BF"/>
          <w:sz w:val="22"/>
          <w:szCs w:val="22"/>
          <w:lang w:val="en-GB"/>
        </w:rPr>
        <w:t>if</w:t>
      </w:r>
      <w:r w:rsidR="00285073" w:rsidRPr="00AE3264">
        <w:rPr>
          <w:rFonts w:ascii="Arial" w:hAnsi="Arial" w:cs="Arial"/>
          <w:color w:val="2F5496" w:themeColor="accent1" w:themeShade="BF"/>
          <w:sz w:val="22"/>
          <w:szCs w:val="22"/>
          <w:lang w:val="en-GB"/>
        </w:rPr>
        <w:t xml:space="preserve"> at the time of the creation of the charge the Company was unable to pay its debt</w:t>
      </w:r>
      <w:r w:rsidR="00661D04" w:rsidRPr="00AE3264">
        <w:rPr>
          <w:rFonts w:ascii="Arial" w:hAnsi="Arial" w:cs="Arial"/>
          <w:color w:val="2F5496" w:themeColor="accent1" w:themeShade="BF"/>
          <w:sz w:val="22"/>
          <w:szCs w:val="22"/>
          <w:lang w:val="en-GB"/>
        </w:rPr>
        <w:t xml:space="preserve">s within the meaning of </w:t>
      </w:r>
      <w:r w:rsidR="00285073" w:rsidRPr="00AE3264">
        <w:rPr>
          <w:rFonts w:ascii="Arial" w:hAnsi="Arial" w:cs="Arial"/>
          <w:color w:val="2F5496" w:themeColor="accent1" w:themeShade="BF"/>
          <w:sz w:val="22"/>
          <w:szCs w:val="22"/>
          <w:lang w:val="en-GB"/>
        </w:rPr>
        <w:t>section 123 of the Insolvency Act</w:t>
      </w:r>
      <w:r w:rsidR="00F910FC" w:rsidRPr="00AE3264">
        <w:rPr>
          <w:rFonts w:ascii="Arial" w:hAnsi="Arial" w:cs="Arial"/>
          <w:color w:val="2F5496" w:themeColor="accent1" w:themeShade="BF"/>
          <w:sz w:val="22"/>
          <w:szCs w:val="22"/>
          <w:lang w:val="en-GB"/>
        </w:rPr>
        <w:t>,</w:t>
      </w:r>
      <w:r w:rsidR="00661D04" w:rsidRPr="00AE3264">
        <w:rPr>
          <w:rFonts w:ascii="Arial" w:hAnsi="Arial" w:cs="Arial"/>
          <w:color w:val="2F5496" w:themeColor="accent1" w:themeShade="BF"/>
          <w:sz w:val="22"/>
          <w:szCs w:val="22"/>
          <w:lang w:val="en-GB"/>
        </w:rPr>
        <w:t xml:space="preserve"> or became unable to pay its debts because of the transaction</w:t>
      </w:r>
      <w:r w:rsidR="00330530" w:rsidRPr="00AE3264">
        <w:rPr>
          <w:rFonts w:ascii="Arial" w:hAnsi="Arial" w:cs="Arial"/>
          <w:color w:val="2F5496" w:themeColor="accent1" w:themeShade="BF"/>
          <w:sz w:val="22"/>
          <w:szCs w:val="22"/>
          <w:lang w:val="en-GB"/>
        </w:rPr>
        <w:t xml:space="preserve">. The onset of the Company’s insolvency is the date </w:t>
      </w:r>
      <w:r w:rsidR="00035A76" w:rsidRPr="00AE3264">
        <w:rPr>
          <w:rFonts w:ascii="Arial" w:hAnsi="Arial" w:cs="Arial"/>
          <w:color w:val="2F5496" w:themeColor="accent1" w:themeShade="BF"/>
          <w:sz w:val="22"/>
          <w:szCs w:val="22"/>
          <w:lang w:val="en-GB"/>
        </w:rPr>
        <w:t xml:space="preserve">of the commencement of the </w:t>
      </w:r>
      <w:r w:rsidR="00330530" w:rsidRPr="00AE3264">
        <w:rPr>
          <w:rFonts w:ascii="Arial" w:hAnsi="Arial" w:cs="Arial"/>
          <w:color w:val="2F5496" w:themeColor="accent1" w:themeShade="BF"/>
          <w:sz w:val="22"/>
          <w:szCs w:val="22"/>
          <w:lang w:val="en-GB"/>
        </w:rPr>
        <w:t>winding up</w:t>
      </w:r>
      <w:r w:rsidR="00035A76" w:rsidRPr="00AE3264">
        <w:rPr>
          <w:rFonts w:ascii="Arial" w:hAnsi="Arial" w:cs="Arial"/>
          <w:color w:val="2F5496" w:themeColor="accent1" w:themeShade="BF"/>
          <w:sz w:val="22"/>
          <w:szCs w:val="22"/>
          <w:lang w:val="en-GB"/>
        </w:rPr>
        <w:t>,</w:t>
      </w:r>
      <w:r w:rsidR="00330530" w:rsidRPr="00AE3264">
        <w:rPr>
          <w:rFonts w:ascii="Arial" w:hAnsi="Arial" w:cs="Arial"/>
          <w:color w:val="2F5496" w:themeColor="accent1" w:themeShade="BF"/>
          <w:sz w:val="22"/>
          <w:szCs w:val="22"/>
          <w:lang w:val="en-GB"/>
        </w:rPr>
        <w:t xml:space="preserve"> </w:t>
      </w:r>
      <w:r w:rsidR="00035A76" w:rsidRPr="00AE3264">
        <w:rPr>
          <w:rFonts w:ascii="Arial" w:hAnsi="Arial" w:cs="Arial"/>
          <w:color w:val="2F5496" w:themeColor="accent1" w:themeShade="BF"/>
          <w:sz w:val="22"/>
          <w:szCs w:val="22"/>
          <w:lang w:val="en-GB"/>
        </w:rPr>
        <w:t xml:space="preserve">which was </w:t>
      </w:r>
      <w:r w:rsidR="00330530" w:rsidRPr="00AE3264">
        <w:rPr>
          <w:rFonts w:ascii="Arial" w:hAnsi="Arial" w:cs="Arial"/>
          <w:color w:val="2F5496" w:themeColor="accent1" w:themeShade="BF"/>
          <w:sz w:val="22"/>
          <w:szCs w:val="22"/>
          <w:lang w:val="en-GB"/>
        </w:rPr>
        <w:t>14 October 2021</w:t>
      </w:r>
      <w:r w:rsidR="00A63409" w:rsidRPr="00AE3264">
        <w:rPr>
          <w:rFonts w:ascii="Arial" w:hAnsi="Arial" w:cs="Arial"/>
          <w:color w:val="2F5496" w:themeColor="accent1" w:themeShade="BF"/>
          <w:sz w:val="22"/>
          <w:szCs w:val="22"/>
          <w:lang w:val="en-GB"/>
        </w:rPr>
        <w:t>.</w:t>
      </w:r>
      <w:r w:rsidR="00F910FC" w:rsidRPr="00AE3264">
        <w:rPr>
          <w:rFonts w:ascii="Arial" w:hAnsi="Arial" w:cs="Arial"/>
          <w:color w:val="2F5496" w:themeColor="accent1" w:themeShade="BF"/>
          <w:sz w:val="22"/>
          <w:szCs w:val="22"/>
          <w:lang w:val="en-GB"/>
        </w:rPr>
        <w:t xml:space="preserve"> </w:t>
      </w:r>
      <w:r w:rsidR="00A63409" w:rsidRPr="00AE3264">
        <w:rPr>
          <w:rFonts w:ascii="Arial" w:hAnsi="Arial" w:cs="Arial"/>
          <w:color w:val="2F5496" w:themeColor="accent1" w:themeShade="BF"/>
          <w:sz w:val="22"/>
          <w:szCs w:val="22"/>
          <w:lang w:val="en-GB"/>
        </w:rPr>
        <w:t>T</w:t>
      </w:r>
      <w:r w:rsidR="00F910FC" w:rsidRPr="00AE3264">
        <w:rPr>
          <w:rFonts w:ascii="Arial" w:hAnsi="Arial" w:cs="Arial"/>
          <w:color w:val="2F5496" w:themeColor="accent1" w:themeShade="BF"/>
          <w:sz w:val="22"/>
          <w:szCs w:val="22"/>
          <w:lang w:val="en-GB"/>
        </w:rPr>
        <w:t xml:space="preserve">he </w:t>
      </w:r>
      <w:r w:rsidR="00A63409" w:rsidRPr="00AE3264">
        <w:rPr>
          <w:rFonts w:ascii="Arial" w:hAnsi="Arial" w:cs="Arial"/>
          <w:color w:val="2F5496" w:themeColor="accent1" w:themeShade="BF"/>
          <w:sz w:val="22"/>
          <w:szCs w:val="22"/>
          <w:lang w:val="en-GB"/>
        </w:rPr>
        <w:t xml:space="preserve">floating charge </w:t>
      </w:r>
      <w:r w:rsidR="009A0E27" w:rsidRPr="00AE3264">
        <w:rPr>
          <w:rFonts w:ascii="Arial" w:hAnsi="Arial" w:cs="Arial"/>
          <w:color w:val="2F5496" w:themeColor="accent1" w:themeShade="BF"/>
          <w:sz w:val="22"/>
          <w:szCs w:val="22"/>
          <w:lang w:val="en-GB"/>
        </w:rPr>
        <w:t xml:space="preserve">was </w:t>
      </w:r>
      <w:r w:rsidR="00A63409" w:rsidRPr="00AE3264">
        <w:rPr>
          <w:rFonts w:ascii="Arial" w:hAnsi="Arial" w:cs="Arial"/>
          <w:color w:val="2F5496" w:themeColor="accent1" w:themeShade="BF"/>
          <w:sz w:val="22"/>
          <w:szCs w:val="22"/>
          <w:lang w:val="en-GB"/>
        </w:rPr>
        <w:t xml:space="preserve">granted </w:t>
      </w:r>
      <w:r w:rsidR="00A94938" w:rsidRPr="00AE3264">
        <w:rPr>
          <w:rFonts w:ascii="Arial" w:hAnsi="Arial" w:cs="Arial"/>
          <w:color w:val="2F5496" w:themeColor="accent1" w:themeShade="BF"/>
          <w:sz w:val="22"/>
          <w:szCs w:val="22"/>
          <w:lang w:val="en-GB"/>
        </w:rPr>
        <w:t xml:space="preserve">(in February 2021) </w:t>
      </w:r>
      <w:r w:rsidR="00A63409" w:rsidRPr="00AE3264">
        <w:rPr>
          <w:rFonts w:ascii="Arial" w:hAnsi="Arial" w:cs="Arial"/>
          <w:color w:val="2F5496" w:themeColor="accent1" w:themeShade="BF"/>
          <w:sz w:val="22"/>
          <w:szCs w:val="22"/>
          <w:lang w:val="en-GB"/>
        </w:rPr>
        <w:t xml:space="preserve">within the prescribed 12 months period preceding the onset of insolvency, and at that time </w:t>
      </w:r>
      <w:r w:rsidR="009A0E27" w:rsidRPr="00AE3264">
        <w:rPr>
          <w:rFonts w:ascii="Arial" w:hAnsi="Arial" w:cs="Arial"/>
          <w:color w:val="2F5496" w:themeColor="accent1" w:themeShade="BF"/>
          <w:sz w:val="22"/>
          <w:szCs w:val="22"/>
          <w:lang w:val="en-GB"/>
        </w:rPr>
        <w:t xml:space="preserve">the </w:t>
      </w:r>
      <w:r w:rsidR="009A0E27" w:rsidRPr="00AE3264">
        <w:rPr>
          <w:rFonts w:ascii="Arial" w:hAnsi="Arial" w:cs="Arial"/>
          <w:color w:val="2F5496" w:themeColor="accent1" w:themeShade="BF"/>
          <w:sz w:val="22"/>
          <w:szCs w:val="22"/>
          <w:lang w:val="en-GB"/>
        </w:rPr>
        <w:lastRenderedPageBreak/>
        <w:t xml:space="preserve">Company was unable to pay its debt </w:t>
      </w:r>
      <w:r w:rsidR="00A63409" w:rsidRPr="00AE3264">
        <w:rPr>
          <w:rFonts w:ascii="Arial" w:hAnsi="Arial" w:cs="Arial"/>
          <w:color w:val="2F5496" w:themeColor="accent1" w:themeShade="BF"/>
          <w:sz w:val="22"/>
          <w:szCs w:val="22"/>
          <w:lang w:val="en-GB"/>
        </w:rPr>
        <w:t>(which led the Company to provide the debenture and the floating charge)</w:t>
      </w:r>
      <w:r w:rsidR="008364C0" w:rsidRPr="00AE3264">
        <w:rPr>
          <w:rFonts w:ascii="Arial" w:hAnsi="Arial" w:cs="Arial"/>
          <w:color w:val="2F5496" w:themeColor="accent1" w:themeShade="BF"/>
          <w:sz w:val="22"/>
          <w:szCs w:val="22"/>
          <w:lang w:val="en-GB"/>
        </w:rPr>
        <w:t xml:space="preserve">, and therefore </w:t>
      </w:r>
      <w:proofErr w:type="spellStart"/>
      <w:r w:rsidR="008364C0" w:rsidRPr="00AE3264">
        <w:rPr>
          <w:rFonts w:ascii="Arial" w:hAnsi="Arial" w:cs="Arial"/>
          <w:color w:val="2F5496" w:themeColor="accent1" w:themeShade="BF"/>
          <w:sz w:val="22"/>
          <w:szCs w:val="22"/>
          <w:lang w:val="en-GB"/>
        </w:rPr>
        <w:t>Stercus</w:t>
      </w:r>
      <w:proofErr w:type="spellEnd"/>
      <w:r w:rsidR="008364C0" w:rsidRPr="00AE3264">
        <w:rPr>
          <w:rFonts w:ascii="Arial" w:hAnsi="Arial" w:cs="Arial"/>
          <w:color w:val="2F5496" w:themeColor="accent1" w:themeShade="BF"/>
          <w:sz w:val="22"/>
          <w:szCs w:val="22"/>
          <w:lang w:val="en-GB"/>
        </w:rPr>
        <w:t xml:space="preserve"> Bank’s floating charge shall be invalid</w:t>
      </w:r>
      <w:r w:rsidR="00A63409" w:rsidRPr="00AE3264">
        <w:rPr>
          <w:rFonts w:ascii="Arial" w:hAnsi="Arial" w:cs="Arial"/>
          <w:color w:val="2F5496" w:themeColor="accent1" w:themeShade="BF"/>
          <w:sz w:val="22"/>
          <w:szCs w:val="22"/>
          <w:lang w:val="en-GB"/>
        </w:rPr>
        <w:t>.</w:t>
      </w:r>
    </w:p>
    <w:p w14:paraId="09EC35CE" w14:textId="77777777" w:rsidR="008364C0" w:rsidRPr="00AE3264" w:rsidRDefault="008364C0" w:rsidP="00FF5098">
      <w:pPr>
        <w:jc w:val="both"/>
        <w:rPr>
          <w:rFonts w:ascii="Arial" w:hAnsi="Arial" w:cs="Arial"/>
          <w:color w:val="2F5496" w:themeColor="accent1" w:themeShade="BF"/>
          <w:sz w:val="22"/>
          <w:szCs w:val="22"/>
          <w:lang w:val="en-GB"/>
        </w:rPr>
      </w:pPr>
    </w:p>
    <w:p w14:paraId="0A188A55" w14:textId="164AE158" w:rsidR="00FF5098" w:rsidRPr="00AE3264" w:rsidRDefault="008364C0"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operation of section 245 of the Insolvency Act is however automatic and does not require any application by the liquidator. On the other hand, while the floating charge is invalidated by</w:t>
      </w:r>
      <w:r w:rsidR="00A63409" w:rsidRPr="00AE3264">
        <w:rPr>
          <w:rFonts w:ascii="Arial" w:hAnsi="Arial" w:cs="Arial"/>
          <w:color w:val="2F5496" w:themeColor="accent1" w:themeShade="BF"/>
          <w:sz w:val="22"/>
          <w:szCs w:val="22"/>
          <w:lang w:val="en-GB"/>
        </w:rPr>
        <w:t xml:space="preserve"> </w:t>
      </w:r>
      <w:r w:rsidRPr="00AE3264">
        <w:rPr>
          <w:rFonts w:ascii="Arial" w:hAnsi="Arial" w:cs="Arial"/>
          <w:color w:val="2F5496" w:themeColor="accent1" w:themeShade="BF"/>
          <w:sz w:val="22"/>
          <w:szCs w:val="22"/>
          <w:lang w:val="en-GB"/>
        </w:rPr>
        <w:t xml:space="preserve">this section 245, the underlying debt (to </w:t>
      </w:r>
      <w:proofErr w:type="spellStart"/>
      <w:r w:rsidRPr="00AE3264">
        <w:rPr>
          <w:rFonts w:ascii="Arial" w:hAnsi="Arial" w:cs="Arial"/>
          <w:color w:val="2F5496" w:themeColor="accent1" w:themeShade="BF"/>
          <w:sz w:val="22"/>
          <w:szCs w:val="22"/>
          <w:lang w:val="en-GB"/>
        </w:rPr>
        <w:t>Stercus</w:t>
      </w:r>
      <w:proofErr w:type="spellEnd"/>
      <w:r w:rsidRPr="00AE3264">
        <w:rPr>
          <w:rFonts w:ascii="Arial" w:hAnsi="Arial" w:cs="Arial"/>
          <w:color w:val="2F5496" w:themeColor="accent1" w:themeShade="BF"/>
          <w:sz w:val="22"/>
          <w:szCs w:val="22"/>
          <w:lang w:val="en-GB"/>
        </w:rPr>
        <w:t xml:space="preserve"> Bank) remains valid.</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32275E82" w:rsidR="00FF5098" w:rsidRPr="00AE3264" w:rsidRDefault="00CC7BF2" w:rsidP="00FF5098">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Given that the sale of the coffee roasting machines was done at a value (£10,000) that is seemingly below what the machines were worth (</w:t>
      </w:r>
      <w:r w:rsidR="00D51A6F" w:rsidRPr="00AE3264">
        <w:rPr>
          <w:rFonts w:ascii="Arial" w:hAnsi="Arial" w:cs="Arial"/>
          <w:color w:val="2F5496" w:themeColor="accent1" w:themeShade="BF"/>
          <w:sz w:val="22"/>
          <w:szCs w:val="22"/>
          <w:lang w:val="en-GB"/>
        </w:rPr>
        <w:t xml:space="preserve">as the machines were bought at </w:t>
      </w:r>
      <w:r w:rsidRPr="00AE3264">
        <w:rPr>
          <w:rFonts w:ascii="Arial" w:hAnsi="Arial" w:cs="Arial"/>
          <w:color w:val="2F5496" w:themeColor="accent1" w:themeShade="BF"/>
          <w:sz w:val="22"/>
          <w:szCs w:val="22"/>
          <w:lang w:val="en-GB"/>
        </w:rPr>
        <w:t xml:space="preserve">£25,000 </w:t>
      </w:r>
      <w:proofErr w:type="gramStart"/>
      <w:r w:rsidRPr="00AE3264">
        <w:rPr>
          <w:rFonts w:ascii="Arial" w:hAnsi="Arial" w:cs="Arial"/>
          <w:color w:val="2F5496" w:themeColor="accent1" w:themeShade="BF"/>
          <w:sz w:val="22"/>
          <w:szCs w:val="22"/>
          <w:lang w:val="en-GB"/>
        </w:rPr>
        <w:t>one</w:t>
      </w:r>
      <w:r w:rsidR="00D51A6F" w:rsidRPr="00AE3264">
        <w:rPr>
          <w:rFonts w:ascii="Arial" w:hAnsi="Arial" w:cs="Arial"/>
          <w:color w:val="2F5496" w:themeColor="accent1" w:themeShade="BF"/>
          <w:sz w:val="22"/>
          <w:szCs w:val="22"/>
          <w:lang w:val="en-GB"/>
        </w:rPr>
        <w:t xml:space="preserve"> </w:t>
      </w:r>
      <w:r w:rsidRPr="00AE3264">
        <w:rPr>
          <w:rFonts w:ascii="Arial" w:hAnsi="Arial" w:cs="Arial"/>
          <w:color w:val="2F5496" w:themeColor="accent1" w:themeShade="BF"/>
          <w:sz w:val="22"/>
          <w:szCs w:val="22"/>
          <w:lang w:val="en-GB"/>
        </w:rPr>
        <w:t>year</w:t>
      </w:r>
      <w:proofErr w:type="gramEnd"/>
      <w:r w:rsidRPr="00AE3264">
        <w:rPr>
          <w:rFonts w:ascii="Arial" w:hAnsi="Arial" w:cs="Arial"/>
          <w:color w:val="2F5496" w:themeColor="accent1" w:themeShade="BF"/>
          <w:sz w:val="22"/>
          <w:szCs w:val="22"/>
          <w:lang w:val="en-GB"/>
        </w:rPr>
        <w:t xml:space="preserve"> prior), the sale of these machines may be subjected to attack under section 238 of the Insolvency Act, concerning transactions at an undervalue.</w:t>
      </w:r>
    </w:p>
    <w:p w14:paraId="7AEDE530" w14:textId="088A49C9" w:rsidR="00311816" w:rsidRPr="00AE3264" w:rsidRDefault="00311816" w:rsidP="00311816">
      <w:pPr>
        <w:autoSpaceDE w:val="0"/>
        <w:autoSpaceDN w:val="0"/>
        <w:adjustRightInd w:val="0"/>
        <w:jc w:val="both"/>
        <w:rPr>
          <w:rFonts w:ascii="Arial" w:hAnsi="Arial" w:cs="Arial"/>
          <w:color w:val="2F5496" w:themeColor="accent1" w:themeShade="BF"/>
          <w:sz w:val="22"/>
          <w:szCs w:val="22"/>
          <w:lang w:val="en-GB"/>
        </w:rPr>
      </w:pPr>
    </w:p>
    <w:p w14:paraId="3C3D467D" w14:textId="0BC022D6" w:rsidR="00CC7BF2" w:rsidRPr="00AE3264" w:rsidRDefault="00CC7BF2" w:rsidP="00311816">
      <w:pPr>
        <w:autoSpaceDE w:val="0"/>
        <w:autoSpaceDN w:val="0"/>
        <w:adjustRightInd w:val="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The liquidator may take action to unwind</w:t>
      </w:r>
      <w:r w:rsidR="00D51A6F" w:rsidRPr="00AE3264">
        <w:rPr>
          <w:rFonts w:ascii="Arial" w:hAnsi="Arial" w:cs="Arial"/>
          <w:color w:val="2F5496" w:themeColor="accent1" w:themeShade="BF"/>
          <w:sz w:val="22"/>
          <w:szCs w:val="22"/>
          <w:lang w:val="en-GB"/>
        </w:rPr>
        <w:t xml:space="preserve"> the transaction and restore the position of the Company. The prerequisite for this section 238 is that the </w:t>
      </w:r>
      <w:r w:rsidR="00720157" w:rsidRPr="00AE3264">
        <w:rPr>
          <w:rFonts w:ascii="Arial" w:hAnsi="Arial" w:cs="Arial"/>
          <w:color w:val="2F5496" w:themeColor="accent1" w:themeShade="BF"/>
          <w:sz w:val="22"/>
          <w:szCs w:val="22"/>
          <w:lang w:val="en-GB"/>
        </w:rPr>
        <w:t xml:space="preserve">undervalue </w:t>
      </w:r>
      <w:r w:rsidR="00D51A6F" w:rsidRPr="00AE3264">
        <w:rPr>
          <w:rFonts w:ascii="Arial" w:hAnsi="Arial" w:cs="Arial"/>
          <w:color w:val="2F5496" w:themeColor="accent1" w:themeShade="BF"/>
          <w:sz w:val="22"/>
          <w:szCs w:val="22"/>
          <w:lang w:val="en-GB"/>
        </w:rPr>
        <w:t>transaction was done within the ‘relevant time’</w:t>
      </w:r>
      <w:r w:rsidR="00720157" w:rsidRPr="00AE3264">
        <w:rPr>
          <w:rFonts w:ascii="Arial" w:hAnsi="Arial" w:cs="Arial"/>
          <w:color w:val="2F5496" w:themeColor="accent1" w:themeShade="BF"/>
          <w:sz w:val="22"/>
          <w:szCs w:val="22"/>
          <w:lang w:val="en-GB"/>
        </w:rPr>
        <w:t>.</w:t>
      </w:r>
      <w:r w:rsidR="00D51A6F" w:rsidRPr="00AE3264">
        <w:rPr>
          <w:rFonts w:ascii="Arial" w:hAnsi="Arial" w:cs="Arial"/>
          <w:color w:val="2F5496" w:themeColor="accent1" w:themeShade="BF"/>
          <w:sz w:val="22"/>
          <w:szCs w:val="22"/>
          <w:lang w:val="en-GB"/>
        </w:rPr>
        <w:t xml:space="preserve"> </w:t>
      </w:r>
      <w:r w:rsidR="00720157" w:rsidRPr="00AE3264">
        <w:rPr>
          <w:rFonts w:ascii="Arial" w:hAnsi="Arial" w:cs="Arial"/>
          <w:color w:val="2F5496" w:themeColor="accent1" w:themeShade="BF"/>
          <w:sz w:val="22"/>
          <w:szCs w:val="22"/>
          <w:lang w:val="en-GB"/>
        </w:rPr>
        <w:t>S</w:t>
      </w:r>
      <w:r w:rsidR="00D51A6F" w:rsidRPr="00AE3264">
        <w:rPr>
          <w:rFonts w:ascii="Arial" w:hAnsi="Arial" w:cs="Arial"/>
          <w:color w:val="2F5496" w:themeColor="accent1" w:themeShade="BF"/>
          <w:sz w:val="22"/>
          <w:szCs w:val="22"/>
          <w:lang w:val="en-GB"/>
        </w:rPr>
        <w:t xml:space="preserve">ection 240 of the Insolvency Act stipulates that the ‘relevant time’ </w:t>
      </w:r>
      <w:r w:rsidR="00720157" w:rsidRPr="00AE3264">
        <w:rPr>
          <w:rFonts w:ascii="Arial" w:hAnsi="Arial" w:cs="Arial"/>
          <w:color w:val="2F5496" w:themeColor="accent1" w:themeShade="BF"/>
          <w:sz w:val="22"/>
          <w:szCs w:val="22"/>
          <w:lang w:val="en-GB"/>
        </w:rPr>
        <w:t>is the 2-years period ending with the onset of insolvency (commencement of the winding up) and when the transaction was carried out, the Company was unable to pay its debts within the meaning of section 123 of the Insolvency Act, or became unable to pay its debts because of the transaction. However, given that the undervalue transaction was with a connected person (</w:t>
      </w:r>
      <w:r w:rsidR="00652569" w:rsidRPr="00AE3264">
        <w:rPr>
          <w:rFonts w:ascii="Arial" w:hAnsi="Arial" w:cs="Arial"/>
          <w:color w:val="2F5496" w:themeColor="accent1" w:themeShade="BF"/>
          <w:sz w:val="22"/>
          <w:szCs w:val="22"/>
          <w:lang w:val="en-GB"/>
        </w:rPr>
        <w:t>Ann Young, a director), section 240 of the Insolvency Act stipulates that the requirement concerning the Company’s inability to pay its debt (or becoming unable to do so because of the transaction) is presumed to be satisfied, unless the contrary is shown. As such, the Company’s transaction with Ann Young satisfies the qualifications of an undervalue transaction under section 238 of the Insolvency Act.</w:t>
      </w:r>
    </w:p>
    <w:p w14:paraId="65052F7A" w14:textId="12FB3CF4" w:rsidR="00652569" w:rsidRPr="00AE3264" w:rsidRDefault="00652569" w:rsidP="00311816">
      <w:pPr>
        <w:autoSpaceDE w:val="0"/>
        <w:autoSpaceDN w:val="0"/>
        <w:adjustRightInd w:val="0"/>
        <w:jc w:val="both"/>
        <w:rPr>
          <w:rFonts w:ascii="Arial" w:hAnsi="Arial" w:cs="Arial"/>
          <w:color w:val="2F5496" w:themeColor="accent1" w:themeShade="BF"/>
          <w:sz w:val="22"/>
          <w:szCs w:val="22"/>
          <w:lang w:val="en-GB"/>
        </w:rPr>
      </w:pPr>
    </w:p>
    <w:p w14:paraId="4B5E2A1E" w14:textId="0FB6E929" w:rsidR="00652569" w:rsidRPr="00AE3264" w:rsidRDefault="00652569" w:rsidP="00311816">
      <w:pPr>
        <w:autoSpaceDE w:val="0"/>
        <w:autoSpaceDN w:val="0"/>
        <w:adjustRightInd w:val="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If the liquidator</w:t>
      </w:r>
      <w:r w:rsidR="00635FFB" w:rsidRPr="00AE3264">
        <w:rPr>
          <w:rFonts w:ascii="Arial" w:hAnsi="Arial" w:cs="Arial"/>
          <w:color w:val="2F5496" w:themeColor="accent1" w:themeShade="BF"/>
          <w:sz w:val="22"/>
          <w:szCs w:val="22"/>
          <w:lang w:val="en-GB"/>
        </w:rPr>
        <w:t>’s</w:t>
      </w:r>
      <w:r w:rsidRPr="00AE3264">
        <w:rPr>
          <w:rFonts w:ascii="Arial" w:hAnsi="Arial" w:cs="Arial"/>
          <w:color w:val="2F5496" w:themeColor="accent1" w:themeShade="BF"/>
          <w:sz w:val="22"/>
          <w:szCs w:val="22"/>
          <w:lang w:val="en-GB"/>
        </w:rPr>
        <w:t xml:space="preserve"> application </w:t>
      </w:r>
      <w:r w:rsidR="00635FFB" w:rsidRPr="00AE3264">
        <w:rPr>
          <w:rFonts w:ascii="Arial" w:hAnsi="Arial" w:cs="Arial"/>
          <w:color w:val="2F5496" w:themeColor="accent1" w:themeShade="BF"/>
          <w:sz w:val="22"/>
          <w:szCs w:val="22"/>
          <w:lang w:val="en-GB"/>
        </w:rPr>
        <w:t>is successful, the court can override the sale of the machines to Ann Young, and reinstate the position of the Company to what it would have been if the sale was not made.</w:t>
      </w:r>
    </w:p>
    <w:p w14:paraId="771B8E60" w14:textId="7731F9D3" w:rsidR="00EC5636" w:rsidRPr="00AE3264" w:rsidRDefault="00EC5636" w:rsidP="00311816">
      <w:pPr>
        <w:autoSpaceDE w:val="0"/>
        <w:autoSpaceDN w:val="0"/>
        <w:adjustRightInd w:val="0"/>
        <w:jc w:val="both"/>
        <w:rPr>
          <w:rFonts w:ascii="Arial" w:hAnsi="Arial" w:cs="Arial"/>
          <w:color w:val="2F5496" w:themeColor="accent1" w:themeShade="BF"/>
          <w:sz w:val="22"/>
          <w:szCs w:val="22"/>
          <w:lang w:val="en-GB"/>
        </w:rPr>
      </w:pPr>
    </w:p>
    <w:p w14:paraId="534A04B8" w14:textId="6328E2D1" w:rsidR="00EC5636" w:rsidRPr="00AE3264" w:rsidRDefault="00D95C3B" w:rsidP="00311816">
      <w:pPr>
        <w:autoSpaceDE w:val="0"/>
        <w:autoSpaceDN w:val="0"/>
        <w:adjustRightInd w:val="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Additionally, t</w:t>
      </w:r>
      <w:r w:rsidR="00EC5636" w:rsidRPr="00AE3264">
        <w:rPr>
          <w:rFonts w:ascii="Arial" w:hAnsi="Arial" w:cs="Arial"/>
          <w:color w:val="2F5496" w:themeColor="accent1" w:themeShade="BF"/>
          <w:sz w:val="22"/>
          <w:szCs w:val="22"/>
          <w:lang w:val="en-GB"/>
        </w:rPr>
        <w:t xml:space="preserve">he liquidator may </w:t>
      </w:r>
      <w:r w:rsidRPr="00AE3264">
        <w:rPr>
          <w:rFonts w:ascii="Arial" w:hAnsi="Arial" w:cs="Arial"/>
          <w:color w:val="2F5496" w:themeColor="accent1" w:themeShade="BF"/>
          <w:sz w:val="22"/>
          <w:szCs w:val="22"/>
          <w:lang w:val="en-GB"/>
        </w:rPr>
        <w:t xml:space="preserve">also </w:t>
      </w:r>
      <w:r w:rsidR="00EC5636" w:rsidRPr="00AE3264">
        <w:rPr>
          <w:rFonts w:ascii="Arial" w:hAnsi="Arial" w:cs="Arial"/>
          <w:color w:val="2F5496" w:themeColor="accent1" w:themeShade="BF"/>
          <w:sz w:val="22"/>
          <w:szCs w:val="22"/>
          <w:lang w:val="en-GB"/>
        </w:rPr>
        <w:t>look into whether there was any breach of duty on the part of the Company’s directors, in approving and transacting the sale of these machines to Ann Young (who is also a director). If so, the liquidator may bring action against Ann Young and/or the other directors (who approved the transaction)</w:t>
      </w:r>
      <w:r w:rsidR="00B840BF" w:rsidRPr="00AE3264">
        <w:rPr>
          <w:rFonts w:ascii="Arial" w:hAnsi="Arial" w:cs="Arial"/>
          <w:color w:val="2F5496" w:themeColor="accent1" w:themeShade="BF"/>
          <w:sz w:val="22"/>
          <w:szCs w:val="22"/>
          <w:lang w:val="en-GB"/>
        </w:rPr>
        <w:t>,</w:t>
      </w:r>
      <w:r w:rsidR="00EC5636" w:rsidRPr="00AE3264">
        <w:rPr>
          <w:rFonts w:ascii="Arial" w:hAnsi="Arial" w:cs="Arial"/>
          <w:color w:val="2F5496" w:themeColor="accent1" w:themeShade="BF"/>
          <w:sz w:val="22"/>
          <w:szCs w:val="22"/>
          <w:lang w:val="en-GB"/>
        </w:rPr>
        <w:t xml:space="preserve"> for misfeasance under section </w:t>
      </w:r>
      <w:r w:rsidR="00B840BF" w:rsidRPr="00AE3264">
        <w:rPr>
          <w:rFonts w:ascii="Arial" w:hAnsi="Arial" w:cs="Arial"/>
          <w:color w:val="2F5496" w:themeColor="accent1" w:themeShade="BF"/>
          <w:sz w:val="22"/>
          <w:szCs w:val="22"/>
          <w:lang w:val="en-GB"/>
        </w:rPr>
        <w:t>212 of the Insolvency Act, for having breached any fiduciary or other duty</w:t>
      </w:r>
      <w:r w:rsidR="00325B82" w:rsidRPr="00AE3264">
        <w:rPr>
          <w:rFonts w:ascii="Arial" w:hAnsi="Arial" w:cs="Arial"/>
          <w:color w:val="2F5496" w:themeColor="accent1" w:themeShade="BF"/>
          <w:sz w:val="22"/>
          <w:szCs w:val="22"/>
          <w:lang w:val="en-GB"/>
        </w:rPr>
        <w:t>, including the duty to act in the best interests of the Company and the duty to not act where there is any conflict of interests</w:t>
      </w:r>
      <w:r w:rsidR="00B840BF" w:rsidRPr="00AE3264">
        <w:rPr>
          <w:rFonts w:ascii="Arial" w:hAnsi="Arial" w:cs="Arial"/>
          <w:color w:val="2F5496" w:themeColor="accent1" w:themeShade="BF"/>
          <w:sz w:val="22"/>
          <w:szCs w:val="22"/>
          <w:lang w:val="en-GB"/>
        </w:rPr>
        <w:t xml:space="preserve">. If the action based on this section 212 is successful, the court may </w:t>
      </w:r>
      <w:r w:rsidR="00325B82" w:rsidRPr="00AE3264">
        <w:rPr>
          <w:rFonts w:ascii="Arial" w:hAnsi="Arial" w:cs="Arial"/>
          <w:color w:val="2F5496" w:themeColor="accent1" w:themeShade="BF"/>
          <w:sz w:val="22"/>
          <w:szCs w:val="22"/>
          <w:lang w:val="en-GB"/>
        </w:rPr>
        <w:t xml:space="preserve">sanction and </w:t>
      </w:r>
      <w:r w:rsidR="00B840BF" w:rsidRPr="00AE3264">
        <w:rPr>
          <w:rFonts w:ascii="Arial" w:hAnsi="Arial" w:cs="Arial"/>
          <w:color w:val="2F5496" w:themeColor="accent1" w:themeShade="BF"/>
          <w:sz w:val="22"/>
          <w:szCs w:val="22"/>
          <w:lang w:val="en-GB"/>
        </w:rPr>
        <w:t>compel the directors to repay</w:t>
      </w:r>
      <w:r w:rsidR="00325B82" w:rsidRPr="00AE3264">
        <w:rPr>
          <w:rFonts w:ascii="Arial" w:hAnsi="Arial" w:cs="Arial"/>
          <w:color w:val="2F5496" w:themeColor="accent1" w:themeShade="BF"/>
          <w:sz w:val="22"/>
          <w:szCs w:val="22"/>
          <w:lang w:val="en-GB"/>
        </w:rPr>
        <w:t xml:space="preserve"> the moneys, or</w:t>
      </w:r>
      <w:r w:rsidR="00B840BF" w:rsidRPr="00AE3264">
        <w:rPr>
          <w:rFonts w:ascii="Arial" w:hAnsi="Arial" w:cs="Arial"/>
          <w:color w:val="2F5496" w:themeColor="accent1" w:themeShade="BF"/>
          <w:sz w:val="22"/>
          <w:szCs w:val="22"/>
          <w:lang w:val="en-GB"/>
        </w:rPr>
        <w:t xml:space="preserve"> restore</w:t>
      </w:r>
      <w:r w:rsidR="00EC5636" w:rsidRPr="00AE3264">
        <w:rPr>
          <w:rFonts w:ascii="Arial" w:hAnsi="Arial" w:cs="Arial"/>
          <w:color w:val="2F5496" w:themeColor="accent1" w:themeShade="BF"/>
          <w:sz w:val="22"/>
          <w:szCs w:val="22"/>
          <w:lang w:val="en-GB"/>
        </w:rPr>
        <w:t xml:space="preserve"> </w:t>
      </w:r>
      <w:r w:rsidR="00325B82" w:rsidRPr="00AE3264">
        <w:rPr>
          <w:rFonts w:ascii="Arial" w:hAnsi="Arial" w:cs="Arial"/>
          <w:color w:val="2F5496" w:themeColor="accent1" w:themeShade="BF"/>
          <w:sz w:val="22"/>
          <w:szCs w:val="22"/>
          <w:lang w:val="en-GB"/>
        </w:rPr>
        <w:t>the asset (the machines), or compensate the Company’s assets.</w:t>
      </w:r>
    </w:p>
    <w:p w14:paraId="1025919F" w14:textId="0C5035D0" w:rsidR="00D95C3B" w:rsidRPr="00AE3264" w:rsidRDefault="00D95C3B" w:rsidP="00311816">
      <w:pPr>
        <w:autoSpaceDE w:val="0"/>
        <w:autoSpaceDN w:val="0"/>
        <w:adjustRightInd w:val="0"/>
        <w:jc w:val="both"/>
        <w:rPr>
          <w:rFonts w:ascii="Arial" w:hAnsi="Arial" w:cs="Arial"/>
          <w:color w:val="2F5496" w:themeColor="accent1" w:themeShade="BF"/>
          <w:sz w:val="22"/>
          <w:szCs w:val="22"/>
          <w:lang w:val="en-GB"/>
        </w:rPr>
      </w:pPr>
    </w:p>
    <w:p w14:paraId="7C2D371D" w14:textId="45FBE32C" w:rsidR="00D95C3B" w:rsidRPr="00AE3264" w:rsidRDefault="00D95C3B" w:rsidP="00311816">
      <w:pPr>
        <w:autoSpaceDE w:val="0"/>
        <w:autoSpaceDN w:val="0"/>
        <w:adjustRightInd w:val="0"/>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Lastly, the liquidator may look into whether the transaction with Ann Young would qualify as a transaction that deprived the creditors of the Company of the assets concerned (the roasting machines), as the machines would otherwise be part of the insolvent estate had they not been sold, which thus violated the anti-deprivation rule.</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Pr="00AE3264" w:rsidRDefault="007E2919" w:rsidP="00B04033">
      <w:pPr>
        <w:rPr>
          <w:rFonts w:ascii="Arial" w:hAnsi="Arial" w:cs="Arial"/>
          <w:b/>
          <w:color w:val="2F5496" w:themeColor="accent1" w:themeShade="BF"/>
        </w:rPr>
      </w:pPr>
      <w:r w:rsidRPr="00AE3264">
        <w:rPr>
          <w:rFonts w:ascii="Arial" w:hAnsi="Arial" w:cs="Arial"/>
          <w:b/>
          <w:color w:val="2F5496" w:themeColor="accent1" w:themeShade="BF"/>
        </w:rPr>
        <w:t xml:space="preserve"> </w:t>
      </w:r>
    </w:p>
    <w:p w14:paraId="6B84B5DF" w14:textId="7B504671" w:rsidR="00E85AE6" w:rsidRPr="00AE3264" w:rsidRDefault="006A09EC" w:rsidP="008769B2">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 xml:space="preserve">The Corporate Insolvency and Governance Act 2020 has expanded the protection </w:t>
      </w:r>
      <w:r w:rsidR="0011090D" w:rsidRPr="00AE3264">
        <w:rPr>
          <w:rFonts w:ascii="Arial" w:hAnsi="Arial" w:cs="Arial"/>
          <w:color w:val="2F5496" w:themeColor="accent1" w:themeShade="BF"/>
          <w:sz w:val="22"/>
          <w:szCs w:val="22"/>
          <w:lang w:val="en-GB"/>
        </w:rPr>
        <w:t xml:space="preserve">for insolvent companies </w:t>
      </w:r>
      <w:r w:rsidR="00F07F00" w:rsidRPr="00AE3264">
        <w:rPr>
          <w:rFonts w:ascii="Arial" w:hAnsi="Arial" w:cs="Arial"/>
          <w:color w:val="2F5496" w:themeColor="accent1" w:themeShade="BF"/>
          <w:sz w:val="22"/>
          <w:szCs w:val="22"/>
          <w:lang w:val="en-GB"/>
        </w:rPr>
        <w:t>against</w:t>
      </w:r>
      <w:r w:rsidRPr="00AE3264">
        <w:rPr>
          <w:rFonts w:ascii="Arial" w:hAnsi="Arial" w:cs="Arial"/>
          <w:color w:val="2F5496" w:themeColor="accent1" w:themeShade="BF"/>
          <w:sz w:val="22"/>
          <w:szCs w:val="22"/>
          <w:lang w:val="en-GB"/>
        </w:rPr>
        <w:t xml:space="preserve"> termination or modification of </w:t>
      </w:r>
      <w:r w:rsidR="00E85AE6" w:rsidRPr="00AE3264">
        <w:rPr>
          <w:rFonts w:ascii="Arial" w:hAnsi="Arial" w:cs="Arial"/>
          <w:color w:val="2F5496" w:themeColor="accent1" w:themeShade="BF"/>
          <w:sz w:val="22"/>
          <w:szCs w:val="22"/>
          <w:lang w:val="en-GB"/>
        </w:rPr>
        <w:t>supplies</w:t>
      </w:r>
      <w:r w:rsidR="0011090D" w:rsidRPr="00AE3264">
        <w:rPr>
          <w:rFonts w:ascii="Arial" w:hAnsi="Arial" w:cs="Arial"/>
          <w:color w:val="2F5496" w:themeColor="accent1" w:themeShade="BF"/>
          <w:sz w:val="22"/>
          <w:szCs w:val="22"/>
          <w:lang w:val="en-GB"/>
        </w:rPr>
        <w:t xml:space="preserve">, by inserting section 233B </w:t>
      </w:r>
      <w:r w:rsidR="0011090D" w:rsidRPr="00AE3264">
        <w:rPr>
          <w:rFonts w:ascii="Arial" w:hAnsi="Arial" w:cs="Arial"/>
          <w:color w:val="2F5496" w:themeColor="accent1" w:themeShade="BF"/>
          <w:sz w:val="22"/>
          <w:szCs w:val="22"/>
          <w:lang w:val="en-GB"/>
        </w:rPr>
        <w:lastRenderedPageBreak/>
        <w:t>to the Insolvency Act</w:t>
      </w:r>
      <w:r w:rsidR="00AD4E6C" w:rsidRPr="00AE3264">
        <w:rPr>
          <w:rFonts w:ascii="Arial" w:hAnsi="Arial" w:cs="Arial"/>
          <w:color w:val="2F5496" w:themeColor="accent1" w:themeShade="BF"/>
          <w:sz w:val="22"/>
          <w:szCs w:val="22"/>
          <w:lang w:val="en-GB"/>
        </w:rPr>
        <w:t xml:space="preserve"> 1986</w:t>
      </w:r>
      <w:r w:rsidR="006352AD" w:rsidRPr="00AE3264">
        <w:rPr>
          <w:rFonts w:ascii="Arial" w:hAnsi="Arial" w:cs="Arial"/>
          <w:color w:val="2F5496" w:themeColor="accent1" w:themeShade="BF"/>
          <w:sz w:val="22"/>
          <w:szCs w:val="22"/>
          <w:lang w:val="en-GB"/>
        </w:rPr>
        <w:t xml:space="preserve">. </w:t>
      </w:r>
      <w:r w:rsidR="00E85AE6" w:rsidRPr="00AE3264">
        <w:rPr>
          <w:rFonts w:ascii="Arial" w:hAnsi="Arial" w:cs="Arial"/>
          <w:color w:val="2F5496" w:themeColor="accent1" w:themeShade="BF"/>
          <w:sz w:val="22"/>
          <w:szCs w:val="22"/>
          <w:lang w:val="en-GB"/>
        </w:rPr>
        <w:t>T</w:t>
      </w:r>
      <w:r w:rsidR="006352AD" w:rsidRPr="00AE3264">
        <w:rPr>
          <w:rFonts w:ascii="Arial" w:hAnsi="Arial" w:cs="Arial"/>
          <w:color w:val="2F5496" w:themeColor="accent1" w:themeShade="BF"/>
          <w:sz w:val="22"/>
          <w:szCs w:val="22"/>
          <w:lang w:val="en-GB"/>
        </w:rPr>
        <w:t>he Company’s liquidation is within the prescribed meaning of a ‘relevant insolvency procedure’</w:t>
      </w:r>
      <w:r w:rsidR="00E85AE6" w:rsidRPr="00AE3264">
        <w:rPr>
          <w:rFonts w:ascii="Arial" w:hAnsi="Arial" w:cs="Arial"/>
          <w:color w:val="2F5496" w:themeColor="accent1" w:themeShade="BF"/>
          <w:sz w:val="22"/>
          <w:szCs w:val="22"/>
          <w:lang w:val="en-GB"/>
        </w:rPr>
        <w:t xml:space="preserve"> under section 233B</w:t>
      </w:r>
      <w:r w:rsidR="006352AD" w:rsidRPr="00AE3264">
        <w:rPr>
          <w:rFonts w:ascii="Arial" w:hAnsi="Arial" w:cs="Arial"/>
          <w:color w:val="2F5496" w:themeColor="accent1" w:themeShade="BF"/>
          <w:sz w:val="22"/>
          <w:szCs w:val="22"/>
          <w:lang w:val="en-GB"/>
        </w:rPr>
        <w:t xml:space="preserve">, and </w:t>
      </w:r>
      <w:r w:rsidR="00F07F00" w:rsidRPr="00AE3264">
        <w:rPr>
          <w:rFonts w:ascii="Arial" w:hAnsi="Arial" w:cs="Arial"/>
          <w:color w:val="2F5496" w:themeColor="accent1" w:themeShade="BF"/>
          <w:sz w:val="22"/>
          <w:szCs w:val="22"/>
          <w:lang w:val="en-GB"/>
        </w:rPr>
        <w:t>as such</w:t>
      </w:r>
      <w:r w:rsidR="006352AD" w:rsidRPr="00AE3264">
        <w:rPr>
          <w:rFonts w:ascii="Arial" w:hAnsi="Arial" w:cs="Arial"/>
          <w:color w:val="2F5496" w:themeColor="accent1" w:themeShade="BF"/>
          <w:sz w:val="22"/>
          <w:szCs w:val="22"/>
          <w:lang w:val="en-GB"/>
        </w:rPr>
        <w:t xml:space="preserve">, </w:t>
      </w:r>
      <w:r w:rsidR="007B62DF" w:rsidRPr="00AE3264">
        <w:rPr>
          <w:rFonts w:ascii="Arial" w:hAnsi="Arial" w:cs="Arial"/>
          <w:color w:val="2F5496" w:themeColor="accent1" w:themeShade="BF"/>
          <w:sz w:val="22"/>
          <w:szCs w:val="22"/>
          <w:lang w:val="en-GB"/>
        </w:rPr>
        <w:t xml:space="preserve">Beans and Leaves Ltd, as the Company’s supplier, is </w:t>
      </w:r>
      <w:r w:rsidR="002D2C1E" w:rsidRPr="00AE3264">
        <w:rPr>
          <w:rFonts w:ascii="Arial" w:hAnsi="Arial" w:cs="Arial"/>
          <w:color w:val="2F5496" w:themeColor="accent1" w:themeShade="BF"/>
          <w:sz w:val="22"/>
          <w:szCs w:val="22"/>
          <w:lang w:val="en-GB"/>
        </w:rPr>
        <w:t>not permitted to unilaterally terminate the supply, or to rely on automatic termination or modification provision in the executory contracts</w:t>
      </w:r>
      <w:r w:rsidR="00E85AE6" w:rsidRPr="00AE3264">
        <w:rPr>
          <w:rFonts w:ascii="Arial" w:hAnsi="Arial" w:cs="Arial"/>
          <w:color w:val="2F5496" w:themeColor="accent1" w:themeShade="BF"/>
          <w:sz w:val="22"/>
          <w:szCs w:val="22"/>
          <w:lang w:val="en-GB"/>
        </w:rPr>
        <w:t xml:space="preserve">. </w:t>
      </w:r>
      <w:r w:rsidR="007B62DF" w:rsidRPr="00AE3264">
        <w:rPr>
          <w:rFonts w:ascii="Arial" w:hAnsi="Arial" w:cs="Arial"/>
          <w:color w:val="2F5496" w:themeColor="accent1" w:themeShade="BF"/>
          <w:sz w:val="22"/>
          <w:szCs w:val="22"/>
          <w:lang w:val="en-GB"/>
        </w:rPr>
        <w:t xml:space="preserve">Beans and Leaves Ltd is </w:t>
      </w:r>
      <w:r w:rsidR="00E85AE6" w:rsidRPr="00AE3264">
        <w:rPr>
          <w:rFonts w:ascii="Arial" w:hAnsi="Arial" w:cs="Arial"/>
          <w:color w:val="2F5496" w:themeColor="accent1" w:themeShade="BF"/>
          <w:sz w:val="22"/>
          <w:szCs w:val="22"/>
          <w:lang w:val="en-GB"/>
        </w:rPr>
        <w:t>also prohibited</w:t>
      </w:r>
      <w:r w:rsidR="007B62DF" w:rsidRPr="00AE3264">
        <w:rPr>
          <w:rFonts w:ascii="Arial" w:hAnsi="Arial" w:cs="Arial"/>
          <w:color w:val="2F5496" w:themeColor="accent1" w:themeShade="BF"/>
          <w:sz w:val="22"/>
          <w:szCs w:val="22"/>
          <w:lang w:val="en-GB"/>
        </w:rPr>
        <w:t>, under section 233B,</w:t>
      </w:r>
      <w:r w:rsidR="00E85AE6" w:rsidRPr="00AE3264">
        <w:rPr>
          <w:rFonts w:ascii="Arial" w:hAnsi="Arial" w:cs="Arial"/>
          <w:color w:val="2F5496" w:themeColor="accent1" w:themeShade="BF"/>
          <w:sz w:val="22"/>
          <w:szCs w:val="22"/>
          <w:lang w:val="en-GB"/>
        </w:rPr>
        <w:t xml:space="preserve"> </w:t>
      </w:r>
      <w:r w:rsidR="002D2C1E" w:rsidRPr="00AE3264">
        <w:rPr>
          <w:rFonts w:ascii="Arial" w:hAnsi="Arial" w:cs="Arial"/>
          <w:color w:val="2F5496" w:themeColor="accent1" w:themeShade="BF"/>
          <w:sz w:val="22"/>
          <w:szCs w:val="22"/>
          <w:lang w:val="en-GB"/>
        </w:rPr>
        <w:t xml:space="preserve">from </w:t>
      </w:r>
      <w:r w:rsidR="00E85AE6" w:rsidRPr="00AE3264">
        <w:rPr>
          <w:rFonts w:ascii="Arial" w:hAnsi="Arial" w:cs="Arial"/>
          <w:color w:val="2F5496" w:themeColor="accent1" w:themeShade="BF"/>
          <w:sz w:val="22"/>
          <w:szCs w:val="22"/>
          <w:lang w:val="en-GB"/>
        </w:rPr>
        <w:t xml:space="preserve">making </w:t>
      </w:r>
      <w:r w:rsidR="00AD4E6C" w:rsidRPr="00AE3264">
        <w:rPr>
          <w:rFonts w:ascii="Arial" w:hAnsi="Arial" w:cs="Arial"/>
          <w:color w:val="2F5496" w:themeColor="accent1" w:themeShade="BF"/>
          <w:sz w:val="22"/>
          <w:szCs w:val="22"/>
          <w:lang w:val="en-GB"/>
        </w:rPr>
        <w:t xml:space="preserve">it a condition of continued supply that the outstanding amount </w:t>
      </w:r>
      <w:r w:rsidR="00F07F00" w:rsidRPr="00AE3264">
        <w:rPr>
          <w:rFonts w:ascii="Arial" w:hAnsi="Arial" w:cs="Arial"/>
          <w:color w:val="2F5496" w:themeColor="accent1" w:themeShade="BF"/>
          <w:sz w:val="22"/>
          <w:szCs w:val="22"/>
          <w:lang w:val="en-GB"/>
        </w:rPr>
        <w:t xml:space="preserve">that </w:t>
      </w:r>
      <w:r w:rsidR="00AD4E6C" w:rsidRPr="00AE3264">
        <w:rPr>
          <w:rFonts w:ascii="Arial" w:hAnsi="Arial" w:cs="Arial"/>
          <w:color w:val="2F5496" w:themeColor="accent1" w:themeShade="BF"/>
          <w:sz w:val="22"/>
          <w:szCs w:val="22"/>
          <w:lang w:val="en-GB"/>
        </w:rPr>
        <w:t xml:space="preserve">the Company owed </w:t>
      </w:r>
      <w:r w:rsidR="007B62DF" w:rsidRPr="00AE3264">
        <w:rPr>
          <w:rFonts w:ascii="Arial" w:hAnsi="Arial" w:cs="Arial"/>
          <w:color w:val="2F5496" w:themeColor="accent1" w:themeShade="BF"/>
          <w:sz w:val="22"/>
          <w:szCs w:val="22"/>
          <w:lang w:val="en-GB"/>
        </w:rPr>
        <w:t>(£8,000)</w:t>
      </w:r>
      <w:r w:rsidR="00AD4E6C" w:rsidRPr="00AE3264">
        <w:rPr>
          <w:rFonts w:ascii="Arial" w:hAnsi="Arial" w:cs="Arial"/>
          <w:color w:val="2F5496" w:themeColor="accent1" w:themeShade="BF"/>
          <w:sz w:val="22"/>
          <w:szCs w:val="22"/>
          <w:lang w:val="en-GB"/>
        </w:rPr>
        <w:t xml:space="preserve"> is first paid</w:t>
      </w:r>
      <w:r w:rsidR="002D2C1E" w:rsidRPr="00AE3264">
        <w:rPr>
          <w:rFonts w:ascii="Arial" w:hAnsi="Arial" w:cs="Arial"/>
          <w:color w:val="2F5496" w:themeColor="accent1" w:themeShade="BF"/>
          <w:sz w:val="22"/>
          <w:szCs w:val="22"/>
          <w:lang w:val="en-GB"/>
        </w:rPr>
        <w:t xml:space="preserve">, or from </w:t>
      </w:r>
      <w:r w:rsidR="005D14E0" w:rsidRPr="00AE3264">
        <w:rPr>
          <w:rFonts w:ascii="Arial" w:hAnsi="Arial" w:cs="Arial"/>
          <w:color w:val="2F5496" w:themeColor="accent1" w:themeShade="BF"/>
          <w:sz w:val="22"/>
          <w:szCs w:val="22"/>
          <w:lang w:val="en-GB"/>
        </w:rPr>
        <w:t>changing</w:t>
      </w:r>
      <w:r w:rsidR="002D2C1E" w:rsidRPr="00AE3264">
        <w:rPr>
          <w:rFonts w:ascii="Arial" w:hAnsi="Arial" w:cs="Arial"/>
          <w:color w:val="2F5496" w:themeColor="accent1" w:themeShade="BF"/>
          <w:sz w:val="22"/>
          <w:szCs w:val="22"/>
          <w:lang w:val="en-GB"/>
        </w:rPr>
        <w:t xml:space="preserve"> </w:t>
      </w:r>
      <w:r w:rsidR="005D14E0" w:rsidRPr="00AE3264">
        <w:rPr>
          <w:rFonts w:ascii="Arial" w:hAnsi="Arial" w:cs="Arial"/>
          <w:color w:val="2F5496" w:themeColor="accent1" w:themeShade="BF"/>
          <w:sz w:val="22"/>
          <w:szCs w:val="22"/>
          <w:lang w:val="en-GB"/>
        </w:rPr>
        <w:t xml:space="preserve">the </w:t>
      </w:r>
      <w:r w:rsidR="00770A36" w:rsidRPr="00AE3264">
        <w:rPr>
          <w:rFonts w:ascii="Arial" w:hAnsi="Arial" w:cs="Arial"/>
          <w:color w:val="2F5496" w:themeColor="accent1" w:themeShade="BF"/>
          <w:sz w:val="22"/>
          <w:szCs w:val="22"/>
          <w:lang w:val="en-GB"/>
        </w:rPr>
        <w:t xml:space="preserve">payment terms </w:t>
      </w:r>
      <w:r w:rsidR="005D14E0" w:rsidRPr="00AE3264">
        <w:rPr>
          <w:rFonts w:ascii="Arial" w:hAnsi="Arial" w:cs="Arial"/>
          <w:color w:val="2F5496" w:themeColor="accent1" w:themeShade="BF"/>
          <w:sz w:val="22"/>
          <w:szCs w:val="22"/>
          <w:lang w:val="en-GB"/>
        </w:rPr>
        <w:t xml:space="preserve">for </w:t>
      </w:r>
      <w:r w:rsidR="002D2C1E" w:rsidRPr="00AE3264">
        <w:rPr>
          <w:rFonts w:ascii="Arial" w:hAnsi="Arial" w:cs="Arial"/>
          <w:color w:val="2F5496" w:themeColor="accent1" w:themeShade="BF"/>
          <w:sz w:val="22"/>
          <w:szCs w:val="22"/>
          <w:lang w:val="en-GB"/>
        </w:rPr>
        <w:t>the supply.</w:t>
      </w:r>
      <w:r w:rsidR="00E85AE6" w:rsidRPr="00AE3264">
        <w:rPr>
          <w:rFonts w:ascii="Arial" w:hAnsi="Arial" w:cs="Arial"/>
          <w:color w:val="2F5496" w:themeColor="accent1" w:themeShade="BF"/>
          <w:sz w:val="22"/>
          <w:szCs w:val="22"/>
          <w:lang w:val="en-GB"/>
        </w:rPr>
        <w:t xml:space="preserve"> The liquidator may </w:t>
      </w:r>
      <w:r w:rsidR="00B855B4" w:rsidRPr="00AE3264">
        <w:rPr>
          <w:rFonts w:ascii="Arial" w:hAnsi="Arial" w:cs="Arial"/>
          <w:color w:val="2F5496" w:themeColor="accent1" w:themeShade="BF"/>
          <w:sz w:val="22"/>
          <w:szCs w:val="22"/>
          <w:lang w:val="en-GB"/>
        </w:rPr>
        <w:t xml:space="preserve">therefore </w:t>
      </w:r>
      <w:r w:rsidR="00AD4E6C" w:rsidRPr="00AE3264">
        <w:rPr>
          <w:rFonts w:ascii="Arial" w:hAnsi="Arial" w:cs="Arial"/>
          <w:color w:val="2F5496" w:themeColor="accent1" w:themeShade="BF"/>
          <w:sz w:val="22"/>
          <w:szCs w:val="22"/>
          <w:lang w:val="en-GB"/>
        </w:rPr>
        <w:t>take action to set aside these payment requests and modification of payment terms</w:t>
      </w:r>
      <w:r w:rsidR="00B04C34" w:rsidRPr="00AE3264">
        <w:rPr>
          <w:rFonts w:ascii="Arial" w:hAnsi="Arial" w:cs="Arial"/>
          <w:color w:val="2F5496" w:themeColor="accent1" w:themeShade="BF"/>
          <w:sz w:val="22"/>
          <w:szCs w:val="22"/>
          <w:lang w:val="en-GB"/>
        </w:rPr>
        <w:t>, if the liquidator thinks that continuing supplies temporarily is beneficial to the winding up of the Company</w:t>
      </w:r>
      <w:r w:rsidR="00AD4E6C" w:rsidRPr="00AE3264">
        <w:rPr>
          <w:rFonts w:ascii="Arial" w:hAnsi="Arial" w:cs="Arial"/>
          <w:color w:val="2F5496" w:themeColor="accent1" w:themeShade="BF"/>
          <w:sz w:val="22"/>
          <w:szCs w:val="22"/>
          <w:lang w:val="en-GB"/>
        </w:rPr>
        <w:t>.</w:t>
      </w:r>
    </w:p>
    <w:p w14:paraId="14F3C9C2" w14:textId="678FD178" w:rsidR="00AD4E6C" w:rsidRPr="00AE3264" w:rsidRDefault="00AD4E6C" w:rsidP="008769B2">
      <w:pPr>
        <w:jc w:val="both"/>
        <w:rPr>
          <w:rFonts w:ascii="Arial" w:hAnsi="Arial" w:cs="Arial"/>
          <w:color w:val="2F5496" w:themeColor="accent1" w:themeShade="BF"/>
          <w:sz w:val="22"/>
          <w:szCs w:val="22"/>
          <w:lang w:val="en-GB"/>
        </w:rPr>
      </w:pPr>
    </w:p>
    <w:p w14:paraId="3C3135EE" w14:textId="15C9474A" w:rsidR="00180089" w:rsidRPr="00AE3264" w:rsidRDefault="00AD4E6C" w:rsidP="008769B2">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Additionally,</w:t>
      </w:r>
      <w:r w:rsidR="0018737B" w:rsidRPr="00AE3264">
        <w:rPr>
          <w:rFonts w:ascii="Arial" w:hAnsi="Arial" w:cs="Arial"/>
          <w:color w:val="2F5496" w:themeColor="accent1" w:themeShade="BF"/>
          <w:sz w:val="22"/>
          <w:szCs w:val="22"/>
          <w:lang w:val="en-GB"/>
        </w:rPr>
        <w:t xml:space="preserve"> </w:t>
      </w:r>
      <w:r w:rsidR="006802B2" w:rsidRPr="00AE3264">
        <w:rPr>
          <w:rFonts w:ascii="Arial" w:hAnsi="Arial" w:cs="Arial"/>
          <w:color w:val="2F5496" w:themeColor="accent1" w:themeShade="BF"/>
          <w:sz w:val="22"/>
          <w:szCs w:val="22"/>
          <w:lang w:val="en-GB"/>
        </w:rPr>
        <w:t xml:space="preserve">under section 127 of the Insolvency Act, any disposition of property after the commencement of the winding </w:t>
      </w:r>
      <w:r w:rsidR="00180089" w:rsidRPr="00AE3264">
        <w:rPr>
          <w:rFonts w:ascii="Arial" w:hAnsi="Arial" w:cs="Arial"/>
          <w:color w:val="2F5496" w:themeColor="accent1" w:themeShade="BF"/>
          <w:sz w:val="22"/>
          <w:szCs w:val="22"/>
          <w:lang w:val="en-GB"/>
        </w:rPr>
        <w:t xml:space="preserve">up, unless validated by the court, is void. </w:t>
      </w:r>
      <w:r w:rsidR="00E46557" w:rsidRPr="00AE3264">
        <w:rPr>
          <w:rFonts w:ascii="Arial" w:hAnsi="Arial" w:cs="Arial"/>
          <w:color w:val="2F5496" w:themeColor="accent1" w:themeShade="BF"/>
          <w:sz w:val="22"/>
          <w:szCs w:val="22"/>
          <w:lang w:val="en-GB"/>
        </w:rPr>
        <w:t xml:space="preserve">The disposition of property under section 127 is widely construed and would include payments of money as well as sale of assets. </w:t>
      </w:r>
      <w:r w:rsidR="00180089" w:rsidRPr="00AE3264">
        <w:rPr>
          <w:rFonts w:ascii="Arial" w:hAnsi="Arial" w:cs="Arial"/>
          <w:color w:val="2F5496" w:themeColor="accent1" w:themeShade="BF"/>
          <w:sz w:val="22"/>
          <w:szCs w:val="22"/>
          <w:lang w:val="en-GB"/>
        </w:rPr>
        <w:t xml:space="preserve">As such the liquidator may take action against the amounts demanded by Beans and Leaves Ltd, if they </w:t>
      </w:r>
      <w:r w:rsidR="00F07F00" w:rsidRPr="00AE3264">
        <w:rPr>
          <w:rFonts w:ascii="Arial" w:hAnsi="Arial" w:cs="Arial"/>
          <w:color w:val="2F5496" w:themeColor="accent1" w:themeShade="BF"/>
          <w:sz w:val="22"/>
          <w:szCs w:val="22"/>
          <w:lang w:val="en-GB"/>
        </w:rPr>
        <w:t xml:space="preserve">had been </w:t>
      </w:r>
      <w:r w:rsidR="00180089" w:rsidRPr="00AE3264">
        <w:rPr>
          <w:rFonts w:ascii="Arial" w:hAnsi="Arial" w:cs="Arial"/>
          <w:color w:val="2F5496" w:themeColor="accent1" w:themeShade="BF"/>
          <w:sz w:val="22"/>
          <w:szCs w:val="22"/>
          <w:lang w:val="en-GB"/>
        </w:rPr>
        <w:t xml:space="preserve">paid by the Company, </w:t>
      </w:r>
      <w:r w:rsidR="00F07F00" w:rsidRPr="00AE3264">
        <w:rPr>
          <w:rFonts w:ascii="Arial" w:hAnsi="Arial" w:cs="Arial"/>
          <w:color w:val="2F5496" w:themeColor="accent1" w:themeShade="BF"/>
          <w:sz w:val="22"/>
          <w:szCs w:val="22"/>
          <w:lang w:val="en-GB"/>
        </w:rPr>
        <w:t>given that</w:t>
      </w:r>
      <w:r w:rsidR="00180089" w:rsidRPr="00AE3264">
        <w:rPr>
          <w:rFonts w:ascii="Arial" w:hAnsi="Arial" w:cs="Arial"/>
          <w:color w:val="2F5496" w:themeColor="accent1" w:themeShade="BF"/>
          <w:sz w:val="22"/>
          <w:szCs w:val="22"/>
          <w:lang w:val="en-GB"/>
        </w:rPr>
        <w:t xml:space="preserve"> the payment would have happened after the winding up commenced, </w:t>
      </w:r>
      <w:r w:rsidR="00FA7307" w:rsidRPr="00AE3264">
        <w:rPr>
          <w:rFonts w:ascii="Arial" w:hAnsi="Arial" w:cs="Arial"/>
          <w:color w:val="2F5496" w:themeColor="accent1" w:themeShade="BF"/>
          <w:sz w:val="22"/>
          <w:szCs w:val="22"/>
          <w:lang w:val="en-GB"/>
        </w:rPr>
        <w:t>as the winding up</w:t>
      </w:r>
      <w:r w:rsidR="00180089" w:rsidRPr="00AE3264">
        <w:rPr>
          <w:rFonts w:ascii="Arial" w:hAnsi="Arial" w:cs="Arial"/>
          <w:color w:val="2F5496" w:themeColor="accent1" w:themeShade="BF"/>
          <w:sz w:val="22"/>
          <w:szCs w:val="22"/>
          <w:lang w:val="en-GB"/>
        </w:rPr>
        <w:t xml:space="preserve"> is deemed to commence at the time of the presentation of the petition for winding up (section 129 of the Insolvency Act). </w:t>
      </w:r>
    </w:p>
    <w:p w14:paraId="4FC67BA5" w14:textId="77777777" w:rsidR="00180089" w:rsidRPr="00AE3264" w:rsidRDefault="00180089" w:rsidP="008769B2">
      <w:pPr>
        <w:jc w:val="both"/>
        <w:rPr>
          <w:rFonts w:ascii="Arial" w:hAnsi="Arial" w:cs="Arial"/>
          <w:color w:val="2F5496" w:themeColor="accent1" w:themeShade="BF"/>
          <w:sz w:val="22"/>
          <w:szCs w:val="22"/>
          <w:lang w:val="en-GB"/>
        </w:rPr>
      </w:pPr>
    </w:p>
    <w:p w14:paraId="1363D910" w14:textId="1AE51794" w:rsidR="00AD4E6C" w:rsidRPr="00AE3264" w:rsidRDefault="00180089" w:rsidP="008769B2">
      <w:pPr>
        <w:jc w:val="both"/>
        <w:rPr>
          <w:rFonts w:ascii="Arial" w:hAnsi="Arial" w:cs="Arial"/>
          <w:color w:val="2F5496" w:themeColor="accent1" w:themeShade="BF"/>
          <w:sz w:val="22"/>
          <w:szCs w:val="22"/>
          <w:lang w:val="en-GB"/>
        </w:rPr>
      </w:pPr>
      <w:r w:rsidRPr="00AE3264">
        <w:rPr>
          <w:rFonts w:ascii="Arial" w:hAnsi="Arial" w:cs="Arial"/>
          <w:color w:val="2F5496" w:themeColor="accent1" w:themeShade="BF"/>
          <w:sz w:val="22"/>
          <w:szCs w:val="22"/>
          <w:lang w:val="en-GB"/>
        </w:rPr>
        <w:t>Lastly</w:t>
      </w:r>
      <w:r w:rsidR="0018737B" w:rsidRPr="00AE3264">
        <w:rPr>
          <w:rFonts w:ascii="Arial" w:hAnsi="Arial" w:cs="Arial"/>
          <w:color w:val="2F5496" w:themeColor="accent1" w:themeShade="BF"/>
          <w:sz w:val="22"/>
          <w:szCs w:val="22"/>
          <w:lang w:val="en-GB"/>
        </w:rPr>
        <w:t>, the liquidator may</w:t>
      </w:r>
      <w:r w:rsidR="006802B2" w:rsidRPr="00AE3264">
        <w:rPr>
          <w:rFonts w:ascii="Arial" w:hAnsi="Arial" w:cs="Arial"/>
          <w:color w:val="2F5496" w:themeColor="accent1" w:themeShade="BF"/>
          <w:sz w:val="22"/>
          <w:szCs w:val="22"/>
          <w:lang w:val="en-GB"/>
        </w:rPr>
        <w:t xml:space="preserve"> </w:t>
      </w:r>
      <w:r w:rsidRPr="00AE3264">
        <w:rPr>
          <w:rFonts w:ascii="Arial" w:hAnsi="Arial" w:cs="Arial"/>
          <w:color w:val="2F5496" w:themeColor="accent1" w:themeShade="BF"/>
          <w:sz w:val="22"/>
          <w:szCs w:val="22"/>
          <w:lang w:val="en-GB"/>
        </w:rPr>
        <w:t xml:space="preserve">also </w:t>
      </w:r>
      <w:r w:rsidR="0018737B" w:rsidRPr="00AE3264">
        <w:rPr>
          <w:rFonts w:ascii="Arial" w:hAnsi="Arial" w:cs="Arial"/>
          <w:color w:val="2F5496" w:themeColor="accent1" w:themeShade="BF"/>
          <w:sz w:val="22"/>
          <w:szCs w:val="22"/>
          <w:lang w:val="en-GB"/>
        </w:rPr>
        <w:t xml:space="preserve">look into whether the directors of the Company </w:t>
      </w:r>
      <w:r w:rsidR="00FA7307" w:rsidRPr="00AE3264">
        <w:rPr>
          <w:rFonts w:ascii="Arial" w:hAnsi="Arial" w:cs="Arial"/>
          <w:color w:val="2F5496" w:themeColor="accent1" w:themeShade="BF"/>
          <w:sz w:val="22"/>
          <w:szCs w:val="22"/>
          <w:lang w:val="en-GB"/>
        </w:rPr>
        <w:t xml:space="preserve">had engaged in </w:t>
      </w:r>
      <w:r w:rsidR="00B06EC9" w:rsidRPr="00AE3264">
        <w:rPr>
          <w:rFonts w:ascii="Arial" w:hAnsi="Arial" w:cs="Arial"/>
          <w:color w:val="2F5496" w:themeColor="accent1" w:themeShade="BF"/>
          <w:sz w:val="22"/>
          <w:szCs w:val="22"/>
          <w:lang w:val="en-GB"/>
        </w:rPr>
        <w:t>‘</w:t>
      </w:r>
      <w:r w:rsidR="00FA7307" w:rsidRPr="00AE3264">
        <w:rPr>
          <w:rFonts w:ascii="Arial" w:hAnsi="Arial" w:cs="Arial"/>
          <w:color w:val="2F5496" w:themeColor="accent1" w:themeShade="BF"/>
          <w:sz w:val="22"/>
          <w:szCs w:val="22"/>
          <w:lang w:val="en-GB"/>
        </w:rPr>
        <w:t>wrongful trading</w:t>
      </w:r>
      <w:r w:rsidR="00B06EC9" w:rsidRPr="00AE3264">
        <w:rPr>
          <w:rFonts w:ascii="Arial" w:hAnsi="Arial" w:cs="Arial"/>
          <w:color w:val="2F5496" w:themeColor="accent1" w:themeShade="BF"/>
          <w:sz w:val="22"/>
          <w:szCs w:val="22"/>
          <w:lang w:val="en-GB"/>
        </w:rPr>
        <w:t>’,</w:t>
      </w:r>
      <w:r w:rsidR="00FA7307" w:rsidRPr="00AE3264">
        <w:rPr>
          <w:rFonts w:ascii="Arial" w:hAnsi="Arial" w:cs="Arial"/>
          <w:color w:val="2F5496" w:themeColor="accent1" w:themeShade="BF"/>
          <w:sz w:val="22"/>
          <w:szCs w:val="22"/>
          <w:lang w:val="en-GB"/>
        </w:rPr>
        <w:t xml:space="preserve"> </w:t>
      </w:r>
      <w:r w:rsidR="00B06EC9" w:rsidRPr="00AE3264">
        <w:rPr>
          <w:rFonts w:ascii="Arial" w:hAnsi="Arial" w:cs="Arial"/>
          <w:color w:val="2F5496" w:themeColor="accent1" w:themeShade="BF"/>
          <w:sz w:val="22"/>
          <w:szCs w:val="22"/>
          <w:lang w:val="en-GB"/>
        </w:rPr>
        <w:t>where</w:t>
      </w:r>
      <w:r w:rsidR="00FA7307" w:rsidRPr="00AE3264">
        <w:rPr>
          <w:rFonts w:ascii="Arial" w:hAnsi="Arial" w:cs="Arial"/>
          <w:color w:val="2F5496" w:themeColor="accent1" w:themeShade="BF"/>
          <w:sz w:val="22"/>
          <w:szCs w:val="22"/>
          <w:lang w:val="en-GB"/>
        </w:rPr>
        <w:t xml:space="preserve"> they </w:t>
      </w:r>
      <w:r w:rsidR="0018737B" w:rsidRPr="00AE3264">
        <w:rPr>
          <w:rFonts w:ascii="Arial" w:hAnsi="Arial" w:cs="Arial"/>
          <w:color w:val="2F5496" w:themeColor="accent1" w:themeShade="BF"/>
          <w:sz w:val="22"/>
          <w:szCs w:val="22"/>
          <w:lang w:val="en-GB"/>
        </w:rPr>
        <w:t xml:space="preserve">continued trading </w:t>
      </w:r>
      <w:r w:rsidR="00B1589C" w:rsidRPr="00AE3264">
        <w:rPr>
          <w:rFonts w:ascii="Arial" w:hAnsi="Arial" w:cs="Arial"/>
          <w:color w:val="2F5496" w:themeColor="accent1" w:themeShade="BF"/>
          <w:sz w:val="22"/>
          <w:szCs w:val="22"/>
          <w:lang w:val="en-GB"/>
        </w:rPr>
        <w:t xml:space="preserve">(continued supplies) </w:t>
      </w:r>
      <w:r w:rsidR="00FA7307" w:rsidRPr="00AE3264">
        <w:rPr>
          <w:rFonts w:ascii="Arial" w:hAnsi="Arial" w:cs="Arial"/>
          <w:color w:val="2F5496" w:themeColor="accent1" w:themeShade="BF"/>
          <w:sz w:val="22"/>
          <w:szCs w:val="22"/>
          <w:lang w:val="en-GB"/>
        </w:rPr>
        <w:t xml:space="preserve">when </w:t>
      </w:r>
      <w:r w:rsidR="0018737B" w:rsidRPr="00AE3264">
        <w:rPr>
          <w:rFonts w:ascii="Arial" w:hAnsi="Arial" w:cs="Arial"/>
          <w:color w:val="2F5496" w:themeColor="accent1" w:themeShade="BF"/>
          <w:sz w:val="22"/>
          <w:szCs w:val="22"/>
          <w:lang w:val="en-GB"/>
        </w:rPr>
        <w:t>they ought to have known that there was no reasonable prospect for the Company to avoid liquidation.</w:t>
      </w:r>
      <w:r w:rsidR="004E6056" w:rsidRPr="00AE3264">
        <w:rPr>
          <w:rFonts w:ascii="Arial" w:hAnsi="Arial" w:cs="Arial"/>
          <w:color w:val="2F5496" w:themeColor="accent1" w:themeShade="BF"/>
          <w:sz w:val="22"/>
          <w:szCs w:val="22"/>
          <w:lang w:val="en-GB"/>
        </w:rPr>
        <w:t xml:space="preserve"> The provisions on wrongful trading as stipulated in section 214 of the Insolvency Act require</w:t>
      </w:r>
      <w:r w:rsidR="006100C5" w:rsidRPr="00AE3264">
        <w:rPr>
          <w:rFonts w:ascii="Arial" w:hAnsi="Arial" w:cs="Arial"/>
          <w:color w:val="2F5496" w:themeColor="accent1" w:themeShade="BF"/>
          <w:sz w:val="22"/>
          <w:szCs w:val="22"/>
          <w:lang w:val="en-GB"/>
        </w:rPr>
        <w:t>s</w:t>
      </w:r>
      <w:r w:rsidR="004E6056" w:rsidRPr="00AE3264">
        <w:rPr>
          <w:rFonts w:ascii="Arial" w:hAnsi="Arial" w:cs="Arial"/>
          <w:color w:val="2F5496" w:themeColor="accent1" w:themeShade="BF"/>
          <w:sz w:val="22"/>
          <w:szCs w:val="22"/>
          <w:lang w:val="en-GB"/>
        </w:rPr>
        <w:t xml:space="preserve"> that directors shall, once they became aware of the </w:t>
      </w:r>
      <w:r w:rsidR="00FA7307" w:rsidRPr="00AE3264">
        <w:rPr>
          <w:rFonts w:ascii="Arial" w:hAnsi="Arial" w:cs="Arial"/>
          <w:color w:val="2F5496" w:themeColor="accent1" w:themeShade="BF"/>
          <w:sz w:val="22"/>
          <w:szCs w:val="22"/>
          <w:lang w:val="en-GB"/>
        </w:rPr>
        <w:t xml:space="preserve">prospect of </w:t>
      </w:r>
      <w:r w:rsidR="004E6056" w:rsidRPr="00AE3264">
        <w:rPr>
          <w:rFonts w:ascii="Arial" w:hAnsi="Arial" w:cs="Arial"/>
          <w:color w:val="2F5496" w:themeColor="accent1" w:themeShade="BF"/>
          <w:sz w:val="22"/>
          <w:szCs w:val="22"/>
          <w:lang w:val="en-GB"/>
        </w:rPr>
        <w:t xml:space="preserve">insolvent </w:t>
      </w:r>
      <w:r w:rsidR="00FA7307" w:rsidRPr="00AE3264">
        <w:rPr>
          <w:rFonts w:ascii="Arial" w:hAnsi="Arial" w:cs="Arial"/>
          <w:color w:val="2F5496" w:themeColor="accent1" w:themeShade="BF"/>
          <w:sz w:val="22"/>
          <w:szCs w:val="22"/>
          <w:lang w:val="en-GB"/>
        </w:rPr>
        <w:t>liquidation, take every step to minimise potential losses to the creditors.</w:t>
      </w:r>
      <w:r w:rsidR="00B06EC9" w:rsidRPr="00AE3264">
        <w:rPr>
          <w:rFonts w:ascii="Arial" w:hAnsi="Arial" w:cs="Arial"/>
          <w:color w:val="2F5496" w:themeColor="accent1" w:themeShade="BF"/>
          <w:sz w:val="22"/>
          <w:szCs w:val="22"/>
          <w:lang w:val="en-GB"/>
        </w:rPr>
        <w:t xml:space="preserve"> </w:t>
      </w:r>
      <w:r w:rsidR="00B1589C" w:rsidRPr="00AE3264">
        <w:rPr>
          <w:rFonts w:ascii="Arial" w:hAnsi="Arial" w:cs="Arial"/>
          <w:color w:val="2F5496" w:themeColor="accent1" w:themeShade="BF"/>
          <w:sz w:val="22"/>
          <w:szCs w:val="22"/>
          <w:lang w:val="en-GB"/>
        </w:rPr>
        <w:t xml:space="preserve">The burden of proof is on the liquidator, to demonstrate that the directors knew or ought to have concluded that there was no reasonable prospect that the Company would avoid insolvent liquidation. </w:t>
      </w:r>
      <w:r w:rsidR="00B06EC9" w:rsidRPr="00AE3264">
        <w:rPr>
          <w:rFonts w:ascii="Arial" w:hAnsi="Arial" w:cs="Arial"/>
          <w:color w:val="2F5496" w:themeColor="accent1" w:themeShade="BF"/>
          <w:sz w:val="22"/>
          <w:szCs w:val="22"/>
          <w:lang w:val="en-GB"/>
        </w:rPr>
        <w:t xml:space="preserve">In the case of wrongful trading, the liquidator may </w:t>
      </w:r>
      <w:r w:rsidR="003C1807" w:rsidRPr="00AE3264">
        <w:rPr>
          <w:rFonts w:ascii="Arial" w:hAnsi="Arial" w:cs="Arial"/>
          <w:color w:val="2F5496" w:themeColor="accent1" w:themeShade="BF"/>
          <w:sz w:val="22"/>
          <w:szCs w:val="22"/>
          <w:lang w:val="en-GB"/>
        </w:rPr>
        <w:t>submit an application</w:t>
      </w:r>
      <w:r w:rsidR="00B06EC9" w:rsidRPr="00AE3264">
        <w:rPr>
          <w:rFonts w:ascii="Arial" w:hAnsi="Arial" w:cs="Arial"/>
          <w:color w:val="2F5496" w:themeColor="accent1" w:themeShade="BF"/>
          <w:sz w:val="22"/>
          <w:szCs w:val="22"/>
          <w:lang w:val="en-GB"/>
        </w:rPr>
        <w:t xml:space="preserve"> to the court</w:t>
      </w:r>
      <w:r w:rsidR="003C1807" w:rsidRPr="00AE3264">
        <w:rPr>
          <w:rFonts w:ascii="Arial" w:hAnsi="Arial" w:cs="Arial"/>
          <w:color w:val="2F5496" w:themeColor="accent1" w:themeShade="BF"/>
          <w:sz w:val="22"/>
          <w:szCs w:val="22"/>
          <w:lang w:val="en-GB"/>
        </w:rPr>
        <w:t>,</w:t>
      </w:r>
      <w:r w:rsidR="00B06EC9" w:rsidRPr="00AE3264">
        <w:rPr>
          <w:rFonts w:ascii="Arial" w:hAnsi="Arial" w:cs="Arial"/>
          <w:color w:val="2F5496" w:themeColor="accent1" w:themeShade="BF"/>
          <w:sz w:val="22"/>
          <w:szCs w:val="22"/>
          <w:lang w:val="en-GB"/>
        </w:rPr>
        <w:t xml:space="preserve"> to </w:t>
      </w:r>
      <w:r w:rsidR="006100C5" w:rsidRPr="00AE3264">
        <w:rPr>
          <w:rFonts w:ascii="Arial" w:hAnsi="Arial" w:cs="Arial"/>
          <w:color w:val="2F5496" w:themeColor="accent1" w:themeShade="BF"/>
          <w:sz w:val="22"/>
          <w:szCs w:val="22"/>
          <w:lang w:val="en-GB"/>
        </w:rPr>
        <w:t xml:space="preserve">declare the directors liable and to order the directors to compensate the Company for certain portion of the Company’s liabilities that </w:t>
      </w:r>
      <w:r w:rsidR="00D47C8F" w:rsidRPr="00AE3264">
        <w:rPr>
          <w:rFonts w:ascii="Arial" w:hAnsi="Arial" w:cs="Arial"/>
          <w:color w:val="2F5496" w:themeColor="accent1" w:themeShade="BF"/>
          <w:sz w:val="22"/>
          <w:szCs w:val="22"/>
          <w:lang w:val="en-GB"/>
        </w:rPr>
        <w:t>were</w:t>
      </w:r>
      <w:r w:rsidR="006100C5" w:rsidRPr="00AE3264">
        <w:rPr>
          <w:rFonts w:ascii="Arial" w:hAnsi="Arial" w:cs="Arial"/>
          <w:color w:val="2F5496" w:themeColor="accent1" w:themeShade="BF"/>
          <w:sz w:val="22"/>
          <w:szCs w:val="22"/>
          <w:lang w:val="en-GB"/>
        </w:rPr>
        <w:t xml:space="preserve"> caused by such wrongful trading.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D54E" w14:textId="77777777" w:rsidR="003E31B3" w:rsidRDefault="003E31B3" w:rsidP="00241B44">
      <w:r>
        <w:separator/>
      </w:r>
    </w:p>
  </w:endnote>
  <w:endnote w:type="continuationSeparator" w:id="0">
    <w:p w14:paraId="6667F125" w14:textId="77777777" w:rsidR="003E31B3" w:rsidRDefault="003E31B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229937D" w:rsidR="00241FA3" w:rsidRPr="009B4976" w:rsidRDefault="008708D2" w:rsidP="009B4976">
    <w:pPr>
      <w:pStyle w:val="Footer"/>
      <w:ind w:right="360"/>
      <w:rPr>
        <w:rFonts w:ascii="Arial" w:hAnsi="Arial" w:cs="Arial"/>
        <w:sz w:val="18"/>
        <w:szCs w:val="18"/>
        <w:lang w:val="en-GB"/>
      </w:rPr>
    </w:pPr>
    <w:r>
      <w:rPr>
        <w:rFonts w:ascii="Arial" w:hAnsi="Arial" w:cs="Arial"/>
        <w:sz w:val="18"/>
        <w:szCs w:val="18"/>
        <w:lang w:val="en-GB"/>
      </w:rPr>
      <w:t>202122-504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5FC0" w14:textId="77777777" w:rsidR="003E31B3" w:rsidRDefault="003E31B3" w:rsidP="00241B44">
      <w:r>
        <w:separator/>
      </w:r>
    </w:p>
  </w:footnote>
  <w:footnote w:type="continuationSeparator" w:id="0">
    <w:p w14:paraId="77DEFF55" w14:textId="77777777" w:rsidR="003E31B3" w:rsidRDefault="003E31B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16A0"/>
    <w:multiLevelType w:val="hybridMultilevel"/>
    <w:tmpl w:val="7A28B206"/>
    <w:lvl w:ilvl="0" w:tplc="83689794">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100C6"/>
    <w:multiLevelType w:val="hybridMultilevel"/>
    <w:tmpl w:val="2F16E244"/>
    <w:lvl w:ilvl="0" w:tplc="4DFE8E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93CEB"/>
    <w:multiLevelType w:val="hybridMultilevel"/>
    <w:tmpl w:val="F3DAAF10"/>
    <w:lvl w:ilvl="0" w:tplc="2FF432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C786325"/>
    <w:multiLevelType w:val="hybridMultilevel"/>
    <w:tmpl w:val="34C4D1A6"/>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6D4848"/>
    <w:multiLevelType w:val="hybridMultilevel"/>
    <w:tmpl w:val="535ED220"/>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5686C"/>
    <w:multiLevelType w:val="hybridMultilevel"/>
    <w:tmpl w:val="9EF21BB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034061">
    <w:abstractNumId w:val="5"/>
  </w:num>
  <w:num w:numId="2" w16cid:durableId="1624656459">
    <w:abstractNumId w:val="2"/>
  </w:num>
  <w:num w:numId="3" w16cid:durableId="1246500296">
    <w:abstractNumId w:val="0"/>
  </w:num>
  <w:num w:numId="4" w16cid:durableId="2065254755">
    <w:abstractNumId w:val="11"/>
  </w:num>
  <w:num w:numId="5" w16cid:durableId="1762137275">
    <w:abstractNumId w:val="14"/>
  </w:num>
  <w:num w:numId="6" w16cid:durableId="756899466">
    <w:abstractNumId w:val="3"/>
  </w:num>
  <w:num w:numId="7" w16cid:durableId="914970215">
    <w:abstractNumId w:val="15"/>
  </w:num>
  <w:num w:numId="8" w16cid:durableId="1061293556">
    <w:abstractNumId w:val="20"/>
  </w:num>
  <w:num w:numId="9" w16cid:durableId="687486969">
    <w:abstractNumId w:val="12"/>
  </w:num>
  <w:num w:numId="10" w16cid:durableId="1922330243">
    <w:abstractNumId w:val="22"/>
  </w:num>
  <w:num w:numId="11" w16cid:durableId="1312443839">
    <w:abstractNumId w:val="7"/>
  </w:num>
  <w:num w:numId="12" w16cid:durableId="884676319">
    <w:abstractNumId w:val="18"/>
  </w:num>
  <w:num w:numId="13" w16cid:durableId="1477726420">
    <w:abstractNumId w:val="13"/>
  </w:num>
  <w:num w:numId="14" w16cid:durableId="1324816521">
    <w:abstractNumId w:val="6"/>
  </w:num>
  <w:num w:numId="15" w16cid:durableId="978850031">
    <w:abstractNumId w:val="16"/>
  </w:num>
  <w:num w:numId="16" w16cid:durableId="1273365697">
    <w:abstractNumId w:val="19"/>
  </w:num>
  <w:num w:numId="17" w16cid:durableId="503475651">
    <w:abstractNumId w:val="10"/>
  </w:num>
  <w:num w:numId="18" w16cid:durableId="31074521">
    <w:abstractNumId w:val="9"/>
  </w:num>
  <w:num w:numId="19" w16cid:durableId="1468891037">
    <w:abstractNumId w:val="21"/>
  </w:num>
  <w:num w:numId="20" w16cid:durableId="1846363813">
    <w:abstractNumId w:val="17"/>
  </w:num>
  <w:num w:numId="21" w16cid:durableId="1111440933">
    <w:abstractNumId w:val="1"/>
  </w:num>
  <w:num w:numId="22" w16cid:durableId="823401263">
    <w:abstractNumId w:val="8"/>
  </w:num>
  <w:num w:numId="23" w16cid:durableId="194171795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FF"/>
    <w:rsid w:val="00010BA0"/>
    <w:rsid w:val="00020557"/>
    <w:rsid w:val="00021FC2"/>
    <w:rsid w:val="000250C7"/>
    <w:rsid w:val="00026F16"/>
    <w:rsid w:val="00035A76"/>
    <w:rsid w:val="00037621"/>
    <w:rsid w:val="00044D46"/>
    <w:rsid w:val="00045088"/>
    <w:rsid w:val="00045904"/>
    <w:rsid w:val="000502FD"/>
    <w:rsid w:val="00065166"/>
    <w:rsid w:val="00077B00"/>
    <w:rsid w:val="00082609"/>
    <w:rsid w:val="000851CC"/>
    <w:rsid w:val="00087F21"/>
    <w:rsid w:val="00093BE8"/>
    <w:rsid w:val="000A407B"/>
    <w:rsid w:val="000A639B"/>
    <w:rsid w:val="000A68ED"/>
    <w:rsid w:val="000B5FF1"/>
    <w:rsid w:val="000B609F"/>
    <w:rsid w:val="000C4B9C"/>
    <w:rsid w:val="000D10C6"/>
    <w:rsid w:val="000D3F32"/>
    <w:rsid w:val="000D55A8"/>
    <w:rsid w:val="000E4841"/>
    <w:rsid w:val="000F1677"/>
    <w:rsid w:val="000F3D6C"/>
    <w:rsid w:val="00101707"/>
    <w:rsid w:val="00102CC9"/>
    <w:rsid w:val="0010593A"/>
    <w:rsid w:val="0011090D"/>
    <w:rsid w:val="0011473D"/>
    <w:rsid w:val="00115C85"/>
    <w:rsid w:val="00123855"/>
    <w:rsid w:val="00123988"/>
    <w:rsid w:val="001249D3"/>
    <w:rsid w:val="00126A4D"/>
    <w:rsid w:val="0014171F"/>
    <w:rsid w:val="0014622C"/>
    <w:rsid w:val="00152348"/>
    <w:rsid w:val="0015456D"/>
    <w:rsid w:val="00155FA2"/>
    <w:rsid w:val="00156331"/>
    <w:rsid w:val="00161F1B"/>
    <w:rsid w:val="00162829"/>
    <w:rsid w:val="00177B16"/>
    <w:rsid w:val="00180089"/>
    <w:rsid w:val="00180548"/>
    <w:rsid w:val="00180AC4"/>
    <w:rsid w:val="00180CCE"/>
    <w:rsid w:val="0018267A"/>
    <w:rsid w:val="00182779"/>
    <w:rsid w:val="00182788"/>
    <w:rsid w:val="001830DF"/>
    <w:rsid w:val="0018737B"/>
    <w:rsid w:val="001966D9"/>
    <w:rsid w:val="001A007A"/>
    <w:rsid w:val="001A4105"/>
    <w:rsid w:val="001A41A2"/>
    <w:rsid w:val="001A56D3"/>
    <w:rsid w:val="001A7E9A"/>
    <w:rsid w:val="001B0F70"/>
    <w:rsid w:val="001B5016"/>
    <w:rsid w:val="001C45FC"/>
    <w:rsid w:val="001D0469"/>
    <w:rsid w:val="001D29C0"/>
    <w:rsid w:val="001D4862"/>
    <w:rsid w:val="001E25B9"/>
    <w:rsid w:val="001E2641"/>
    <w:rsid w:val="001E49E0"/>
    <w:rsid w:val="001E7B5A"/>
    <w:rsid w:val="001F7412"/>
    <w:rsid w:val="0020090A"/>
    <w:rsid w:val="0020204E"/>
    <w:rsid w:val="00202DFE"/>
    <w:rsid w:val="0020725B"/>
    <w:rsid w:val="002110F1"/>
    <w:rsid w:val="002356EA"/>
    <w:rsid w:val="00236824"/>
    <w:rsid w:val="0024116D"/>
    <w:rsid w:val="00241B44"/>
    <w:rsid w:val="00241FA3"/>
    <w:rsid w:val="00245EFB"/>
    <w:rsid w:val="0025386E"/>
    <w:rsid w:val="0025573C"/>
    <w:rsid w:val="002638B0"/>
    <w:rsid w:val="0026647A"/>
    <w:rsid w:val="002668D3"/>
    <w:rsid w:val="0027299F"/>
    <w:rsid w:val="00275B9C"/>
    <w:rsid w:val="00281440"/>
    <w:rsid w:val="00284EBE"/>
    <w:rsid w:val="00285073"/>
    <w:rsid w:val="002903A7"/>
    <w:rsid w:val="0029433F"/>
    <w:rsid w:val="00294829"/>
    <w:rsid w:val="0029690F"/>
    <w:rsid w:val="00297C8A"/>
    <w:rsid w:val="002A128C"/>
    <w:rsid w:val="002A2A60"/>
    <w:rsid w:val="002A37BB"/>
    <w:rsid w:val="002B1C45"/>
    <w:rsid w:val="002C13C8"/>
    <w:rsid w:val="002C3547"/>
    <w:rsid w:val="002C46CB"/>
    <w:rsid w:val="002D0021"/>
    <w:rsid w:val="002D299D"/>
    <w:rsid w:val="002D2C1E"/>
    <w:rsid w:val="002D3473"/>
    <w:rsid w:val="002F1956"/>
    <w:rsid w:val="002F3440"/>
    <w:rsid w:val="002F75A3"/>
    <w:rsid w:val="002F77D6"/>
    <w:rsid w:val="00303C2F"/>
    <w:rsid w:val="00311816"/>
    <w:rsid w:val="003144EF"/>
    <w:rsid w:val="00314F32"/>
    <w:rsid w:val="00325B82"/>
    <w:rsid w:val="00326292"/>
    <w:rsid w:val="00326415"/>
    <w:rsid w:val="00330530"/>
    <w:rsid w:val="00330937"/>
    <w:rsid w:val="00330F31"/>
    <w:rsid w:val="00334648"/>
    <w:rsid w:val="0033768C"/>
    <w:rsid w:val="00337938"/>
    <w:rsid w:val="00340769"/>
    <w:rsid w:val="00341AA6"/>
    <w:rsid w:val="0034683B"/>
    <w:rsid w:val="00361A0A"/>
    <w:rsid w:val="00364836"/>
    <w:rsid w:val="0036565C"/>
    <w:rsid w:val="0036625E"/>
    <w:rsid w:val="0037465A"/>
    <w:rsid w:val="003773A5"/>
    <w:rsid w:val="00382C98"/>
    <w:rsid w:val="0038533C"/>
    <w:rsid w:val="00386568"/>
    <w:rsid w:val="00390B57"/>
    <w:rsid w:val="0039450C"/>
    <w:rsid w:val="003948D5"/>
    <w:rsid w:val="00396821"/>
    <w:rsid w:val="00397D3A"/>
    <w:rsid w:val="003A051E"/>
    <w:rsid w:val="003A4482"/>
    <w:rsid w:val="003B170F"/>
    <w:rsid w:val="003B3C5F"/>
    <w:rsid w:val="003C1807"/>
    <w:rsid w:val="003C4471"/>
    <w:rsid w:val="003D0A6D"/>
    <w:rsid w:val="003E0B16"/>
    <w:rsid w:val="003E31B3"/>
    <w:rsid w:val="003E5FCE"/>
    <w:rsid w:val="003E67D1"/>
    <w:rsid w:val="003F4BA5"/>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056"/>
    <w:rsid w:val="004E622C"/>
    <w:rsid w:val="004F5FDF"/>
    <w:rsid w:val="00501ED5"/>
    <w:rsid w:val="005155FC"/>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4E0"/>
    <w:rsid w:val="005D16DD"/>
    <w:rsid w:val="005D43E0"/>
    <w:rsid w:val="005D58A3"/>
    <w:rsid w:val="005E1B79"/>
    <w:rsid w:val="005E2C03"/>
    <w:rsid w:val="005E41C7"/>
    <w:rsid w:val="005E6076"/>
    <w:rsid w:val="005E7008"/>
    <w:rsid w:val="005F026D"/>
    <w:rsid w:val="005F2AEA"/>
    <w:rsid w:val="005F2D0B"/>
    <w:rsid w:val="005F4B31"/>
    <w:rsid w:val="005F69B1"/>
    <w:rsid w:val="006100C5"/>
    <w:rsid w:val="00610388"/>
    <w:rsid w:val="00610AC7"/>
    <w:rsid w:val="00610DF6"/>
    <w:rsid w:val="00612CA5"/>
    <w:rsid w:val="006153EC"/>
    <w:rsid w:val="00621A17"/>
    <w:rsid w:val="00627CC9"/>
    <w:rsid w:val="00627E7B"/>
    <w:rsid w:val="00630542"/>
    <w:rsid w:val="00632E44"/>
    <w:rsid w:val="00634622"/>
    <w:rsid w:val="006352AD"/>
    <w:rsid w:val="00635FFB"/>
    <w:rsid w:val="00636808"/>
    <w:rsid w:val="00641515"/>
    <w:rsid w:val="00652569"/>
    <w:rsid w:val="00654C2F"/>
    <w:rsid w:val="00657087"/>
    <w:rsid w:val="00661D04"/>
    <w:rsid w:val="006624AB"/>
    <w:rsid w:val="006639DB"/>
    <w:rsid w:val="00665901"/>
    <w:rsid w:val="006661EF"/>
    <w:rsid w:val="00677AEB"/>
    <w:rsid w:val="006802B2"/>
    <w:rsid w:val="00680EF2"/>
    <w:rsid w:val="00687A1D"/>
    <w:rsid w:val="00697EA1"/>
    <w:rsid w:val="006A09EC"/>
    <w:rsid w:val="006A2646"/>
    <w:rsid w:val="006A6530"/>
    <w:rsid w:val="006B435A"/>
    <w:rsid w:val="006B4C64"/>
    <w:rsid w:val="006C60B0"/>
    <w:rsid w:val="006D282B"/>
    <w:rsid w:val="006D6BD5"/>
    <w:rsid w:val="006E481A"/>
    <w:rsid w:val="006E5298"/>
    <w:rsid w:val="006F4A78"/>
    <w:rsid w:val="006F734A"/>
    <w:rsid w:val="00700D83"/>
    <w:rsid w:val="00704852"/>
    <w:rsid w:val="0070524B"/>
    <w:rsid w:val="007074E9"/>
    <w:rsid w:val="00710878"/>
    <w:rsid w:val="0071219F"/>
    <w:rsid w:val="0071265E"/>
    <w:rsid w:val="00713DA4"/>
    <w:rsid w:val="00714BF1"/>
    <w:rsid w:val="00715464"/>
    <w:rsid w:val="00720157"/>
    <w:rsid w:val="00721383"/>
    <w:rsid w:val="0073158B"/>
    <w:rsid w:val="007333CC"/>
    <w:rsid w:val="0073399A"/>
    <w:rsid w:val="00740DAD"/>
    <w:rsid w:val="00742AF3"/>
    <w:rsid w:val="007435EC"/>
    <w:rsid w:val="00743C43"/>
    <w:rsid w:val="0075724F"/>
    <w:rsid w:val="007603F5"/>
    <w:rsid w:val="00763348"/>
    <w:rsid w:val="00764DB0"/>
    <w:rsid w:val="0076764D"/>
    <w:rsid w:val="00770A36"/>
    <w:rsid w:val="00771685"/>
    <w:rsid w:val="0077498C"/>
    <w:rsid w:val="007809BC"/>
    <w:rsid w:val="00784128"/>
    <w:rsid w:val="00787BCC"/>
    <w:rsid w:val="00793173"/>
    <w:rsid w:val="007A2A33"/>
    <w:rsid w:val="007A5171"/>
    <w:rsid w:val="007B297C"/>
    <w:rsid w:val="007B5C89"/>
    <w:rsid w:val="007B62DF"/>
    <w:rsid w:val="007C1FCC"/>
    <w:rsid w:val="007C6201"/>
    <w:rsid w:val="007D766C"/>
    <w:rsid w:val="007D7C92"/>
    <w:rsid w:val="007E1154"/>
    <w:rsid w:val="007E2919"/>
    <w:rsid w:val="007E46A8"/>
    <w:rsid w:val="007E6BA4"/>
    <w:rsid w:val="007F41F8"/>
    <w:rsid w:val="007F659B"/>
    <w:rsid w:val="0080441E"/>
    <w:rsid w:val="0080454E"/>
    <w:rsid w:val="00804C32"/>
    <w:rsid w:val="00806302"/>
    <w:rsid w:val="00807119"/>
    <w:rsid w:val="00816B17"/>
    <w:rsid w:val="0082483F"/>
    <w:rsid w:val="008279C0"/>
    <w:rsid w:val="008364C0"/>
    <w:rsid w:val="00867701"/>
    <w:rsid w:val="008708D2"/>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E3D71"/>
    <w:rsid w:val="008F20FC"/>
    <w:rsid w:val="008F5FFE"/>
    <w:rsid w:val="00905A43"/>
    <w:rsid w:val="00912C79"/>
    <w:rsid w:val="00921B8C"/>
    <w:rsid w:val="00924DAF"/>
    <w:rsid w:val="00931D14"/>
    <w:rsid w:val="00936BEB"/>
    <w:rsid w:val="00942123"/>
    <w:rsid w:val="00951AA8"/>
    <w:rsid w:val="0095207B"/>
    <w:rsid w:val="00962045"/>
    <w:rsid w:val="0096569C"/>
    <w:rsid w:val="00980E61"/>
    <w:rsid w:val="00986C62"/>
    <w:rsid w:val="00991428"/>
    <w:rsid w:val="00992676"/>
    <w:rsid w:val="009954B2"/>
    <w:rsid w:val="00996691"/>
    <w:rsid w:val="009A0E2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70A0"/>
    <w:rsid w:val="00A2274A"/>
    <w:rsid w:val="00A235B7"/>
    <w:rsid w:val="00A27A7A"/>
    <w:rsid w:val="00A34ABE"/>
    <w:rsid w:val="00A407EF"/>
    <w:rsid w:val="00A46B4C"/>
    <w:rsid w:val="00A5117B"/>
    <w:rsid w:val="00A56D34"/>
    <w:rsid w:val="00A60074"/>
    <w:rsid w:val="00A63409"/>
    <w:rsid w:val="00A64AAA"/>
    <w:rsid w:val="00A6627C"/>
    <w:rsid w:val="00A71019"/>
    <w:rsid w:val="00A71FE2"/>
    <w:rsid w:val="00A81029"/>
    <w:rsid w:val="00A845F5"/>
    <w:rsid w:val="00A9452E"/>
    <w:rsid w:val="00A94938"/>
    <w:rsid w:val="00A96489"/>
    <w:rsid w:val="00AB2425"/>
    <w:rsid w:val="00AB685C"/>
    <w:rsid w:val="00AB6C2D"/>
    <w:rsid w:val="00AC08F7"/>
    <w:rsid w:val="00AC0C7B"/>
    <w:rsid w:val="00AC317D"/>
    <w:rsid w:val="00AC3839"/>
    <w:rsid w:val="00AC7082"/>
    <w:rsid w:val="00AD4BE8"/>
    <w:rsid w:val="00AD4E6C"/>
    <w:rsid w:val="00AE3264"/>
    <w:rsid w:val="00AE5B6F"/>
    <w:rsid w:val="00AF228E"/>
    <w:rsid w:val="00B00C5C"/>
    <w:rsid w:val="00B016A8"/>
    <w:rsid w:val="00B04033"/>
    <w:rsid w:val="00B04482"/>
    <w:rsid w:val="00B04C34"/>
    <w:rsid w:val="00B06EC9"/>
    <w:rsid w:val="00B1103C"/>
    <w:rsid w:val="00B14819"/>
    <w:rsid w:val="00B1589C"/>
    <w:rsid w:val="00B15E2F"/>
    <w:rsid w:val="00B15F87"/>
    <w:rsid w:val="00B17AA9"/>
    <w:rsid w:val="00B17AAB"/>
    <w:rsid w:val="00B43930"/>
    <w:rsid w:val="00B44713"/>
    <w:rsid w:val="00B51B95"/>
    <w:rsid w:val="00B56103"/>
    <w:rsid w:val="00B64929"/>
    <w:rsid w:val="00B70996"/>
    <w:rsid w:val="00B736DF"/>
    <w:rsid w:val="00B743D6"/>
    <w:rsid w:val="00B74FBD"/>
    <w:rsid w:val="00B77F46"/>
    <w:rsid w:val="00B82586"/>
    <w:rsid w:val="00B829A3"/>
    <w:rsid w:val="00B840BF"/>
    <w:rsid w:val="00B855B4"/>
    <w:rsid w:val="00B86DB1"/>
    <w:rsid w:val="00B87869"/>
    <w:rsid w:val="00B9639B"/>
    <w:rsid w:val="00BA1CFD"/>
    <w:rsid w:val="00BB0F2B"/>
    <w:rsid w:val="00BC3D16"/>
    <w:rsid w:val="00BE4FF3"/>
    <w:rsid w:val="00BE6E3E"/>
    <w:rsid w:val="00BF2C93"/>
    <w:rsid w:val="00BF50F7"/>
    <w:rsid w:val="00C02F29"/>
    <w:rsid w:val="00C17718"/>
    <w:rsid w:val="00C20AFE"/>
    <w:rsid w:val="00C22A25"/>
    <w:rsid w:val="00C305F5"/>
    <w:rsid w:val="00C35671"/>
    <w:rsid w:val="00C35B77"/>
    <w:rsid w:val="00C376EB"/>
    <w:rsid w:val="00C46A92"/>
    <w:rsid w:val="00C46EC1"/>
    <w:rsid w:val="00C46EC2"/>
    <w:rsid w:val="00C52796"/>
    <w:rsid w:val="00C53E2C"/>
    <w:rsid w:val="00C550C8"/>
    <w:rsid w:val="00C55824"/>
    <w:rsid w:val="00C56B61"/>
    <w:rsid w:val="00C606C3"/>
    <w:rsid w:val="00C61C99"/>
    <w:rsid w:val="00C620F4"/>
    <w:rsid w:val="00C72848"/>
    <w:rsid w:val="00C7736C"/>
    <w:rsid w:val="00C82D87"/>
    <w:rsid w:val="00C8712A"/>
    <w:rsid w:val="00C902C8"/>
    <w:rsid w:val="00C91062"/>
    <w:rsid w:val="00C919D1"/>
    <w:rsid w:val="00C963D3"/>
    <w:rsid w:val="00CB03E2"/>
    <w:rsid w:val="00CB1983"/>
    <w:rsid w:val="00CB2CBB"/>
    <w:rsid w:val="00CB6741"/>
    <w:rsid w:val="00CB7CAC"/>
    <w:rsid w:val="00CC5335"/>
    <w:rsid w:val="00CC5BA4"/>
    <w:rsid w:val="00CC7BF2"/>
    <w:rsid w:val="00CD4998"/>
    <w:rsid w:val="00CD7E71"/>
    <w:rsid w:val="00CE1035"/>
    <w:rsid w:val="00CE6E50"/>
    <w:rsid w:val="00CF2819"/>
    <w:rsid w:val="00CF4F9D"/>
    <w:rsid w:val="00CF70DC"/>
    <w:rsid w:val="00D148DC"/>
    <w:rsid w:val="00D17FDC"/>
    <w:rsid w:val="00D21D8C"/>
    <w:rsid w:val="00D47C8F"/>
    <w:rsid w:val="00D51A6F"/>
    <w:rsid w:val="00D53719"/>
    <w:rsid w:val="00D63EFD"/>
    <w:rsid w:val="00D70CE5"/>
    <w:rsid w:val="00D84752"/>
    <w:rsid w:val="00D86B3B"/>
    <w:rsid w:val="00D8748A"/>
    <w:rsid w:val="00D93196"/>
    <w:rsid w:val="00D95C3B"/>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276A3"/>
    <w:rsid w:val="00E31DF3"/>
    <w:rsid w:val="00E443D7"/>
    <w:rsid w:val="00E450A4"/>
    <w:rsid w:val="00E46557"/>
    <w:rsid w:val="00E506BE"/>
    <w:rsid w:val="00E55547"/>
    <w:rsid w:val="00E6302B"/>
    <w:rsid w:val="00E6452F"/>
    <w:rsid w:val="00E64F45"/>
    <w:rsid w:val="00E6742D"/>
    <w:rsid w:val="00E71CB0"/>
    <w:rsid w:val="00E77C3D"/>
    <w:rsid w:val="00E833F4"/>
    <w:rsid w:val="00E85AE6"/>
    <w:rsid w:val="00E90991"/>
    <w:rsid w:val="00E909F0"/>
    <w:rsid w:val="00E90D47"/>
    <w:rsid w:val="00E93993"/>
    <w:rsid w:val="00E94797"/>
    <w:rsid w:val="00E9597C"/>
    <w:rsid w:val="00EA0913"/>
    <w:rsid w:val="00EA5B00"/>
    <w:rsid w:val="00EB146B"/>
    <w:rsid w:val="00EB45AC"/>
    <w:rsid w:val="00EC441F"/>
    <w:rsid w:val="00EC4755"/>
    <w:rsid w:val="00EC5636"/>
    <w:rsid w:val="00ED0BC4"/>
    <w:rsid w:val="00ED447D"/>
    <w:rsid w:val="00EE2645"/>
    <w:rsid w:val="00EE4971"/>
    <w:rsid w:val="00EE6CB0"/>
    <w:rsid w:val="00EF090E"/>
    <w:rsid w:val="00EF5572"/>
    <w:rsid w:val="00F01D7D"/>
    <w:rsid w:val="00F033DA"/>
    <w:rsid w:val="00F07F00"/>
    <w:rsid w:val="00F13691"/>
    <w:rsid w:val="00F13FB1"/>
    <w:rsid w:val="00F27CD8"/>
    <w:rsid w:val="00F30351"/>
    <w:rsid w:val="00F3323E"/>
    <w:rsid w:val="00F341F4"/>
    <w:rsid w:val="00F34F9D"/>
    <w:rsid w:val="00F35CCE"/>
    <w:rsid w:val="00F41B9B"/>
    <w:rsid w:val="00F5524B"/>
    <w:rsid w:val="00F60538"/>
    <w:rsid w:val="00F61DD2"/>
    <w:rsid w:val="00F62E7A"/>
    <w:rsid w:val="00F66AFF"/>
    <w:rsid w:val="00F70126"/>
    <w:rsid w:val="00F71433"/>
    <w:rsid w:val="00F87B04"/>
    <w:rsid w:val="00F910FC"/>
    <w:rsid w:val="00F97C5B"/>
    <w:rsid w:val="00FA12B9"/>
    <w:rsid w:val="00FA3D50"/>
    <w:rsid w:val="00FA417D"/>
    <w:rsid w:val="00FA4D05"/>
    <w:rsid w:val="00FA7307"/>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11</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22</cp:revision>
  <cp:lastPrinted>2019-08-27T05:42:00Z</cp:lastPrinted>
  <dcterms:created xsi:type="dcterms:W3CDTF">2022-04-10T23:19:00Z</dcterms:created>
  <dcterms:modified xsi:type="dcterms:W3CDTF">2022-05-29T07:05:00Z</dcterms:modified>
</cp:coreProperties>
</file>