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bookmarkStart w:id="0" w:name="_GoBack"/>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bookmarkEnd w:id="0"/>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487C67">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1055E203" w:rsidR="000F6063" w:rsidRDefault="000F6063" w:rsidP="007E03FA">
      <w:pPr>
        <w:pStyle w:val="ListParagraph"/>
        <w:numPr>
          <w:ilvl w:val="0"/>
          <w:numId w:val="32"/>
        </w:numPr>
        <w:ind w:left="426"/>
        <w:rPr>
          <w:rFonts w:ascii="Arial" w:hAnsi="Arial" w:cs="Arial"/>
          <w:sz w:val="22"/>
          <w:szCs w:val="22"/>
          <w:highlight w:val="yellow"/>
          <w:lang w:val="en-GB"/>
        </w:rPr>
      </w:pPr>
      <w:r w:rsidRPr="00487C67">
        <w:rPr>
          <w:rFonts w:ascii="Arial" w:hAnsi="Arial" w:cs="Arial"/>
          <w:sz w:val="22"/>
          <w:szCs w:val="22"/>
          <w:highlight w:val="yellow"/>
          <w:lang w:val="en-GB"/>
        </w:rPr>
        <w:t>Deed of Company Arrangement.</w:t>
      </w:r>
      <w:r w:rsidR="00487C67">
        <w:rPr>
          <w:rFonts w:ascii="Arial" w:hAnsi="Arial" w:cs="Arial"/>
          <w:sz w:val="22"/>
          <w:szCs w:val="22"/>
          <w:highlight w:val="yellow"/>
          <w:lang w:val="en-GB"/>
        </w:rPr>
        <w:t xml:space="preserve"> </w:t>
      </w:r>
    </w:p>
    <w:p w14:paraId="49CC394C" w14:textId="4BF65792" w:rsidR="00487C67" w:rsidRPr="00487C67" w:rsidRDefault="00487C67" w:rsidP="00487C67">
      <w:pPr>
        <w:rPr>
          <w:rFonts w:ascii="Arial" w:hAnsi="Arial" w:cs="Arial"/>
          <w:sz w:val="22"/>
          <w:szCs w:val="22"/>
          <w:highlight w:val="yellow"/>
          <w:lang w:val="en-GB"/>
        </w:rPr>
      </w:pP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487C67"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487C67">
        <w:rPr>
          <w:rFonts w:ascii="Arial" w:hAnsi="Arial" w:cs="Arial"/>
          <w:color w:val="000000" w:themeColor="text1"/>
          <w:sz w:val="22"/>
          <w:szCs w:val="22"/>
          <w:highlight w:val="yellow"/>
          <w:lang w:val="en-GB"/>
        </w:rPr>
        <w:t>The company must cease trading except where it is necessary and beneficial to the liquidation</w:t>
      </w:r>
      <w:r w:rsidR="00A46FE2" w:rsidRPr="00487C67">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487C67" w:rsidRDefault="00CB2364" w:rsidP="00924973">
      <w:pPr>
        <w:pStyle w:val="ListParagraph"/>
        <w:numPr>
          <w:ilvl w:val="0"/>
          <w:numId w:val="34"/>
        </w:numPr>
        <w:ind w:left="426"/>
        <w:rPr>
          <w:rFonts w:ascii="Arial" w:hAnsi="Arial" w:cs="Arial"/>
          <w:sz w:val="22"/>
          <w:szCs w:val="22"/>
          <w:highlight w:val="yellow"/>
          <w:lang w:val="en-GB"/>
        </w:rPr>
      </w:pPr>
      <w:r w:rsidRPr="00487C67">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487C67" w:rsidRDefault="000F6063" w:rsidP="00924973">
      <w:pPr>
        <w:pStyle w:val="ListParagraph"/>
        <w:numPr>
          <w:ilvl w:val="0"/>
          <w:numId w:val="35"/>
        </w:numPr>
        <w:ind w:left="426"/>
        <w:rPr>
          <w:rFonts w:ascii="Arial" w:hAnsi="Arial" w:cs="Arial"/>
          <w:sz w:val="22"/>
          <w:szCs w:val="22"/>
          <w:highlight w:val="yellow"/>
          <w:lang w:val="en-GB"/>
        </w:rPr>
      </w:pPr>
      <w:r w:rsidRPr="00487C67">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487C67" w:rsidRDefault="00E177F0" w:rsidP="00924973">
      <w:pPr>
        <w:pStyle w:val="ListParagraph"/>
        <w:numPr>
          <w:ilvl w:val="0"/>
          <w:numId w:val="36"/>
        </w:numPr>
        <w:ind w:left="426"/>
        <w:rPr>
          <w:rFonts w:ascii="Arial" w:hAnsi="Arial" w:cs="Arial"/>
          <w:sz w:val="22"/>
          <w:szCs w:val="22"/>
          <w:highlight w:val="yellow"/>
          <w:lang w:val="en-GB"/>
        </w:rPr>
      </w:pPr>
      <w:r w:rsidRPr="00487C67">
        <w:rPr>
          <w:rFonts w:ascii="Arial" w:hAnsi="Arial" w:cs="Arial"/>
          <w:sz w:val="22"/>
          <w:szCs w:val="22"/>
          <w:highlight w:val="yellow"/>
          <w:lang w:val="en-GB"/>
        </w:rPr>
        <w:t>May enforce their security without leave of the court</w:t>
      </w:r>
      <w:r w:rsidR="00803C72" w:rsidRPr="00487C67">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25177D" w:rsidRDefault="000F6063" w:rsidP="00924973">
      <w:pPr>
        <w:pStyle w:val="ListParagraph"/>
        <w:numPr>
          <w:ilvl w:val="0"/>
          <w:numId w:val="37"/>
        </w:numPr>
        <w:ind w:left="426"/>
        <w:jc w:val="both"/>
        <w:rPr>
          <w:rFonts w:ascii="Arial" w:hAnsi="Arial" w:cs="Arial"/>
          <w:sz w:val="22"/>
          <w:szCs w:val="22"/>
          <w:highlight w:val="yellow"/>
          <w:lang w:val="en-GB"/>
        </w:rPr>
      </w:pPr>
      <w:r w:rsidRPr="0025177D">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25177D" w:rsidRDefault="00853B56" w:rsidP="00924973">
      <w:pPr>
        <w:pStyle w:val="ListParagraph"/>
        <w:numPr>
          <w:ilvl w:val="0"/>
          <w:numId w:val="38"/>
        </w:numPr>
        <w:ind w:left="426"/>
        <w:jc w:val="both"/>
        <w:rPr>
          <w:rFonts w:ascii="Arial" w:hAnsi="Arial" w:cs="Arial"/>
          <w:sz w:val="22"/>
          <w:szCs w:val="22"/>
          <w:highlight w:val="yellow"/>
          <w:lang w:val="en-GB"/>
        </w:rPr>
      </w:pPr>
      <w:r w:rsidRPr="0025177D">
        <w:rPr>
          <w:rFonts w:ascii="Arial" w:hAnsi="Arial" w:cs="Arial"/>
          <w:sz w:val="22"/>
          <w:szCs w:val="22"/>
          <w:highlight w:val="yellow"/>
          <w:lang w:val="en-GB"/>
        </w:rPr>
        <w:t>Amounts due to p</w:t>
      </w:r>
      <w:r w:rsidR="005327B7" w:rsidRPr="0025177D">
        <w:rPr>
          <w:rFonts w:ascii="Arial" w:hAnsi="Arial" w:cs="Arial"/>
          <w:sz w:val="22"/>
          <w:szCs w:val="22"/>
          <w:highlight w:val="yellow"/>
          <w:lang w:val="en-GB"/>
        </w:rPr>
        <w:t>referred shareholders</w:t>
      </w:r>
      <w:r w:rsidR="00803C72" w:rsidRPr="0025177D">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25177D" w:rsidRDefault="005327B7" w:rsidP="00924973">
      <w:pPr>
        <w:pStyle w:val="ListParagraph"/>
        <w:numPr>
          <w:ilvl w:val="0"/>
          <w:numId w:val="39"/>
        </w:numPr>
        <w:ind w:left="426"/>
        <w:jc w:val="both"/>
        <w:rPr>
          <w:rFonts w:ascii="Arial" w:hAnsi="Arial" w:cs="Arial"/>
          <w:sz w:val="22"/>
          <w:szCs w:val="22"/>
          <w:highlight w:val="yellow"/>
          <w:lang w:val="en-GB"/>
        </w:rPr>
      </w:pPr>
      <w:r w:rsidRPr="0025177D">
        <w:rPr>
          <w:rFonts w:ascii="Arial" w:hAnsi="Arial" w:cs="Arial"/>
          <w:sz w:val="22"/>
          <w:szCs w:val="22"/>
          <w:highlight w:val="yellow"/>
          <w:lang w:val="en-GB"/>
        </w:rPr>
        <w:t>The board of directors decides it is “just and equitable” for the company to be wound up</w:t>
      </w:r>
      <w:r w:rsidR="00D06A87" w:rsidRPr="0025177D">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64BFAF2A"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75% or more in value of the creditors must agree.</w:t>
      </w:r>
    </w:p>
    <w:p w14:paraId="20AC6CD2" w14:textId="77777777" w:rsidR="0025177D" w:rsidRPr="0025177D" w:rsidRDefault="0025177D" w:rsidP="0025177D">
      <w:pPr>
        <w:pStyle w:val="ListParagraph"/>
        <w:rPr>
          <w:rFonts w:ascii="Arial" w:hAnsi="Arial" w:cs="Arial"/>
          <w:sz w:val="22"/>
          <w:szCs w:val="22"/>
          <w:lang w:val="en-GB"/>
        </w:rPr>
      </w:pPr>
    </w:p>
    <w:p w14:paraId="28AFDCAA" w14:textId="08BAA6ED" w:rsidR="0025177D" w:rsidRPr="0025177D" w:rsidRDefault="0025177D" w:rsidP="0025177D">
      <w:pPr>
        <w:jc w:val="both"/>
        <w:rPr>
          <w:rFonts w:ascii="Arial" w:hAnsi="Arial" w:cs="Arial"/>
          <w:sz w:val="22"/>
          <w:szCs w:val="22"/>
          <w:lang w:val="en-GB"/>
        </w:rPr>
      </w:pPr>
      <w:r w:rsidRPr="0025177D">
        <w:rPr>
          <w:rFonts w:ascii="Arial" w:hAnsi="Arial" w:cs="Arial"/>
          <w:sz w:val="22"/>
          <w:szCs w:val="22"/>
          <w:highlight w:val="yellow"/>
          <w:lang w:val="en-GB"/>
        </w:rPr>
        <w:t xml:space="preserve">None of the above – it is a majority in number (so more than 50%) of 75% in value of the creditors or class of creditors, or members of class of members </w:t>
      </w:r>
      <w:r w:rsidRPr="0025177D">
        <w:rPr>
          <w:rFonts w:ascii="Arial" w:hAnsi="Arial" w:cs="Arial"/>
          <w:b/>
          <w:sz w:val="22"/>
          <w:szCs w:val="22"/>
          <w:highlight w:val="yellow"/>
          <w:lang w:val="en-GB"/>
        </w:rPr>
        <w:t>who are present and voting (either in person or by proxy) at the scheme meeting.</w:t>
      </w:r>
      <w:r w:rsidRPr="0025177D">
        <w:rPr>
          <w:rFonts w:ascii="Arial" w:hAnsi="Arial" w:cs="Arial"/>
          <w:sz w:val="22"/>
          <w:szCs w:val="22"/>
          <w:highlight w:val="yellow"/>
          <w:lang w:val="en-GB"/>
        </w:rPr>
        <w:t xml:space="preserve"> The bold part is missing from the above.</w:t>
      </w:r>
      <w:r>
        <w:rPr>
          <w:rFonts w:ascii="Arial" w:hAnsi="Arial" w:cs="Arial"/>
          <w:sz w:val="22"/>
          <w:szCs w:val="22"/>
          <w:lang w:val="en-GB"/>
        </w:rPr>
        <w:t xml:space="preserve"> </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4ACC941F" w:rsidR="002B3A96" w:rsidRDefault="0025177D"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has an ownership register for real estate, ships, aircraft, vehicles and IP, where mortgages and charges can be registered against the asset. The effect of this is that any third-party purchasers will be deemed to have notice of the interest and will therefore acquire it subject to the interest.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sidRPr="001042B4">
        <w:rPr>
          <w:rFonts w:ascii="Arial" w:hAnsi="Arial" w:cs="Arial"/>
          <w:sz w:val="22"/>
          <w:szCs w:val="22"/>
          <w:lang w:val="en-GB"/>
        </w:rPr>
        <w:t xml:space="preserve">Does </w:t>
      </w:r>
      <w:r w:rsidR="00D27CBC" w:rsidRPr="001042B4">
        <w:rPr>
          <w:rFonts w:ascii="Arial" w:hAnsi="Arial" w:cs="Arial"/>
          <w:sz w:val="22"/>
          <w:szCs w:val="22"/>
          <w:lang w:val="en-GB"/>
        </w:rPr>
        <w:t xml:space="preserve">the Cayman Islands Grand Court </w:t>
      </w:r>
      <w:r w:rsidRPr="001042B4">
        <w:rPr>
          <w:rFonts w:ascii="Arial" w:hAnsi="Arial" w:cs="Arial"/>
          <w:sz w:val="22"/>
          <w:szCs w:val="22"/>
          <w:lang w:val="en-GB"/>
        </w:rPr>
        <w:t xml:space="preserve">have the </w:t>
      </w:r>
      <w:r w:rsidR="00D27CBC" w:rsidRPr="001042B4">
        <w:rPr>
          <w:rFonts w:ascii="Arial" w:hAnsi="Arial" w:cs="Arial"/>
          <w:sz w:val="22"/>
          <w:szCs w:val="22"/>
          <w:lang w:val="en-GB"/>
        </w:rPr>
        <w:t>power to assist foreign bankruptcy proceedings</w:t>
      </w:r>
      <w:r w:rsidRPr="001042B4">
        <w:rPr>
          <w:rFonts w:ascii="Arial" w:hAnsi="Arial" w:cs="Arial"/>
          <w:sz w:val="22"/>
          <w:szCs w:val="22"/>
          <w:lang w:val="en-GB"/>
        </w:rPr>
        <w:t>? If so, what is the source of that power and in what circumstances may it exercise it?</w:t>
      </w:r>
      <w:r>
        <w:rPr>
          <w:rFonts w:ascii="Arial" w:hAnsi="Arial" w:cs="Arial"/>
          <w:sz w:val="22"/>
          <w:szCs w:val="22"/>
          <w:lang w:val="en-GB"/>
        </w:rPr>
        <w:t xml:space="preserve"> </w:t>
      </w:r>
    </w:p>
    <w:p w14:paraId="176341A6" w14:textId="56774E4E" w:rsidR="00D27CBC" w:rsidRDefault="00D27CBC" w:rsidP="00D27CBC">
      <w:pPr>
        <w:jc w:val="both"/>
        <w:rPr>
          <w:rFonts w:ascii="Arial" w:hAnsi="Arial" w:cs="Arial"/>
          <w:b/>
          <w:bCs/>
          <w:sz w:val="22"/>
          <w:szCs w:val="22"/>
          <w:lang w:val="en-GB"/>
        </w:rPr>
      </w:pPr>
    </w:p>
    <w:p w14:paraId="3A03DFA7" w14:textId="6CDC6480" w:rsidR="001042B4" w:rsidRPr="001042B4" w:rsidRDefault="001042B4" w:rsidP="00D27CBC">
      <w:pPr>
        <w:jc w:val="both"/>
        <w:rPr>
          <w:rFonts w:ascii="Arial" w:hAnsi="Arial" w:cs="Arial"/>
          <w:color w:val="808080" w:themeColor="background1" w:themeShade="80"/>
          <w:sz w:val="22"/>
          <w:szCs w:val="22"/>
          <w:lang w:val="en-GB"/>
        </w:rPr>
      </w:pPr>
      <w:r w:rsidRPr="001042B4">
        <w:rPr>
          <w:rFonts w:ascii="Arial" w:hAnsi="Arial" w:cs="Arial"/>
          <w:color w:val="808080" w:themeColor="background1" w:themeShade="80"/>
          <w:sz w:val="22"/>
          <w:szCs w:val="22"/>
          <w:lang w:val="en-GB"/>
        </w:rPr>
        <w:t xml:space="preserve">The Cayman Islands has not adopted the UNCITRAL Model Law. </w:t>
      </w:r>
    </w:p>
    <w:p w14:paraId="5E086DB9" w14:textId="5E423B89" w:rsidR="001042B4" w:rsidRPr="001042B4" w:rsidRDefault="001042B4" w:rsidP="00D27CBC">
      <w:pPr>
        <w:jc w:val="both"/>
        <w:rPr>
          <w:rFonts w:ascii="Arial" w:hAnsi="Arial" w:cs="Arial"/>
          <w:color w:val="808080" w:themeColor="background1" w:themeShade="80"/>
          <w:sz w:val="22"/>
          <w:szCs w:val="22"/>
          <w:lang w:val="en-GB"/>
        </w:rPr>
      </w:pPr>
    </w:p>
    <w:p w14:paraId="2DF2E5AA" w14:textId="7D8AB892" w:rsidR="001042B4" w:rsidRDefault="001042B4" w:rsidP="00D27CBC">
      <w:pPr>
        <w:jc w:val="both"/>
        <w:rPr>
          <w:rFonts w:ascii="Arial" w:hAnsi="Arial" w:cs="Arial"/>
          <w:color w:val="808080" w:themeColor="background1" w:themeShade="80"/>
          <w:sz w:val="22"/>
          <w:szCs w:val="22"/>
          <w:lang w:val="en-GB"/>
        </w:rPr>
      </w:pPr>
      <w:r w:rsidRPr="001042B4">
        <w:rPr>
          <w:rFonts w:ascii="Arial" w:hAnsi="Arial" w:cs="Arial"/>
          <w:color w:val="808080" w:themeColor="background1" w:themeShade="80"/>
          <w:sz w:val="22"/>
          <w:szCs w:val="22"/>
          <w:lang w:val="en-GB"/>
        </w:rPr>
        <w:t xml:space="preserve">However, the Cayman Islands still regularly recognises and assists foreign bankruptcy proceedings. </w:t>
      </w:r>
      <w:r>
        <w:rPr>
          <w:rFonts w:ascii="Arial" w:hAnsi="Arial" w:cs="Arial"/>
          <w:color w:val="808080" w:themeColor="background1" w:themeShade="80"/>
          <w:sz w:val="22"/>
          <w:szCs w:val="22"/>
          <w:lang w:val="en-GB"/>
        </w:rPr>
        <w:t xml:space="preserve">Part XVII of the Companies Act provides for international co-operation in insolvency proceedings. </w:t>
      </w:r>
      <w:r w:rsidR="00F67BEE">
        <w:rPr>
          <w:rFonts w:ascii="Arial" w:hAnsi="Arial" w:cs="Arial"/>
          <w:color w:val="808080" w:themeColor="background1" w:themeShade="80"/>
          <w:sz w:val="22"/>
          <w:szCs w:val="22"/>
          <w:lang w:val="en-GB"/>
        </w:rPr>
        <w:t xml:space="preserve">This allows the Grand Court of the Cayman Islands to provide ancillary relief to foreign representatives who have been appointed to a </w:t>
      </w:r>
      <w:r w:rsidR="00F67BEE" w:rsidRPr="00F67BEE">
        <w:rPr>
          <w:rFonts w:ascii="Arial" w:hAnsi="Arial" w:cs="Arial"/>
          <w:color w:val="808080" w:themeColor="background1" w:themeShade="80"/>
          <w:sz w:val="22"/>
          <w:szCs w:val="22"/>
          <w:lang w:val="en-GB"/>
        </w:rPr>
        <w:t>"</w:t>
      </w:r>
      <w:r w:rsidR="00F67BEE" w:rsidRPr="00F67BEE">
        <w:rPr>
          <w:rFonts w:ascii="Arial" w:hAnsi="Arial" w:cs="Arial"/>
          <w:i/>
          <w:color w:val="808080" w:themeColor="background1" w:themeShade="80"/>
          <w:sz w:val="22"/>
          <w:szCs w:val="22"/>
          <w:lang w:val="en-GB"/>
        </w:rPr>
        <w:t>foreign corporation or other foreign legal entity subject to a foreign bankruptcy proceeding in the country in which it is incorporated or established</w:t>
      </w:r>
      <w:r w:rsidR="00F67BEE" w:rsidRPr="00F67BEE">
        <w:rPr>
          <w:rFonts w:ascii="Arial" w:hAnsi="Arial" w:cs="Arial"/>
          <w:color w:val="808080" w:themeColor="background1" w:themeShade="80"/>
          <w:sz w:val="22"/>
          <w:szCs w:val="22"/>
          <w:lang w:val="en-GB"/>
        </w:rPr>
        <w:t>"</w:t>
      </w:r>
      <w:r w:rsidR="00F67BEE">
        <w:rPr>
          <w:rFonts w:ascii="Arial" w:hAnsi="Arial" w:cs="Arial"/>
          <w:color w:val="808080" w:themeColor="background1" w:themeShade="80"/>
          <w:sz w:val="22"/>
          <w:szCs w:val="22"/>
          <w:lang w:val="en-GB"/>
        </w:rPr>
        <w:t>. The relief that can be provided includes:</w:t>
      </w:r>
    </w:p>
    <w:p w14:paraId="4DD7B891" w14:textId="471117B8" w:rsidR="00F67BEE" w:rsidRDefault="00F67BEE" w:rsidP="00D27CBC">
      <w:pPr>
        <w:jc w:val="both"/>
        <w:rPr>
          <w:rFonts w:ascii="Arial" w:hAnsi="Arial" w:cs="Arial"/>
          <w:color w:val="808080" w:themeColor="background1" w:themeShade="80"/>
          <w:sz w:val="22"/>
          <w:szCs w:val="22"/>
          <w:lang w:val="en-GB"/>
        </w:rPr>
      </w:pPr>
    </w:p>
    <w:p w14:paraId="75C7BE17" w14:textId="468EEF73" w:rsidR="00F67BEE" w:rsidRDefault="00F67BEE" w:rsidP="00F67BEE">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Recognition of the right of the foreign representative to act in the Cayman Islands on behalf of the debtor; </w:t>
      </w:r>
    </w:p>
    <w:p w14:paraId="12A2BD22" w14:textId="470198C7" w:rsidR="00F67BEE" w:rsidRDefault="00F67BEE" w:rsidP="00F67BEE">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Enjoining the commencement or staying proceedings against the debtor;</w:t>
      </w:r>
    </w:p>
    <w:p w14:paraId="234EF67E" w14:textId="1F129445" w:rsidR="00F67BEE" w:rsidRDefault="00F67BEE" w:rsidP="00F67BEE">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Staying the enforcement of a judgment against the debtor;</w:t>
      </w:r>
    </w:p>
    <w:p w14:paraId="26CED49D" w14:textId="4067B489" w:rsidR="00F67BEE" w:rsidRDefault="00F67BEE" w:rsidP="00F67BEE">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Requiring a person with information about the affairs of the debtor to submit to an examination and/or produce documents; </w:t>
      </w:r>
    </w:p>
    <w:p w14:paraId="751B4E15" w14:textId="090BA330" w:rsidR="00F67BEE" w:rsidRPr="00F67BEE" w:rsidRDefault="00F67BEE" w:rsidP="00F67BEE">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Ordering the turnover of the debtor’s assets to the foreign representative. </w:t>
      </w: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lastRenderedPageBreak/>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54A3ED34" w14:textId="5B91652E" w:rsidR="001042B4" w:rsidRPr="00AB0E3A" w:rsidRDefault="00FA46D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Judgments Reciprocal Enforcement Act (1996 Revision) </w:t>
      </w:r>
      <w:r w:rsidR="001042B4">
        <w:rPr>
          <w:rFonts w:ascii="Arial" w:hAnsi="Arial" w:cs="Arial"/>
          <w:color w:val="808080" w:themeColor="background1" w:themeShade="80"/>
          <w:sz w:val="22"/>
          <w:szCs w:val="22"/>
          <w:lang w:val="en-GB"/>
        </w:rPr>
        <w:t xml:space="preserve">provides a statutory scheme for the recognition of foreign judgments by the Governor of the Cayman Islands. The Governor is empowered to make an order recognising a foreign judgment where the country the judgment originates from provides reciprocity in relation to enforcing Cayman Islands judgment and the judgment is from a superior court, final (notwithstanding that an appeal could be made), a money judgment, and made after 1996.  The Governor can revoke an order made under this law.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0E7D9DE9" w14:textId="77777777" w:rsidR="00AB5F55" w:rsidRDefault="00AB5F55" w:rsidP="002A37BB">
      <w:pPr>
        <w:jc w:val="both"/>
        <w:rPr>
          <w:rFonts w:ascii="Arial" w:hAnsi="Arial" w:cs="Arial"/>
          <w:color w:val="808080" w:themeColor="background1" w:themeShade="80"/>
          <w:sz w:val="22"/>
          <w:szCs w:val="22"/>
          <w:lang w:val="en-GB"/>
        </w:rPr>
      </w:pPr>
    </w:p>
    <w:p w14:paraId="3D44E781" w14:textId="244DB7C3" w:rsidR="00AB5F55" w:rsidRDefault="006E3D86"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 sanction from the court, a</w:t>
      </w:r>
      <w:r w:rsidR="00AB5F55">
        <w:rPr>
          <w:rFonts w:ascii="Arial" w:hAnsi="Arial" w:cs="Arial"/>
          <w:color w:val="808080" w:themeColor="background1" w:themeShade="80"/>
          <w:sz w:val="22"/>
          <w:szCs w:val="22"/>
          <w:lang w:val="en-GB"/>
        </w:rPr>
        <w:t xml:space="preserve"> liquidator (on behalf of the company) could pursue the former directors for breaching fiduciary duties held to the company while it was solvent and</w:t>
      </w:r>
      <w:r>
        <w:rPr>
          <w:rFonts w:ascii="Arial" w:hAnsi="Arial" w:cs="Arial"/>
          <w:color w:val="808080" w:themeColor="background1" w:themeShade="80"/>
          <w:sz w:val="22"/>
          <w:szCs w:val="22"/>
          <w:lang w:val="en-GB"/>
        </w:rPr>
        <w:t>/or</w:t>
      </w:r>
      <w:r w:rsidR="00AB5F55">
        <w:rPr>
          <w:rFonts w:ascii="Arial" w:hAnsi="Arial" w:cs="Arial"/>
          <w:color w:val="808080" w:themeColor="background1" w:themeShade="80"/>
          <w:sz w:val="22"/>
          <w:szCs w:val="22"/>
          <w:lang w:val="en-GB"/>
        </w:rPr>
        <w:t xml:space="preserve"> the </w:t>
      </w:r>
      <w:r>
        <w:rPr>
          <w:rFonts w:ascii="Arial" w:hAnsi="Arial" w:cs="Arial"/>
          <w:color w:val="808080" w:themeColor="background1" w:themeShade="80"/>
          <w:sz w:val="22"/>
          <w:szCs w:val="22"/>
          <w:lang w:val="en-GB"/>
        </w:rPr>
        <w:t>creditors while it was insolvent. If successful, this could result in a monetary award made against the directors. The liquidators could then (on behalf of the company) enforce payment of that award. The shareholders could also sue the directors for breaching their fiduciary duties directly (or in some limited circumstances, by way of a derivative claim on behalf of the company).</w:t>
      </w:r>
    </w:p>
    <w:p w14:paraId="48D4C88C" w14:textId="77777777" w:rsidR="00AB5F55" w:rsidRDefault="00AB5F55" w:rsidP="002A37BB">
      <w:pPr>
        <w:jc w:val="both"/>
        <w:rPr>
          <w:rFonts w:ascii="Arial" w:hAnsi="Arial" w:cs="Arial"/>
          <w:color w:val="808080" w:themeColor="background1" w:themeShade="80"/>
          <w:sz w:val="22"/>
          <w:szCs w:val="22"/>
          <w:lang w:val="en-GB"/>
        </w:rPr>
      </w:pPr>
    </w:p>
    <w:p w14:paraId="6F724901" w14:textId="313E9487" w:rsidR="00D17FDC" w:rsidRDefault="00AB5F55"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Claw back options include: </w:t>
      </w:r>
    </w:p>
    <w:p w14:paraId="1982618C" w14:textId="62A61299" w:rsidR="00C2668E" w:rsidRDefault="00C2668E" w:rsidP="002A37BB">
      <w:pPr>
        <w:jc w:val="both"/>
        <w:rPr>
          <w:rFonts w:ascii="Arial" w:hAnsi="Arial" w:cs="Arial"/>
          <w:color w:val="808080" w:themeColor="background1" w:themeShade="80"/>
          <w:sz w:val="22"/>
          <w:szCs w:val="22"/>
          <w:lang w:val="en-GB"/>
        </w:rPr>
      </w:pPr>
    </w:p>
    <w:p w14:paraId="679854C4" w14:textId="27F5F04F" w:rsidR="00C2668E" w:rsidRDefault="00AB5F55" w:rsidP="00AB5F55">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w:t>
      </w:r>
      <w:r w:rsidR="00C2668E">
        <w:rPr>
          <w:rFonts w:ascii="Arial" w:hAnsi="Arial" w:cs="Arial"/>
          <w:color w:val="808080" w:themeColor="background1" w:themeShade="80"/>
          <w:sz w:val="22"/>
          <w:szCs w:val="22"/>
          <w:lang w:val="en-GB"/>
        </w:rPr>
        <w:t xml:space="preserve">ection 145 of the Companies Act, </w:t>
      </w:r>
      <w:r>
        <w:rPr>
          <w:rFonts w:ascii="Arial" w:hAnsi="Arial" w:cs="Arial"/>
          <w:color w:val="808080" w:themeColor="background1" w:themeShade="80"/>
          <w:sz w:val="22"/>
          <w:szCs w:val="22"/>
          <w:lang w:val="en-GB"/>
        </w:rPr>
        <w:t xml:space="preserve">under which the court can void </w:t>
      </w:r>
      <w:r w:rsidR="00C2668E">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 xml:space="preserve"> disposal of company property that occurs in the six months prior to the commencement of the company’s liquidation when it was unable to pay its debts and with dominant intention was to give the creditor paid a preference (i.e. putting them in better position that they otherwise would have been) over other creditors.</w:t>
      </w:r>
    </w:p>
    <w:p w14:paraId="14D75BD9" w14:textId="77777777" w:rsidR="00C2668E" w:rsidRDefault="00C2668E" w:rsidP="00AB5F55">
      <w:pPr>
        <w:ind w:left="720"/>
        <w:jc w:val="both"/>
        <w:rPr>
          <w:rFonts w:ascii="Arial" w:hAnsi="Arial" w:cs="Arial"/>
          <w:color w:val="808080" w:themeColor="background1" w:themeShade="80"/>
          <w:sz w:val="22"/>
          <w:szCs w:val="22"/>
          <w:lang w:val="en-GB"/>
        </w:rPr>
      </w:pPr>
    </w:p>
    <w:p w14:paraId="1824528C" w14:textId="420F6987" w:rsidR="00C2668E" w:rsidRDefault="00AB5F55" w:rsidP="00AB5F55">
      <w:pPr>
        <w:ind w:left="720"/>
        <w:jc w:val="both"/>
        <w:rPr>
          <w:rFonts w:ascii="Arial" w:hAnsi="Arial" w:cs="Arial"/>
          <w:sz w:val="22"/>
          <w:szCs w:val="22"/>
          <w:shd w:val="clear" w:color="auto" w:fill="FFFFFF"/>
        </w:rPr>
      </w:pPr>
      <w:r>
        <w:rPr>
          <w:rFonts w:ascii="Arial" w:hAnsi="Arial" w:cs="Arial"/>
          <w:color w:val="808080" w:themeColor="background1" w:themeShade="80"/>
          <w:sz w:val="22"/>
          <w:szCs w:val="22"/>
          <w:lang w:val="en-GB"/>
        </w:rPr>
        <w:t>S</w:t>
      </w:r>
      <w:r w:rsidR="00C2668E">
        <w:rPr>
          <w:rFonts w:ascii="Arial" w:hAnsi="Arial" w:cs="Arial"/>
          <w:color w:val="808080" w:themeColor="background1" w:themeShade="80"/>
          <w:sz w:val="22"/>
          <w:szCs w:val="22"/>
          <w:lang w:val="en-GB"/>
        </w:rPr>
        <w:t xml:space="preserve">ection 146 of the Companies Act, </w:t>
      </w:r>
      <w:r>
        <w:rPr>
          <w:rFonts w:ascii="Arial" w:hAnsi="Arial" w:cs="Arial"/>
          <w:color w:val="808080" w:themeColor="background1" w:themeShade="80"/>
          <w:sz w:val="22"/>
          <w:szCs w:val="22"/>
          <w:lang w:val="en-GB"/>
        </w:rPr>
        <w:t xml:space="preserve">under which the court can void (after application by the liquidator) </w:t>
      </w:r>
      <w:r w:rsidR="00C2668E">
        <w:rPr>
          <w:rFonts w:ascii="Arial" w:hAnsi="Arial" w:cs="Arial"/>
          <w:color w:val="808080" w:themeColor="background1" w:themeShade="80"/>
          <w:sz w:val="22"/>
          <w:szCs w:val="22"/>
          <w:lang w:val="en-GB"/>
        </w:rPr>
        <w:t>a transaction where an asset of the company in liquidation is disposed of at an undervalue and with the intention of wilfully defeating an obligation owed to a creditor</w:t>
      </w:r>
      <w:r>
        <w:rPr>
          <w:rFonts w:ascii="Arial" w:hAnsi="Arial" w:cs="Arial"/>
          <w:color w:val="808080" w:themeColor="background1" w:themeShade="80"/>
          <w:sz w:val="22"/>
          <w:szCs w:val="22"/>
          <w:lang w:val="en-GB"/>
        </w:rPr>
        <w:t xml:space="preserve">. </w:t>
      </w:r>
    </w:p>
    <w:p w14:paraId="633F7CD6" w14:textId="15A4F8B5" w:rsidR="00924973" w:rsidRDefault="00924973" w:rsidP="002A37BB">
      <w:pPr>
        <w:jc w:val="both"/>
        <w:rPr>
          <w:rFonts w:ascii="Arial" w:hAnsi="Arial" w:cs="Arial"/>
          <w:sz w:val="22"/>
          <w:szCs w:val="22"/>
          <w:shd w:val="clear" w:color="auto" w:fill="FFFFFF"/>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6A87B74B" w:rsidR="00E4294D" w:rsidRDefault="005E3FD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do have a role to play in Cayman Islands insolvencies and</w:t>
      </w:r>
      <w:r w:rsidR="00F67BEE">
        <w:rPr>
          <w:rFonts w:ascii="Arial" w:hAnsi="Arial" w:cs="Arial"/>
          <w:color w:val="808080" w:themeColor="background1" w:themeShade="80"/>
          <w:sz w:val="22"/>
          <w:szCs w:val="22"/>
          <w:lang w:val="en-GB"/>
        </w:rPr>
        <w:t xml:space="preserve"> can be appointed in the Cayman Islands. Th</w:t>
      </w:r>
      <w:r>
        <w:rPr>
          <w:rFonts w:ascii="Arial" w:hAnsi="Arial" w:cs="Arial"/>
          <w:color w:val="808080" w:themeColor="background1" w:themeShade="80"/>
          <w:sz w:val="22"/>
          <w:szCs w:val="22"/>
          <w:lang w:val="en-GB"/>
        </w:rPr>
        <w:t xml:space="preserve">eir appointment in relation to companies is </w:t>
      </w:r>
      <w:r w:rsidR="00F67BEE">
        <w:rPr>
          <w:rFonts w:ascii="Arial" w:hAnsi="Arial" w:cs="Arial"/>
          <w:color w:val="808080" w:themeColor="background1" w:themeShade="80"/>
          <w:sz w:val="22"/>
          <w:szCs w:val="22"/>
          <w:lang w:val="en-GB"/>
        </w:rPr>
        <w:t xml:space="preserve">not </w:t>
      </w:r>
      <w:r>
        <w:rPr>
          <w:rFonts w:ascii="Arial" w:hAnsi="Arial" w:cs="Arial"/>
          <w:color w:val="808080" w:themeColor="background1" w:themeShade="80"/>
          <w:sz w:val="22"/>
          <w:szCs w:val="22"/>
          <w:lang w:val="en-GB"/>
        </w:rPr>
        <w:t xml:space="preserve">explicitly referred to </w:t>
      </w:r>
      <w:r w:rsidR="00F67BEE">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lastRenderedPageBreak/>
        <w:t xml:space="preserve">Companies Act of CWRs, but the Grand Court Rules do provide for the appointment of receivers to collect money or carry out some other act. </w:t>
      </w:r>
    </w:p>
    <w:p w14:paraId="62CB86ED" w14:textId="794950BA" w:rsidR="005E3FDA" w:rsidRDefault="005E3FDA" w:rsidP="00E4294D">
      <w:pPr>
        <w:jc w:val="both"/>
        <w:rPr>
          <w:rFonts w:ascii="Arial" w:hAnsi="Arial" w:cs="Arial"/>
          <w:color w:val="808080" w:themeColor="background1" w:themeShade="80"/>
          <w:sz w:val="22"/>
          <w:szCs w:val="22"/>
          <w:lang w:val="en-GB"/>
        </w:rPr>
      </w:pPr>
    </w:p>
    <w:p w14:paraId="7984A8DD" w14:textId="2359DF68" w:rsidR="005E3FDA" w:rsidRDefault="005E3FD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Companies Act does </w:t>
      </w:r>
      <w:r w:rsidR="008B4DC5">
        <w:rPr>
          <w:rFonts w:ascii="Arial" w:hAnsi="Arial" w:cs="Arial"/>
          <w:color w:val="808080" w:themeColor="background1" w:themeShade="80"/>
          <w:sz w:val="22"/>
          <w:szCs w:val="22"/>
          <w:lang w:val="en-GB"/>
        </w:rPr>
        <w:t>explicitly</w:t>
      </w:r>
      <w:r>
        <w:rPr>
          <w:rFonts w:ascii="Arial" w:hAnsi="Arial" w:cs="Arial"/>
          <w:color w:val="808080" w:themeColor="background1" w:themeShade="80"/>
          <w:sz w:val="22"/>
          <w:szCs w:val="22"/>
          <w:lang w:val="en-GB"/>
        </w:rPr>
        <w:t xml:space="preserve"> provide for the appointment of receivers in relation to</w:t>
      </w:r>
      <w:r w:rsidR="008B4DC5">
        <w:rPr>
          <w:rFonts w:ascii="Arial" w:hAnsi="Arial" w:cs="Arial"/>
          <w:color w:val="808080" w:themeColor="background1" w:themeShade="80"/>
          <w:sz w:val="22"/>
          <w:szCs w:val="22"/>
          <w:lang w:val="en-GB"/>
        </w:rPr>
        <w:t xml:space="preserve"> segregated portfolios of</w:t>
      </w:r>
      <w:r>
        <w:rPr>
          <w:rFonts w:ascii="Arial" w:hAnsi="Arial" w:cs="Arial"/>
          <w:color w:val="808080" w:themeColor="background1" w:themeShade="80"/>
          <w:sz w:val="22"/>
          <w:szCs w:val="22"/>
          <w:lang w:val="en-GB"/>
        </w:rPr>
        <w:t xml:space="preserve"> Cayman Islands segregated portfolio companies (SPCs). An SPC is </w:t>
      </w:r>
      <w:r w:rsidR="008B4DC5">
        <w:rPr>
          <w:rFonts w:ascii="Arial" w:hAnsi="Arial" w:cs="Arial"/>
          <w:color w:val="808080" w:themeColor="background1" w:themeShade="80"/>
          <w:sz w:val="22"/>
          <w:szCs w:val="22"/>
          <w:lang w:val="en-GB"/>
        </w:rPr>
        <w:t>a single legal entity</w:t>
      </w:r>
      <w:r>
        <w:rPr>
          <w:rFonts w:ascii="Arial" w:hAnsi="Arial" w:cs="Arial"/>
          <w:color w:val="808080" w:themeColor="background1" w:themeShade="80"/>
          <w:sz w:val="22"/>
          <w:szCs w:val="22"/>
          <w:lang w:val="en-GB"/>
        </w:rPr>
        <w:t xml:space="preserve"> with separate segregated portfolios</w:t>
      </w:r>
      <w:r w:rsidR="008B4DC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where the assets of each </w:t>
      </w:r>
      <w:r w:rsidR="008B4DC5">
        <w:rPr>
          <w:rFonts w:ascii="Arial" w:hAnsi="Arial" w:cs="Arial"/>
          <w:color w:val="808080" w:themeColor="background1" w:themeShade="80"/>
          <w:sz w:val="22"/>
          <w:szCs w:val="22"/>
          <w:lang w:val="en-GB"/>
        </w:rPr>
        <w:t xml:space="preserve">portfolio </w:t>
      </w:r>
      <w:r>
        <w:rPr>
          <w:rFonts w:ascii="Arial" w:hAnsi="Arial" w:cs="Arial"/>
          <w:color w:val="808080" w:themeColor="background1" w:themeShade="80"/>
          <w:sz w:val="22"/>
          <w:szCs w:val="22"/>
          <w:lang w:val="en-GB"/>
        </w:rPr>
        <w:t xml:space="preserve">are ring fenced from those of the other portfolios. </w:t>
      </w:r>
    </w:p>
    <w:p w14:paraId="7BDA52BA" w14:textId="77777777" w:rsidR="005E3FDA" w:rsidRDefault="005E3FDA" w:rsidP="00E4294D">
      <w:pPr>
        <w:jc w:val="both"/>
        <w:rPr>
          <w:rFonts w:ascii="Arial" w:hAnsi="Arial" w:cs="Arial"/>
          <w:color w:val="808080" w:themeColor="background1" w:themeShade="80"/>
          <w:sz w:val="22"/>
          <w:szCs w:val="22"/>
          <w:lang w:val="en-GB"/>
        </w:rPr>
      </w:pPr>
    </w:p>
    <w:p w14:paraId="0CAAE6A3" w14:textId="74040F5A" w:rsidR="005E3FDA" w:rsidRPr="00AB0E3A" w:rsidRDefault="008B4DC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Part XIV provides a framework for the appointment of receivers to SPCs. The Grand Court can appoint a receiver over a segregated portfolio when the Grand Court is satisfied that the segregated portfolio’s assets are likely to be insufficient to discharge the claims of creditors against that portfolio. The receiver then carries out a role akin to that of a liquidator in relation to the portfolio, while the other portfolios can continue as usual.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4A459CC4"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8B4DC5">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67145A80"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r w:rsidR="00454E16">
        <w:rPr>
          <w:rFonts w:ascii="Arial" w:hAnsi="Arial" w:cs="Arial"/>
          <w:sz w:val="22"/>
          <w:szCs w:val="22"/>
          <w:lang w:val="en-GB"/>
        </w:rPr>
        <w:t xml:space="preserve"> </w:t>
      </w:r>
    </w:p>
    <w:p w14:paraId="12E0E08E" w14:textId="6BF2184F" w:rsidR="00454E16" w:rsidRDefault="00454E16" w:rsidP="00454E16">
      <w:pPr>
        <w:jc w:val="both"/>
        <w:rPr>
          <w:rFonts w:ascii="Arial" w:hAnsi="Arial" w:cs="Arial"/>
          <w:sz w:val="22"/>
          <w:szCs w:val="22"/>
          <w:lang w:val="en-GB"/>
        </w:rPr>
      </w:pPr>
    </w:p>
    <w:p w14:paraId="419B6C96" w14:textId="46679614" w:rsidR="00454E16" w:rsidRPr="00454E16" w:rsidRDefault="00454E16" w:rsidP="00454E16">
      <w:pPr>
        <w:jc w:val="both"/>
        <w:rPr>
          <w:rFonts w:ascii="Arial" w:hAnsi="Arial" w:cs="Arial"/>
          <w:color w:val="808080" w:themeColor="background1" w:themeShade="80"/>
          <w:sz w:val="22"/>
          <w:szCs w:val="22"/>
          <w:lang w:val="en-GB"/>
        </w:rPr>
      </w:pPr>
      <w:r w:rsidRPr="00454E16">
        <w:rPr>
          <w:rFonts w:ascii="Arial" w:hAnsi="Arial" w:cs="Arial"/>
          <w:color w:val="808080" w:themeColor="background1" w:themeShade="80"/>
          <w:sz w:val="22"/>
          <w:szCs w:val="22"/>
          <w:lang w:val="en-GB"/>
        </w:rPr>
        <w:t xml:space="preserve">Sparrow has multiple options. It could appoint receivers over the boats it has security over, could petition the grand court to wind up the company or to appoint provisional liquidators. </w:t>
      </w:r>
    </w:p>
    <w:p w14:paraId="60988ABD" w14:textId="77777777" w:rsidR="00952187" w:rsidRPr="00952187" w:rsidRDefault="00952187" w:rsidP="00924973">
      <w:pPr>
        <w:ind w:left="426"/>
        <w:jc w:val="both"/>
        <w:rPr>
          <w:rFonts w:ascii="Arial" w:hAnsi="Arial" w:cs="Arial"/>
          <w:sz w:val="22"/>
          <w:szCs w:val="22"/>
          <w:lang w:val="en-GB"/>
        </w:rPr>
      </w:pPr>
    </w:p>
    <w:p w14:paraId="2954EC21" w14:textId="26465AFD" w:rsidR="002A2C21"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741D5C92" w14:textId="7475C3B5" w:rsidR="00454E16" w:rsidRDefault="00454E16" w:rsidP="00454E16">
      <w:pPr>
        <w:ind w:left="66"/>
        <w:jc w:val="both"/>
        <w:rPr>
          <w:rFonts w:ascii="Arial" w:hAnsi="Arial" w:cs="Arial"/>
          <w:sz w:val="22"/>
          <w:szCs w:val="22"/>
          <w:lang w:val="en-GB"/>
        </w:rPr>
      </w:pPr>
    </w:p>
    <w:p w14:paraId="64E1E978" w14:textId="43454A74" w:rsidR="00454E16" w:rsidRDefault="00454E16" w:rsidP="00454E16">
      <w:pPr>
        <w:ind w:left="66"/>
        <w:jc w:val="both"/>
        <w:rPr>
          <w:rFonts w:ascii="Arial" w:hAnsi="Arial" w:cs="Arial"/>
          <w:color w:val="808080" w:themeColor="background1" w:themeShade="80"/>
          <w:sz w:val="22"/>
          <w:szCs w:val="22"/>
          <w:lang w:val="en-GB"/>
        </w:rPr>
      </w:pPr>
      <w:r w:rsidRPr="00454E16">
        <w:rPr>
          <w:rFonts w:ascii="Arial" w:hAnsi="Arial" w:cs="Arial"/>
          <w:color w:val="808080" w:themeColor="background1" w:themeShade="80"/>
          <w:sz w:val="22"/>
          <w:szCs w:val="22"/>
          <w:lang w:val="en-GB"/>
        </w:rPr>
        <w:lastRenderedPageBreak/>
        <w:t>Roger Jolly should</w:t>
      </w:r>
      <w:r>
        <w:rPr>
          <w:rFonts w:ascii="Arial" w:hAnsi="Arial" w:cs="Arial"/>
          <w:color w:val="808080" w:themeColor="background1" w:themeShade="80"/>
          <w:sz w:val="22"/>
          <w:szCs w:val="22"/>
          <w:lang w:val="en-GB"/>
        </w:rPr>
        <w:t xml:space="preserve"> first</w:t>
      </w:r>
      <w:r w:rsidRPr="00454E16">
        <w:rPr>
          <w:rFonts w:ascii="Arial" w:hAnsi="Arial" w:cs="Arial"/>
          <w:color w:val="808080" w:themeColor="background1" w:themeShade="80"/>
          <w:sz w:val="22"/>
          <w:szCs w:val="22"/>
          <w:lang w:val="en-GB"/>
        </w:rPr>
        <w:t xml:space="preserve"> seek to have the ICC decision recognised. This is possible under the New York Convention on the Recognition and Enforcement of Foreign Arbitral Awards, which was extend to the Cayman Islands via the UK. </w:t>
      </w:r>
    </w:p>
    <w:p w14:paraId="54462EFD" w14:textId="3BAEF4F3" w:rsidR="00454E16" w:rsidRDefault="00454E16" w:rsidP="00454E16">
      <w:pPr>
        <w:ind w:left="66"/>
        <w:jc w:val="both"/>
        <w:rPr>
          <w:rFonts w:ascii="Arial" w:hAnsi="Arial" w:cs="Arial"/>
          <w:color w:val="808080" w:themeColor="background1" w:themeShade="80"/>
          <w:sz w:val="22"/>
          <w:szCs w:val="22"/>
          <w:lang w:val="en-GB"/>
        </w:rPr>
      </w:pPr>
    </w:p>
    <w:p w14:paraId="41F7D8FB" w14:textId="59C4FAAF" w:rsidR="00454E16" w:rsidRPr="00454E16" w:rsidRDefault="00454E16" w:rsidP="00454E16">
      <w:pPr>
        <w:ind w:left="66"/>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can then seek to enforce the ICC decision. If/when payment is not made, it could petition the Grand Court to wind up S &amp; C or to appoint provisional liquidators. </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333E1E0E" w:rsidR="00F730FA"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CCDD7CE" w14:textId="77777777" w:rsidR="00C04475" w:rsidRPr="00C04475" w:rsidRDefault="00C04475" w:rsidP="00C04475">
      <w:pPr>
        <w:pStyle w:val="ListParagraph"/>
        <w:rPr>
          <w:rFonts w:ascii="Arial" w:hAnsi="Arial" w:cs="Arial"/>
          <w:sz w:val="22"/>
          <w:szCs w:val="22"/>
          <w:lang w:val="en-GB"/>
        </w:rPr>
      </w:pPr>
    </w:p>
    <w:p w14:paraId="7113BB8D" w14:textId="1E80C7D5" w:rsidR="00C04475" w:rsidRPr="00C04475" w:rsidRDefault="00C04475" w:rsidP="00C04475">
      <w:pPr>
        <w:jc w:val="both"/>
        <w:rPr>
          <w:rFonts w:ascii="Arial" w:hAnsi="Arial" w:cs="Arial"/>
          <w:color w:val="808080" w:themeColor="background1" w:themeShade="80"/>
          <w:sz w:val="22"/>
          <w:szCs w:val="22"/>
          <w:lang w:val="en-GB"/>
        </w:rPr>
      </w:pPr>
      <w:r w:rsidRPr="00C04475">
        <w:rPr>
          <w:rFonts w:ascii="Arial" w:hAnsi="Arial" w:cs="Arial"/>
          <w:color w:val="808080" w:themeColor="background1" w:themeShade="80"/>
          <w:sz w:val="22"/>
          <w:szCs w:val="22"/>
          <w:lang w:val="en-GB"/>
        </w:rPr>
        <w:t xml:space="preserve">Yes, because S &amp; C registered in the Cayman Islands (see section 91 of the Companies Act). </w:t>
      </w:r>
    </w:p>
    <w:p w14:paraId="43E439C8" w14:textId="77777777" w:rsidR="00952187" w:rsidRPr="00952187" w:rsidRDefault="00952187" w:rsidP="00924973">
      <w:pPr>
        <w:ind w:left="426"/>
        <w:jc w:val="both"/>
        <w:rPr>
          <w:rFonts w:ascii="Arial" w:hAnsi="Arial" w:cs="Arial"/>
          <w:sz w:val="22"/>
          <w:szCs w:val="22"/>
          <w:lang w:val="en-GB"/>
        </w:rPr>
      </w:pPr>
    </w:p>
    <w:p w14:paraId="24A6BD44" w14:textId="2DEB2AC1" w:rsidR="00F730FA"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31D3E94F" w14:textId="57D06641" w:rsidR="00C04475" w:rsidRDefault="00C04475" w:rsidP="00C04475">
      <w:pPr>
        <w:ind w:left="66"/>
        <w:jc w:val="both"/>
        <w:rPr>
          <w:rFonts w:ascii="Arial" w:hAnsi="Arial" w:cs="Arial"/>
          <w:sz w:val="22"/>
          <w:szCs w:val="22"/>
          <w:lang w:val="en-GB"/>
        </w:rPr>
      </w:pPr>
    </w:p>
    <w:p w14:paraId="70EFC0B9" w14:textId="20635241" w:rsidR="00C04475" w:rsidRPr="00C04475" w:rsidRDefault="00C04475" w:rsidP="00C04475">
      <w:pPr>
        <w:jc w:val="both"/>
        <w:rPr>
          <w:rFonts w:ascii="Arial" w:hAnsi="Arial" w:cs="Arial"/>
          <w:color w:val="808080" w:themeColor="background1" w:themeShade="80"/>
          <w:sz w:val="22"/>
          <w:szCs w:val="22"/>
          <w:lang w:val="en-GB"/>
        </w:rPr>
      </w:pPr>
      <w:r w:rsidRPr="00C04475">
        <w:rPr>
          <w:rFonts w:ascii="Arial" w:hAnsi="Arial" w:cs="Arial"/>
          <w:color w:val="808080" w:themeColor="background1" w:themeShade="80"/>
          <w:sz w:val="22"/>
          <w:szCs w:val="22"/>
          <w:lang w:val="en-GB"/>
        </w:rPr>
        <w:t xml:space="preserve">Yes, S &amp; C could apply to have provisional liquidators (PLs) appointed. </w:t>
      </w:r>
      <w:r w:rsidR="00454E16">
        <w:rPr>
          <w:rFonts w:ascii="Arial" w:hAnsi="Arial" w:cs="Arial"/>
          <w:color w:val="808080" w:themeColor="background1" w:themeShade="80"/>
          <w:sz w:val="22"/>
          <w:szCs w:val="22"/>
          <w:lang w:val="en-GB"/>
        </w:rPr>
        <w:t xml:space="preserve">The Court may order that the family </w:t>
      </w:r>
      <w:r w:rsidRPr="00C04475">
        <w:rPr>
          <w:rFonts w:ascii="Arial" w:hAnsi="Arial" w:cs="Arial"/>
          <w:color w:val="808080" w:themeColor="background1" w:themeShade="80"/>
          <w:sz w:val="22"/>
          <w:szCs w:val="22"/>
          <w:lang w:val="en-GB"/>
        </w:rPr>
        <w:t xml:space="preserve">continue to run S &amp; C, subject to oversight from the PLs/Court. The court could empower the PLs to attempt to restructure S &amp; C’s debts, through (among other things) the settlement of claims or a scheme of arrangement.  This would impose a moratorium on claims against S &amp; C, protecting it from claims while the PLs attempt to restructure its debts. </w:t>
      </w:r>
    </w:p>
    <w:p w14:paraId="5E9F761E" w14:textId="77777777" w:rsidR="00952187" w:rsidRPr="00952187" w:rsidRDefault="00952187" w:rsidP="00924973">
      <w:pPr>
        <w:ind w:left="426"/>
        <w:jc w:val="both"/>
        <w:rPr>
          <w:rFonts w:ascii="Arial" w:hAnsi="Arial" w:cs="Arial"/>
          <w:sz w:val="22"/>
          <w:szCs w:val="22"/>
          <w:lang w:val="en-GB"/>
        </w:rPr>
      </w:pPr>
    </w:p>
    <w:p w14:paraId="20A1D69F" w14:textId="5AE046B9" w:rsidR="00927C9D"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r w:rsidR="00C04475">
        <w:rPr>
          <w:rFonts w:ascii="Arial" w:hAnsi="Arial" w:cs="Arial"/>
          <w:sz w:val="22"/>
          <w:szCs w:val="22"/>
          <w:lang w:val="en-GB"/>
        </w:rPr>
        <w:t xml:space="preserve"> </w:t>
      </w:r>
    </w:p>
    <w:p w14:paraId="69061B15" w14:textId="292F01D5" w:rsidR="00C04475" w:rsidRDefault="00C04475" w:rsidP="00C04475">
      <w:pPr>
        <w:ind w:left="66"/>
        <w:jc w:val="both"/>
        <w:rPr>
          <w:rFonts w:ascii="Arial" w:hAnsi="Arial" w:cs="Arial"/>
          <w:sz w:val="22"/>
          <w:szCs w:val="22"/>
          <w:lang w:val="en-GB"/>
        </w:rPr>
      </w:pPr>
    </w:p>
    <w:p w14:paraId="0B6610B0" w14:textId="2ACB567F" w:rsidR="00C04475" w:rsidRPr="00C04475" w:rsidRDefault="00C04475" w:rsidP="00C04475">
      <w:pPr>
        <w:jc w:val="both"/>
        <w:rPr>
          <w:rFonts w:ascii="Arial" w:hAnsi="Arial" w:cs="Arial"/>
          <w:color w:val="808080" w:themeColor="background1" w:themeShade="80"/>
          <w:sz w:val="22"/>
          <w:szCs w:val="22"/>
          <w:lang w:val="en-GB"/>
        </w:rPr>
      </w:pPr>
      <w:r w:rsidRPr="00C04475">
        <w:rPr>
          <w:rFonts w:ascii="Arial" w:hAnsi="Arial" w:cs="Arial"/>
          <w:color w:val="808080" w:themeColor="background1" w:themeShade="80"/>
          <w:sz w:val="22"/>
          <w:szCs w:val="22"/>
          <w:lang w:val="en-GB"/>
        </w:rPr>
        <w:t>This would depend on the restructuring process</w:t>
      </w:r>
      <w:r w:rsidR="00454E16">
        <w:rPr>
          <w:rFonts w:ascii="Arial" w:hAnsi="Arial" w:cs="Arial"/>
          <w:color w:val="808080" w:themeColor="background1" w:themeShade="80"/>
          <w:sz w:val="22"/>
          <w:szCs w:val="22"/>
          <w:lang w:val="en-GB"/>
        </w:rPr>
        <w:t xml:space="preserve"> and the order the court makes</w:t>
      </w:r>
      <w:r w:rsidRPr="00C04475">
        <w:rPr>
          <w:rFonts w:ascii="Arial" w:hAnsi="Arial" w:cs="Arial"/>
          <w:color w:val="808080" w:themeColor="background1" w:themeShade="80"/>
          <w:sz w:val="22"/>
          <w:szCs w:val="22"/>
          <w:lang w:val="en-GB"/>
        </w:rPr>
        <w:t>. If a voluntary or official liquidator is appointed, the powers of any of the Rackham family who are directors will cease (expect for to appeal the appointment). If a PLs is appointed</w:t>
      </w:r>
      <w:r w:rsidR="00454E16">
        <w:rPr>
          <w:rFonts w:ascii="Arial" w:hAnsi="Arial" w:cs="Arial"/>
          <w:color w:val="808080" w:themeColor="background1" w:themeShade="80"/>
          <w:sz w:val="22"/>
          <w:szCs w:val="22"/>
          <w:lang w:val="en-GB"/>
        </w:rPr>
        <w:t xml:space="preserve">, the level of control given to the board is at the court’s discretion. </w:t>
      </w:r>
      <w:r w:rsidRPr="00C04475">
        <w:rPr>
          <w:rFonts w:ascii="Arial" w:hAnsi="Arial" w:cs="Arial"/>
          <w:color w:val="808080" w:themeColor="background1" w:themeShade="80"/>
          <w:sz w:val="22"/>
          <w:szCs w:val="22"/>
          <w:lang w:val="en-GB"/>
        </w:rPr>
        <w:t xml:space="preserve"> </w:t>
      </w:r>
      <w:r w:rsidR="00454E16">
        <w:rPr>
          <w:rFonts w:ascii="Arial" w:hAnsi="Arial" w:cs="Arial"/>
          <w:color w:val="808080" w:themeColor="background1" w:themeShade="80"/>
          <w:sz w:val="22"/>
          <w:szCs w:val="22"/>
          <w:lang w:val="en-GB"/>
        </w:rPr>
        <w:t>The Court can remove all power, but is more likely to leave the board in control, subject to oversight from the PLs/Court.</w:t>
      </w:r>
    </w:p>
    <w:p w14:paraId="7ADDA549" w14:textId="77777777" w:rsidR="00952187" w:rsidRPr="00952187" w:rsidRDefault="00952187" w:rsidP="00924973">
      <w:pPr>
        <w:ind w:left="426"/>
        <w:jc w:val="both"/>
        <w:rPr>
          <w:rFonts w:ascii="Arial" w:hAnsi="Arial" w:cs="Arial"/>
          <w:sz w:val="22"/>
          <w:szCs w:val="22"/>
          <w:lang w:val="en-GB"/>
        </w:rPr>
      </w:pPr>
    </w:p>
    <w:p w14:paraId="5144D848" w14:textId="0BAAF4EA"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r w:rsidR="00C04475">
        <w:rPr>
          <w:rFonts w:ascii="Arial" w:hAnsi="Arial" w:cs="Arial"/>
          <w:sz w:val="22"/>
          <w:szCs w:val="22"/>
          <w:lang w:val="en-GB"/>
        </w:rPr>
        <w:t xml:space="preserve"> </w:t>
      </w:r>
    </w:p>
    <w:p w14:paraId="38826064" w14:textId="30304A5E" w:rsidR="00C04475" w:rsidRDefault="00C04475" w:rsidP="00C04475">
      <w:pPr>
        <w:ind w:left="66"/>
        <w:jc w:val="both"/>
        <w:rPr>
          <w:rFonts w:ascii="Arial" w:hAnsi="Arial" w:cs="Arial"/>
          <w:sz w:val="22"/>
          <w:szCs w:val="22"/>
          <w:lang w:val="en-GB"/>
        </w:rPr>
      </w:pPr>
    </w:p>
    <w:bookmarkEnd w:id="1"/>
    <w:p w14:paraId="51911D9F" w14:textId="15B07E60" w:rsidR="00952187" w:rsidRPr="00C04475" w:rsidRDefault="00C04475" w:rsidP="00952187">
      <w:pPr>
        <w:jc w:val="both"/>
        <w:rPr>
          <w:rFonts w:ascii="Arial" w:hAnsi="Arial" w:cs="Arial"/>
          <w:color w:val="808080" w:themeColor="background1" w:themeShade="80"/>
          <w:sz w:val="22"/>
          <w:szCs w:val="22"/>
          <w:lang w:val="en-GB"/>
        </w:rPr>
      </w:pPr>
      <w:r w:rsidRPr="00C04475">
        <w:rPr>
          <w:rFonts w:ascii="Arial" w:hAnsi="Arial" w:cs="Arial"/>
          <w:color w:val="808080" w:themeColor="background1" w:themeShade="80"/>
          <w:sz w:val="22"/>
          <w:szCs w:val="22"/>
          <w:lang w:val="en-GB"/>
        </w:rPr>
        <w:t xml:space="preserve">The relevant legislation (section 86 of the Companies Act) does not provide a test the court must apply when considering whether or not to sanction a scheme of arrangement. </w:t>
      </w:r>
    </w:p>
    <w:p w14:paraId="2EECF8C0" w14:textId="05DF58DA" w:rsidR="00C04475" w:rsidRDefault="00C04475" w:rsidP="00952187">
      <w:pPr>
        <w:jc w:val="both"/>
        <w:rPr>
          <w:rFonts w:ascii="Arial" w:hAnsi="Arial" w:cs="Arial"/>
          <w:sz w:val="22"/>
          <w:szCs w:val="22"/>
          <w:lang w:val="en-GB"/>
        </w:rPr>
      </w:pPr>
    </w:p>
    <w:p w14:paraId="646055C5" w14:textId="501213FE" w:rsidR="00C04475" w:rsidRPr="00AB0E3A" w:rsidRDefault="00454E16" w:rsidP="00952187">
      <w:pPr>
        <w:jc w:val="both"/>
        <w:rPr>
          <w:rFonts w:ascii="Arial" w:hAnsi="Arial" w:cs="Arial"/>
          <w:color w:val="808080" w:themeColor="background1" w:themeShade="80"/>
          <w:sz w:val="22"/>
          <w:szCs w:val="22"/>
          <w:lang w:val="en-GB"/>
        </w:rPr>
      </w:pPr>
      <w:r w:rsidRPr="00454E16">
        <w:rPr>
          <w:rFonts w:ascii="Arial" w:hAnsi="Arial" w:cs="Arial"/>
          <w:color w:val="808080" w:themeColor="background1" w:themeShade="80"/>
          <w:sz w:val="22"/>
          <w:szCs w:val="22"/>
          <w:lang w:val="en-GB"/>
        </w:rPr>
        <w:t>The court usually considers that the stakeholders are the best judge of their own commercial interests, so will typically sanction a scheme that has the requisite support, unless the court considers that the terms of the scheme are not fair such that an intelligent and honest creditor, being a member of the class concerned and acting in its own interests, would not reasonably vote in favour of the scheme.</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715A" w14:textId="77777777" w:rsidR="00BE05D9" w:rsidRDefault="00BE05D9" w:rsidP="00241B44">
      <w:r>
        <w:separator/>
      </w:r>
    </w:p>
  </w:endnote>
  <w:endnote w:type="continuationSeparator" w:id="0">
    <w:p w14:paraId="55FD95EE" w14:textId="77777777" w:rsidR="00BE05D9" w:rsidRDefault="00BE05D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AB5F55" w:rsidRPr="00FC7B47" w:rsidRDefault="00AB5F5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AB5F55" w:rsidRPr="00FC7B47" w:rsidRDefault="00AB5F5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39809697" w:rsidR="00AB5F55" w:rsidRPr="009B4976" w:rsidRDefault="00AB5F55"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D77CD">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4652DD67" w14:textId="21EE758F" w:rsidR="00AB5F55" w:rsidRPr="009B4976" w:rsidRDefault="00AB5F55"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Pr="009B4976">
      <w:rPr>
        <w:rFonts w:ascii="Arial" w:hAnsi="Arial" w:cs="Arial"/>
        <w:sz w:val="18"/>
        <w:szCs w:val="18"/>
        <w:lang w:val="en-GB"/>
      </w:rPr>
      <w:t>student</w:t>
    </w:r>
    <w:r>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E0EDF" w14:textId="77777777" w:rsidR="00BE05D9" w:rsidRDefault="00BE05D9" w:rsidP="00241B44">
      <w:r>
        <w:separator/>
      </w:r>
    </w:p>
  </w:footnote>
  <w:footnote w:type="continuationSeparator" w:id="0">
    <w:p w14:paraId="19F663F0" w14:textId="77777777" w:rsidR="00BE05D9" w:rsidRDefault="00BE05D9"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8"/>
  </w:num>
  <w:num w:numId="4">
    <w:abstractNumId w:val="37"/>
  </w:num>
  <w:num w:numId="5">
    <w:abstractNumId w:val="19"/>
  </w:num>
  <w:num w:numId="6">
    <w:abstractNumId w:val="31"/>
  </w:num>
  <w:num w:numId="7">
    <w:abstractNumId w:val="38"/>
  </w:num>
  <w:num w:numId="8">
    <w:abstractNumId w:val="34"/>
  </w:num>
  <w:num w:numId="9">
    <w:abstractNumId w:val="16"/>
  </w:num>
  <w:num w:numId="10">
    <w:abstractNumId w:val="10"/>
  </w:num>
  <w:num w:numId="11">
    <w:abstractNumId w:val="12"/>
  </w:num>
  <w:num w:numId="12">
    <w:abstractNumId w:val="17"/>
  </w:num>
  <w:num w:numId="13">
    <w:abstractNumId w:val="25"/>
  </w:num>
  <w:num w:numId="14">
    <w:abstractNumId w:val="3"/>
  </w:num>
  <w:num w:numId="15">
    <w:abstractNumId w:val="13"/>
  </w:num>
  <w:num w:numId="16">
    <w:abstractNumId w:val="36"/>
  </w:num>
  <w:num w:numId="17">
    <w:abstractNumId w:val="6"/>
  </w:num>
  <w:num w:numId="18">
    <w:abstractNumId w:val="8"/>
  </w:num>
  <w:num w:numId="19">
    <w:abstractNumId w:val="28"/>
  </w:num>
  <w:num w:numId="20">
    <w:abstractNumId w:val="26"/>
  </w:num>
  <w:num w:numId="21">
    <w:abstractNumId w:val="2"/>
  </w:num>
  <w:num w:numId="22">
    <w:abstractNumId w:val="11"/>
  </w:num>
  <w:num w:numId="23">
    <w:abstractNumId w:val="40"/>
  </w:num>
  <w:num w:numId="24">
    <w:abstractNumId w:val="0"/>
  </w:num>
  <w:num w:numId="25">
    <w:abstractNumId w:val="32"/>
  </w:num>
  <w:num w:numId="26">
    <w:abstractNumId w:val="9"/>
  </w:num>
  <w:num w:numId="27">
    <w:abstractNumId w:val="14"/>
  </w:num>
  <w:num w:numId="28">
    <w:abstractNumId w:val="4"/>
  </w:num>
  <w:num w:numId="29">
    <w:abstractNumId w:val="7"/>
  </w:num>
  <w:num w:numId="30">
    <w:abstractNumId w:val="20"/>
  </w:num>
  <w:num w:numId="31">
    <w:abstractNumId w:val="27"/>
  </w:num>
  <w:num w:numId="32">
    <w:abstractNumId w:val="23"/>
  </w:num>
  <w:num w:numId="33">
    <w:abstractNumId w:val="29"/>
  </w:num>
  <w:num w:numId="34">
    <w:abstractNumId w:val="21"/>
  </w:num>
  <w:num w:numId="35">
    <w:abstractNumId w:val="15"/>
  </w:num>
  <w:num w:numId="36">
    <w:abstractNumId w:val="1"/>
  </w:num>
  <w:num w:numId="37">
    <w:abstractNumId w:val="30"/>
  </w:num>
  <w:num w:numId="38">
    <w:abstractNumId w:val="24"/>
  </w:num>
  <w:num w:numId="39">
    <w:abstractNumId w:val="35"/>
  </w:num>
  <w:num w:numId="40">
    <w:abstractNumId w:val="33"/>
  </w:num>
  <w:num w:numId="4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42B4"/>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177D"/>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D77CD"/>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4E16"/>
    <w:rsid w:val="0045683E"/>
    <w:rsid w:val="00460F33"/>
    <w:rsid w:val="00477C72"/>
    <w:rsid w:val="0048787C"/>
    <w:rsid w:val="00487C67"/>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3FDA"/>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3D86"/>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4DC5"/>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5F5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05D9"/>
    <w:rsid w:val="00BE4FF3"/>
    <w:rsid w:val="00BF50F7"/>
    <w:rsid w:val="00C02F29"/>
    <w:rsid w:val="00C04475"/>
    <w:rsid w:val="00C17718"/>
    <w:rsid w:val="00C20AFE"/>
    <w:rsid w:val="00C22A25"/>
    <w:rsid w:val="00C2668E"/>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67BEE"/>
    <w:rsid w:val="00F71433"/>
    <w:rsid w:val="00F730FA"/>
    <w:rsid w:val="00F97C5B"/>
    <w:rsid w:val="00FA18CF"/>
    <w:rsid w:val="00FA3D50"/>
    <w:rsid w:val="00FA46DB"/>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AB20-52EF-49B7-81A2-DA8A6EEB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Logan | Campbells</cp:lastModifiedBy>
  <cp:revision>2</cp:revision>
  <cp:lastPrinted>2019-08-27T05:42:00Z</cp:lastPrinted>
  <dcterms:created xsi:type="dcterms:W3CDTF">2022-05-09T15:25:00Z</dcterms:created>
  <dcterms:modified xsi:type="dcterms:W3CDTF">2022-05-09T15:25:00Z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