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2A434" w14:textId="5DC2C679" w:rsidR="004B23A2" w:rsidRPr="007A3213" w:rsidRDefault="0043494E" w:rsidP="00524728">
      <w:pPr>
        <w:jc w:val="center"/>
        <w:rPr>
          <w:rFonts w:ascii="Arial" w:hAnsi="Arial" w:cs="Arial"/>
          <w:b/>
          <w:sz w:val="22"/>
          <w:szCs w:val="22"/>
          <w:lang w:val="en-GB"/>
        </w:rPr>
      </w:pPr>
      <w:bookmarkStart w:id="0" w:name="_Hlk40027963"/>
      <w:r>
        <w:rPr>
          <w:rFonts w:ascii="Avenir Next" w:hAnsi="Avenir Next"/>
          <w:noProof/>
          <w:color w:val="11273D"/>
          <w:sz w:val="18"/>
          <w:szCs w:val="18"/>
          <w:lang w:val="de-DE" w:eastAsia="de-DE"/>
        </w:rPr>
        <w:drawing>
          <wp:inline distT="0" distB="0" distL="0" distR="0" wp14:anchorId="14450320" wp14:editId="6326CC8F">
            <wp:extent cx="1781092" cy="232804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1464" cy="2341599"/>
                    </a:xfrm>
                    <a:prstGeom prst="rect">
                      <a:avLst/>
                    </a:prstGeom>
                  </pic:spPr>
                </pic:pic>
              </a:graphicData>
            </a:graphic>
          </wp:inline>
        </w:drawing>
      </w:r>
    </w:p>
    <w:bookmarkEnd w:id="0"/>
    <w:p w14:paraId="3F125F78" w14:textId="77777777" w:rsidR="004B23A2" w:rsidRPr="007A3213" w:rsidRDefault="004B23A2" w:rsidP="00592F82">
      <w:pPr>
        <w:jc w:val="center"/>
        <w:rPr>
          <w:rFonts w:ascii="Arial" w:hAnsi="Arial" w:cs="Arial"/>
          <w:b/>
          <w:sz w:val="22"/>
          <w:szCs w:val="22"/>
          <w:lang w:val="en-GB"/>
        </w:rPr>
      </w:pPr>
    </w:p>
    <w:p w14:paraId="3EE54CBF" w14:textId="77777777" w:rsidR="00397D3A" w:rsidRPr="007A3213" w:rsidRDefault="00397D3A" w:rsidP="00592F82">
      <w:pPr>
        <w:jc w:val="center"/>
        <w:rPr>
          <w:rFonts w:ascii="Arial" w:hAnsi="Arial" w:cs="Arial"/>
          <w:b/>
          <w:sz w:val="22"/>
          <w:szCs w:val="22"/>
          <w:lang w:val="en-GB"/>
        </w:rPr>
      </w:pPr>
    </w:p>
    <w:p w14:paraId="7DBE002B" w14:textId="77777777" w:rsidR="00437297" w:rsidRPr="007A3213" w:rsidRDefault="00437297" w:rsidP="00592F82">
      <w:pPr>
        <w:jc w:val="center"/>
        <w:rPr>
          <w:rFonts w:ascii="Arial" w:hAnsi="Arial" w:cs="Arial"/>
          <w:b/>
          <w:sz w:val="22"/>
          <w:szCs w:val="22"/>
          <w:lang w:val="en-GB"/>
        </w:rPr>
      </w:pPr>
    </w:p>
    <w:p w14:paraId="52BACE36" w14:textId="77777777" w:rsidR="00397D3A" w:rsidRPr="007A3213" w:rsidRDefault="00397D3A" w:rsidP="00592F82">
      <w:pPr>
        <w:jc w:val="center"/>
        <w:rPr>
          <w:rFonts w:ascii="Arial" w:hAnsi="Arial" w:cs="Arial"/>
          <w:b/>
          <w:sz w:val="22"/>
          <w:szCs w:val="22"/>
          <w:lang w:val="en-GB"/>
        </w:rPr>
      </w:pPr>
    </w:p>
    <w:p w14:paraId="6385CCB3" w14:textId="77777777" w:rsidR="00397D3A" w:rsidRPr="007A3213" w:rsidRDefault="00397D3A" w:rsidP="00592F82">
      <w:pPr>
        <w:jc w:val="center"/>
        <w:rPr>
          <w:rFonts w:ascii="Arial" w:hAnsi="Arial" w:cs="Arial"/>
          <w:b/>
          <w:sz w:val="22"/>
          <w:szCs w:val="22"/>
          <w:lang w:val="en-GB"/>
        </w:rPr>
      </w:pPr>
    </w:p>
    <w:p w14:paraId="1F0ADC20" w14:textId="77777777" w:rsidR="00E93993" w:rsidRPr="007A3213" w:rsidRDefault="00E93993" w:rsidP="00592F82">
      <w:pPr>
        <w:jc w:val="center"/>
        <w:rPr>
          <w:rFonts w:ascii="Arial" w:hAnsi="Arial" w:cs="Arial"/>
          <w:b/>
          <w:sz w:val="22"/>
          <w:szCs w:val="22"/>
          <w:lang w:val="en-GB"/>
        </w:rPr>
      </w:pPr>
    </w:p>
    <w:p w14:paraId="7EAB7D14" w14:textId="77777777" w:rsidR="00434A8C" w:rsidRPr="00F1477D" w:rsidRDefault="00434A8C" w:rsidP="0043494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13EA7715" w14:textId="77777777" w:rsidR="0011473D" w:rsidRPr="00F1477D" w:rsidRDefault="00C56B61" w:rsidP="0043494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1477D">
        <w:rPr>
          <w:rFonts w:ascii="Arial" w:hAnsi="Arial" w:cs="Arial"/>
          <w:b/>
          <w:color w:val="000000" w:themeColor="text1"/>
          <w:sz w:val="28"/>
          <w:szCs w:val="28"/>
          <w:lang w:val="en-GB"/>
        </w:rPr>
        <w:t xml:space="preserve">SUMMATIVE (FORMAL) </w:t>
      </w:r>
      <w:r w:rsidR="009D0811" w:rsidRPr="00F1477D">
        <w:rPr>
          <w:rFonts w:ascii="Arial" w:hAnsi="Arial" w:cs="Arial"/>
          <w:b/>
          <w:color w:val="000000" w:themeColor="text1"/>
          <w:sz w:val="28"/>
          <w:szCs w:val="28"/>
          <w:lang w:val="en-GB"/>
        </w:rPr>
        <w:t xml:space="preserve">ASSESSMENT: MODULE </w:t>
      </w:r>
      <w:r w:rsidR="00E86A87" w:rsidRPr="00F1477D">
        <w:rPr>
          <w:rFonts w:ascii="Arial" w:hAnsi="Arial" w:cs="Arial"/>
          <w:b/>
          <w:color w:val="000000" w:themeColor="text1"/>
          <w:sz w:val="28"/>
          <w:szCs w:val="28"/>
          <w:lang w:val="en-GB"/>
        </w:rPr>
        <w:t>6B</w:t>
      </w:r>
    </w:p>
    <w:p w14:paraId="24E71C33" w14:textId="77777777" w:rsidR="002638B0" w:rsidRPr="00F1477D" w:rsidRDefault="002638B0" w:rsidP="0043494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51319383" w14:textId="77777777" w:rsidR="002638B0" w:rsidRPr="00F1477D" w:rsidRDefault="00E86A87" w:rsidP="0043494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1477D">
        <w:rPr>
          <w:rFonts w:ascii="Arial" w:hAnsi="Arial" w:cs="Arial"/>
          <w:b/>
          <w:color w:val="000000" w:themeColor="text1"/>
          <w:sz w:val="28"/>
          <w:szCs w:val="28"/>
          <w:lang w:val="en-GB"/>
        </w:rPr>
        <w:t>GERMANY</w:t>
      </w:r>
    </w:p>
    <w:p w14:paraId="75F4F143" w14:textId="77777777" w:rsidR="00434A8C" w:rsidRPr="00F1477D" w:rsidRDefault="00434A8C" w:rsidP="0043494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50D88E07" w14:textId="77777777" w:rsidR="009D0811" w:rsidRPr="007A3213" w:rsidRDefault="009D0811" w:rsidP="00592F82">
      <w:pPr>
        <w:jc w:val="center"/>
        <w:rPr>
          <w:rFonts w:ascii="Arial" w:hAnsi="Arial" w:cs="Arial"/>
          <w:b/>
          <w:sz w:val="22"/>
          <w:szCs w:val="22"/>
          <w:lang w:val="en-GB"/>
        </w:rPr>
      </w:pPr>
    </w:p>
    <w:p w14:paraId="1ECD7198" w14:textId="77777777" w:rsidR="00E93993" w:rsidRPr="007A3213" w:rsidRDefault="00E93993" w:rsidP="00592F82">
      <w:pPr>
        <w:jc w:val="center"/>
        <w:rPr>
          <w:rFonts w:ascii="Arial" w:hAnsi="Arial" w:cs="Arial"/>
          <w:b/>
          <w:sz w:val="22"/>
          <w:szCs w:val="22"/>
          <w:lang w:val="en-GB"/>
        </w:rPr>
      </w:pPr>
    </w:p>
    <w:p w14:paraId="4A8B9FE5" w14:textId="77777777" w:rsidR="00397D3A" w:rsidRPr="007A3213" w:rsidRDefault="00397D3A" w:rsidP="00592F82">
      <w:pPr>
        <w:jc w:val="center"/>
        <w:rPr>
          <w:rFonts w:ascii="Arial" w:hAnsi="Arial" w:cs="Arial"/>
          <w:b/>
          <w:sz w:val="22"/>
          <w:szCs w:val="22"/>
          <w:lang w:val="en-GB"/>
        </w:rPr>
      </w:pPr>
    </w:p>
    <w:p w14:paraId="6981FF90" w14:textId="77777777" w:rsidR="00397D3A" w:rsidRPr="007A3213" w:rsidRDefault="00397D3A" w:rsidP="00592F82">
      <w:pPr>
        <w:jc w:val="center"/>
        <w:rPr>
          <w:rFonts w:ascii="Arial" w:hAnsi="Arial" w:cs="Arial"/>
          <w:b/>
          <w:sz w:val="22"/>
          <w:szCs w:val="22"/>
          <w:lang w:val="en-GB"/>
        </w:rPr>
      </w:pPr>
    </w:p>
    <w:p w14:paraId="3B361C51" w14:textId="77777777" w:rsidR="00437297" w:rsidRPr="007A3213" w:rsidRDefault="00437297" w:rsidP="00592F82">
      <w:pPr>
        <w:jc w:val="center"/>
        <w:rPr>
          <w:rFonts w:ascii="Arial" w:hAnsi="Arial" w:cs="Arial"/>
          <w:b/>
          <w:sz w:val="22"/>
          <w:szCs w:val="22"/>
          <w:lang w:val="en-GB"/>
        </w:rPr>
      </w:pPr>
    </w:p>
    <w:p w14:paraId="25E92392" w14:textId="77777777" w:rsidR="00397D3A" w:rsidRPr="007A3213" w:rsidRDefault="00397D3A" w:rsidP="00592F82">
      <w:pPr>
        <w:jc w:val="center"/>
        <w:rPr>
          <w:rFonts w:ascii="Arial" w:hAnsi="Arial" w:cs="Arial"/>
          <w:b/>
          <w:sz w:val="22"/>
          <w:szCs w:val="22"/>
          <w:lang w:val="en-GB"/>
        </w:rPr>
      </w:pPr>
    </w:p>
    <w:p w14:paraId="7C067133" w14:textId="77777777" w:rsidR="00397D3A" w:rsidRPr="007A3213" w:rsidRDefault="00397D3A" w:rsidP="00592F82">
      <w:pPr>
        <w:jc w:val="center"/>
        <w:rPr>
          <w:rFonts w:ascii="Arial" w:hAnsi="Arial" w:cs="Arial"/>
          <w:b/>
          <w:sz w:val="22"/>
          <w:szCs w:val="22"/>
          <w:lang w:val="en-GB"/>
        </w:rPr>
      </w:pPr>
    </w:p>
    <w:p w14:paraId="1E31B794" w14:textId="77777777" w:rsidR="00DB56F2" w:rsidRPr="007A3213"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45C5A97" w14:textId="4B94EFF7" w:rsidR="004A2D83" w:rsidRPr="007A32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7A3213">
        <w:rPr>
          <w:rFonts w:ascii="Arial" w:hAnsi="Arial" w:cs="Arial"/>
          <w:bCs/>
          <w:color w:val="767171" w:themeColor="background2" w:themeShade="80"/>
          <w:sz w:val="22"/>
          <w:szCs w:val="22"/>
          <w:lang w:val="en-GB"/>
        </w:rPr>
        <w:t xml:space="preserve">This is the </w:t>
      </w:r>
      <w:r w:rsidRPr="007A3213">
        <w:rPr>
          <w:rFonts w:ascii="Arial" w:hAnsi="Arial" w:cs="Arial"/>
          <w:b/>
          <w:color w:val="767171" w:themeColor="background2" w:themeShade="80"/>
          <w:sz w:val="22"/>
          <w:szCs w:val="22"/>
          <w:lang w:val="en-GB"/>
        </w:rPr>
        <w:t>summative (formal) assessment</w:t>
      </w:r>
      <w:r w:rsidRPr="007A3213">
        <w:rPr>
          <w:rFonts w:ascii="Arial" w:hAnsi="Arial" w:cs="Arial"/>
          <w:bCs/>
          <w:color w:val="767171" w:themeColor="background2" w:themeShade="80"/>
          <w:sz w:val="22"/>
          <w:szCs w:val="22"/>
          <w:lang w:val="en-GB"/>
        </w:rPr>
        <w:t xml:space="preserve"> for </w:t>
      </w:r>
      <w:r w:rsidRPr="007A3213">
        <w:rPr>
          <w:rFonts w:ascii="Arial" w:hAnsi="Arial" w:cs="Arial"/>
          <w:b/>
          <w:color w:val="767171" w:themeColor="background2" w:themeShade="80"/>
          <w:sz w:val="22"/>
          <w:szCs w:val="22"/>
          <w:lang w:val="en-GB"/>
        </w:rPr>
        <w:t xml:space="preserve">Module </w:t>
      </w:r>
      <w:r w:rsidR="00E86A87" w:rsidRPr="007A3213">
        <w:rPr>
          <w:rFonts w:ascii="Arial" w:hAnsi="Arial" w:cs="Arial"/>
          <w:b/>
          <w:color w:val="767171" w:themeColor="background2" w:themeShade="80"/>
          <w:sz w:val="22"/>
          <w:szCs w:val="22"/>
          <w:lang w:val="en-GB"/>
        </w:rPr>
        <w:t>6</w:t>
      </w:r>
      <w:r w:rsidRPr="007A3213">
        <w:rPr>
          <w:rFonts w:ascii="Arial" w:hAnsi="Arial" w:cs="Arial"/>
          <w:b/>
          <w:color w:val="767171" w:themeColor="background2" w:themeShade="80"/>
          <w:sz w:val="22"/>
          <w:szCs w:val="22"/>
          <w:lang w:val="en-GB"/>
        </w:rPr>
        <w:t>B</w:t>
      </w:r>
      <w:r w:rsidR="00ED0482" w:rsidRPr="007A3213">
        <w:rPr>
          <w:rFonts w:ascii="Arial" w:hAnsi="Arial" w:cs="Arial"/>
          <w:b/>
          <w:color w:val="767171" w:themeColor="background2" w:themeShade="80"/>
          <w:sz w:val="22"/>
          <w:szCs w:val="22"/>
          <w:lang w:val="en-GB"/>
        </w:rPr>
        <w:t xml:space="preserve"> </w:t>
      </w:r>
      <w:r w:rsidRPr="007A3213">
        <w:rPr>
          <w:rFonts w:ascii="Arial" w:hAnsi="Arial" w:cs="Arial"/>
          <w:bCs/>
          <w:color w:val="767171" w:themeColor="background2" w:themeShade="80"/>
          <w:sz w:val="22"/>
          <w:szCs w:val="22"/>
          <w:lang w:val="en-GB"/>
        </w:rPr>
        <w:t>o</w:t>
      </w:r>
      <w:r w:rsidR="00ED0482" w:rsidRPr="007A3213">
        <w:rPr>
          <w:rFonts w:ascii="Arial" w:hAnsi="Arial" w:cs="Arial"/>
          <w:bCs/>
          <w:color w:val="767171" w:themeColor="background2" w:themeShade="80"/>
          <w:sz w:val="22"/>
          <w:szCs w:val="22"/>
          <w:lang w:val="en-GB"/>
        </w:rPr>
        <w:t>n</w:t>
      </w:r>
      <w:r w:rsidRPr="007A3213">
        <w:rPr>
          <w:rFonts w:ascii="Arial" w:hAnsi="Arial" w:cs="Arial"/>
          <w:bCs/>
          <w:color w:val="767171" w:themeColor="background2" w:themeShade="80"/>
          <w:sz w:val="22"/>
          <w:szCs w:val="22"/>
          <w:lang w:val="en-GB"/>
        </w:rPr>
        <w:t xml:space="preserve"> this course and </w:t>
      </w:r>
      <w:r w:rsidR="0071353C" w:rsidRPr="007A3213">
        <w:rPr>
          <w:rFonts w:ascii="Arial" w:hAnsi="Arial" w:cs="Arial"/>
          <w:bCs/>
          <w:color w:val="767171" w:themeColor="background2" w:themeShade="80"/>
          <w:sz w:val="22"/>
          <w:szCs w:val="22"/>
          <w:lang w:val="en-GB"/>
        </w:rPr>
        <w:t xml:space="preserve">must be submitted by </w:t>
      </w:r>
      <w:r w:rsidRPr="007A3213">
        <w:rPr>
          <w:rFonts w:ascii="Arial" w:hAnsi="Arial" w:cs="Arial"/>
          <w:bCs/>
          <w:color w:val="767171" w:themeColor="background2" w:themeShade="80"/>
          <w:sz w:val="22"/>
          <w:szCs w:val="22"/>
          <w:lang w:val="en-GB"/>
        </w:rPr>
        <w:t xml:space="preserve">all candidates who </w:t>
      </w:r>
      <w:r w:rsidRPr="007A3213">
        <w:rPr>
          <w:rFonts w:ascii="Arial" w:hAnsi="Arial" w:cs="Arial"/>
          <w:b/>
          <w:color w:val="767171" w:themeColor="background2" w:themeShade="80"/>
          <w:sz w:val="22"/>
          <w:szCs w:val="22"/>
          <w:lang w:val="en-GB"/>
        </w:rPr>
        <w:t xml:space="preserve">selected this module as one of their </w:t>
      </w:r>
      <w:r w:rsidR="0071353C" w:rsidRPr="007A3213">
        <w:rPr>
          <w:rFonts w:ascii="Arial" w:hAnsi="Arial" w:cs="Arial"/>
          <w:b/>
          <w:color w:val="767171" w:themeColor="background2" w:themeShade="80"/>
          <w:sz w:val="22"/>
          <w:szCs w:val="22"/>
          <w:lang w:val="en-GB"/>
        </w:rPr>
        <w:t>elective</w:t>
      </w:r>
      <w:r w:rsidRPr="007A3213">
        <w:rPr>
          <w:rFonts w:ascii="Arial" w:hAnsi="Arial" w:cs="Arial"/>
          <w:b/>
          <w:color w:val="767171" w:themeColor="background2" w:themeShade="80"/>
          <w:sz w:val="22"/>
          <w:szCs w:val="22"/>
          <w:lang w:val="en-GB"/>
        </w:rPr>
        <w:t xml:space="preserve"> modules</w:t>
      </w:r>
      <w:r w:rsidRPr="007A3213">
        <w:rPr>
          <w:rFonts w:ascii="Arial" w:hAnsi="Arial" w:cs="Arial"/>
          <w:bCs/>
          <w:color w:val="767171" w:themeColor="background2" w:themeShade="80"/>
          <w:sz w:val="22"/>
          <w:szCs w:val="22"/>
          <w:lang w:val="en-GB"/>
        </w:rPr>
        <w:t>.</w:t>
      </w:r>
    </w:p>
    <w:p w14:paraId="160C4B0B" w14:textId="2BC6A1E3" w:rsidR="004A2D83" w:rsidRPr="007A32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E3D3C0E" w14:textId="77777777" w:rsidR="00F4124D" w:rsidRPr="007A3213" w:rsidRDefault="00F4124D"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0A7A5F5" w14:textId="77777777" w:rsidR="004A2D83" w:rsidRPr="007A32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7A3213">
        <w:rPr>
          <w:rFonts w:ascii="Arial" w:hAnsi="Arial" w:cs="Arial"/>
          <w:b/>
          <w:color w:val="767171" w:themeColor="background2" w:themeShade="80"/>
          <w:sz w:val="22"/>
          <w:szCs w:val="22"/>
          <w:lang w:val="en-GB"/>
        </w:rPr>
        <w:t xml:space="preserve">The mark awarded for this assessment will determine your final mark for Module </w:t>
      </w:r>
      <w:r w:rsidR="00E86A87" w:rsidRPr="007A3213">
        <w:rPr>
          <w:rFonts w:ascii="Arial" w:hAnsi="Arial" w:cs="Arial"/>
          <w:b/>
          <w:color w:val="767171" w:themeColor="background2" w:themeShade="80"/>
          <w:sz w:val="22"/>
          <w:szCs w:val="22"/>
          <w:lang w:val="en-GB"/>
        </w:rPr>
        <w:t>6B</w:t>
      </w:r>
      <w:r w:rsidRPr="007A3213">
        <w:rPr>
          <w:rFonts w:ascii="Arial" w:hAnsi="Arial" w:cs="Arial"/>
          <w:bCs/>
          <w:color w:val="767171" w:themeColor="background2" w:themeShade="80"/>
          <w:sz w:val="22"/>
          <w:szCs w:val="22"/>
          <w:lang w:val="en-GB"/>
        </w:rPr>
        <w:t>. In order to pass this module, you need to obtain a mark of 50% or more for this assessment.</w:t>
      </w:r>
    </w:p>
    <w:p w14:paraId="6A969459" w14:textId="77777777" w:rsidR="00DB56F2" w:rsidRPr="007A3213"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2DC60D59" w14:textId="77777777" w:rsidR="00793173" w:rsidRPr="007A3213" w:rsidRDefault="00793173" w:rsidP="007C6201">
      <w:pPr>
        <w:jc w:val="both"/>
        <w:rPr>
          <w:rFonts w:ascii="Arial" w:hAnsi="Arial" w:cs="Arial"/>
          <w:b/>
          <w:sz w:val="22"/>
          <w:szCs w:val="22"/>
          <w:lang w:val="en-GB"/>
        </w:rPr>
      </w:pPr>
    </w:p>
    <w:p w14:paraId="21FAE234" w14:textId="77777777" w:rsidR="00DB56F2" w:rsidRPr="007A3213" w:rsidRDefault="00DB56F2" w:rsidP="007C6201">
      <w:pPr>
        <w:jc w:val="both"/>
        <w:rPr>
          <w:rFonts w:ascii="Arial" w:hAnsi="Arial" w:cs="Arial"/>
          <w:b/>
          <w:sz w:val="22"/>
          <w:szCs w:val="22"/>
          <w:lang w:val="en-GB"/>
        </w:rPr>
      </w:pPr>
    </w:p>
    <w:p w14:paraId="30C4BAAF" w14:textId="77777777" w:rsidR="00397D3A" w:rsidRPr="007A3213" w:rsidRDefault="00397D3A" w:rsidP="007C6201">
      <w:pPr>
        <w:jc w:val="both"/>
        <w:rPr>
          <w:rFonts w:ascii="Arial" w:hAnsi="Arial" w:cs="Arial"/>
          <w:b/>
          <w:sz w:val="22"/>
          <w:szCs w:val="22"/>
          <w:lang w:val="en-GB"/>
        </w:rPr>
      </w:pPr>
    </w:p>
    <w:p w14:paraId="063AA498" w14:textId="77777777" w:rsidR="00397D3A" w:rsidRPr="007A3213" w:rsidRDefault="00397D3A" w:rsidP="007C6201">
      <w:pPr>
        <w:jc w:val="both"/>
        <w:rPr>
          <w:rFonts w:ascii="Arial" w:hAnsi="Arial" w:cs="Arial"/>
          <w:b/>
          <w:sz w:val="22"/>
          <w:szCs w:val="22"/>
          <w:lang w:val="en-GB"/>
        </w:rPr>
      </w:pPr>
    </w:p>
    <w:p w14:paraId="12C9069B" w14:textId="77777777" w:rsidR="00397D3A" w:rsidRPr="007A3213" w:rsidRDefault="00397D3A" w:rsidP="007C6201">
      <w:pPr>
        <w:jc w:val="both"/>
        <w:rPr>
          <w:rFonts w:ascii="Arial" w:hAnsi="Arial" w:cs="Arial"/>
          <w:b/>
          <w:sz w:val="22"/>
          <w:szCs w:val="22"/>
          <w:lang w:val="en-GB"/>
        </w:rPr>
      </w:pPr>
    </w:p>
    <w:p w14:paraId="450F224E" w14:textId="77777777" w:rsidR="00397D3A" w:rsidRPr="007A3213" w:rsidRDefault="00397D3A" w:rsidP="007C6201">
      <w:pPr>
        <w:jc w:val="both"/>
        <w:rPr>
          <w:rFonts w:ascii="Arial" w:hAnsi="Arial" w:cs="Arial"/>
          <w:b/>
          <w:sz w:val="22"/>
          <w:szCs w:val="22"/>
          <w:lang w:val="en-GB"/>
        </w:rPr>
      </w:pPr>
    </w:p>
    <w:p w14:paraId="70A3D470" w14:textId="77777777" w:rsidR="00397D3A" w:rsidRPr="007A3213" w:rsidRDefault="00397D3A" w:rsidP="007C6201">
      <w:pPr>
        <w:jc w:val="both"/>
        <w:rPr>
          <w:rFonts w:ascii="Arial" w:hAnsi="Arial" w:cs="Arial"/>
          <w:b/>
          <w:sz w:val="22"/>
          <w:szCs w:val="22"/>
          <w:lang w:val="en-GB"/>
        </w:rPr>
      </w:pPr>
    </w:p>
    <w:p w14:paraId="5819BF2D" w14:textId="77777777" w:rsidR="00397D3A" w:rsidRPr="007A3213" w:rsidRDefault="00397D3A" w:rsidP="007C6201">
      <w:pPr>
        <w:jc w:val="both"/>
        <w:rPr>
          <w:rFonts w:ascii="Arial" w:hAnsi="Arial" w:cs="Arial"/>
          <w:b/>
          <w:sz w:val="22"/>
          <w:szCs w:val="22"/>
          <w:lang w:val="en-GB"/>
        </w:rPr>
      </w:pPr>
    </w:p>
    <w:p w14:paraId="6EC8102A" w14:textId="77777777" w:rsidR="00397D3A" w:rsidRPr="007A3213" w:rsidRDefault="00397D3A" w:rsidP="007C6201">
      <w:pPr>
        <w:jc w:val="both"/>
        <w:rPr>
          <w:rFonts w:ascii="Arial" w:hAnsi="Arial" w:cs="Arial"/>
          <w:b/>
          <w:sz w:val="22"/>
          <w:szCs w:val="22"/>
          <w:lang w:val="en-GB"/>
        </w:rPr>
      </w:pPr>
    </w:p>
    <w:p w14:paraId="0C210DE7" w14:textId="77777777" w:rsidR="00251005" w:rsidRPr="007A3213" w:rsidRDefault="00251005" w:rsidP="009D0811">
      <w:pPr>
        <w:jc w:val="center"/>
        <w:rPr>
          <w:rFonts w:ascii="Arial" w:hAnsi="Arial" w:cs="Arial"/>
          <w:b/>
          <w:sz w:val="22"/>
          <w:szCs w:val="22"/>
          <w:u w:val="single"/>
          <w:lang w:val="en-GB"/>
        </w:rPr>
      </w:pPr>
    </w:p>
    <w:p w14:paraId="6B1F0718" w14:textId="77777777" w:rsidR="00251005" w:rsidRPr="007A3213" w:rsidRDefault="00251005" w:rsidP="009D0811">
      <w:pPr>
        <w:jc w:val="center"/>
        <w:rPr>
          <w:rFonts w:ascii="Arial" w:hAnsi="Arial" w:cs="Arial"/>
          <w:b/>
          <w:sz w:val="22"/>
          <w:szCs w:val="22"/>
          <w:u w:val="single"/>
          <w:lang w:val="en-GB"/>
        </w:rPr>
      </w:pPr>
    </w:p>
    <w:p w14:paraId="4EAEA33E" w14:textId="1CB94DE1" w:rsidR="00851A1E" w:rsidRDefault="00851A1E" w:rsidP="00851A1E">
      <w:pPr>
        <w:jc w:val="center"/>
        <w:rPr>
          <w:rFonts w:ascii="Arial" w:hAnsi="Arial" w:cs="Arial"/>
          <w:b/>
          <w:sz w:val="22"/>
          <w:szCs w:val="22"/>
          <w:u w:val="single"/>
          <w:lang w:val="en-GB"/>
        </w:rPr>
      </w:pPr>
    </w:p>
    <w:p w14:paraId="2DB17D93" w14:textId="0A344B77" w:rsidR="00851A1E" w:rsidRDefault="00851A1E" w:rsidP="00851A1E">
      <w:pPr>
        <w:jc w:val="center"/>
        <w:rPr>
          <w:rFonts w:ascii="Arial" w:hAnsi="Arial" w:cs="Arial"/>
          <w:b/>
          <w:sz w:val="22"/>
          <w:szCs w:val="22"/>
          <w:u w:val="single"/>
          <w:lang w:val="en-GB"/>
        </w:rPr>
      </w:pPr>
    </w:p>
    <w:p w14:paraId="133FC53D" w14:textId="107E60B2" w:rsidR="00D4049B" w:rsidRDefault="00D4049B" w:rsidP="00851A1E">
      <w:pPr>
        <w:jc w:val="center"/>
        <w:rPr>
          <w:rFonts w:ascii="Arial" w:hAnsi="Arial" w:cs="Arial"/>
          <w:b/>
          <w:sz w:val="22"/>
          <w:szCs w:val="22"/>
          <w:u w:val="single"/>
          <w:lang w:val="en-GB"/>
        </w:rPr>
      </w:pPr>
    </w:p>
    <w:p w14:paraId="5B505498" w14:textId="77777777" w:rsidR="00D4049B" w:rsidRDefault="00D4049B" w:rsidP="00851A1E">
      <w:pPr>
        <w:jc w:val="center"/>
        <w:rPr>
          <w:rFonts w:ascii="Arial" w:hAnsi="Arial" w:cs="Arial"/>
          <w:b/>
          <w:sz w:val="22"/>
          <w:szCs w:val="22"/>
          <w:u w:val="single"/>
          <w:lang w:val="en-GB"/>
        </w:rPr>
      </w:pPr>
    </w:p>
    <w:p w14:paraId="1F65E108" w14:textId="0BED67BD" w:rsidR="0011473D" w:rsidRPr="007A3213" w:rsidRDefault="00E93993" w:rsidP="00851A1E">
      <w:pPr>
        <w:jc w:val="center"/>
        <w:rPr>
          <w:rFonts w:ascii="Arial" w:hAnsi="Arial" w:cs="Arial"/>
          <w:b/>
          <w:sz w:val="22"/>
          <w:szCs w:val="22"/>
          <w:u w:val="single"/>
          <w:lang w:val="en-GB"/>
        </w:rPr>
      </w:pPr>
      <w:r w:rsidRPr="007A3213">
        <w:rPr>
          <w:rFonts w:ascii="Arial" w:hAnsi="Arial" w:cs="Arial"/>
          <w:b/>
          <w:sz w:val="22"/>
          <w:szCs w:val="22"/>
          <w:u w:val="single"/>
          <w:lang w:val="en-GB"/>
        </w:rPr>
        <w:t>I</w:t>
      </w:r>
      <w:r w:rsidR="0011473D" w:rsidRPr="007A3213">
        <w:rPr>
          <w:rFonts w:ascii="Arial" w:hAnsi="Arial" w:cs="Arial"/>
          <w:b/>
          <w:sz w:val="22"/>
          <w:szCs w:val="22"/>
          <w:u w:val="single"/>
          <w:lang w:val="en-GB"/>
        </w:rPr>
        <w:t>NSTRUCTIONS FOR COMPLETION AND SUBMISSION OF ASSESSMENT</w:t>
      </w:r>
    </w:p>
    <w:p w14:paraId="2276C40E" w14:textId="77777777" w:rsidR="0011473D" w:rsidRPr="007A3213" w:rsidRDefault="0011473D" w:rsidP="00592F82">
      <w:pPr>
        <w:jc w:val="both"/>
        <w:rPr>
          <w:rFonts w:ascii="Arial" w:hAnsi="Arial" w:cs="Arial"/>
          <w:sz w:val="22"/>
          <w:szCs w:val="22"/>
          <w:lang w:val="en-GB"/>
        </w:rPr>
      </w:pPr>
    </w:p>
    <w:p w14:paraId="414BFFE3" w14:textId="77777777" w:rsidR="00397D3A" w:rsidRPr="007A3213" w:rsidRDefault="00397D3A" w:rsidP="00592F82">
      <w:pPr>
        <w:jc w:val="both"/>
        <w:rPr>
          <w:rFonts w:ascii="Arial" w:hAnsi="Arial" w:cs="Arial"/>
          <w:b/>
          <w:sz w:val="22"/>
          <w:szCs w:val="22"/>
          <w:lang w:val="en-GB"/>
        </w:rPr>
      </w:pPr>
    </w:p>
    <w:p w14:paraId="74E05A11" w14:textId="77777777" w:rsidR="00F1477D" w:rsidRPr="001E23FD" w:rsidRDefault="00F1477D" w:rsidP="00F1477D">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DEC2281" w14:textId="77777777" w:rsidR="00F1477D" w:rsidRPr="001E23FD" w:rsidRDefault="00F1477D" w:rsidP="00F1477D">
      <w:pPr>
        <w:jc w:val="both"/>
        <w:rPr>
          <w:rFonts w:ascii="Arial" w:hAnsi="Arial" w:cs="Arial"/>
          <w:b/>
          <w:sz w:val="22"/>
          <w:szCs w:val="22"/>
          <w:lang w:val="en-GB"/>
        </w:rPr>
      </w:pPr>
    </w:p>
    <w:p w14:paraId="46F49118" w14:textId="77777777" w:rsidR="00F1477D" w:rsidRPr="001E23FD" w:rsidRDefault="00F1477D" w:rsidP="00F1477D">
      <w:pPr>
        <w:jc w:val="both"/>
        <w:rPr>
          <w:rFonts w:ascii="Arial" w:hAnsi="Arial" w:cs="Arial"/>
          <w:sz w:val="22"/>
          <w:szCs w:val="22"/>
          <w:lang w:val="en-GB"/>
        </w:rPr>
      </w:pPr>
    </w:p>
    <w:p w14:paraId="2F6F2494"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5DB19F5" w14:textId="77777777" w:rsidR="00F1477D" w:rsidRPr="001E23FD" w:rsidRDefault="00F1477D" w:rsidP="00F1477D">
      <w:pPr>
        <w:ind w:left="720" w:hanging="720"/>
        <w:jc w:val="both"/>
        <w:rPr>
          <w:rFonts w:ascii="Arial" w:hAnsi="Arial" w:cs="Arial"/>
          <w:sz w:val="22"/>
          <w:szCs w:val="22"/>
          <w:lang w:val="en-GB"/>
        </w:rPr>
      </w:pPr>
    </w:p>
    <w:p w14:paraId="517F9DD3"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7D68EFB" w14:textId="77777777" w:rsidR="00F1477D" w:rsidRPr="001E23FD" w:rsidRDefault="00F1477D" w:rsidP="00F1477D">
      <w:pPr>
        <w:ind w:left="720" w:hanging="720"/>
        <w:jc w:val="both"/>
        <w:rPr>
          <w:rFonts w:ascii="Arial" w:hAnsi="Arial" w:cs="Arial"/>
          <w:sz w:val="22"/>
          <w:szCs w:val="22"/>
          <w:lang w:val="en-GB"/>
        </w:rPr>
      </w:pPr>
    </w:p>
    <w:p w14:paraId="6D37F92A"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75EB320" w14:textId="77777777" w:rsidR="00F1477D" w:rsidRPr="001E23FD" w:rsidRDefault="00F1477D" w:rsidP="00F1477D">
      <w:pPr>
        <w:ind w:left="720" w:hanging="720"/>
        <w:jc w:val="both"/>
        <w:rPr>
          <w:rFonts w:ascii="Arial" w:hAnsi="Arial" w:cs="Arial"/>
          <w:sz w:val="22"/>
          <w:szCs w:val="22"/>
          <w:lang w:val="en-GB"/>
        </w:rPr>
      </w:pPr>
    </w:p>
    <w:p w14:paraId="270A97A3" w14:textId="0DCBAC99"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187133">
        <w:rPr>
          <w:rFonts w:ascii="Arial" w:hAnsi="Arial" w:cs="Arial"/>
          <w:b/>
          <w:bCs/>
          <w:sz w:val="22"/>
          <w:szCs w:val="22"/>
          <w:lang w:val="en-GB" w:eastAsia="en-GB"/>
        </w:rPr>
        <w:t>ID</w:t>
      </w:r>
      <w:r w:rsidRPr="001E23FD">
        <w:rPr>
          <w:rFonts w:ascii="Arial" w:hAnsi="Arial" w:cs="Arial"/>
          <w:b/>
          <w:bCs/>
          <w:sz w:val="22"/>
          <w:szCs w:val="22"/>
          <w:lang w:val="en-GB" w:eastAsia="en-GB"/>
        </w:rPr>
        <w:t>.assessment</w:t>
      </w:r>
      <w:r w:rsidR="0043494E">
        <w:rPr>
          <w:rFonts w:ascii="Arial" w:hAnsi="Arial" w:cs="Arial"/>
          <w:b/>
          <w:bCs/>
          <w:sz w:val="22"/>
          <w:szCs w:val="22"/>
          <w:lang w:val="en-GB" w:eastAsia="en-GB"/>
        </w:rPr>
        <w:t>6B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43494E">
        <w:rPr>
          <w:rFonts w:ascii="Arial" w:hAnsi="Arial" w:cs="Arial"/>
          <w:sz w:val="22"/>
          <w:szCs w:val="22"/>
          <w:lang w:val="en-GB" w:eastAsia="en-GB"/>
        </w:rPr>
        <w:t>1</w:t>
      </w:r>
      <w:r w:rsidRPr="001E23FD">
        <w:rPr>
          <w:rFonts w:ascii="Arial" w:hAnsi="Arial" w:cs="Arial"/>
          <w:sz w:val="22"/>
          <w:szCs w:val="22"/>
          <w:lang w:val="en-GB" w:eastAsia="en-GB"/>
        </w:rPr>
        <w:t>2</w:t>
      </w:r>
      <w:r w:rsidR="00D4049B">
        <w:rPr>
          <w:rFonts w:ascii="Arial" w:hAnsi="Arial" w:cs="Arial"/>
          <w:sz w:val="22"/>
          <w:szCs w:val="22"/>
          <w:lang w:val="en-GB" w:eastAsia="en-GB"/>
        </w:rPr>
        <w:t>2</w:t>
      </w:r>
      <w:r w:rsidRPr="001E23FD">
        <w:rPr>
          <w:rFonts w:ascii="Arial" w:hAnsi="Arial" w:cs="Arial"/>
          <w:sz w:val="22"/>
          <w:szCs w:val="22"/>
          <w:lang w:val="en-GB" w:eastAsia="en-GB"/>
        </w:rPr>
        <w:t>-3</w:t>
      </w:r>
      <w:r w:rsidR="00187133">
        <w:rPr>
          <w:rFonts w:ascii="Arial" w:hAnsi="Arial" w:cs="Arial"/>
          <w:sz w:val="22"/>
          <w:szCs w:val="22"/>
          <w:lang w:val="en-GB" w:eastAsia="en-GB"/>
        </w:rPr>
        <w:t>36</w:t>
      </w:r>
      <w:r w:rsidRPr="001E23FD">
        <w:rPr>
          <w:rFonts w:ascii="Arial" w:hAnsi="Arial" w:cs="Arial"/>
          <w:sz w:val="22"/>
          <w:szCs w:val="22"/>
          <w:lang w:val="en-GB" w:eastAsia="en-GB"/>
        </w:rPr>
        <w:t>.assessment</w:t>
      </w:r>
      <w:r w:rsidR="00D4049B">
        <w:rPr>
          <w:rFonts w:ascii="Arial" w:hAnsi="Arial" w:cs="Arial"/>
          <w:sz w:val="22"/>
          <w:szCs w:val="22"/>
          <w:lang w:val="en-GB" w:eastAsia="en-GB"/>
        </w:rPr>
        <w:t>6B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w:t>
      </w:r>
      <w:r w:rsidR="00187133">
        <w:rPr>
          <w:rFonts w:ascii="Arial" w:hAnsi="Arial" w:cs="Arial"/>
          <w:bCs/>
          <w:sz w:val="22"/>
          <w:szCs w:val="22"/>
          <w:lang w:val="en-GB"/>
        </w:rPr>
        <w:t>ID</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5C6806DA" w14:textId="77777777" w:rsidR="00F1477D" w:rsidRPr="001E23FD" w:rsidRDefault="00F1477D" w:rsidP="00F1477D">
      <w:pPr>
        <w:ind w:left="720" w:hanging="720"/>
        <w:jc w:val="both"/>
        <w:rPr>
          <w:rFonts w:ascii="Arial" w:hAnsi="Arial" w:cs="Arial"/>
          <w:sz w:val="22"/>
          <w:szCs w:val="22"/>
          <w:lang w:val="en-GB"/>
        </w:rPr>
      </w:pPr>
    </w:p>
    <w:p w14:paraId="1DDBD3B5"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1555798F" w14:textId="77777777" w:rsidR="00F1477D" w:rsidRPr="001E23FD" w:rsidRDefault="00F1477D" w:rsidP="00F1477D">
      <w:pPr>
        <w:ind w:left="720" w:hanging="720"/>
        <w:jc w:val="both"/>
        <w:rPr>
          <w:rFonts w:ascii="Arial" w:hAnsi="Arial" w:cs="Arial"/>
          <w:sz w:val="22"/>
          <w:szCs w:val="22"/>
          <w:lang w:val="en-GB"/>
        </w:rPr>
      </w:pPr>
    </w:p>
    <w:p w14:paraId="0B251C46" w14:textId="4808871D" w:rsidR="00F1477D" w:rsidRPr="001E23FD" w:rsidRDefault="00F1477D" w:rsidP="00F1477D">
      <w:pPr>
        <w:ind w:left="720" w:hanging="720"/>
        <w:jc w:val="both"/>
        <w:rPr>
          <w:rFonts w:ascii="Arial" w:hAnsi="Arial" w:cs="Arial"/>
          <w:sz w:val="22"/>
          <w:szCs w:val="22"/>
          <w:lang w:val="en-GB"/>
        </w:rPr>
      </w:pPr>
      <w:r w:rsidRPr="00D4049B">
        <w:rPr>
          <w:rFonts w:ascii="Arial" w:hAnsi="Arial" w:cs="Arial"/>
          <w:bCs/>
          <w:sz w:val="22"/>
          <w:szCs w:val="22"/>
          <w:lang w:val="en-GB"/>
        </w:rPr>
        <w:t>6.</w:t>
      </w:r>
      <w:r w:rsidRPr="00D4049B">
        <w:rPr>
          <w:rFonts w:ascii="Arial" w:hAnsi="Arial" w:cs="Arial"/>
          <w:b/>
          <w:sz w:val="22"/>
          <w:szCs w:val="22"/>
          <w:lang w:val="en-GB"/>
        </w:rPr>
        <w:tab/>
      </w:r>
      <w:r w:rsidRPr="00D4049B">
        <w:rPr>
          <w:rFonts w:ascii="Arial" w:hAnsi="Arial" w:cs="Arial"/>
          <w:sz w:val="22"/>
          <w:szCs w:val="22"/>
          <w:lang w:val="en-GB"/>
        </w:rPr>
        <w:t xml:space="preserve">The final submission date for this assessment is </w:t>
      </w:r>
      <w:r w:rsidRPr="00D4049B">
        <w:rPr>
          <w:rFonts w:ascii="Arial" w:hAnsi="Arial" w:cs="Arial"/>
          <w:b/>
          <w:bCs/>
          <w:sz w:val="22"/>
          <w:szCs w:val="22"/>
          <w:lang w:val="en-GB"/>
        </w:rPr>
        <w:t>31 July 202</w:t>
      </w:r>
      <w:r w:rsidR="00D4049B">
        <w:rPr>
          <w:rFonts w:ascii="Arial" w:hAnsi="Arial" w:cs="Arial"/>
          <w:b/>
          <w:bCs/>
          <w:sz w:val="22"/>
          <w:szCs w:val="22"/>
          <w:lang w:val="en-GB"/>
        </w:rPr>
        <w:t>2</w:t>
      </w:r>
      <w:r w:rsidRPr="00D4049B">
        <w:rPr>
          <w:rFonts w:ascii="Arial" w:hAnsi="Arial" w:cs="Arial"/>
          <w:sz w:val="22"/>
          <w:szCs w:val="22"/>
          <w:lang w:val="en-GB"/>
        </w:rPr>
        <w:t xml:space="preserve">. The assessment submission portal will close at </w:t>
      </w:r>
      <w:r w:rsidRPr="00D4049B">
        <w:rPr>
          <w:rFonts w:ascii="Arial" w:hAnsi="Arial" w:cs="Arial"/>
          <w:b/>
          <w:sz w:val="22"/>
          <w:szCs w:val="22"/>
          <w:lang w:val="en-GB"/>
        </w:rPr>
        <w:t xml:space="preserve">23:00 (11 pm) </w:t>
      </w:r>
      <w:r w:rsidR="00D4049B">
        <w:rPr>
          <w:rFonts w:ascii="Arial" w:hAnsi="Arial" w:cs="Arial"/>
          <w:b/>
          <w:sz w:val="22"/>
          <w:szCs w:val="22"/>
          <w:lang w:val="en-GB"/>
        </w:rPr>
        <w:t>BST (GMT +1)</w:t>
      </w:r>
      <w:r w:rsidRPr="00D4049B">
        <w:rPr>
          <w:rFonts w:ascii="Arial" w:hAnsi="Arial" w:cs="Arial"/>
          <w:b/>
          <w:sz w:val="22"/>
          <w:szCs w:val="22"/>
          <w:lang w:val="en-GB"/>
        </w:rPr>
        <w:t xml:space="preserve"> on 31 July 202</w:t>
      </w:r>
      <w:r w:rsidR="00D4049B">
        <w:rPr>
          <w:rFonts w:ascii="Arial" w:hAnsi="Arial" w:cs="Arial"/>
          <w:b/>
          <w:sz w:val="22"/>
          <w:szCs w:val="22"/>
          <w:lang w:val="en-GB"/>
        </w:rPr>
        <w:t>2</w:t>
      </w:r>
      <w:r w:rsidRPr="00D4049B">
        <w:rPr>
          <w:rFonts w:ascii="Arial" w:hAnsi="Arial" w:cs="Arial"/>
          <w:sz w:val="22"/>
          <w:szCs w:val="22"/>
          <w:lang w:val="en-GB"/>
        </w:rPr>
        <w:t>. No submissions</w:t>
      </w:r>
      <w:r w:rsidRPr="001E23FD">
        <w:rPr>
          <w:rFonts w:ascii="Arial" w:hAnsi="Arial" w:cs="Arial"/>
          <w:sz w:val="22"/>
          <w:szCs w:val="22"/>
          <w:lang w:val="en-GB"/>
        </w:rPr>
        <w:t xml:space="preserve"> can be made after the portal has closed and no further uploading of documents will be allowed, no matter the circumstances.</w:t>
      </w:r>
    </w:p>
    <w:p w14:paraId="29BA5B2F" w14:textId="77777777" w:rsidR="00F1477D" w:rsidRPr="001E23FD" w:rsidRDefault="00F1477D" w:rsidP="00F1477D">
      <w:pPr>
        <w:ind w:left="720" w:hanging="720"/>
        <w:jc w:val="both"/>
        <w:rPr>
          <w:rFonts w:ascii="Arial" w:hAnsi="Arial" w:cs="Arial"/>
          <w:sz w:val="22"/>
          <w:szCs w:val="22"/>
          <w:lang w:val="en-GB"/>
        </w:rPr>
      </w:pPr>
    </w:p>
    <w:p w14:paraId="394B9432" w14:textId="57369CEE" w:rsidR="004A2D83" w:rsidRPr="007A3213" w:rsidRDefault="00F1477D" w:rsidP="00F1477D">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3A1418">
        <w:rPr>
          <w:rFonts w:ascii="Arial" w:hAnsi="Arial" w:cs="Arial"/>
          <w:b/>
          <w:bCs/>
          <w:sz w:val="22"/>
          <w:szCs w:val="22"/>
          <w:lang w:val="en-GB"/>
        </w:rPr>
        <w:t>6</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23810E38" w14:textId="77777777" w:rsidR="00F3323E" w:rsidRPr="007A3213" w:rsidRDefault="00F3323E" w:rsidP="00592F82">
      <w:pPr>
        <w:ind w:left="720" w:hanging="720"/>
        <w:jc w:val="both"/>
        <w:rPr>
          <w:rFonts w:ascii="Arial" w:hAnsi="Arial" w:cs="Arial"/>
          <w:sz w:val="22"/>
          <w:szCs w:val="22"/>
          <w:lang w:val="en-GB"/>
        </w:rPr>
      </w:pPr>
    </w:p>
    <w:p w14:paraId="290B3BD5" w14:textId="77777777" w:rsidR="00251005" w:rsidRPr="007A3213" w:rsidRDefault="00251005">
      <w:pPr>
        <w:rPr>
          <w:rFonts w:ascii="Arial" w:hAnsi="Arial" w:cs="Arial"/>
          <w:b/>
          <w:sz w:val="22"/>
          <w:szCs w:val="22"/>
          <w:u w:val="single"/>
          <w:lang w:val="en-GB"/>
        </w:rPr>
      </w:pPr>
      <w:r w:rsidRPr="007A3213">
        <w:rPr>
          <w:rFonts w:ascii="Arial" w:hAnsi="Arial" w:cs="Arial"/>
          <w:b/>
          <w:sz w:val="22"/>
          <w:szCs w:val="22"/>
          <w:u w:val="single"/>
          <w:lang w:val="en-GB"/>
        </w:rPr>
        <w:br w:type="page"/>
      </w:r>
    </w:p>
    <w:p w14:paraId="2F032AC7" w14:textId="77777777" w:rsidR="00F3323E" w:rsidRPr="007A3213" w:rsidRDefault="00F3323E" w:rsidP="00B9639B">
      <w:pPr>
        <w:jc w:val="both"/>
        <w:rPr>
          <w:rFonts w:ascii="Arial" w:hAnsi="Arial" w:cs="Arial"/>
          <w:sz w:val="22"/>
          <w:szCs w:val="22"/>
          <w:lang w:val="en-GB"/>
        </w:rPr>
      </w:pPr>
      <w:r w:rsidRPr="007A3213">
        <w:rPr>
          <w:rFonts w:ascii="Arial" w:hAnsi="Arial" w:cs="Arial"/>
          <w:b/>
          <w:sz w:val="22"/>
          <w:szCs w:val="22"/>
          <w:u w:val="single"/>
          <w:lang w:val="en-GB"/>
        </w:rPr>
        <w:lastRenderedPageBreak/>
        <w:t>ANSWER ALL THE QUESTIONS</w:t>
      </w:r>
    </w:p>
    <w:p w14:paraId="278CEA50" w14:textId="77777777" w:rsidR="00F3323E" w:rsidRPr="007A3213" w:rsidRDefault="00F3323E" w:rsidP="00B9639B">
      <w:pPr>
        <w:ind w:left="720" w:hanging="720"/>
        <w:jc w:val="both"/>
        <w:rPr>
          <w:rFonts w:ascii="Arial" w:hAnsi="Arial" w:cs="Arial"/>
          <w:sz w:val="22"/>
          <w:szCs w:val="22"/>
          <w:lang w:val="en-GB"/>
        </w:rPr>
      </w:pPr>
    </w:p>
    <w:p w14:paraId="6405C69E" w14:textId="77777777" w:rsidR="005D43E0" w:rsidRPr="007A3213" w:rsidRDefault="0029433F" w:rsidP="00B9639B">
      <w:pPr>
        <w:jc w:val="both"/>
        <w:rPr>
          <w:rFonts w:ascii="Arial" w:hAnsi="Arial" w:cs="Arial"/>
          <w:b/>
          <w:sz w:val="22"/>
          <w:szCs w:val="22"/>
          <w:lang w:val="en-GB"/>
        </w:rPr>
      </w:pPr>
      <w:r w:rsidRPr="007A3213">
        <w:rPr>
          <w:rFonts w:ascii="Arial" w:hAnsi="Arial" w:cs="Arial"/>
          <w:b/>
          <w:sz w:val="22"/>
          <w:szCs w:val="22"/>
          <w:lang w:val="en-GB"/>
        </w:rPr>
        <w:t>QUESTION 1</w:t>
      </w:r>
      <w:r w:rsidR="005D43E0" w:rsidRPr="007A3213">
        <w:rPr>
          <w:rFonts w:ascii="Arial" w:hAnsi="Arial" w:cs="Arial"/>
          <w:b/>
          <w:sz w:val="22"/>
          <w:szCs w:val="22"/>
          <w:lang w:val="en-GB"/>
        </w:rPr>
        <w:t xml:space="preserve"> (multiple-choice questions) [10 marks</w:t>
      </w:r>
      <w:r w:rsidR="00D17FDC" w:rsidRPr="007A3213">
        <w:rPr>
          <w:rFonts w:ascii="Arial" w:hAnsi="Arial" w:cs="Arial"/>
          <w:b/>
          <w:sz w:val="22"/>
          <w:szCs w:val="22"/>
          <w:lang w:val="en-GB"/>
        </w:rPr>
        <w:t xml:space="preserve"> in total</w:t>
      </w:r>
      <w:r w:rsidR="005D43E0" w:rsidRPr="007A3213">
        <w:rPr>
          <w:rFonts w:ascii="Arial" w:hAnsi="Arial" w:cs="Arial"/>
          <w:b/>
          <w:sz w:val="22"/>
          <w:szCs w:val="22"/>
          <w:lang w:val="en-GB"/>
        </w:rPr>
        <w:t>]</w:t>
      </w:r>
    </w:p>
    <w:p w14:paraId="4CA18725" w14:textId="77777777" w:rsidR="00F3323E" w:rsidRPr="007A3213" w:rsidRDefault="00F3323E" w:rsidP="00B9639B">
      <w:pPr>
        <w:ind w:left="720" w:hanging="720"/>
        <w:jc w:val="both"/>
        <w:rPr>
          <w:rFonts w:ascii="Arial" w:hAnsi="Arial" w:cs="Arial"/>
          <w:sz w:val="22"/>
          <w:szCs w:val="22"/>
          <w:lang w:val="en-GB"/>
        </w:rPr>
      </w:pPr>
    </w:p>
    <w:p w14:paraId="6BCA77EC" w14:textId="6C38B063" w:rsidR="005D43E0" w:rsidRDefault="005D43E0" w:rsidP="00B9639B">
      <w:pPr>
        <w:jc w:val="both"/>
        <w:rPr>
          <w:rFonts w:ascii="Arial" w:hAnsi="Arial" w:cs="Arial"/>
          <w:sz w:val="22"/>
          <w:szCs w:val="22"/>
          <w:lang w:val="en-GB"/>
        </w:rPr>
      </w:pPr>
      <w:r w:rsidRPr="007A3213">
        <w:rPr>
          <w:rFonts w:ascii="Arial" w:hAnsi="Arial" w:cs="Arial"/>
          <w:sz w:val="22"/>
          <w:szCs w:val="22"/>
          <w:lang w:val="en-GB"/>
        </w:rPr>
        <w:t>Questions 1.1. – 1.10</w:t>
      </w:r>
      <w:r w:rsidR="00341AA6" w:rsidRPr="007A3213">
        <w:rPr>
          <w:rFonts w:ascii="Arial" w:hAnsi="Arial" w:cs="Arial"/>
          <w:sz w:val="22"/>
          <w:szCs w:val="22"/>
          <w:lang w:val="en-GB"/>
        </w:rPr>
        <w:t>.</w:t>
      </w:r>
      <w:r w:rsidRPr="007A3213">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7A3213">
        <w:rPr>
          <w:rFonts w:ascii="Arial" w:hAnsi="Arial" w:cs="Arial"/>
          <w:sz w:val="22"/>
          <w:szCs w:val="22"/>
          <w:highlight w:val="yellow"/>
          <w:lang w:val="en-GB"/>
        </w:rPr>
        <w:t>mark your selection on the answer sheet</w:t>
      </w:r>
      <w:r w:rsidR="00397D3A" w:rsidRPr="007A3213">
        <w:rPr>
          <w:rFonts w:ascii="Arial" w:hAnsi="Arial" w:cs="Arial"/>
          <w:sz w:val="22"/>
          <w:szCs w:val="22"/>
          <w:highlight w:val="yellow"/>
          <w:lang w:val="en-GB"/>
        </w:rPr>
        <w:t xml:space="preserve"> by highlighting the </w:t>
      </w:r>
      <w:r w:rsidR="0036565C" w:rsidRPr="007A3213">
        <w:rPr>
          <w:rFonts w:ascii="Arial" w:hAnsi="Arial" w:cs="Arial"/>
          <w:sz w:val="22"/>
          <w:szCs w:val="22"/>
          <w:highlight w:val="yellow"/>
          <w:lang w:val="en-GB"/>
        </w:rPr>
        <w:t xml:space="preserve">relevant paragraph </w:t>
      </w:r>
      <w:r w:rsidR="0036565C" w:rsidRPr="007A3213">
        <w:rPr>
          <w:rFonts w:ascii="Arial" w:hAnsi="Arial" w:cs="Arial"/>
          <w:b/>
          <w:bCs/>
          <w:sz w:val="22"/>
          <w:szCs w:val="22"/>
          <w:highlight w:val="yellow"/>
          <w:lang w:val="en-GB"/>
        </w:rPr>
        <w:t>in yellow</w:t>
      </w:r>
      <w:r w:rsidRPr="007A3213">
        <w:rPr>
          <w:rFonts w:ascii="Arial" w:hAnsi="Arial" w:cs="Arial"/>
          <w:sz w:val="22"/>
          <w:szCs w:val="22"/>
          <w:lang w:val="en-GB"/>
        </w:rPr>
        <w:t>.</w:t>
      </w:r>
      <w:r w:rsidR="0036565C" w:rsidRPr="007A3213">
        <w:rPr>
          <w:rFonts w:ascii="Arial" w:hAnsi="Arial" w:cs="Arial"/>
          <w:sz w:val="22"/>
          <w:szCs w:val="22"/>
          <w:lang w:val="en-GB"/>
        </w:rPr>
        <w:t xml:space="preserve"> Select only </w:t>
      </w:r>
      <w:r w:rsidR="0036565C" w:rsidRPr="007A3213">
        <w:rPr>
          <w:rFonts w:ascii="Arial" w:hAnsi="Arial" w:cs="Arial"/>
          <w:b/>
          <w:bCs/>
          <w:sz w:val="22"/>
          <w:szCs w:val="22"/>
          <w:lang w:val="en-GB"/>
        </w:rPr>
        <w:t>ONE</w:t>
      </w:r>
      <w:r w:rsidR="0036565C" w:rsidRPr="007A3213">
        <w:rPr>
          <w:rFonts w:ascii="Arial" w:hAnsi="Arial" w:cs="Arial"/>
          <w:sz w:val="22"/>
          <w:szCs w:val="22"/>
          <w:lang w:val="en-GB"/>
        </w:rPr>
        <w:t xml:space="preserve"> answer</w:t>
      </w:r>
      <w:r w:rsidR="00A60074" w:rsidRPr="007A3213">
        <w:rPr>
          <w:rFonts w:ascii="Arial" w:hAnsi="Arial" w:cs="Arial"/>
          <w:sz w:val="22"/>
          <w:szCs w:val="22"/>
          <w:lang w:val="en-GB"/>
        </w:rPr>
        <w:t>. Candidates who select more than one answer will receive no mark for that specific question.</w:t>
      </w:r>
    </w:p>
    <w:p w14:paraId="55D3A4AC" w14:textId="77777777" w:rsidR="00EC62B8" w:rsidRPr="007A3213" w:rsidRDefault="00EC62B8" w:rsidP="00B9639B">
      <w:pPr>
        <w:jc w:val="both"/>
        <w:rPr>
          <w:rFonts w:ascii="Arial" w:hAnsi="Arial" w:cs="Arial"/>
          <w:sz w:val="22"/>
          <w:szCs w:val="22"/>
          <w:lang w:val="en-GB"/>
        </w:rPr>
      </w:pPr>
    </w:p>
    <w:p w14:paraId="51677EA3" w14:textId="77777777" w:rsidR="00AF228E" w:rsidRPr="007A3213" w:rsidRDefault="00AF228E" w:rsidP="00C55824">
      <w:pPr>
        <w:autoSpaceDE w:val="0"/>
        <w:autoSpaceDN w:val="0"/>
        <w:adjustRightInd w:val="0"/>
        <w:jc w:val="both"/>
        <w:rPr>
          <w:rFonts w:ascii="Arial" w:hAnsi="Arial" w:cs="Arial"/>
          <w:sz w:val="22"/>
          <w:szCs w:val="22"/>
          <w:lang w:val="en-GB"/>
        </w:rPr>
      </w:pPr>
    </w:p>
    <w:p w14:paraId="0A720E42" w14:textId="77777777" w:rsidR="00E9597C" w:rsidRPr="00193129" w:rsidRDefault="00E9597C" w:rsidP="00C55824">
      <w:pPr>
        <w:jc w:val="both"/>
        <w:rPr>
          <w:rFonts w:ascii="Arial" w:hAnsi="Arial" w:cs="Arial"/>
          <w:sz w:val="22"/>
          <w:szCs w:val="22"/>
          <w:lang w:val="en-GB"/>
        </w:rPr>
      </w:pPr>
      <w:r w:rsidRPr="00193129">
        <w:rPr>
          <w:rFonts w:ascii="Arial" w:hAnsi="Arial" w:cs="Arial"/>
          <w:b/>
          <w:bCs/>
          <w:sz w:val="22"/>
          <w:szCs w:val="22"/>
          <w:lang w:val="en-GB"/>
        </w:rPr>
        <w:t>Question 1.1</w:t>
      </w:r>
      <w:r w:rsidRPr="00193129">
        <w:rPr>
          <w:rFonts w:ascii="Arial" w:hAnsi="Arial" w:cs="Arial"/>
          <w:sz w:val="22"/>
          <w:szCs w:val="22"/>
          <w:lang w:val="en-GB"/>
        </w:rPr>
        <w:t xml:space="preserve"> </w:t>
      </w:r>
    </w:p>
    <w:p w14:paraId="5499A1B0" w14:textId="77777777" w:rsidR="00E9597C" w:rsidRPr="00193129" w:rsidRDefault="00E9597C" w:rsidP="00C55824">
      <w:pPr>
        <w:jc w:val="both"/>
        <w:rPr>
          <w:rFonts w:ascii="Arial" w:hAnsi="Arial" w:cs="Arial"/>
          <w:sz w:val="22"/>
          <w:szCs w:val="22"/>
          <w:lang w:val="en-GB"/>
        </w:rPr>
      </w:pPr>
    </w:p>
    <w:p w14:paraId="24DCC11E" w14:textId="2AC251B1" w:rsidR="00E86A87" w:rsidRPr="00193129" w:rsidRDefault="00193129" w:rsidP="00C55824">
      <w:pPr>
        <w:jc w:val="both"/>
        <w:rPr>
          <w:rFonts w:ascii="Arial" w:hAnsi="Arial" w:cs="Arial"/>
          <w:sz w:val="22"/>
          <w:szCs w:val="22"/>
          <w:lang w:val="en-GB"/>
        </w:rPr>
      </w:pPr>
      <w:r>
        <w:rPr>
          <w:rFonts w:ascii="Arial" w:hAnsi="Arial" w:cs="Arial"/>
          <w:sz w:val="22"/>
          <w:szCs w:val="22"/>
          <w:lang w:val="en-GB"/>
        </w:rPr>
        <w:t>Who decides which person should be appointed as Insolvency Practitioner in ordinary liquidation proceedings</w:t>
      </w:r>
      <w:r w:rsidR="00780E21" w:rsidRPr="00193129">
        <w:rPr>
          <w:rFonts w:ascii="Arial" w:hAnsi="Arial" w:cs="Arial"/>
          <w:sz w:val="22"/>
          <w:szCs w:val="22"/>
          <w:lang w:val="en-GB"/>
        </w:rPr>
        <w:t>?</w:t>
      </w:r>
    </w:p>
    <w:p w14:paraId="43E9701E" w14:textId="77777777" w:rsidR="00E86A87" w:rsidRPr="00193129" w:rsidRDefault="00E86A87" w:rsidP="00C55824">
      <w:pPr>
        <w:jc w:val="both"/>
        <w:rPr>
          <w:rFonts w:ascii="Arial" w:hAnsi="Arial" w:cs="Arial"/>
          <w:sz w:val="22"/>
          <w:szCs w:val="22"/>
          <w:lang w:val="en-GB"/>
        </w:rPr>
      </w:pPr>
    </w:p>
    <w:p w14:paraId="6D7F0F07" w14:textId="1E108D0F" w:rsidR="00E86A87" w:rsidRPr="00193129" w:rsidRDefault="00193129" w:rsidP="00545969">
      <w:pPr>
        <w:pStyle w:val="ListParagraph"/>
        <w:numPr>
          <w:ilvl w:val="0"/>
          <w:numId w:val="11"/>
        </w:numPr>
        <w:ind w:left="426"/>
        <w:rPr>
          <w:rFonts w:ascii="Arial" w:hAnsi="Arial" w:cs="Arial"/>
          <w:sz w:val="22"/>
          <w:szCs w:val="22"/>
          <w:lang w:val="en-GB"/>
        </w:rPr>
      </w:pPr>
      <w:r>
        <w:rPr>
          <w:rFonts w:ascii="Arial" w:hAnsi="Arial" w:cs="Arial"/>
          <w:sz w:val="22"/>
          <w:szCs w:val="22"/>
          <w:lang w:val="en-GB"/>
        </w:rPr>
        <w:t>Th</w:t>
      </w:r>
      <w:r w:rsidR="00780E21" w:rsidRPr="00193129">
        <w:rPr>
          <w:rFonts w:ascii="Arial" w:hAnsi="Arial" w:cs="Arial"/>
          <w:sz w:val="22"/>
          <w:szCs w:val="22"/>
          <w:lang w:val="en-GB"/>
        </w:rPr>
        <w:t>e debtor</w:t>
      </w:r>
      <w:r w:rsidR="00B77BF0" w:rsidRPr="00193129">
        <w:rPr>
          <w:rFonts w:ascii="Arial" w:hAnsi="Arial" w:cs="Arial"/>
          <w:sz w:val="22"/>
          <w:szCs w:val="22"/>
          <w:lang w:val="en-GB"/>
        </w:rPr>
        <w:t>.</w:t>
      </w:r>
    </w:p>
    <w:p w14:paraId="59C13F7D" w14:textId="77777777" w:rsidR="00545969" w:rsidRPr="00193129" w:rsidRDefault="00545969" w:rsidP="00545969">
      <w:pPr>
        <w:ind w:left="426" w:hanging="284"/>
        <w:rPr>
          <w:rFonts w:ascii="Arial" w:hAnsi="Arial" w:cs="Arial"/>
          <w:sz w:val="22"/>
          <w:szCs w:val="22"/>
          <w:lang w:val="en-GB"/>
        </w:rPr>
      </w:pPr>
    </w:p>
    <w:p w14:paraId="3E708178" w14:textId="67254820" w:rsidR="00E86A87" w:rsidRPr="00193129" w:rsidRDefault="00193129" w:rsidP="00545969">
      <w:pPr>
        <w:pStyle w:val="ListParagraph"/>
        <w:numPr>
          <w:ilvl w:val="0"/>
          <w:numId w:val="11"/>
        </w:numPr>
        <w:ind w:left="426"/>
        <w:rPr>
          <w:rFonts w:ascii="Arial" w:hAnsi="Arial" w:cs="Arial"/>
          <w:sz w:val="22"/>
          <w:szCs w:val="22"/>
          <w:lang w:val="en-GB"/>
        </w:rPr>
      </w:pPr>
      <w:r>
        <w:rPr>
          <w:rFonts w:ascii="Arial" w:hAnsi="Arial" w:cs="Arial"/>
          <w:sz w:val="22"/>
          <w:szCs w:val="22"/>
          <w:lang w:val="en-GB"/>
        </w:rPr>
        <w:t>T</w:t>
      </w:r>
      <w:r w:rsidR="00780E21" w:rsidRPr="00193129">
        <w:rPr>
          <w:rFonts w:ascii="Arial" w:hAnsi="Arial" w:cs="Arial"/>
          <w:sz w:val="22"/>
          <w:szCs w:val="22"/>
          <w:lang w:val="en-GB"/>
        </w:rPr>
        <w:t>he creditors’ committee</w:t>
      </w:r>
      <w:r w:rsidR="00B77BF0" w:rsidRPr="00193129">
        <w:rPr>
          <w:rFonts w:ascii="Arial" w:hAnsi="Arial" w:cs="Arial"/>
          <w:sz w:val="22"/>
          <w:szCs w:val="22"/>
          <w:lang w:val="en-GB"/>
        </w:rPr>
        <w:t>.</w:t>
      </w:r>
    </w:p>
    <w:p w14:paraId="4EB3B557" w14:textId="77777777" w:rsidR="00545969" w:rsidRPr="00193129" w:rsidRDefault="00545969" w:rsidP="00545969">
      <w:pPr>
        <w:ind w:left="426" w:hanging="284"/>
        <w:rPr>
          <w:rFonts w:ascii="Arial" w:hAnsi="Arial" w:cs="Arial"/>
          <w:sz w:val="22"/>
          <w:szCs w:val="22"/>
          <w:lang w:val="en-GB"/>
        </w:rPr>
      </w:pPr>
    </w:p>
    <w:p w14:paraId="7D23B13B" w14:textId="413EBC1F" w:rsidR="00E86A87" w:rsidRPr="00193129" w:rsidRDefault="00193129" w:rsidP="00545969">
      <w:pPr>
        <w:pStyle w:val="ListParagraph"/>
        <w:numPr>
          <w:ilvl w:val="0"/>
          <w:numId w:val="11"/>
        </w:numPr>
        <w:ind w:left="426"/>
        <w:rPr>
          <w:rFonts w:ascii="Arial" w:hAnsi="Arial" w:cs="Arial"/>
          <w:sz w:val="22"/>
          <w:szCs w:val="22"/>
          <w:lang w:val="en-GB"/>
        </w:rPr>
      </w:pPr>
      <w:r>
        <w:rPr>
          <w:rFonts w:ascii="Arial" w:hAnsi="Arial" w:cs="Arial"/>
          <w:sz w:val="22"/>
          <w:szCs w:val="22"/>
          <w:lang w:val="en-GB"/>
        </w:rPr>
        <w:t>The court</w:t>
      </w:r>
      <w:r w:rsidR="00B77BF0" w:rsidRPr="00193129">
        <w:rPr>
          <w:rFonts w:ascii="Arial" w:hAnsi="Arial" w:cs="Arial"/>
          <w:sz w:val="22"/>
          <w:szCs w:val="22"/>
          <w:lang w:val="en-GB"/>
        </w:rPr>
        <w:t>.</w:t>
      </w:r>
    </w:p>
    <w:p w14:paraId="4CB8292F" w14:textId="77777777" w:rsidR="00545969" w:rsidRPr="00193129" w:rsidRDefault="00545969" w:rsidP="00545969">
      <w:pPr>
        <w:ind w:left="426" w:hanging="284"/>
        <w:rPr>
          <w:rFonts w:ascii="Arial" w:hAnsi="Arial" w:cs="Arial"/>
          <w:sz w:val="22"/>
          <w:szCs w:val="22"/>
          <w:lang w:val="en-GB"/>
        </w:rPr>
      </w:pPr>
    </w:p>
    <w:p w14:paraId="5D532010" w14:textId="5BEE493A" w:rsidR="00E86A87" w:rsidRPr="00435CCC" w:rsidRDefault="00193129" w:rsidP="00545969">
      <w:pPr>
        <w:pStyle w:val="ListParagraph"/>
        <w:numPr>
          <w:ilvl w:val="0"/>
          <w:numId w:val="11"/>
        </w:numPr>
        <w:ind w:left="426"/>
        <w:rPr>
          <w:rFonts w:ascii="Arial" w:hAnsi="Arial" w:cs="Arial"/>
          <w:sz w:val="22"/>
          <w:szCs w:val="22"/>
          <w:highlight w:val="yellow"/>
          <w:lang w:val="en-GB"/>
        </w:rPr>
      </w:pPr>
      <w:r w:rsidRPr="00435CCC">
        <w:rPr>
          <w:rFonts w:ascii="Arial" w:hAnsi="Arial" w:cs="Arial"/>
          <w:sz w:val="22"/>
          <w:szCs w:val="22"/>
          <w:highlight w:val="yellow"/>
          <w:lang w:val="en-GB"/>
        </w:rPr>
        <w:t>The court, but subject to a diverging decision of the first creditors’ meeting</w:t>
      </w:r>
      <w:r w:rsidR="00E86A87" w:rsidRPr="00435CCC">
        <w:rPr>
          <w:rFonts w:ascii="Arial" w:hAnsi="Arial" w:cs="Arial"/>
          <w:sz w:val="22"/>
          <w:szCs w:val="22"/>
          <w:highlight w:val="yellow"/>
          <w:lang w:val="en-GB"/>
        </w:rPr>
        <w:t>.</w:t>
      </w:r>
    </w:p>
    <w:p w14:paraId="5901FAED" w14:textId="47B63A2B" w:rsidR="005B79F4" w:rsidRPr="00193129" w:rsidRDefault="005B79F4" w:rsidP="00C55824">
      <w:pPr>
        <w:jc w:val="both"/>
        <w:rPr>
          <w:rFonts w:ascii="Arial" w:hAnsi="Arial" w:cs="Arial"/>
          <w:sz w:val="22"/>
          <w:szCs w:val="22"/>
          <w:lang w:val="en-GB"/>
        </w:rPr>
      </w:pPr>
    </w:p>
    <w:p w14:paraId="3C042C44" w14:textId="77777777" w:rsidR="00E9597C" w:rsidRPr="00193129" w:rsidRDefault="00E9597C" w:rsidP="00C55824">
      <w:pPr>
        <w:jc w:val="both"/>
        <w:rPr>
          <w:rFonts w:ascii="Arial" w:hAnsi="Arial" w:cs="Arial"/>
          <w:b/>
          <w:bCs/>
          <w:sz w:val="22"/>
          <w:szCs w:val="22"/>
          <w:lang w:val="en-GB"/>
        </w:rPr>
      </w:pPr>
      <w:r w:rsidRPr="00193129">
        <w:rPr>
          <w:rFonts w:ascii="Arial" w:hAnsi="Arial" w:cs="Arial"/>
          <w:b/>
          <w:bCs/>
          <w:sz w:val="22"/>
          <w:szCs w:val="22"/>
          <w:lang w:val="en-GB"/>
        </w:rPr>
        <w:t>Question 1.2</w:t>
      </w:r>
    </w:p>
    <w:p w14:paraId="07230233" w14:textId="77777777" w:rsidR="00E9597C" w:rsidRPr="00193129" w:rsidRDefault="00E9597C" w:rsidP="00C55824">
      <w:pPr>
        <w:jc w:val="both"/>
        <w:rPr>
          <w:rFonts w:ascii="Arial" w:hAnsi="Arial" w:cs="Arial"/>
          <w:sz w:val="22"/>
          <w:szCs w:val="22"/>
          <w:lang w:val="en-GB"/>
        </w:rPr>
      </w:pPr>
    </w:p>
    <w:p w14:paraId="65181BAB" w14:textId="089C6DBD" w:rsidR="00E86A87" w:rsidRPr="00193129" w:rsidRDefault="00E86A87" w:rsidP="00C55824">
      <w:pPr>
        <w:jc w:val="both"/>
        <w:rPr>
          <w:rFonts w:ascii="Arial" w:hAnsi="Arial" w:cs="Arial"/>
          <w:sz w:val="22"/>
          <w:szCs w:val="22"/>
          <w:lang w:val="en-GB"/>
        </w:rPr>
      </w:pPr>
      <w:r w:rsidRPr="00193129">
        <w:rPr>
          <w:rFonts w:ascii="Arial" w:hAnsi="Arial" w:cs="Arial"/>
          <w:sz w:val="22"/>
          <w:szCs w:val="22"/>
          <w:lang w:val="en-GB"/>
        </w:rPr>
        <w:t>Which</w:t>
      </w:r>
      <w:r w:rsidR="00193129">
        <w:rPr>
          <w:rFonts w:ascii="Arial" w:hAnsi="Arial" w:cs="Arial"/>
          <w:sz w:val="22"/>
          <w:szCs w:val="22"/>
          <w:lang w:val="en-GB"/>
        </w:rPr>
        <w:t xml:space="preserve"> of the following securities </w:t>
      </w:r>
      <w:r w:rsidR="0025078F" w:rsidRPr="00FD47A2">
        <w:rPr>
          <w:rFonts w:ascii="Arial" w:hAnsi="Arial" w:cs="Arial"/>
          <w:b/>
          <w:bCs/>
          <w:sz w:val="22"/>
          <w:szCs w:val="22"/>
          <w:u w:val="single"/>
          <w:lang w:val="en-GB"/>
        </w:rPr>
        <w:t>does not</w:t>
      </w:r>
      <w:r w:rsidR="0025078F">
        <w:rPr>
          <w:rFonts w:ascii="Arial" w:hAnsi="Arial" w:cs="Arial"/>
          <w:sz w:val="22"/>
          <w:szCs w:val="22"/>
          <w:lang w:val="en-GB"/>
        </w:rPr>
        <w:t xml:space="preserve"> have </w:t>
      </w:r>
      <w:r w:rsidR="00D40287">
        <w:rPr>
          <w:rFonts w:ascii="Arial" w:hAnsi="Arial" w:cs="Arial"/>
          <w:sz w:val="22"/>
          <w:szCs w:val="22"/>
          <w:lang w:val="en-GB"/>
        </w:rPr>
        <w:t xml:space="preserve">an </w:t>
      </w:r>
      <w:r w:rsidRPr="00193129">
        <w:rPr>
          <w:rFonts w:ascii="Arial" w:hAnsi="Arial" w:cs="Arial"/>
          <w:sz w:val="22"/>
          <w:szCs w:val="22"/>
          <w:lang w:val="en-GB"/>
        </w:rPr>
        <w:t>accessory nature?</w:t>
      </w:r>
    </w:p>
    <w:p w14:paraId="68EA515A" w14:textId="77777777" w:rsidR="00E86A87" w:rsidRPr="00193129" w:rsidRDefault="00E86A87" w:rsidP="00C55824">
      <w:pPr>
        <w:jc w:val="both"/>
        <w:rPr>
          <w:rFonts w:ascii="Arial" w:hAnsi="Arial" w:cs="Arial"/>
          <w:sz w:val="22"/>
          <w:szCs w:val="22"/>
          <w:lang w:val="en-GB"/>
        </w:rPr>
      </w:pPr>
    </w:p>
    <w:p w14:paraId="003FC88F" w14:textId="018636FC" w:rsidR="00E86A87" w:rsidRPr="00193129" w:rsidRDefault="00E86A87" w:rsidP="00545969">
      <w:pPr>
        <w:pStyle w:val="ListParagraph"/>
        <w:numPr>
          <w:ilvl w:val="0"/>
          <w:numId w:val="13"/>
        </w:numPr>
        <w:ind w:left="426"/>
        <w:rPr>
          <w:rFonts w:ascii="Arial" w:hAnsi="Arial" w:cs="Arial"/>
          <w:sz w:val="22"/>
          <w:szCs w:val="22"/>
          <w:lang w:val="en-GB"/>
        </w:rPr>
      </w:pPr>
      <w:r w:rsidRPr="00193129">
        <w:rPr>
          <w:rFonts w:ascii="Arial" w:hAnsi="Arial" w:cs="Arial"/>
          <w:sz w:val="22"/>
          <w:szCs w:val="22"/>
          <w:lang w:val="en-GB"/>
        </w:rPr>
        <w:t>Surety</w:t>
      </w:r>
      <w:r w:rsidR="00B77BF0" w:rsidRPr="00193129">
        <w:rPr>
          <w:rFonts w:ascii="Arial" w:hAnsi="Arial" w:cs="Arial"/>
          <w:sz w:val="22"/>
          <w:szCs w:val="22"/>
          <w:lang w:val="en-GB"/>
        </w:rPr>
        <w:t>ship</w:t>
      </w:r>
      <w:r w:rsidR="007D7536" w:rsidRPr="00193129">
        <w:rPr>
          <w:rFonts w:ascii="Arial" w:hAnsi="Arial" w:cs="Arial"/>
          <w:sz w:val="22"/>
          <w:szCs w:val="22"/>
          <w:lang w:val="en-GB"/>
        </w:rPr>
        <w:t>.</w:t>
      </w:r>
    </w:p>
    <w:p w14:paraId="2D615BBA" w14:textId="77777777" w:rsidR="00545969" w:rsidRPr="00193129" w:rsidRDefault="00545969" w:rsidP="00545969">
      <w:pPr>
        <w:ind w:left="426" w:hanging="284"/>
        <w:rPr>
          <w:rFonts w:ascii="Arial" w:hAnsi="Arial" w:cs="Arial"/>
          <w:sz w:val="22"/>
          <w:szCs w:val="22"/>
          <w:lang w:val="en-GB"/>
        </w:rPr>
      </w:pPr>
    </w:p>
    <w:p w14:paraId="07E5EF1F" w14:textId="757B460A" w:rsidR="00E86A87" w:rsidRPr="00304AFC" w:rsidRDefault="00193129" w:rsidP="00545969">
      <w:pPr>
        <w:pStyle w:val="ListParagraph"/>
        <w:numPr>
          <w:ilvl w:val="0"/>
          <w:numId w:val="13"/>
        </w:numPr>
        <w:ind w:left="426"/>
        <w:rPr>
          <w:rFonts w:ascii="Arial" w:hAnsi="Arial" w:cs="Arial"/>
          <w:sz w:val="22"/>
          <w:szCs w:val="22"/>
          <w:highlight w:val="yellow"/>
          <w:lang w:val="en-GB"/>
        </w:rPr>
      </w:pPr>
      <w:r w:rsidRPr="00304AFC">
        <w:rPr>
          <w:rFonts w:ascii="Arial" w:hAnsi="Arial" w:cs="Arial"/>
          <w:sz w:val="22"/>
          <w:szCs w:val="22"/>
          <w:highlight w:val="yellow"/>
          <w:lang w:val="en-GB"/>
        </w:rPr>
        <w:t>Mortgage (</w:t>
      </w:r>
      <w:proofErr w:type="spellStart"/>
      <w:r w:rsidR="00976666" w:rsidRPr="00304AFC">
        <w:rPr>
          <w:rFonts w:ascii="Arial" w:hAnsi="Arial" w:cs="Arial"/>
          <w:i/>
          <w:sz w:val="22"/>
          <w:szCs w:val="22"/>
          <w:highlight w:val="yellow"/>
          <w:lang w:val="en-GB"/>
        </w:rPr>
        <w:t>Grundschuld</w:t>
      </w:r>
      <w:proofErr w:type="spellEnd"/>
      <w:r w:rsidRPr="00304AFC">
        <w:rPr>
          <w:rFonts w:ascii="Arial" w:hAnsi="Arial" w:cs="Arial"/>
          <w:sz w:val="22"/>
          <w:szCs w:val="22"/>
          <w:highlight w:val="yellow"/>
          <w:lang w:val="en-GB"/>
        </w:rPr>
        <w:t>)</w:t>
      </w:r>
    </w:p>
    <w:p w14:paraId="68E96DBD" w14:textId="77777777" w:rsidR="00545969" w:rsidRPr="00193129" w:rsidRDefault="00545969" w:rsidP="00545969">
      <w:pPr>
        <w:ind w:left="426" w:hanging="284"/>
        <w:rPr>
          <w:rFonts w:ascii="Arial" w:hAnsi="Arial" w:cs="Arial"/>
          <w:sz w:val="22"/>
          <w:szCs w:val="22"/>
          <w:lang w:val="en-GB"/>
        </w:rPr>
      </w:pPr>
    </w:p>
    <w:p w14:paraId="1B132140" w14:textId="096A3F62" w:rsidR="00E86A87" w:rsidRPr="00976666" w:rsidRDefault="00E86A87" w:rsidP="00545969">
      <w:pPr>
        <w:pStyle w:val="ListParagraph"/>
        <w:numPr>
          <w:ilvl w:val="0"/>
          <w:numId w:val="13"/>
        </w:numPr>
        <w:ind w:left="426"/>
        <w:rPr>
          <w:rFonts w:ascii="Arial" w:hAnsi="Arial" w:cs="Arial"/>
          <w:sz w:val="22"/>
          <w:szCs w:val="22"/>
          <w:lang w:val="en-GB"/>
        </w:rPr>
      </w:pPr>
      <w:r w:rsidRPr="00976666">
        <w:rPr>
          <w:rFonts w:ascii="Arial" w:hAnsi="Arial" w:cs="Arial"/>
          <w:sz w:val="22"/>
          <w:szCs w:val="22"/>
          <w:lang w:val="en-GB"/>
        </w:rPr>
        <w:t>Mortgage (</w:t>
      </w:r>
      <w:proofErr w:type="spellStart"/>
      <w:r w:rsidR="00976666">
        <w:rPr>
          <w:rFonts w:ascii="Arial" w:hAnsi="Arial" w:cs="Arial"/>
          <w:i/>
          <w:sz w:val="22"/>
          <w:szCs w:val="22"/>
          <w:lang w:val="en-GB"/>
        </w:rPr>
        <w:t>Hypothek</w:t>
      </w:r>
      <w:proofErr w:type="spellEnd"/>
      <w:r w:rsidRPr="00976666">
        <w:rPr>
          <w:rFonts w:ascii="Arial" w:hAnsi="Arial" w:cs="Arial"/>
          <w:sz w:val="22"/>
          <w:szCs w:val="22"/>
          <w:lang w:val="en-GB"/>
        </w:rPr>
        <w:t>)</w:t>
      </w:r>
      <w:r w:rsidR="00B77BF0" w:rsidRPr="00976666">
        <w:rPr>
          <w:rFonts w:ascii="Arial" w:hAnsi="Arial" w:cs="Arial"/>
          <w:sz w:val="22"/>
          <w:szCs w:val="22"/>
          <w:lang w:val="en-GB"/>
        </w:rPr>
        <w:t>.</w:t>
      </w:r>
    </w:p>
    <w:p w14:paraId="22503824" w14:textId="77777777" w:rsidR="00545969" w:rsidRPr="00193129" w:rsidRDefault="00545969" w:rsidP="00545969">
      <w:pPr>
        <w:ind w:left="426" w:hanging="284"/>
        <w:rPr>
          <w:rFonts w:ascii="Arial" w:hAnsi="Arial" w:cs="Arial"/>
          <w:sz w:val="22"/>
          <w:szCs w:val="22"/>
          <w:lang w:val="en-GB"/>
        </w:rPr>
      </w:pPr>
    </w:p>
    <w:p w14:paraId="7F8513DC" w14:textId="2431A915" w:rsidR="00B77BF0" w:rsidRPr="00193129" w:rsidRDefault="00193129" w:rsidP="00545969">
      <w:pPr>
        <w:pStyle w:val="ListParagraph"/>
        <w:numPr>
          <w:ilvl w:val="0"/>
          <w:numId w:val="13"/>
        </w:numPr>
        <w:ind w:left="426"/>
        <w:rPr>
          <w:rFonts w:ascii="Arial" w:hAnsi="Arial" w:cs="Arial"/>
          <w:sz w:val="22"/>
          <w:szCs w:val="22"/>
          <w:lang w:val="en-GB"/>
        </w:rPr>
      </w:pPr>
      <w:r>
        <w:rPr>
          <w:rFonts w:ascii="Arial" w:hAnsi="Arial" w:cs="Arial"/>
          <w:sz w:val="22"/>
          <w:szCs w:val="22"/>
          <w:lang w:val="en-GB"/>
        </w:rPr>
        <w:t>Pledge</w:t>
      </w:r>
      <w:r w:rsidR="00B77BF0" w:rsidRPr="00193129">
        <w:rPr>
          <w:rFonts w:ascii="Arial" w:hAnsi="Arial" w:cs="Arial"/>
          <w:sz w:val="22"/>
          <w:szCs w:val="22"/>
          <w:lang w:val="en-GB"/>
        </w:rPr>
        <w:t>.</w:t>
      </w:r>
    </w:p>
    <w:p w14:paraId="0562A2CB" w14:textId="77777777" w:rsidR="00B77BF0" w:rsidRPr="00193129" w:rsidRDefault="00B77BF0" w:rsidP="00663E6F">
      <w:pPr>
        <w:ind w:left="284" w:hanging="284"/>
        <w:rPr>
          <w:rFonts w:ascii="Arial" w:hAnsi="Arial" w:cs="Arial"/>
          <w:sz w:val="22"/>
          <w:szCs w:val="22"/>
          <w:highlight w:val="cyan"/>
          <w:lang w:val="en-GB"/>
        </w:rPr>
      </w:pPr>
    </w:p>
    <w:p w14:paraId="43AD8493" w14:textId="77777777" w:rsidR="00E9597C" w:rsidRPr="00193129" w:rsidRDefault="00E9597C" w:rsidP="00C55824">
      <w:pPr>
        <w:jc w:val="both"/>
        <w:rPr>
          <w:rFonts w:ascii="Arial" w:hAnsi="Arial" w:cs="Arial"/>
          <w:b/>
          <w:bCs/>
          <w:sz w:val="22"/>
          <w:szCs w:val="22"/>
          <w:lang w:val="en-GB"/>
        </w:rPr>
      </w:pPr>
      <w:r w:rsidRPr="00193129">
        <w:rPr>
          <w:rFonts w:ascii="Arial" w:hAnsi="Arial" w:cs="Arial"/>
          <w:b/>
          <w:bCs/>
          <w:sz w:val="22"/>
          <w:szCs w:val="22"/>
          <w:lang w:val="en-GB"/>
        </w:rPr>
        <w:t>Question 1.3</w:t>
      </w:r>
    </w:p>
    <w:p w14:paraId="72C3E1E7" w14:textId="77777777" w:rsidR="00E9597C" w:rsidRPr="00193129" w:rsidRDefault="00E9597C" w:rsidP="00C55824">
      <w:pPr>
        <w:jc w:val="both"/>
        <w:rPr>
          <w:rFonts w:ascii="Arial" w:hAnsi="Arial" w:cs="Arial"/>
          <w:sz w:val="22"/>
          <w:szCs w:val="22"/>
          <w:lang w:val="en-GB"/>
        </w:rPr>
      </w:pPr>
    </w:p>
    <w:p w14:paraId="5FBE4756" w14:textId="26AE31F7" w:rsidR="00E86A87" w:rsidRPr="00193129" w:rsidRDefault="00193129" w:rsidP="00E86A87">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FD47A2">
        <w:rPr>
          <w:rFonts w:ascii="Arial" w:hAnsi="Arial" w:cs="Arial"/>
          <w:b/>
          <w:bCs/>
          <w:sz w:val="22"/>
          <w:szCs w:val="22"/>
          <w:u w:val="single"/>
          <w:lang w:val="en-GB"/>
        </w:rPr>
        <w:t>cann</w:t>
      </w:r>
      <w:r w:rsidRPr="00FD47A2">
        <w:rPr>
          <w:rFonts w:ascii="Arial" w:hAnsi="Arial" w:cs="Arial"/>
          <w:b/>
          <w:sz w:val="22"/>
          <w:szCs w:val="22"/>
          <w:u w:val="single"/>
          <w:lang w:val="en-GB"/>
        </w:rPr>
        <w:t>ot</w:t>
      </w:r>
      <w:r>
        <w:rPr>
          <w:rFonts w:ascii="Arial" w:hAnsi="Arial" w:cs="Arial"/>
          <w:sz w:val="22"/>
          <w:szCs w:val="22"/>
          <w:lang w:val="en-GB"/>
        </w:rPr>
        <w:t xml:space="preserve"> be decided by the first creditor’ meeting (</w:t>
      </w:r>
      <w:proofErr w:type="spellStart"/>
      <w:r>
        <w:rPr>
          <w:rFonts w:ascii="Arial" w:hAnsi="Arial" w:cs="Arial"/>
          <w:i/>
          <w:sz w:val="22"/>
          <w:szCs w:val="22"/>
          <w:lang w:val="en-GB"/>
        </w:rPr>
        <w:t>Berichtstermin</w:t>
      </w:r>
      <w:proofErr w:type="spellEnd"/>
      <w:r>
        <w:rPr>
          <w:rFonts w:ascii="Arial" w:hAnsi="Arial" w:cs="Arial"/>
          <w:sz w:val="22"/>
          <w:szCs w:val="22"/>
          <w:lang w:val="en-GB"/>
        </w:rPr>
        <w:t>)?</w:t>
      </w:r>
    </w:p>
    <w:p w14:paraId="21C3A827" w14:textId="77777777" w:rsidR="00E86A87" w:rsidRPr="00193129" w:rsidRDefault="00E86A87" w:rsidP="00C55824">
      <w:pPr>
        <w:jc w:val="both"/>
        <w:rPr>
          <w:rFonts w:ascii="Arial" w:hAnsi="Arial" w:cs="Arial"/>
          <w:sz w:val="22"/>
          <w:szCs w:val="22"/>
          <w:lang w:val="en-GB"/>
        </w:rPr>
      </w:pPr>
    </w:p>
    <w:p w14:paraId="6A16A7F2" w14:textId="0DD32826" w:rsidR="00E86A87" w:rsidRPr="00FC6944" w:rsidRDefault="006B42ED" w:rsidP="00545969">
      <w:pPr>
        <w:pStyle w:val="ListParagraph"/>
        <w:numPr>
          <w:ilvl w:val="0"/>
          <w:numId w:val="15"/>
        </w:numPr>
        <w:ind w:left="426"/>
        <w:rPr>
          <w:rFonts w:ascii="Arial" w:hAnsi="Arial" w:cs="Arial"/>
          <w:i/>
          <w:sz w:val="22"/>
          <w:szCs w:val="22"/>
          <w:highlight w:val="yellow"/>
          <w:lang w:val="en-GB"/>
        </w:rPr>
      </w:pPr>
      <w:r w:rsidRPr="00FC6944">
        <w:rPr>
          <w:rFonts w:ascii="Arial" w:hAnsi="Arial" w:cs="Arial"/>
          <w:sz w:val="22"/>
          <w:szCs w:val="22"/>
          <w:highlight w:val="yellow"/>
          <w:lang w:val="en-GB"/>
        </w:rPr>
        <w:t>Verification of creditors’ claims filed with the insolvency administrator.</w:t>
      </w:r>
    </w:p>
    <w:p w14:paraId="16224086" w14:textId="77777777" w:rsidR="00545969" w:rsidRPr="00193129" w:rsidRDefault="00545969" w:rsidP="00545969">
      <w:pPr>
        <w:ind w:left="426" w:hanging="284"/>
        <w:rPr>
          <w:rFonts w:ascii="Arial" w:hAnsi="Arial" w:cs="Arial"/>
          <w:sz w:val="22"/>
          <w:szCs w:val="22"/>
          <w:lang w:val="en-GB"/>
        </w:rPr>
      </w:pPr>
    </w:p>
    <w:p w14:paraId="0235EF92" w14:textId="4ACE829B" w:rsidR="00E86A87" w:rsidRPr="00193129" w:rsidRDefault="006B42ED" w:rsidP="00545969">
      <w:pPr>
        <w:pStyle w:val="ListParagraph"/>
        <w:numPr>
          <w:ilvl w:val="0"/>
          <w:numId w:val="15"/>
        </w:numPr>
        <w:ind w:left="426"/>
        <w:rPr>
          <w:rFonts w:ascii="Arial" w:hAnsi="Arial" w:cs="Arial"/>
          <w:sz w:val="22"/>
          <w:szCs w:val="22"/>
          <w:lang w:val="en-GB"/>
        </w:rPr>
      </w:pPr>
      <w:r>
        <w:rPr>
          <w:rFonts w:ascii="Arial" w:hAnsi="Arial" w:cs="Arial"/>
          <w:sz w:val="22"/>
          <w:szCs w:val="22"/>
          <w:lang w:val="en-GB"/>
        </w:rPr>
        <w:t>Shut down of the business</w:t>
      </w:r>
      <w:r w:rsidR="003D7817" w:rsidRPr="00193129">
        <w:rPr>
          <w:rFonts w:ascii="Arial" w:hAnsi="Arial" w:cs="Arial"/>
          <w:sz w:val="22"/>
          <w:szCs w:val="22"/>
          <w:lang w:val="en-GB"/>
        </w:rPr>
        <w:t>.</w:t>
      </w:r>
    </w:p>
    <w:p w14:paraId="3EAFEE1E" w14:textId="77777777" w:rsidR="00545969" w:rsidRPr="00193129" w:rsidRDefault="00545969" w:rsidP="00545969">
      <w:pPr>
        <w:ind w:left="426" w:hanging="284"/>
        <w:rPr>
          <w:rFonts w:ascii="Arial" w:hAnsi="Arial" w:cs="Arial"/>
          <w:sz w:val="22"/>
          <w:szCs w:val="22"/>
          <w:lang w:val="en-GB"/>
        </w:rPr>
      </w:pPr>
    </w:p>
    <w:p w14:paraId="6A3462CB" w14:textId="01D02020" w:rsidR="00E86A87" w:rsidRPr="00193129" w:rsidRDefault="006B42ED" w:rsidP="00545969">
      <w:pPr>
        <w:pStyle w:val="ListParagraph"/>
        <w:numPr>
          <w:ilvl w:val="0"/>
          <w:numId w:val="15"/>
        </w:numPr>
        <w:ind w:left="426"/>
        <w:rPr>
          <w:rFonts w:ascii="Arial" w:hAnsi="Arial" w:cs="Arial"/>
          <w:sz w:val="22"/>
          <w:szCs w:val="22"/>
          <w:lang w:val="en-GB"/>
        </w:rPr>
      </w:pPr>
      <w:r>
        <w:rPr>
          <w:rFonts w:ascii="Arial" w:hAnsi="Arial" w:cs="Arial"/>
          <w:sz w:val="22"/>
          <w:szCs w:val="22"/>
          <w:lang w:val="en-GB"/>
        </w:rPr>
        <w:t>Commissioning t</w:t>
      </w:r>
      <w:r w:rsidR="004A40BD" w:rsidRPr="00193129">
        <w:rPr>
          <w:rFonts w:ascii="Arial" w:hAnsi="Arial" w:cs="Arial"/>
          <w:sz w:val="22"/>
          <w:szCs w:val="22"/>
          <w:lang w:val="en-GB"/>
        </w:rPr>
        <w:t>h</w:t>
      </w:r>
      <w:r>
        <w:rPr>
          <w:rFonts w:ascii="Arial" w:hAnsi="Arial" w:cs="Arial"/>
          <w:sz w:val="22"/>
          <w:szCs w:val="22"/>
          <w:lang w:val="en-GB"/>
        </w:rPr>
        <w:t xml:space="preserve">e insolvency </w:t>
      </w:r>
      <w:r w:rsidR="0037467B">
        <w:rPr>
          <w:rFonts w:ascii="Arial" w:hAnsi="Arial" w:cs="Arial"/>
          <w:sz w:val="22"/>
          <w:szCs w:val="22"/>
          <w:lang w:val="en-GB"/>
        </w:rPr>
        <w:t>administrator</w:t>
      </w:r>
      <w:r>
        <w:rPr>
          <w:rFonts w:ascii="Arial" w:hAnsi="Arial" w:cs="Arial"/>
          <w:sz w:val="22"/>
          <w:szCs w:val="22"/>
          <w:lang w:val="en-GB"/>
        </w:rPr>
        <w:t xml:space="preserve"> to </w:t>
      </w:r>
      <w:r w:rsidR="0037467B">
        <w:rPr>
          <w:rFonts w:ascii="Arial" w:hAnsi="Arial" w:cs="Arial"/>
          <w:sz w:val="22"/>
          <w:szCs w:val="22"/>
          <w:lang w:val="en-GB"/>
        </w:rPr>
        <w:t>develop</w:t>
      </w:r>
      <w:r>
        <w:rPr>
          <w:rFonts w:ascii="Arial" w:hAnsi="Arial" w:cs="Arial"/>
          <w:sz w:val="22"/>
          <w:szCs w:val="22"/>
          <w:lang w:val="en-GB"/>
        </w:rPr>
        <w:t xml:space="preserve"> an insolvency plan</w:t>
      </w:r>
      <w:r w:rsidR="007D1E9F">
        <w:rPr>
          <w:rFonts w:ascii="Arial" w:hAnsi="Arial" w:cs="Arial"/>
          <w:sz w:val="22"/>
          <w:szCs w:val="22"/>
          <w:lang w:val="en-GB"/>
        </w:rPr>
        <w:t>.</w:t>
      </w:r>
    </w:p>
    <w:p w14:paraId="2E1F1433" w14:textId="77777777" w:rsidR="00545969" w:rsidRPr="00193129" w:rsidRDefault="00545969" w:rsidP="00545969">
      <w:pPr>
        <w:ind w:left="426" w:hanging="284"/>
        <w:rPr>
          <w:rFonts w:ascii="Arial" w:hAnsi="Arial" w:cs="Arial"/>
          <w:sz w:val="22"/>
          <w:szCs w:val="22"/>
          <w:lang w:val="en-GB"/>
        </w:rPr>
      </w:pPr>
    </w:p>
    <w:p w14:paraId="76BEECC6" w14:textId="5E98DF10" w:rsidR="00E86A87" w:rsidRPr="00193129" w:rsidRDefault="006B42ED" w:rsidP="00545969">
      <w:pPr>
        <w:pStyle w:val="ListParagraph"/>
        <w:numPr>
          <w:ilvl w:val="0"/>
          <w:numId w:val="15"/>
        </w:numPr>
        <w:ind w:left="426"/>
        <w:rPr>
          <w:rFonts w:ascii="Arial" w:hAnsi="Arial" w:cs="Arial"/>
          <w:sz w:val="22"/>
          <w:szCs w:val="22"/>
          <w:lang w:val="en-GB"/>
        </w:rPr>
      </w:pPr>
      <w:r w:rsidRPr="006B42ED">
        <w:rPr>
          <w:rFonts w:ascii="Arial" w:hAnsi="Arial" w:cs="Arial"/>
          <w:sz w:val="22"/>
          <w:szCs w:val="22"/>
          <w:lang w:val="en-GB"/>
        </w:rPr>
        <w:t>Election of the final creditors’ committee</w:t>
      </w:r>
      <w:r w:rsidR="003D7817" w:rsidRPr="00193129">
        <w:rPr>
          <w:rFonts w:ascii="Arial" w:hAnsi="Arial" w:cs="Arial"/>
          <w:sz w:val="22"/>
          <w:szCs w:val="22"/>
          <w:lang w:val="en-GB"/>
        </w:rPr>
        <w:t>.</w:t>
      </w:r>
    </w:p>
    <w:p w14:paraId="158E4F69" w14:textId="4B40B1B1" w:rsidR="00DB50FB" w:rsidRPr="00193129" w:rsidRDefault="00DB50FB" w:rsidP="00C55824">
      <w:pPr>
        <w:jc w:val="both"/>
        <w:rPr>
          <w:rFonts w:ascii="Arial" w:hAnsi="Arial" w:cs="Arial"/>
          <w:sz w:val="22"/>
          <w:szCs w:val="22"/>
          <w:highlight w:val="cyan"/>
          <w:lang w:val="en-GB"/>
        </w:rPr>
      </w:pPr>
    </w:p>
    <w:p w14:paraId="0BEDAA12" w14:textId="37A2350E" w:rsidR="00BF0162" w:rsidRPr="00193129" w:rsidRDefault="00BF0162" w:rsidP="00C55824">
      <w:pPr>
        <w:jc w:val="both"/>
        <w:rPr>
          <w:rFonts w:ascii="Arial" w:hAnsi="Arial" w:cs="Arial"/>
          <w:sz w:val="22"/>
          <w:szCs w:val="22"/>
          <w:highlight w:val="cyan"/>
          <w:lang w:val="en-GB"/>
        </w:rPr>
      </w:pPr>
    </w:p>
    <w:p w14:paraId="64DA1C9F" w14:textId="1E88E4FE" w:rsidR="00BF0162" w:rsidRPr="00193129" w:rsidRDefault="00BF0162" w:rsidP="00C55824">
      <w:pPr>
        <w:jc w:val="both"/>
        <w:rPr>
          <w:rFonts w:ascii="Arial" w:hAnsi="Arial" w:cs="Arial"/>
          <w:sz w:val="22"/>
          <w:szCs w:val="22"/>
          <w:highlight w:val="cyan"/>
          <w:lang w:val="en-GB"/>
        </w:rPr>
      </w:pPr>
    </w:p>
    <w:p w14:paraId="04C5A6F7" w14:textId="2DA2F82C" w:rsidR="00BF0162" w:rsidRPr="00193129" w:rsidRDefault="00BF0162" w:rsidP="00C55824">
      <w:pPr>
        <w:jc w:val="both"/>
        <w:rPr>
          <w:rFonts w:ascii="Arial" w:hAnsi="Arial" w:cs="Arial"/>
          <w:sz w:val="22"/>
          <w:szCs w:val="22"/>
          <w:highlight w:val="cyan"/>
          <w:lang w:val="en-GB"/>
        </w:rPr>
      </w:pPr>
    </w:p>
    <w:p w14:paraId="60176A6D" w14:textId="7D5ACB82" w:rsidR="00BF0162" w:rsidRPr="00193129" w:rsidRDefault="00BF0162" w:rsidP="00C55824">
      <w:pPr>
        <w:jc w:val="both"/>
        <w:rPr>
          <w:rFonts w:ascii="Arial" w:hAnsi="Arial" w:cs="Arial"/>
          <w:sz w:val="22"/>
          <w:szCs w:val="22"/>
          <w:highlight w:val="cyan"/>
          <w:lang w:val="en-GB"/>
        </w:rPr>
      </w:pPr>
    </w:p>
    <w:p w14:paraId="1F3E3A5B" w14:textId="31517FEA" w:rsidR="00BF0162" w:rsidRPr="00193129" w:rsidRDefault="00BF0162" w:rsidP="00C55824">
      <w:pPr>
        <w:jc w:val="both"/>
        <w:rPr>
          <w:rFonts w:ascii="Arial" w:hAnsi="Arial" w:cs="Arial"/>
          <w:sz w:val="22"/>
          <w:szCs w:val="22"/>
          <w:highlight w:val="cyan"/>
          <w:lang w:val="en-GB"/>
        </w:rPr>
      </w:pPr>
    </w:p>
    <w:p w14:paraId="0F891CC7" w14:textId="6DB071C9" w:rsidR="00E9597C" w:rsidRPr="006B42ED" w:rsidRDefault="00E9597C" w:rsidP="00C55824">
      <w:pPr>
        <w:jc w:val="both"/>
        <w:rPr>
          <w:rFonts w:ascii="Arial" w:hAnsi="Arial" w:cs="Arial"/>
          <w:sz w:val="22"/>
          <w:szCs w:val="22"/>
          <w:lang w:val="en-GB"/>
        </w:rPr>
      </w:pPr>
      <w:r w:rsidRPr="006B42ED">
        <w:rPr>
          <w:rFonts w:ascii="Arial" w:hAnsi="Arial" w:cs="Arial"/>
          <w:b/>
          <w:bCs/>
          <w:sz w:val="22"/>
          <w:szCs w:val="22"/>
          <w:lang w:val="en-GB"/>
        </w:rPr>
        <w:lastRenderedPageBreak/>
        <w:t>Question 1.4</w:t>
      </w:r>
      <w:r w:rsidRPr="006B42ED">
        <w:rPr>
          <w:rFonts w:ascii="Arial" w:hAnsi="Arial" w:cs="Arial"/>
          <w:sz w:val="22"/>
          <w:szCs w:val="22"/>
          <w:lang w:val="en-GB"/>
        </w:rPr>
        <w:t xml:space="preserve"> </w:t>
      </w:r>
    </w:p>
    <w:p w14:paraId="1A21C986" w14:textId="77777777" w:rsidR="00E9597C" w:rsidRPr="006B42ED" w:rsidRDefault="00E9597C" w:rsidP="00C55824">
      <w:pPr>
        <w:jc w:val="both"/>
        <w:rPr>
          <w:rFonts w:ascii="Arial" w:hAnsi="Arial" w:cs="Arial"/>
          <w:sz w:val="22"/>
          <w:szCs w:val="22"/>
          <w:lang w:val="en-GB"/>
        </w:rPr>
      </w:pPr>
    </w:p>
    <w:p w14:paraId="1D3CDB3F" w14:textId="7FAF07F1" w:rsidR="00E86A87" w:rsidRPr="006B42ED" w:rsidRDefault="006B42ED" w:rsidP="00D9383B">
      <w:pPr>
        <w:rPr>
          <w:rFonts w:ascii="Arial" w:hAnsi="Arial" w:cs="Arial"/>
          <w:sz w:val="22"/>
          <w:szCs w:val="22"/>
          <w:lang w:val="en-GB"/>
        </w:rPr>
      </w:pPr>
      <w:r>
        <w:rPr>
          <w:rFonts w:ascii="Arial" w:hAnsi="Arial" w:cs="Arial"/>
          <w:sz w:val="22"/>
          <w:szCs w:val="22"/>
          <w:lang w:val="en-GB"/>
        </w:rPr>
        <w:t xml:space="preserve">After the </w:t>
      </w:r>
      <w:r w:rsidR="0037467B">
        <w:rPr>
          <w:rFonts w:ascii="Arial" w:hAnsi="Arial" w:cs="Arial"/>
          <w:sz w:val="22"/>
          <w:szCs w:val="22"/>
          <w:lang w:val="en-GB"/>
        </w:rPr>
        <w:t>occurrence</w:t>
      </w:r>
      <w:r>
        <w:rPr>
          <w:rFonts w:ascii="Arial" w:hAnsi="Arial" w:cs="Arial"/>
          <w:sz w:val="22"/>
          <w:szCs w:val="22"/>
          <w:lang w:val="en-GB"/>
        </w:rPr>
        <w:t xml:space="preserve"> of balance-sheet insolvency (</w:t>
      </w:r>
      <w:proofErr w:type="spellStart"/>
      <w:r>
        <w:rPr>
          <w:rFonts w:ascii="Arial" w:hAnsi="Arial" w:cs="Arial"/>
          <w:sz w:val="22"/>
          <w:szCs w:val="22"/>
          <w:lang w:val="en-GB"/>
        </w:rPr>
        <w:t>overindebtedness</w:t>
      </w:r>
      <w:proofErr w:type="spellEnd"/>
      <w:r>
        <w:rPr>
          <w:rFonts w:ascii="Arial" w:hAnsi="Arial" w:cs="Arial"/>
          <w:sz w:val="22"/>
          <w:szCs w:val="22"/>
          <w:lang w:val="en-GB"/>
        </w:rPr>
        <w:t xml:space="preserve">), </w:t>
      </w:r>
      <w:r w:rsidRPr="00FD47A2">
        <w:rPr>
          <w:rFonts w:ascii="Arial" w:hAnsi="Arial" w:cs="Arial"/>
          <w:b/>
          <w:bCs/>
          <w:sz w:val="22"/>
          <w:szCs w:val="22"/>
          <w:u w:val="single"/>
          <w:lang w:val="en-GB"/>
        </w:rPr>
        <w:t xml:space="preserve">how long </w:t>
      </w:r>
      <w:r w:rsidR="00D9383B" w:rsidRPr="00FD47A2">
        <w:rPr>
          <w:rFonts w:ascii="Arial" w:hAnsi="Arial" w:cs="Arial"/>
          <w:b/>
          <w:bCs/>
          <w:sz w:val="22"/>
          <w:szCs w:val="22"/>
          <w:u w:val="single"/>
          <w:lang w:val="en-GB"/>
        </w:rPr>
        <w:t>is the time period</w:t>
      </w:r>
      <w:r w:rsidR="00D9383B">
        <w:rPr>
          <w:rFonts w:ascii="Arial" w:hAnsi="Arial" w:cs="Arial"/>
          <w:sz w:val="22"/>
          <w:szCs w:val="22"/>
          <w:lang w:val="en-GB"/>
        </w:rPr>
        <w:t xml:space="preserve"> before the directors or obliged </w:t>
      </w:r>
      <w:r w:rsidR="00B23E79" w:rsidRPr="006B42ED">
        <w:rPr>
          <w:rFonts w:ascii="Arial" w:hAnsi="Arial" w:cs="Arial"/>
          <w:sz w:val="22"/>
          <w:szCs w:val="22"/>
          <w:lang w:val="en-GB"/>
        </w:rPr>
        <w:t>to file for insolvency proceedings?</w:t>
      </w:r>
    </w:p>
    <w:p w14:paraId="42B3B0E4" w14:textId="77777777" w:rsidR="00E86A87" w:rsidRPr="006B42ED" w:rsidRDefault="00E86A87" w:rsidP="00C55824">
      <w:pPr>
        <w:jc w:val="both"/>
        <w:rPr>
          <w:rFonts w:ascii="Arial" w:hAnsi="Arial" w:cs="Arial"/>
          <w:sz w:val="22"/>
          <w:szCs w:val="22"/>
          <w:lang w:val="en-GB"/>
        </w:rPr>
      </w:pPr>
    </w:p>
    <w:p w14:paraId="0295ECBB" w14:textId="5AB913A8" w:rsidR="00E86A87" w:rsidRPr="006B42ED" w:rsidRDefault="00D9383B" w:rsidP="00BF0162">
      <w:pPr>
        <w:pStyle w:val="ListParagraph"/>
        <w:numPr>
          <w:ilvl w:val="0"/>
          <w:numId w:val="17"/>
        </w:numPr>
        <w:ind w:left="426"/>
        <w:rPr>
          <w:rFonts w:ascii="Arial" w:hAnsi="Arial" w:cs="Arial"/>
          <w:sz w:val="22"/>
          <w:szCs w:val="22"/>
          <w:lang w:val="en-GB"/>
        </w:rPr>
      </w:pPr>
      <w:r>
        <w:rPr>
          <w:rFonts w:ascii="Arial" w:hAnsi="Arial" w:cs="Arial"/>
          <w:sz w:val="22"/>
          <w:szCs w:val="22"/>
          <w:lang w:val="en-GB"/>
        </w:rPr>
        <w:t>Three weeks</w:t>
      </w:r>
      <w:r w:rsidR="007D7536" w:rsidRPr="006B42ED">
        <w:rPr>
          <w:rFonts w:ascii="Arial" w:hAnsi="Arial" w:cs="Arial"/>
          <w:sz w:val="22"/>
          <w:szCs w:val="22"/>
          <w:lang w:val="en-GB"/>
        </w:rPr>
        <w:t>.</w:t>
      </w:r>
    </w:p>
    <w:p w14:paraId="68519DF6" w14:textId="77777777" w:rsidR="00BF0162" w:rsidRPr="006B42ED" w:rsidRDefault="00BF0162" w:rsidP="00BF0162">
      <w:pPr>
        <w:ind w:left="426" w:hanging="284"/>
        <w:rPr>
          <w:rFonts w:ascii="Arial" w:hAnsi="Arial" w:cs="Arial"/>
          <w:sz w:val="22"/>
          <w:szCs w:val="22"/>
          <w:lang w:val="en-GB"/>
        </w:rPr>
      </w:pPr>
    </w:p>
    <w:p w14:paraId="4CA76380" w14:textId="108A8970" w:rsidR="00E86A87" w:rsidRPr="006B42ED" w:rsidRDefault="00D9383B" w:rsidP="00BF0162">
      <w:pPr>
        <w:pStyle w:val="ListParagraph"/>
        <w:numPr>
          <w:ilvl w:val="0"/>
          <w:numId w:val="17"/>
        </w:numPr>
        <w:ind w:left="426"/>
        <w:rPr>
          <w:rFonts w:ascii="Arial" w:hAnsi="Arial" w:cs="Arial"/>
          <w:sz w:val="22"/>
          <w:szCs w:val="22"/>
          <w:lang w:val="en-GB"/>
        </w:rPr>
      </w:pPr>
      <w:r>
        <w:rPr>
          <w:rFonts w:ascii="Arial" w:hAnsi="Arial" w:cs="Arial"/>
          <w:sz w:val="22"/>
          <w:szCs w:val="22"/>
          <w:lang w:val="en-GB"/>
        </w:rPr>
        <w:t>One month</w:t>
      </w:r>
      <w:r w:rsidR="00B23E79" w:rsidRPr="006B42ED">
        <w:rPr>
          <w:rFonts w:ascii="Arial" w:hAnsi="Arial" w:cs="Arial"/>
          <w:sz w:val="22"/>
          <w:szCs w:val="22"/>
          <w:lang w:val="en-GB"/>
        </w:rPr>
        <w:t>.</w:t>
      </w:r>
    </w:p>
    <w:p w14:paraId="2BA727C5" w14:textId="77777777" w:rsidR="00BF0162" w:rsidRPr="006B42ED" w:rsidRDefault="00BF0162" w:rsidP="00BF0162">
      <w:pPr>
        <w:ind w:left="426" w:hanging="284"/>
        <w:rPr>
          <w:rFonts w:ascii="Arial" w:hAnsi="Arial" w:cs="Arial"/>
          <w:sz w:val="22"/>
          <w:szCs w:val="22"/>
          <w:lang w:val="en-GB"/>
        </w:rPr>
      </w:pPr>
    </w:p>
    <w:p w14:paraId="4CA10DBA" w14:textId="4018A6E9" w:rsidR="00E86A87" w:rsidRPr="00110FBE" w:rsidRDefault="00D9383B" w:rsidP="00BF0162">
      <w:pPr>
        <w:pStyle w:val="ListParagraph"/>
        <w:numPr>
          <w:ilvl w:val="0"/>
          <w:numId w:val="17"/>
        </w:numPr>
        <w:ind w:left="426"/>
        <w:rPr>
          <w:rFonts w:ascii="Arial" w:hAnsi="Arial" w:cs="Arial"/>
          <w:sz w:val="22"/>
          <w:szCs w:val="22"/>
          <w:highlight w:val="yellow"/>
          <w:lang w:val="en-GB"/>
        </w:rPr>
      </w:pPr>
      <w:r w:rsidRPr="00110FBE">
        <w:rPr>
          <w:rFonts w:ascii="Arial" w:hAnsi="Arial" w:cs="Arial"/>
          <w:sz w:val="22"/>
          <w:szCs w:val="22"/>
          <w:highlight w:val="yellow"/>
          <w:lang w:val="en-GB"/>
        </w:rPr>
        <w:t>Six weeks</w:t>
      </w:r>
      <w:r w:rsidR="007D7536" w:rsidRPr="00110FBE">
        <w:rPr>
          <w:rFonts w:ascii="Arial" w:hAnsi="Arial" w:cs="Arial"/>
          <w:sz w:val="22"/>
          <w:szCs w:val="22"/>
          <w:highlight w:val="yellow"/>
          <w:lang w:val="en-GB"/>
        </w:rPr>
        <w:t>.</w:t>
      </w:r>
    </w:p>
    <w:p w14:paraId="075C2F38" w14:textId="77777777" w:rsidR="00BF0162" w:rsidRPr="006B42ED" w:rsidRDefault="00BF0162" w:rsidP="00BF0162">
      <w:pPr>
        <w:ind w:left="426" w:hanging="284"/>
        <w:rPr>
          <w:rFonts w:ascii="Arial" w:hAnsi="Arial" w:cs="Arial"/>
          <w:sz w:val="22"/>
          <w:szCs w:val="22"/>
          <w:lang w:val="en-GB"/>
        </w:rPr>
      </w:pPr>
    </w:p>
    <w:p w14:paraId="59987C73" w14:textId="0A11E604" w:rsidR="00E86A87" w:rsidRPr="006B42ED" w:rsidRDefault="00D9383B" w:rsidP="00BF0162">
      <w:pPr>
        <w:pStyle w:val="ListParagraph"/>
        <w:numPr>
          <w:ilvl w:val="0"/>
          <w:numId w:val="17"/>
        </w:numPr>
        <w:ind w:left="426"/>
        <w:rPr>
          <w:rFonts w:ascii="Arial" w:hAnsi="Arial" w:cs="Arial"/>
          <w:sz w:val="22"/>
          <w:szCs w:val="22"/>
          <w:lang w:val="en-GB"/>
        </w:rPr>
      </w:pPr>
      <w:r>
        <w:rPr>
          <w:rFonts w:ascii="Arial" w:hAnsi="Arial" w:cs="Arial"/>
          <w:sz w:val="22"/>
          <w:szCs w:val="22"/>
          <w:lang w:val="en-GB"/>
        </w:rPr>
        <w:t>Two months</w:t>
      </w:r>
      <w:r w:rsidR="007D7536" w:rsidRPr="006B42ED">
        <w:rPr>
          <w:rFonts w:ascii="Arial" w:hAnsi="Arial" w:cs="Arial"/>
          <w:sz w:val="22"/>
          <w:szCs w:val="22"/>
          <w:lang w:val="en-GB"/>
        </w:rPr>
        <w:t>.</w:t>
      </w:r>
    </w:p>
    <w:p w14:paraId="6DEE8E43" w14:textId="29234886" w:rsidR="0027702F" w:rsidRPr="00193129" w:rsidRDefault="0027702F" w:rsidP="00663E6F">
      <w:pPr>
        <w:ind w:left="284" w:hanging="284"/>
        <w:rPr>
          <w:rFonts w:ascii="Arial" w:hAnsi="Arial" w:cs="Arial"/>
          <w:color w:val="FF0000"/>
          <w:sz w:val="22"/>
          <w:szCs w:val="22"/>
          <w:highlight w:val="cyan"/>
          <w:lang w:val="en-GB"/>
        </w:rPr>
      </w:pPr>
    </w:p>
    <w:p w14:paraId="5D3053AA" w14:textId="77777777" w:rsidR="00E9597C" w:rsidRPr="006B42ED" w:rsidRDefault="00E9597C" w:rsidP="0020090A">
      <w:pPr>
        <w:keepNext/>
        <w:jc w:val="both"/>
        <w:rPr>
          <w:rFonts w:ascii="Arial" w:hAnsi="Arial" w:cs="Arial"/>
          <w:b/>
          <w:bCs/>
          <w:sz w:val="22"/>
          <w:szCs w:val="22"/>
          <w:lang w:val="en-GB"/>
        </w:rPr>
      </w:pPr>
      <w:r w:rsidRPr="006B42ED">
        <w:rPr>
          <w:rFonts w:ascii="Arial" w:hAnsi="Arial" w:cs="Arial"/>
          <w:b/>
          <w:bCs/>
          <w:sz w:val="22"/>
          <w:szCs w:val="22"/>
          <w:lang w:val="en-GB"/>
        </w:rPr>
        <w:t xml:space="preserve">Question 1.5 </w:t>
      </w:r>
    </w:p>
    <w:p w14:paraId="22067AD3" w14:textId="77777777" w:rsidR="00E9597C" w:rsidRPr="006B42ED" w:rsidRDefault="00E9597C" w:rsidP="0020090A">
      <w:pPr>
        <w:keepNext/>
        <w:jc w:val="both"/>
        <w:rPr>
          <w:rFonts w:ascii="Arial" w:hAnsi="Arial" w:cs="Arial"/>
          <w:b/>
          <w:bCs/>
          <w:sz w:val="22"/>
          <w:szCs w:val="22"/>
          <w:lang w:val="en-GB"/>
        </w:rPr>
      </w:pPr>
    </w:p>
    <w:p w14:paraId="6DA2B0DD" w14:textId="6922D79E" w:rsidR="00E86A87" w:rsidRPr="006B42ED" w:rsidRDefault="006B42ED" w:rsidP="003939F8">
      <w:pPr>
        <w:rPr>
          <w:rFonts w:ascii="Arial" w:hAnsi="Arial" w:cs="Arial"/>
          <w:sz w:val="22"/>
          <w:szCs w:val="22"/>
          <w:lang w:val="en-GB"/>
        </w:rPr>
      </w:pPr>
      <w:r>
        <w:rPr>
          <w:rFonts w:ascii="Arial" w:hAnsi="Arial" w:cs="Arial"/>
          <w:sz w:val="22"/>
          <w:szCs w:val="22"/>
          <w:lang w:val="en-GB"/>
        </w:rPr>
        <w:t>Tax</w:t>
      </w:r>
      <w:r w:rsidR="003939F8" w:rsidRPr="006B42ED">
        <w:rPr>
          <w:rFonts w:ascii="Arial" w:hAnsi="Arial" w:cs="Arial"/>
          <w:sz w:val="22"/>
          <w:szCs w:val="22"/>
          <w:lang w:val="en-GB"/>
        </w:rPr>
        <w:t xml:space="preserve"> claims stemming from the period prior to the opening of insolvency proceedings</w:t>
      </w:r>
      <w:r w:rsidR="0025078F">
        <w:rPr>
          <w:rFonts w:ascii="Arial" w:hAnsi="Arial" w:cs="Arial"/>
          <w:sz w:val="22"/>
          <w:szCs w:val="22"/>
          <w:lang w:val="en-GB"/>
        </w:rPr>
        <w:t>:</w:t>
      </w:r>
      <w:r w:rsidR="003939F8" w:rsidRPr="006B42ED">
        <w:rPr>
          <w:rFonts w:ascii="Arial" w:hAnsi="Arial" w:cs="Arial"/>
          <w:sz w:val="22"/>
          <w:szCs w:val="22"/>
          <w:lang w:val="en-GB"/>
        </w:rPr>
        <w:t xml:space="preserve"> </w:t>
      </w:r>
    </w:p>
    <w:p w14:paraId="156801AD" w14:textId="77777777" w:rsidR="005B79F4" w:rsidRPr="006B42ED" w:rsidRDefault="005B79F4" w:rsidP="00C55824">
      <w:pPr>
        <w:autoSpaceDE w:val="0"/>
        <w:autoSpaceDN w:val="0"/>
        <w:adjustRightInd w:val="0"/>
        <w:jc w:val="both"/>
        <w:rPr>
          <w:rFonts w:ascii="Arial" w:hAnsi="Arial" w:cs="Arial"/>
          <w:sz w:val="22"/>
          <w:szCs w:val="22"/>
          <w:lang w:val="en-GB"/>
        </w:rPr>
      </w:pPr>
    </w:p>
    <w:p w14:paraId="52151932" w14:textId="6AEB559D" w:rsidR="00E86A87" w:rsidRPr="006B42ED" w:rsidRDefault="0025078F" w:rsidP="00BF0162">
      <w:pPr>
        <w:pStyle w:val="ListParagraph"/>
        <w:numPr>
          <w:ilvl w:val="0"/>
          <w:numId w:val="19"/>
        </w:numPr>
        <w:ind w:left="426"/>
        <w:rPr>
          <w:rFonts w:ascii="Arial" w:hAnsi="Arial" w:cs="Arial"/>
          <w:sz w:val="22"/>
          <w:szCs w:val="22"/>
        </w:rPr>
      </w:pPr>
      <w:r>
        <w:rPr>
          <w:rFonts w:ascii="Arial" w:hAnsi="Arial" w:cs="Arial"/>
          <w:sz w:val="22"/>
          <w:szCs w:val="22"/>
        </w:rPr>
        <w:t>e</w:t>
      </w:r>
      <w:r w:rsidR="003939F8" w:rsidRPr="006B42ED">
        <w:rPr>
          <w:rFonts w:ascii="Arial" w:hAnsi="Arial" w:cs="Arial"/>
          <w:sz w:val="22"/>
          <w:szCs w:val="22"/>
        </w:rPr>
        <w:t>njoy super-priority even ahead of secured creditors.</w:t>
      </w:r>
    </w:p>
    <w:p w14:paraId="005C0D8B" w14:textId="77777777" w:rsidR="00BF0162" w:rsidRPr="006B42ED" w:rsidRDefault="00BF0162" w:rsidP="00BF0162">
      <w:pPr>
        <w:ind w:left="426" w:hanging="284"/>
        <w:rPr>
          <w:rFonts w:ascii="Arial" w:hAnsi="Arial" w:cs="Arial"/>
          <w:sz w:val="22"/>
          <w:szCs w:val="22"/>
        </w:rPr>
      </w:pPr>
    </w:p>
    <w:p w14:paraId="2594995F" w14:textId="7D6D6F2E" w:rsidR="00D42F29" w:rsidRPr="006B42ED" w:rsidRDefault="0025078F" w:rsidP="00BF0162">
      <w:pPr>
        <w:pStyle w:val="ListParagraph"/>
        <w:numPr>
          <w:ilvl w:val="0"/>
          <w:numId w:val="19"/>
        </w:numPr>
        <w:ind w:left="426"/>
        <w:rPr>
          <w:rFonts w:ascii="Arial" w:hAnsi="Arial" w:cs="Arial"/>
          <w:sz w:val="22"/>
          <w:szCs w:val="22"/>
        </w:rPr>
      </w:pPr>
      <w:r>
        <w:rPr>
          <w:rFonts w:ascii="Arial" w:hAnsi="Arial" w:cs="Arial"/>
          <w:sz w:val="22"/>
          <w:szCs w:val="22"/>
        </w:rPr>
        <w:t>q</w:t>
      </w:r>
      <w:r w:rsidR="003939F8" w:rsidRPr="006B42ED">
        <w:rPr>
          <w:rFonts w:ascii="Arial" w:hAnsi="Arial" w:cs="Arial"/>
          <w:sz w:val="22"/>
          <w:szCs w:val="22"/>
        </w:rPr>
        <w:t>ualify as expenses of the proceedings (liabilities of the estate)</w:t>
      </w:r>
      <w:r w:rsidR="004A40BD" w:rsidRPr="006B42ED">
        <w:rPr>
          <w:rFonts w:ascii="Arial" w:hAnsi="Arial" w:cs="Arial"/>
          <w:sz w:val="22"/>
          <w:szCs w:val="22"/>
        </w:rPr>
        <w:t>.</w:t>
      </w:r>
    </w:p>
    <w:p w14:paraId="613DE2A5" w14:textId="77777777" w:rsidR="00BF0162" w:rsidRPr="006B42ED" w:rsidRDefault="00BF0162" w:rsidP="00BF0162">
      <w:pPr>
        <w:ind w:left="426" w:hanging="284"/>
        <w:rPr>
          <w:rFonts w:ascii="Arial" w:hAnsi="Arial" w:cs="Arial"/>
          <w:sz w:val="22"/>
          <w:szCs w:val="22"/>
        </w:rPr>
      </w:pPr>
    </w:p>
    <w:p w14:paraId="50CC91A6" w14:textId="7A0D15C0" w:rsidR="00E86A87" w:rsidRPr="00CA4476" w:rsidRDefault="0025078F" w:rsidP="00BF0162">
      <w:pPr>
        <w:pStyle w:val="ListParagraph"/>
        <w:numPr>
          <w:ilvl w:val="0"/>
          <w:numId w:val="19"/>
        </w:numPr>
        <w:ind w:left="426"/>
        <w:rPr>
          <w:rFonts w:ascii="Arial" w:hAnsi="Arial" w:cs="Arial"/>
          <w:sz w:val="22"/>
          <w:szCs w:val="22"/>
          <w:highlight w:val="yellow"/>
        </w:rPr>
      </w:pPr>
      <w:r w:rsidRPr="00CA4476">
        <w:rPr>
          <w:rFonts w:ascii="Arial" w:hAnsi="Arial" w:cs="Arial"/>
          <w:sz w:val="22"/>
          <w:szCs w:val="22"/>
          <w:highlight w:val="yellow"/>
        </w:rPr>
        <w:t>r</w:t>
      </w:r>
      <w:r w:rsidR="003939F8" w:rsidRPr="00CA4476">
        <w:rPr>
          <w:rFonts w:ascii="Arial" w:hAnsi="Arial" w:cs="Arial"/>
          <w:sz w:val="22"/>
          <w:szCs w:val="22"/>
          <w:highlight w:val="yellow"/>
        </w:rPr>
        <w:t>ank as claims of ordinary creditors.</w:t>
      </w:r>
    </w:p>
    <w:p w14:paraId="37A2AED3" w14:textId="77777777" w:rsidR="00BF0162" w:rsidRPr="006B42ED" w:rsidRDefault="00BF0162" w:rsidP="00BF0162">
      <w:pPr>
        <w:ind w:left="426" w:hanging="284"/>
        <w:rPr>
          <w:rFonts w:ascii="Arial" w:hAnsi="Arial" w:cs="Arial"/>
          <w:sz w:val="22"/>
          <w:szCs w:val="22"/>
        </w:rPr>
      </w:pPr>
    </w:p>
    <w:p w14:paraId="52FC79BA" w14:textId="55AD0197" w:rsidR="00E86A87" w:rsidRPr="006B42ED" w:rsidRDefault="0025078F" w:rsidP="00BF0162">
      <w:pPr>
        <w:pStyle w:val="ListParagraph"/>
        <w:numPr>
          <w:ilvl w:val="0"/>
          <w:numId w:val="19"/>
        </w:numPr>
        <w:ind w:left="426"/>
        <w:rPr>
          <w:rFonts w:ascii="Arial" w:hAnsi="Arial" w:cs="Arial"/>
          <w:sz w:val="22"/>
          <w:szCs w:val="22"/>
        </w:rPr>
      </w:pPr>
      <w:r>
        <w:rPr>
          <w:rFonts w:ascii="Arial" w:hAnsi="Arial" w:cs="Arial"/>
          <w:sz w:val="22"/>
          <w:szCs w:val="22"/>
        </w:rPr>
        <w:t>c</w:t>
      </w:r>
      <w:r w:rsidR="00B4760A" w:rsidRPr="006B42ED">
        <w:rPr>
          <w:rFonts w:ascii="Arial" w:hAnsi="Arial" w:cs="Arial"/>
          <w:sz w:val="22"/>
          <w:szCs w:val="22"/>
        </w:rPr>
        <w:t>annot be recognized</w:t>
      </w:r>
      <w:r w:rsidR="003939F8" w:rsidRPr="006B42ED">
        <w:rPr>
          <w:rFonts w:ascii="Arial" w:hAnsi="Arial" w:cs="Arial"/>
          <w:sz w:val="22"/>
          <w:szCs w:val="22"/>
        </w:rPr>
        <w:t xml:space="preserve"> in insolvency proceedings at all</w:t>
      </w:r>
      <w:r w:rsidR="00E676A0" w:rsidRPr="006B42ED">
        <w:rPr>
          <w:rFonts w:ascii="Arial" w:hAnsi="Arial" w:cs="Arial"/>
          <w:sz w:val="22"/>
          <w:szCs w:val="22"/>
        </w:rPr>
        <w:t>.</w:t>
      </w:r>
    </w:p>
    <w:p w14:paraId="09D25F3F" w14:textId="37ADC186" w:rsidR="0027702F" w:rsidRPr="00193129" w:rsidRDefault="0027702F" w:rsidP="00663E6F">
      <w:pPr>
        <w:ind w:left="284" w:hanging="284"/>
        <w:rPr>
          <w:rFonts w:ascii="Arial" w:hAnsi="Arial" w:cs="Arial"/>
          <w:color w:val="FF0000"/>
          <w:sz w:val="22"/>
          <w:szCs w:val="22"/>
          <w:highlight w:val="cyan"/>
        </w:rPr>
      </w:pPr>
    </w:p>
    <w:p w14:paraId="57F96ECF" w14:textId="77777777" w:rsidR="00E9597C" w:rsidRPr="00D9383B" w:rsidRDefault="00E9597C" w:rsidP="00C55824">
      <w:pPr>
        <w:autoSpaceDE w:val="0"/>
        <w:autoSpaceDN w:val="0"/>
        <w:adjustRightInd w:val="0"/>
        <w:jc w:val="both"/>
        <w:rPr>
          <w:rFonts w:ascii="Arial" w:hAnsi="Arial" w:cs="Arial"/>
          <w:sz w:val="22"/>
          <w:szCs w:val="22"/>
          <w:lang w:val="en-GB"/>
        </w:rPr>
      </w:pPr>
      <w:r w:rsidRPr="00D9383B">
        <w:rPr>
          <w:rFonts w:ascii="Arial" w:hAnsi="Arial" w:cs="Arial"/>
          <w:b/>
          <w:bCs/>
          <w:sz w:val="22"/>
          <w:szCs w:val="22"/>
          <w:lang w:val="en-GB"/>
        </w:rPr>
        <w:t>Question 1.6</w:t>
      </w:r>
      <w:r w:rsidRPr="00D9383B">
        <w:rPr>
          <w:rFonts w:ascii="Arial" w:hAnsi="Arial" w:cs="Arial"/>
          <w:sz w:val="22"/>
          <w:szCs w:val="22"/>
          <w:lang w:val="en-GB"/>
        </w:rPr>
        <w:t xml:space="preserve"> </w:t>
      </w:r>
    </w:p>
    <w:p w14:paraId="171CD99D" w14:textId="77777777" w:rsidR="00E9597C" w:rsidRPr="00D9383B" w:rsidRDefault="00E9597C" w:rsidP="00C55824">
      <w:pPr>
        <w:autoSpaceDE w:val="0"/>
        <w:autoSpaceDN w:val="0"/>
        <w:adjustRightInd w:val="0"/>
        <w:jc w:val="both"/>
        <w:rPr>
          <w:rFonts w:ascii="Arial" w:hAnsi="Arial" w:cs="Arial"/>
          <w:sz w:val="22"/>
          <w:szCs w:val="22"/>
          <w:lang w:val="en-GB"/>
        </w:rPr>
      </w:pPr>
    </w:p>
    <w:p w14:paraId="48D50A6A" w14:textId="32D4B931" w:rsidR="00E86A87" w:rsidRPr="00D9383B" w:rsidRDefault="00D9383B" w:rsidP="00E86A87">
      <w:pPr>
        <w:rPr>
          <w:rFonts w:ascii="Arial" w:hAnsi="Arial" w:cs="Arial"/>
          <w:sz w:val="22"/>
          <w:szCs w:val="22"/>
          <w:lang w:val="en-GB"/>
        </w:rPr>
      </w:pPr>
      <w:r>
        <w:rPr>
          <w:rFonts w:ascii="Arial" w:hAnsi="Arial" w:cs="Arial"/>
          <w:sz w:val="22"/>
          <w:szCs w:val="22"/>
          <w:lang w:val="en-GB"/>
        </w:rPr>
        <w:t>Wh</w:t>
      </w:r>
      <w:r w:rsidR="0025078F">
        <w:rPr>
          <w:rFonts w:ascii="Arial" w:hAnsi="Arial" w:cs="Arial"/>
          <w:sz w:val="22"/>
          <w:szCs w:val="22"/>
          <w:lang w:val="en-GB"/>
        </w:rPr>
        <w:t xml:space="preserve">at is the </w:t>
      </w:r>
      <w:r w:rsidRPr="00FD47A2">
        <w:rPr>
          <w:rFonts w:ascii="Arial" w:hAnsi="Arial" w:cs="Arial"/>
          <w:b/>
          <w:bCs/>
          <w:sz w:val="22"/>
          <w:szCs w:val="22"/>
          <w:u w:val="single"/>
          <w:lang w:val="en-GB"/>
        </w:rPr>
        <w:t xml:space="preserve">majority </w:t>
      </w:r>
      <w:r w:rsidR="0025078F" w:rsidRPr="00FD47A2">
        <w:rPr>
          <w:rFonts w:ascii="Arial" w:hAnsi="Arial" w:cs="Arial"/>
          <w:b/>
          <w:bCs/>
          <w:sz w:val="22"/>
          <w:szCs w:val="22"/>
          <w:u w:val="single"/>
          <w:lang w:val="en-GB"/>
        </w:rPr>
        <w:t>required</w:t>
      </w:r>
      <w:r>
        <w:rPr>
          <w:rFonts w:ascii="Arial" w:hAnsi="Arial" w:cs="Arial"/>
          <w:sz w:val="22"/>
          <w:szCs w:val="22"/>
          <w:lang w:val="en-GB"/>
        </w:rPr>
        <w:t xml:space="preserve"> for the adoption of a pre-insolvency restructuring plan under the </w:t>
      </w:r>
      <w:proofErr w:type="spellStart"/>
      <w:r>
        <w:rPr>
          <w:rFonts w:ascii="Arial" w:hAnsi="Arial" w:cs="Arial"/>
          <w:sz w:val="22"/>
          <w:szCs w:val="22"/>
          <w:lang w:val="en-GB"/>
        </w:rPr>
        <w:t>StaRUG</w:t>
      </w:r>
      <w:proofErr w:type="spellEnd"/>
      <w:r w:rsidR="00797096" w:rsidRPr="00D9383B">
        <w:rPr>
          <w:rFonts w:ascii="Arial" w:hAnsi="Arial" w:cs="Arial"/>
          <w:sz w:val="22"/>
          <w:szCs w:val="22"/>
          <w:lang w:val="en-GB"/>
        </w:rPr>
        <w:t>?</w:t>
      </w:r>
    </w:p>
    <w:p w14:paraId="2FFD6F0F" w14:textId="77777777" w:rsidR="00E86A87" w:rsidRPr="00D9383B" w:rsidRDefault="00E86A87" w:rsidP="00C55824">
      <w:pPr>
        <w:autoSpaceDE w:val="0"/>
        <w:autoSpaceDN w:val="0"/>
        <w:adjustRightInd w:val="0"/>
        <w:jc w:val="both"/>
        <w:rPr>
          <w:rFonts w:ascii="Arial" w:hAnsi="Arial" w:cs="Arial"/>
          <w:sz w:val="22"/>
          <w:szCs w:val="22"/>
          <w:lang w:val="en-GB"/>
        </w:rPr>
      </w:pPr>
    </w:p>
    <w:p w14:paraId="289A512A" w14:textId="4829F2F7" w:rsidR="00E86A87" w:rsidRPr="00D9383B" w:rsidRDefault="00D9383B" w:rsidP="00BF0162">
      <w:pPr>
        <w:pStyle w:val="ListParagraph"/>
        <w:numPr>
          <w:ilvl w:val="0"/>
          <w:numId w:val="24"/>
        </w:numPr>
        <w:ind w:left="426"/>
        <w:rPr>
          <w:rFonts w:ascii="Arial" w:hAnsi="Arial" w:cs="Arial"/>
          <w:sz w:val="22"/>
          <w:szCs w:val="22"/>
          <w:lang w:val="en-GB"/>
        </w:rPr>
      </w:pPr>
      <w:r>
        <w:rPr>
          <w:rFonts w:ascii="Arial" w:hAnsi="Arial" w:cs="Arial"/>
          <w:sz w:val="22"/>
          <w:szCs w:val="22"/>
          <w:lang w:val="en-GB"/>
        </w:rPr>
        <w:t>75% in sum regarding the claims of creditors present and voting</w:t>
      </w:r>
      <w:r w:rsidR="00E676A0" w:rsidRPr="00D9383B">
        <w:rPr>
          <w:rFonts w:ascii="Arial" w:hAnsi="Arial" w:cs="Arial"/>
          <w:sz w:val="22"/>
          <w:szCs w:val="22"/>
          <w:lang w:val="en-GB"/>
        </w:rPr>
        <w:t>.</w:t>
      </w:r>
    </w:p>
    <w:p w14:paraId="470D66EE" w14:textId="77777777" w:rsidR="00BF0162" w:rsidRPr="00D9383B" w:rsidRDefault="00BF0162" w:rsidP="00BF0162">
      <w:pPr>
        <w:ind w:left="426" w:hanging="284"/>
        <w:rPr>
          <w:rFonts w:ascii="Arial" w:hAnsi="Arial" w:cs="Arial"/>
          <w:sz w:val="22"/>
          <w:szCs w:val="22"/>
          <w:lang w:val="en-GB"/>
        </w:rPr>
      </w:pPr>
    </w:p>
    <w:p w14:paraId="4328935F" w14:textId="566DBCB2" w:rsidR="00E86A87" w:rsidRPr="004618ED" w:rsidRDefault="00D9383B" w:rsidP="00BF0162">
      <w:pPr>
        <w:pStyle w:val="ListParagraph"/>
        <w:numPr>
          <w:ilvl w:val="0"/>
          <w:numId w:val="24"/>
        </w:numPr>
        <w:ind w:left="426"/>
        <w:rPr>
          <w:rFonts w:ascii="Arial" w:hAnsi="Arial" w:cs="Arial"/>
          <w:sz w:val="22"/>
          <w:szCs w:val="22"/>
          <w:highlight w:val="yellow"/>
          <w:lang w:val="en-GB"/>
        </w:rPr>
      </w:pPr>
      <w:r w:rsidRPr="004618ED">
        <w:rPr>
          <w:rFonts w:ascii="Arial" w:hAnsi="Arial" w:cs="Arial"/>
          <w:sz w:val="22"/>
          <w:szCs w:val="22"/>
          <w:highlight w:val="yellow"/>
          <w:lang w:val="en-GB"/>
        </w:rPr>
        <w:t>75% in sum regarding the claims of all affected creditors</w:t>
      </w:r>
      <w:r w:rsidR="00E676A0" w:rsidRPr="004618ED">
        <w:rPr>
          <w:rFonts w:ascii="Arial" w:hAnsi="Arial" w:cs="Arial"/>
          <w:sz w:val="22"/>
          <w:szCs w:val="22"/>
          <w:highlight w:val="yellow"/>
          <w:lang w:val="en-GB"/>
        </w:rPr>
        <w:t>.</w:t>
      </w:r>
    </w:p>
    <w:p w14:paraId="7A1763A1" w14:textId="77777777" w:rsidR="00BF0162" w:rsidRPr="00D9383B" w:rsidRDefault="00BF0162" w:rsidP="00BF0162">
      <w:pPr>
        <w:ind w:left="426" w:hanging="284"/>
        <w:rPr>
          <w:rFonts w:ascii="Arial" w:hAnsi="Arial" w:cs="Arial"/>
          <w:sz w:val="22"/>
          <w:szCs w:val="22"/>
          <w:lang w:val="en-GB"/>
        </w:rPr>
      </w:pPr>
    </w:p>
    <w:p w14:paraId="06AA788F" w14:textId="2012294C" w:rsidR="00E86A87" w:rsidRPr="00D9383B" w:rsidRDefault="00D9383B" w:rsidP="00BF0162">
      <w:pPr>
        <w:pStyle w:val="ListParagraph"/>
        <w:numPr>
          <w:ilvl w:val="0"/>
          <w:numId w:val="24"/>
        </w:numPr>
        <w:ind w:left="426"/>
        <w:rPr>
          <w:rFonts w:ascii="Arial" w:hAnsi="Arial" w:cs="Arial"/>
          <w:sz w:val="22"/>
          <w:szCs w:val="22"/>
          <w:lang w:val="en-GB"/>
        </w:rPr>
      </w:pPr>
      <w:r>
        <w:rPr>
          <w:rFonts w:ascii="Arial" w:hAnsi="Arial" w:cs="Arial"/>
          <w:sz w:val="22"/>
          <w:szCs w:val="22"/>
          <w:lang w:val="en-GB"/>
        </w:rPr>
        <w:t xml:space="preserve">Simple majority in sum </w:t>
      </w:r>
      <w:r w:rsidRPr="00D9383B">
        <w:rPr>
          <w:rFonts w:ascii="Arial" w:hAnsi="Arial" w:cs="Arial"/>
          <w:sz w:val="22"/>
          <w:szCs w:val="22"/>
          <w:lang w:val="en-GB"/>
        </w:rPr>
        <w:t xml:space="preserve">regarding the claims of creditors present and voting </w:t>
      </w:r>
      <w:r>
        <w:rPr>
          <w:rFonts w:ascii="Arial" w:hAnsi="Arial" w:cs="Arial"/>
          <w:sz w:val="22"/>
          <w:szCs w:val="22"/>
          <w:lang w:val="en-GB"/>
        </w:rPr>
        <w:t xml:space="preserve">and </w:t>
      </w:r>
      <w:r w:rsidR="0037467B">
        <w:rPr>
          <w:rFonts w:ascii="Arial" w:hAnsi="Arial" w:cs="Arial"/>
          <w:sz w:val="22"/>
          <w:szCs w:val="22"/>
          <w:lang w:val="en-GB"/>
        </w:rPr>
        <w:t>simple</w:t>
      </w:r>
      <w:r>
        <w:rPr>
          <w:rFonts w:ascii="Arial" w:hAnsi="Arial" w:cs="Arial"/>
          <w:sz w:val="22"/>
          <w:szCs w:val="22"/>
          <w:lang w:val="en-GB"/>
        </w:rPr>
        <w:t xml:space="preserve"> majority of creditors (head count)</w:t>
      </w:r>
      <w:r w:rsidR="00E676A0" w:rsidRPr="00D9383B">
        <w:rPr>
          <w:rFonts w:ascii="Arial" w:hAnsi="Arial" w:cs="Arial"/>
          <w:sz w:val="22"/>
          <w:szCs w:val="22"/>
          <w:lang w:val="en-GB"/>
        </w:rPr>
        <w:t>.</w:t>
      </w:r>
    </w:p>
    <w:p w14:paraId="7653A46E" w14:textId="77777777" w:rsidR="00BF0162" w:rsidRPr="00D9383B" w:rsidRDefault="00BF0162" w:rsidP="00BF0162">
      <w:pPr>
        <w:ind w:left="426" w:hanging="284"/>
        <w:rPr>
          <w:rFonts w:ascii="Arial" w:hAnsi="Arial" w:cs="Arial"/>
          <w:sz w:val="22"/>
          <w:szCs w:val="22"/>
          <w:lang w:val="en-GB"/>
        </w:rPr>
      </w:pPr>
    </w:p>
    <w:p w14:paraId="54DFBFA5" w14:textId="1C194F7D" w:rsidR="00E86A87" w:rsidRPr="00D9383B" w:rsidRDefault="00D9383B" w:rsidP="00BF0162">
      <w:pPr>
        <w:pStyle w:val="ListParagraph"/>
        <w:numPr>
          <w:ilvl w:val="0"/>
          <w:numId w:val="24"/>
        </w:numPr>
        <w:ind w:left="426"/>
        <w:rPr>
          <w:rFonts w:ascii="Arial" w:hAnsi="Arial" w:cs="Arial"/>
          <w:sz w:val="22"/>
          <w:szCs w:val="22"/>
          <w:lang w:val="en-GB"/>
        </w:rPr>
      </w:pPr>
      <w:r>
        <w:rPr>
          <w:rFonts w:ascii="Arial" w:hAnsi="Arial" w:cs="Arial"/>
          <w:sz w:val="22"/>
          <w:szCs w:val="22"/>
          <w:lang w:val="en-GB"/>
        </w:rPr>
        <w:t>75% of all affected creditors (head count).</w:t>
      </w:r>
    </w:p>
    <w:p w14:paraId="2A06C205" w14:textId="3AE3BFA2" w:rsidR="0027702F" w:rsidRPr="00193129" w:rsidRDefault="0027702F" w:rsidP="00663E6F">
      <w:pPr>
        <w:ind w:left="284" w:hanging="284"/>
        <w:rPr>
          <w:rFonts w:ascii="Arial" w:hAnsi="Arial" w:cs="Arial"/>
          <w:color w:val="FF0000"/>
          <w:sz w:val="22"/>
          <w:szCs w:val="22"/>
          <w:highlight w:val="cyan"/>
          <w:lang w:val="en-GB"/>
        </w:rPr>
      </w:pPr>
    </w:p>
    <w:p w14:paraId="5F89F161" w14:textId="77777777" w:rsidR="00E9597C" w:rsidRPr="00976666" w:rsidRDefault="00E9597C" w:rsidP="00C55824">
      <w:pPr>
        <w:jc w:val="both"/>
        <w:rPr>
          <w:rFonts w:ascii="Arial" w:hAnsi="Arial" w:cs="Arial"/>
          <w:sz w:val="22"/>
          <w:szCs w:val="22"/>
          <w:lang w:val="en-GB"/>
        </w:rPr>
      </w:pPr>
      <w:r w:rsidRPr="00976666">
        <w:rPr>
          <w:rFonts w:ascii="Arial" w:hAnsi="Arial" w:cs="Arial"/>
          <w:b/>
          <w:bCs/>
          <w:sz w:val="22"/>
          <w:szCs w:val="22"/>
          <w:lang w:val="en-GB"/>
        </w:rPr>
        <w:t>Question 1.7</w:t>
      </w:r>
      <w:r w:rsidRPr="00976666">
        <w:rPr>
          <w:rFonts w:ascii="Arial" w:hAnsi="Arial" w:cs="Arial"/>
          <w:sz w:val="22"/>
          <w:szCs w:val="22"/>
          <w:lang w:val="en-GB"/>
        </w:rPr>
        <w:t xml:space="preserve"> </w:t>
      </w:r>
    </w:p>
    <w:p w14:paraId="49FE038F" w14:textId="77777777" w:rsidR="00E9597C" w:rsidRPr="00976666" w:rsidRDefault="00E9597C" w:rsidP="00C55824">
      <w:pPr>
        <w:jc w:val="both"/>
        <w:rPr>
          <w:rFonts w:ascii="Arial" w:hAnsi="Arial" w:cs="Arial"/>
          <w:sz w:val="22"/>
          <w:szCs w:val="22"/>
          <w:lang w:val="en-GB"/>
        </w:rPr>
      </w:pPr>
    </w:p>
    <w:p w14:paraId="30DB5F50" w14:textId="731087E8" w:rsidR="00E86A87" w:rsidRPr="00976666" w:rsidRDefault="00976666" w:rsidP="004E1B0F">
      <w:pPr>
        <w:rPr>
          <w:rFonts w:ascii="Arial" w:hAnsi="Arial" w:cs="Arial"/>
          <w:sz w:val="22"/>
          <w:szCs w:val="22"/>
          <w:lang w:val="en-GB"/>
        </w:rPr>
      </w:pPr>
      <w:r w:rsidRPr="00FD47A2">
        <w:rPr>
          <w:rFonts w:ascii="Arial" w:hAnsi="Arial" w:cs="Arial"/>
          <w:b/>
          <w:bCs/>
          <w:sz w:val="22"/>
          <w:szCs w:val="22"/>
          <w:u w:val="single"/>
          <w:lang w:val="en-GB"/>
        </w:rPr>
        <w:t>Which court</w:t>
      </w:r>
      <w:r>
        <w:rPr>
          <w:rFonts w:ascii="Arial" w:hAnsi="Arial" w:cs="Arial"/>
          <w:sz w:val="22"/>
          <w:szCs w:val="22"/>
          <w:lang w:val="en-GB"/>
        </w:rPr>
        <w:t xml:space="preserve"> has jurisdiction to open insolvency proceedings</w:t>
      </w:r>
      <w:r w:rsidR="00E86A87" w:rsidRPr="00976666">
        <w:rPr>
          <w:rFonts w:ascii="Arial" w:hAnsi="Arial" w:cs="Arial"/>
          <w:sz w:val="22"/>
          <w:szCs w:val="22"/>
          <w:lang w:val="en-GB"/>
        </w:rPr>
        <w:t xml:space="preserve">? </w:t>
      </w:r>
    </w:p>
    <w:p w14:paraId="6AE45C26" w14:textId="77777777" w:rsidR="005B79F4" w:rsidRPr="00976666" w:rsidRDefault="005B79F4" w:rsidP="00C55824">
      <w:pPr>
        <w:jc w:val="both"/>
        <w:rPr>
          <w:rFonts w:ascii="Arial" w:eastAsiaTheme="minorHAnsi" w:hAnsi="Arial" w:cs="Arial"/>
          <w:sz w:val="22"/>
          <w:szCs w:val="22"/>
          <w:lang w:val="en-GB"/>
        </w:rPr>
      </w:pPr>
    </w:p>
    <w:p w14:paraId="55B000B6" w14:textId="7A323167" w:rsidR="00E86A87" w:rsidRPr="00AE1CE7" w:rsidRDefault="00976666" w:rsidP="00D4592B">
      <w:pPr>
        <w:pStyle w:val="ListParagraph"/>
        <w:numPr>
          <w:ilvl w:val="0"/>
          <w:numId w:val="25"/>
        </w:numPr>
        <w:ind w:left="426"/>
        <w:rPr>
          <w:rFonts w:ascii="Arial" w:hAnsi="Arial" w:cs="Arial"/>
          <w:sz w:val="22"/>
          <w:szCs w:val="22"/>
          <w:highlight w:val="yellow"/>
          <w:lang w:val="en-GB"/>
        </w:rPr>
      </w:pPr>
      <w:proofErr w:type="spellStart"/>
      <w:r w:rsidRPr="00AE1CE7">
        <w:rPr>
          <w:rFonts w:ascii="Arial" w:hAnsi="Arial" w:cs="Arial"/>
          <w:i/>
          <w:sz w:val="22"/>
          <w:szCs w:val="22"/>
          <w:highlight w:val="yellow"/>
          <w:lang w:val="en-GB"/>
        </w:rPr>
        <w:t>Amtsgericht</w:t>
      </w:r>
      <w:proofErr w:type="spellEnd"/>
      <w:r w:rsidR="00E676A0" w:rsidRPr="00AE1CE7">
        <w:rPr>
          <w:rFonts w:ascii="Arial" w:hAnsi="Arial" w:cs="Arial"/>
          <w:sz w:val="22"/>
          <w:szCs w:val="22"/>
          <w:highlight w:val="yellow"/>
          <w:lang w:val="en-GB"/>
        </w:rPr>
        <w:t>.</w:t>
      </w:r>
    </w:p>
    <w:p w14:paraId="2D8B1AD8" w14:textId="77777777" w:rsidR="00BF0162" w:rsidRPr="00976666" w:rsidRDefault="00BF0162" w:rsidP="00D4592B">
      <w:pPr>
        <w:ind w:left="426" w:hanging="284"/>
        <w:rPr>
          <w:rFonts w:ascii="Arial" w:hAnsi="Arial" w:cs="Arial"/>
          <w:sz w:val="22"/>
          <w:szCs w:val="22"/>
          <w:lang w:val="en-GB"/>
        </w:rPr>
      </w:pPr>
    </w:p>
    <w:p w14:paraId="5C1816F7" w14:textId="44D1A138" w:rsidR="00E86A87" w:rsidRPr="00976666" w:rsidRDefault="00976666" w:rsidP="00D4592B">
      <w:pPr>
        <w:pStyle w:val="ListParagraph"/>
        <w:numPr>
          <w:ilvl w:val="0"/>
          <w:numId w:val="25"/>
        </w:numPr>
        <w:ind w:left="426"/>
        <w:rPr>
          <w:rFonts w:ascii="Arial" w:hAnsi="Arial" w:cs="Arial"/>
          <w:sz w:val="22"/>
          <w:szCs w:val="22"/>
          <w:lang w:val="en-GB"/>
        </w:rPr>
      </w:pPr>
      <w:proofErr w:type="spellStart"/>
      <w:r w:rsidRPr="00976666">
        <w:rPr>
          <w:rFonts w:ascii="Arial" w:hAnsi="Arial" w:cs="Arial"/>
          <w:i/>
          <w:sz w:val="22"/>
          <w:szCs w:val="22"/>
          <w:lang w:val="en-GB"/>
        </w:rPr>
        <w:t>Landgericht</w:t>
      </w:r>
      <w:proofErr w:type="spellEnd"/>
      <w:r w:rsidR="00E676A0" w:rsidRPr="00976666">
        <w:rPr>
          <w:rFonts w:ascii="Arial" w:hAnsi="Arial" w:cs="Arial"/>
          <w:sz w:val="22"/>
          <w:szCs w:val="22"/>
          <w:lang w:val="en-GB"/>
        </w:rPr>
        <w:t>.</w:t>
      </w:r>
    </w:p>
    <w:p w14:paraId="064BC368" w14:textId="77777777" w:rsidR="00BF0162" w:rsidRPr="00976666" w:rsidRDefault="00BF0162" w:rsidP="00D4592B">
      <w:pPr>
        <w:ind w:left="426" w:hanging="284"/>
        <w:rPr>
          <w:rFonts w:ascii="Arial" w:hAnsi="Arial" w:cs="Arial"/>
          <w:sz w:val="22"/>
          <w:szCs w:val="22"/>
          <w:lang w:val="en-GB"/>
        </w:rPr>
      </w:pPr>
    </w:p>
    <w:p w14:paraId="2335DB32" w14:textId="0C6E1024" w:rsidR="00E86A87" w:rsidRPr="00976666" w:rsidRDefault="00976666" w:rsidP="00D4592B">
      <w:pPr>
        <w:pStyle w:val="ListParagraph"/>
        <w:numPr>
          <w:ilvl w:val="0"/>
          <w:numId w:val="25"/>
        </w:numPr>
        <w:ind w:left="426"/>
        <w:rPr>
          <w:rFonts w:ascii="Arial" w:hAnsi="Arial" w:cs="Arial"/>
          <w:sz w:val="22"/>
          <w:szCs w:val="22"/>
          <w:lang w:val="en-GB"/>
        </w:rPr>
      </w:pPr>
      <w:proofErr w:type="spellStart"/>
      <w:r w:rsidRPr="00976666">
        <w:rPr>
          <w:rFonts w:ascii="Arial" w:hAnsi="Arial" w:cs="Arial"/>
          <w:i/>
          <w:sz w:val="22"/>
          <w:szCs w:val="22"/>
          <w:lang w:val="en-GB"/>
        </w:rPr>
        <w:t>Oberlandesgericht</w:t>
      </w:r>
      <w:proofErr w:type="spellEnd"/>
      <w:r w:rsidR="00E676A0" w:rsidRPr="00976666">
        <w:rPr>
          <w:rFonts w:ascii="Arial" w:hAnsi="Arial" w:cs="Arial"/>
          <w:sz w:val="22"/>
          <w:szCs w:val="22"/>
          <w:lang w:val="en-GB"/>
        </w:rPr>
        <w:t>.</w:t>
      </w:r>
    </w:p>
    <w:p w14:paraId="06BA1DBA" w14:textId="77777777" w:rsidR="00BF0162" w:rsidRPr="00976666" w:rsidRDefault="00BF0162" w:rsidP="00D4592B">
      <w:pPr>
        <w:ind w:left="426" w:hanging="284"/>
        <w:rPr>
          <w:rFonts w:ascii="Arial" w:hAnsi="Arial" w:cs="Arial"/>
          <w:sz w:val="22"/>
          <w:szCs w:val="22"/>
          <w:lang w:val="en-GB"/>
        </w:rPr>
      </w:pPr>
    </w:p>
    <w:p w14:paraId="6426E25B" w14:textId="6D4B4667" w:rsidR="00E86A87" w:rsidRPr="00976666" w:rsidRDefault="00976666" w:rsidP="00D4592B">
      <w:pPr>
        <w:pStyle w:val="ListParagraph"/>
        <w:numPr>
          <w:ilvl w:val="0"/>
          <w:numId w:val="25"/>
        </w:numPr>
        <w:ind w:left="426"/>
        <w:rPr>
          <w:rFonts w:ascii="Arial" w:hAnsi="Arial" w:cs="Arial"/>
          <w:sz w:val="22"/>
          <w:szCs w:val="22"/>
          <w:lang w:val="en-GB"/>
        </w:rPr>
      </w:pPr>
      <w:proofErr w:type="spellStart"/>
      <w:r w:rsidRPr="00976666">
        <w:rPr>
          <w:rFonts w:ascii="Arial" w:hAnsi="Arial" w:cs="Arial"/>
          <w:i/>
          <w:sz w:val="22"/>
          <w:szCs w:val="22"/>
          <w:lang w:val="en-GB"/>
        </w:rPr>
        <w:t>Bundesgerichtshof</w:t>
      </w:r>
      <w:proofErr w:type="spellEnd"/>
      <w:r w:rsidR="00E676A0" w:rsidRPr="00976666">
        <w:rPr>
          <w:rFonts w:ascii="Arial" w:hAnsi="Arial" w:cs="Arial"/>
          <w:sz w:val="22"/>
          <w:szCs w:val="22"/>
          <w:lang w:val="en-GB"/>
        </w:rPr>
        <w:t>.</w:t>
      </w:r>
    </w:p>
    <w:p w14:paraId="42C6AB0E" w14:textId="28C5625F" w:rsidR="00E86A87" w:rsidRPr="00976666" w:rsidRDefault="00E86A87" w:rsidP="00C55824">
      <w:pPr>
        <w:jc w:val="both"/>
        <w:rPr>
          <w:rFonts w:ascii="Arial" w:eastAsiaTheme="minorHAnsi" w:hAnsi="Arial" w:cs="Arial"/>
          <w:sz w:val="22"/>
          <w:szCs w:val="22"/>
          <w:lang w:val="en-GB"/>
        </w:rPr>
      </w:pPr>
    </w:p>
    <w:p w14:paraId="375B9959" w14:textId="3955BC86" w:rsidR="00780E21" w:rsidRPr="00193129" w:rsidRDefault="00780E21" w:rsidP="00C55824">
      <w:pPr>
        <w:jc w:val="both"/>
        <w:rPr>
          <w:rFonts w:ascii="Arial" w:eastAsiaTheme="minorHAnsi" w:hAnsi="Arial" w:cs="Arial"/>
          <w:sz w:val="22"/>
          <w:szCs w:val="22"/>
          <w:highlight w:val="cyan"/>
          <w:lang w:val="en-GB"/>
        </w:rPr>
      </w:pPr>
    </w:p>
    <w:p w14:paraId="292E2B76" w14:textId="6B460BFB" w:rsidR="00D4592B" w:rsidRPr="00193129" w:rsidRDefault="00D4592B" w:rsidP="00C55824">
      <w:pPr>
        <w:jc w:val="both"/>
        <w:rPr>
          <w:rFonts w:ascii="Arial" w:eastAsiaTheme="minorHAnsi" w:hAnsi="Arial" w:cs="Arial"/>
          <w:sz w:val="22"/>
          <w:szCs w:val="22"/>
          <w:highlight w:val="cyan"/>
          <w:lang w:val="en-GB"/>
        </w:rPr>
      </w:pPr>
    </w:p>
    <w:p w14:paraId="79468C46" w14:textId="22804F72" w:rsidR="00D4592B" w:rsidRPr="00193129" w:rsidRDefault="00D4592B" w:rsidP="00C55824">
      <w:pPr>
        <w:jc w:val="both"/>
        <w:rPr>
          <w:rFonts w:ascii="Arial" w:eastAsiaTheme="minorHAnsi" w:hAnsi="Arial" w:cs="Arial"/>
          <w:sz w:val="22"/>
          <w:szCs w:val="22"/>
          <w:highlight w:val="cyan"/>
          <w:lang w:val="en-GB"/>
        </w:rPr>
      </w:pPr>
    </w:p>
    <w:p w14:paraId="2F747F30" w14:textId="234025D0" w:rsidR="00D4592B" w:rsidRPr="00193129" w:rsidRDefault="00D4592B" w:rsidP="00C55824">
      <w:pPr>
        <w:jc w:val="both"/>
        <w:rPr>
          <w:rFonts w:ascii="Arial" w:eastAsiaTheme="minorHAnsi" w:hAnsi="Arial" w:cs="Arial"/>
          <w:sz w:val="22"/>
          <w:szCs w:val="22"/>
          <w:highlight w:val="cyan"/>
          <w:lang w:val="en-GB"/>
        </w:rPr>
      </w:pPr>
    </w:p>
    <w:p w14:paraId="5A9D0470" w14:textId="77777777" w:rsidR="00E9597C" w:rsidRPr="00976666" w:rsidRDefault="00E9597C" w:rsidP="00C55824">
      <w:pPr>
        <w:jc w:val="both"/>
        <w:rPr>
          <w:rFonts w:ascii="Arial" w:hAnsi="Arial" w:cs="Arial"/>
          <w:sz w:val="22"/>
          <w:szCs w:val="22"/>
          <w:lang w:val="en-GB"/>
        </w:rPr>
      </w:pPr>
      <w:r w:rsidRPr="00976666">
        <w:rPr>
          <w:rFonts w:ascii="Arial" w:hAnsi="Arial" w:cs="Arial"/>
          <w:b/>
          <w:bCs/>
          <w:sz w:val="22"/>
          <w:szCs w:val="22"/>
          <w:lang w:val="en-GB"/>
        </w:rPr>
        <w:lastRenderedPageBreak/>
        <w:t>Question 1.8</w:t>
      </w:r>
      <w:r w:rsidRPr="00976666">
        <w:rPr>
          <w:rFonts w:ascii="Arial" w:hAnsi="Arial" w:cs="Arial"/>
          <w:sz w:val="22"/>
          <w:szCs w:val="22"/>
          <w:lang w:val="en-GB"/>
        </w:rPr>
        <w:t xml:space="preserve"> </w:t>
      </w:r>
    </w:p>
    <w:p w14:paraId="54C01A0C" w14:textId="77777777" w:rsidR="00E86A87" w:rsidRPr="00976666" w:rsidRDefault="00E86A87" w:rsidP="00C55824">
      <w:pPr>
        <w:jc w:val="both"/>
        <w:rPr>
          <w:rFonts w:ascii="Arial" w:hAnsi="Arial" w:cs="Arial"/>
          <w:sz w:val="22"/>
          <w:szCs w:val="22"/>
          <w:lang w:val="en-GB"/>
        </w:rPr>
      </w:pPr>
    </w:p>
    <w:p w14:paraId="68B424A2" w14:textId="09BFA307" w:rsidR="00E86A87" w:rsidRPr="00976666" w:rsidRDefault="00976666" w:rsidP="00E86A87">
      <w:pPr>
        <w:ind w:left="720" w:hanging="720"/>
        <w:rPr>
          <w:rFonts w:ascii="Arial" w:hAnsi="Arial" w:cs="Arial"/>
          <w:sz w:val="22"/>
          <w:szCs w:val="22"/>
          <w:lang w:val="en-GB"/>
        </w:rPr>
      </w:pPr>
      <w:r>
        <w:rPr>
          <w:rFonts w:ascii="Arial" w:hAnsi="Arial" w:cs="Arial"/>
          <w:sz w:val="22"/>
          <w:szCs w:val="22"/>
          <w:lang w:val="en-GB"/>
        </w:rPr>
        <w:t>Wh</w:t>
      </w:r>
      <w:r w:rsidR="00046823">
        <w:rPr>
          <w:rFonts w:ascii="Arial" w:hAnsi="Arial" w:cs="Arial"/>
          <w:sz w:val="22"/>
          <w:szCs w:val="22"/>
          <w:lang w:val="en-GB"/>
        </w:rPr>
        <w:t>ich</w:t>
      </w:r>
      <w:r>
        <w:rPr>
          <w:rFonts w:ascii="Arial" w:hAnsi="Arial" w:cs="Arial"/>
          <w:sz w:val="22"/>
          <w:szCs w:val="22"/>
          <w:lang w:val="en-GB"/>
        </w:rPr>
        <w:t xml:space="preserve"> of the following has a </w:t>
      </w:r>
      <w:r w:rsidRPr="00FD47A2">
        <w:rPr>
          <w:rFonts w:ascii="Arial" w:hAnsi="Arial" w:cs="Arial"/>
          <w:b/>
          <w:bCs/>
          <w:sz w:val="22"/>
          <w:szCs w:val="22"/>
          <w:u w:val="single"/>
          <w:lang w:val="en-GB"/>
        </w:rPr>
        <w:t>right to separation</w:t>
      </w:r>
      <w:r w:rsidR="00AD62C1" w:rsidRPr="00976666">
        <w:rPr>
          <w:rFonts w:ascii="Arial" w:hAnsi="Arial" w:cs="Arial"/>
          <w:sz w:val="22"/>
          <w:szCs w:val="22"/>
          <w:lang w:val="en-GB"/>
        </w:rPr>
        <w:t>?</w:t>
      </w:r>
    </w:p>
    <w:p w14:paraId="61EE58BB" w14:textId="77777777" w:rsidR="00E86A87" w:rsidRPr="00976666" w:rsidRDefault="00E86A87" w:rsidP="00C55824">
      <w:pPr>
        <w:jc w:val="both"/>
        <w:rPr>
          <w:rFonts w:ascii="Arial" w:hAnsi="Arial" w:cs="Arial"/>
          <w:sz w:val="22"/>
          <w:szCs w:val="22"/>
          <w:lang w:val="en-GB"/>
        </w:rPr>
      </w:pPr>
    </w:p>
    <w:p w14:paraId="0FCEDDC5" w14:textId="61F9DA04" w:rsidR="00E86A87" w:rsidRPr="00976666" w:rsidRDefault="00976666" w:rsidP="00D4592B">
      <w:pPr>
        <w:pStyle w:val="ListParagraph"/>
        <w:numPr>
          <w:ilvl w:val="0"/>
          <w:numId w:val="27"/>
        </w:numPr>
        <w:ind w:left="426"/>
        <w:rPr>
          <w:rFonts w:ascii="Arial" w:hAnsi="Arial" w:cs="Arial"/>
          <w:sz w:val="22"/>
          <w:szCs w:val="22"/>
          <w:lang w:val="en-GB"/>
        </w:rPr>
      </w:pPr>
      <w:r>
        <w:rPr>
          <w:rFonts w:ascii="Arial" w:hAnsi="Arial" w:cs="Arial"/>
          <w:sz w:val="22"/>
          <w:szCs w:val="22"/>
          <w:lang w:val="en-GB"/>
        </w:rPr>
        <w:t>Banks</w:t>
      </w:r>
      <w:r w:rsidR="00E676A0" w:rsidRPr="00976666">
        <w:rPr>
          <w:rFonts w:ascii="Arial" w:hAnsi="Arial" w:cs="Arial"/>
          <w:sz w:val="22"/>
          <w:szCs w:val="22"/>
          <w:lang w:val="en-GB"/>
        </w:rPr>
        <w:t>.</w:t>
      </w:r>
    </w:p>
    <w:p w14:paraId="2E6B3413" w14:textId="77777777" w:rsidR="00D4592B" w:rsidRPr="00976666" w:rsidRDefault="00D4592B" w:rsidP="00D4592B">
      <w:pPr>
        <w:ind w:left="426" w:hanging="284"/>
        <w:rPr>
          <w:rFonts w:ascii="Arial" w:hAnsi="Arial" w:cs="Arial"/>
          <w:sz w:val="22"/>
          <w:szCs w:val="22"/>
          <w:lang w:val="en-GB"/>
        </w:rPr>
      </w:pPr>
    </w:p>
    <w:p w14:paraId="0E1E8E42" w14:textId="2ABBFBEF" w:rsidR="00E86A87" w:rsidRPr="00976666" w:rsidRDefault="00976666" w:rsidP="00D4592B">
      <w:pPr>
        <w:pStyle w:val="ListParagraph"/>
        <w:numPr>
          <w:ilvl w:val="0"/>
          <w:numId w:val="27"/>
        </w:numPr>
        <w:ind w:left="426"/>
        <w:rPr>
          <w:rFonts w:ascii="Arial" w:hAnsi="Arial" w:cs="Arial"/>
          <w:sz w:val="22"/>
          <w:szCs w:val="22"/>
          <w:lang w:val="en-GB"/>
        </w:rPr>
      </w:pPr>
      <w:r>
        <w:rPr>
          <w:rFonts w:ascii="Arial" w:hAnsi="Arial" w:cs="Arial"/>
          <w:sz w:val="22"/>
          <w:szCs w:val="22"/>
          <w:lang w:val="en-GB"/>
        </w:rPr>
        <w:t>Pledgees</w:t>
      </w:r>
      <w:r w:rsidR="00E676A0" w:rsidRPr="00976666">
        <w:rPr>
          <w:rFonts w:ascii="Arial" w:hAnsi="Arial" w:cs="Arial"/>
          <w:sz w:val="22"/>
          <w:szCs w:val="22"/>
          <w:lang w:val="en-GB"/>
        </w:rPr>
        <w:t>.</w:t>
      </w:r>
    </w:p>
    <w:p w14:paraId="27E1684F" w14:textId="77777777" w:rsidR="00D4592B" w:rsidRPr="00976666" w:rsidRDefault="00D4592B" w:rsidP="00D4592B">
      <w:pPr>
        <w:ind w:left="426" w:hanging="284"/>
        <w:rPr>
          <w:rFonts w:ascii="Arial" w:hAnsi="Arial" w:cs="Arial"/>
          <w:sz w:val="22"/>
          <w:szCs w:val="22"/>
          <w:lang w:val="en-GB"/>
        </w:rPr>
      </w:pPr>
    </w:p>
    <w:p w14:paraId="45443C96" w14:textId="016C0AD1" w:rsidR="00E86A87" w:rsidRPr="00976666" w:rsidRDefault="00976666" w:rsidP="00D4592B">
      <w:pPr>
        <w:pStyle w:val="ListParagraph"/>
        <w:numPr>
          <w:ilvl w:val="0"/>
          <w:numId w:val="27"/>
        </w:numPr>
        <w:ind w:left="426"/>
        <w:rPr>
          <w:rFonts w:ascii="Arial" w:hAnsi="Arial" w:cs="Arial"/>
          <w:sz w:val="22"/>
          <w:szCs w:val="22"/>
          <w:lang w:val="en-GB"/>
        </w:rPr>
      </w:pPr>
      <w:r>
        <w:rPr>
          <w:rFonts w:ascii="Arial" w:hAnsi="Arial" w:cs="Arial"/>
          <w:sz w:val="22"/>
          <w:szCs w:val="22"/>
          <w:lang w:val="en-GB"/>
        </w:rPr>
        <w:t>Tax authorities with statutory liens on the debtor’s assets</w:t>
      </w:r>
      <w:r w:rsidR="00D4592B" w:rsidRPr="00976666">
        <w:rPr>
          <w:rFonts w:ascii="Arial" w:hAnsi="Arial" w:cs="Arial"/>
          <w:sz w:val="22"/>
          <w:szCs w:val="22"/>
          <w:lang w:val="en-GB"/>
        </w:rPr>
        <w:t>.</w:t>
      </w:r>
    </w:p>
    <w:p w14:paraId="6D108DEB" w14:textId="77777777" w:rsidR="00D4592B" w:rsidRPr="00976666" w:rsidRDefault="00D4592B" w:rsidP="00D4592B">
      <w:pPr>
        <w:ind w:left="426" w:hanging="284"/>
        <w:rPr>
          <w:rFonts w:ascii="Arial" w:hAnsi="Arial" w:cs="Arial"/>
          <w:sz w:val="22"/>
          <w:szCs w:val="22"/>
          <w:lang w:val="en-GB"/>
        </w:rPr>
      </w:pPr>
    </w:p>
    <w:p w14:paraId="65D532B0" w14:textId="7FB0FDCF" w:rsidR="00E86A87" w:rsidRPr="005A6E6D" w:rsidRDefault="00976666" w:rsidP="00D4592B">
      <w:pPr>
        <w:pStyle w:val="ListParagraph"/>
        <w:numPr>
          <w:ilvl w:val="0"/>
          <w:numId w:val="27"/>
        </w:numPr>
        <w:ind w:left="426"/>
        <w:rPr>
          <w:rFonts w:ascii="Arial" w:hAnsi="Arial" w:cs="Arial"/>
          <w:sz w:val="22"/>
          <w:szCs w:val="22"/>
          <w:highlight w:val="yellow"/>
          <w:lang w:val="en-GB"/>
        </w:rPr>
      </w:pPr>
      <w:r w:rsidRPr="005A6E6D">
        <w:rPr>
          <w:rFonts w:ascii="Arial" w:hAnsi="Arial" w:cs="Arial"/>
          <w:sz w:val="22"/>
          <w:szCs w:val="22"/>
          <w:highlight w:val="yellow"/>
          <w:lang w:val="en-GB"/>
        </w:rPr>
        <w:t>Landlords after termination of the tenancy agreement</w:t>
      </w:r>
      <w:r w:rsidR="00E676A0" w:rsidRPr="005A6E6D">
        <w:rPr>
          <w:rFonts w:ascii="Arial" w:hAnsi="Arial" w:cs="Arial"/>
          <w:sz w:val="22"/>
          <w:szCs w:val="22"/>
          <w:highlight w:val="yellow"/>
          <w:lang w:val="en-GB"/>
        </w:rPr>
        <w:t>.</w:t>
      </w:r>
    </w:p>
    <w:p w14:paraId="795A0692" w14:textId="239D9AFD" w:rsidR="0027702F" w:rsidRPr="00193129" w:rsidRDefault="0027702F" w:rsidP="00663E6F">
      <w:pPr>
        <w:ind w:left="284" w:hanging="284"/>
        <w:rPr>
          <w:rFonts w:ascii="Arial" w:hAnsi="Arial" w:cs="Arial"/>
          <w:color w:val="FF0000"/>
          <w:sz w:val="22"/>
          <w:szCs w:val="22"/>
          <w:highlight w:val="cyan"/>
          <w:lang w:val="en-GB"/>
        </w:rPr>
      </w:pPr>
    </w:p>
    <w:p w14:paraId="74D807D2" w14:textId="77777777" w:rsidR="00E9597C" w:rsidRPr="00976666" w:rsidRDefault="00E9597C" w:rsidP="00C55824">
      <w:pPr>
        <w:jc w:val="both"/>
        <w:rPr>
          <w:rFonts w:ascii="Arial" w:hAnsi="Arial" w:cs="Arial"/>
          <w:sz w:val="22"/>
          <w:szCs w:val="22"/>
          <w:lang w:val="en-GB"/>
        </w:rPr>
      </w:pPr>
      <w:r w:rsidRPr="00976666">
        <w:rPr>
          <w:rFonts w:ascii="Arial" w:hAnsi="Arial" w:cs="Arial"/>
          <w:b/>
          <w:bCs/>
          <w:sz w:val="22"/>
          <w:szCs w:val="22"/>
          <w:lang w:val="en-GB"/>
        </w:rPr>
        <w:t>Question 1.9</w:t>
      </w:r>
      <w:r w:rsidRPr="00976666">
        <w:rPr>
          <w:rFonts w:ascii="Arial" w:hAnsi="Arial" w:cs="Arial"/>
          <w:sz w:val="22"/>
          <w:szCs w:val="22"/>
          <w:lang w:val="en-GB"/>
        </w:rPr>
        <w:t xml:space="preserve"> </w:t>
      </w:r>
    </w:p>
    <w:p w14:paraId="1EB106F1" w14:textId="77777777" w:rsidR="00E9597C" w:rsidRPr="00976666" w:rsidRDefault="00E9597C" w:rsidP="00C55824">
      <w:pPr>
        <w:jc w:val="both"/>
        <w:rPr>
          <w:rFonts w:ascii="Arial" w:hAnsi="Arial" w:cs="Arial"/>
          <w:sz w:val="22"/>
          <w:szCs w:val="22"/>
          <w:lang w:val="en-GB"/>
        </w:rPr>
      </w:pPr>
    </w:p>
    <w:p w14:paraId="08640493" w14:textId="70AA88B2" w:rsidR="00E86A87" w:rsidRPr="00976666" w:rsidRDefault="004A7773" w:rsidP="00E86A87">
      <w:pPr>
        <w:ind w:left="720" w:hanging="720"/>
        <w:rPr>
          <w:rFonts w:ascii="Arial" w:hAnsi="Arial" w:cs="Arial"/>
          <w:sz w:val="22"/>
          <w:szCs w:val="22"/>
          <w:lang w:val="en-GB"/>
        </w:rPr>
      </w:pPr>
      <w:r w:rsidRPr="00FD47A2">
        <w:rPr>
          <w:rFonts w:ascii="Arial" w:hAnsi="Arial" w:cs="Arial"/>
          <w:b/>
          <w:bCs/>
          <w:sz w:val="22"/>
          <w:szCs w:val="22"/>
          <w:u w:val="single"/>
          <w:lang w:val="en-GB"/>
        </w:rPr>
        <w:t>How long</w:t>
      </w:r>
      <w:r w:rsidRPr="00976666">
        <w:rPr>
          <w:rFonts w:ascii="Arial" w:hAnsi="Arial" w:cs="Arial"/>
          <w:sz w:val="22"/>
          <w:szCs w:val="22"/>
          <w:lang w:val="en-GB"/>
        </w:rPr>
        <w:t xml:space="preserve"> is the compliance period (timeframe) for </w:t>
      </w:r>
      <w:r w:rsidR="00046823">
        <w:rPr>
          <w:rFonts w:ascii="Arial" w:hAnsi="Arial" w:cs="Arial"/>
          <w:sz w:val="22"/>
          <w:szCs w:val="22"/>
          <w:lang w:val="en-GB"/>
        </w:rPr>
        <w:t xml:space="preserve">the </w:t>
      </w:r>
      <w:r w:rsidRPr="00976666">
        <w:rPr>
          <w:rFonts w:ascii="Arial" w:hAnsi="Arial" w:cs="Arial"/>
          <w:sz w:val="22"/>
          <w:szCs w:val="22"/>
          <w:lang w:val="en-GB"/>
        </w:rPr>
        <w:t>discharge of residual debt?</w:t>
      </w:r>
    </w:p>
    <w:p w14:paraId="001037A6" w14:textId="77777777" w:rsidR="00E86A87" w:rsidRPr="00976666" w:rsidRDefault="00E86A87" w:rsidP="00C55824">
      <w:pPr>
        <w:jc w:val="both"/>
        <w:rPr>
          <w:rFonts w:ascii="Arial" w:hAnsi="Arial" w:cs="Arial"/>
          <w:sz w:val="22"/>
          <w:szCs w:val="22"/>
          <w:lang w:val="en-GB"/>
        </w:rPr>
      </w:pPr>
    </w:p>
    <w:p w14:paraId="09339048" w14:textId="38FC6971" w:rsidR="00E86A87" w:rsidRPr="00976666" w:rsidRDefault="004A7773" w:rsidP="00D4592B">
      <w:pPr>
        <w:pStyle w:val="ListParagraph"/>
        <w:numPr>
          <w:ilvl w:val="0"/>
          <w:numId w:val="29"/>
        </w:numPr>
        <w:ind w:left="426"/>
        <w:rPr>
          <w:rFonts w:ascii="Arial" w:hAnsi="Arial" w:cs="Arial"/>
          <w:sz w:val="22"/>
          <w:szCs w:val="22"/>
          <w:lang w:val="en-GB"/>
        </w:rPr>
      </w:pPr>
      <w:r w:rsidRPr="00976666">
        <w:rPr>
          <w:rFonts w:ascii="Arial" w:hAnsi="Arial" w:cs="Arial"/>
          <w:sz w:val="22"/>
          <w:szCs w:val="22"/>
          <w:lang w:val="en-GB"/>
        </w:rPr>
        <w:t>Seven years</w:t>
      </w:r>
      <w:r w:rsidR="005F75C3" w:rsidRPr="00976666">
        <w:rPr>
          <w:rFonts w:ascii="Arial" w:hAnsi="Arial" w:cs="Arial"/>
          <w:sz w:val="22"/>
          <w:szCs w:val="22"/>
          <w:lang w:val="en-GB"/>
        </w:rPr>
        <w:t>.</w:t>
      </w:r>
    </w:p>
    <w:p w14:paraId="14B8B2DE" w14:textId="77777777" w:rsidR="00D4592B" w:rsidRPr="00976666" w:rsidRDefault="00D4592B" w:rsidP="00D4592B">
      <w:pPr>
        <w:ind w:left="426" w:hanging="284"/>
        <w:rPr>
          <w:rFonts w:ascii="Arial" w:hAnsi="Arial" w:cs="Arial"/>
          <w:sz w:val="22"/>
          <w:szCs w:val="22"/>
          <w:lang w:val="en-GB"/>
        </w:rPr>
      </w:pPr>
    </w:p>
    <w:p w14:paraId="1A32DDBF" w14:textId="353BB143" w:rsidR="00E86A87" w:rsidRPr="00976666" w:rsidRDefault="004A7773" w:rsidP="00D4592B">
      <w:pPr>
        <w:pStyle w:val="ListParagraph"/>
        <w:numPr>
          <w:ilvl w:val="0"/>
          <w:numId w:val="29"/>
        </w:numPr>
        <w:ind w:left="426"/>
        <w:rPr>
          <w:rFonts w:ascii="Arial" w:hAnsi="Arial" w:cs="Arial"/>
          <w:sz w:val="22"/>
          <w:szCs w:val="22"/>
          <w:lang w:val="en-GB"/>
        </w:rPr>
      </w:pPr>
      <w:r w:rsidRPr="00976666">
        <w:rPr>
          <w:rFonts w:ascii="Arial" w:hAnsi="Arial" w:cs="Arial"/>
          <w:sz w:val="22"/>
          <w:szCs w:val="22"/>
          <w:lang w:val="en-GB"/>
        </w:rPr>
        <w:t>Six years</w:t>
      </w:r>
      <w:r w:rsidR="005F75C3" w:rsidRPr="00976666">
        <w:rPr>
          <w:rFonts w:ascii="Arial" w:hAnsi="Arial" w:cs="Arial"/>
          <w:sz w:val="22"/>
          <w:szCs w:val="22"/>
          <w:lang w:val="en-GB"/>
        </w:rPr>
        <w:t>.</w:t>
      </w:r>
    </w:p>
    <w:p w14:paraId="3E107FA1" w14:textId="77777777" w:rsidR="00D4592B" w:rsidRPr="00976666" w:rsidRDefault="00D4592B" w:rsidP="00D4592B">
      <w:pPr>
        <w:ind w:left="426" w:hanging="284"/>
        <w:rPr>
          <w:rFonts w:ascii="Arial" w:hAnsi="Arial" w:cs="Arial"/>
          <w:sz w:val="22"/>
          <w:szCs w:val="22"/>
          <w:lang w:val="en-GB"/>
        </w:rPr>
      </w:pPr>
    </w:p>
    <w:p w14:paraId="2C71A360" w14:textId="3ED3CA67" w:rsidR="00E86A87" w:rsidRPr="00F233C0" w:rsidRDefault="004A7773" w:rsidP="00D4592B">
      <w:pPr>
        <w:pStyle w:val="ListParagraph"/>
        <w:numPr>
          <w:ilvl w:val="0"/>
          <w:numId w:val="29"/>
        </w:numPr>
        <w:ind w:left="426"/>
        <w:rPr>
          <w:rFonts w:ascii="Arial" w:hAnsi="Arial" w:cs="Arial"/>
          <w:sz w:val="22"/>
          <w:szCs w:val="22"/>
          <w:highlight w:val="yellow"/>
          <w:lang w:val="en-GB"/>
        </w:rPr>
      </w:pPr>
      <w:r w:rsidRPr="00F233C0">
        <w:rPr>
          <w:rFonts w:ascii="Arial" w:hAnsi="Arial" w:cs="Arial"/>
          <w:sz w:val="22"/>
          <w:szCs w:val="22"/>
          <w:highlight w:val="yellow"/>
          <w:lang w:val="en-GB"/>
        </w:rPr>
        <w:t>Three years</w:t>
      </w:r>
      <w:r w:rsidR="005F75C3" w:rsidRPr="00F233C0">
        <w:rPr>
          <w:rFonts w:ascii="Arial" w:hAnsi="Arial" w:cs="Arial"/>
          <w:sz w:val="22"/>
          <w:szCs w:val="22"/>
          <w:highlight w:val="yellow"/>
          <w:lang w:val="en-GB"/>
        </w:rPr>
        <w:t>.</w:t>
      </w:r>
    </w:p>
    <w:p w14:paraId="2040BB55" w14:textId="77777777" w:rsidR="00D4592B" w:rsidRPr="00976666" w:rsidRDefault="00D4592B" w:rsidP="00D4592B">
      <w:pPr>
        <w:ind w:left="426" w:hanging="284"/>
        <w:rPr>
          <w:rFonts w:ascii="Arial" w:hAnsi="Arial" w:cs="Arial"/>
          <w:sz w:val="22"/>
          <w:szCs w:val="22"/>
          <w:lang w:val="en-GB"/>
        </w:rPr>
      </w:pPr>
    </w:p>
    <w:p w14:paraId="1E9569FF" w14:textId="2B889BA3" w:rsidR="00E86A87" w:rsidRPr="00976666" w:rsidRDefault="004A7773" w:rsidP="00D4592B">
      <w:pPr>
        <w:pStyle w:val="ListParagraph"/>
        <w:numPr>
          <w:ilvl w:val="0"/>
          <w:numId w:val="29"/>
        </w:numPr>
        <w:ind w:left="426"/>
        <w:rPr>
          <w:rFonts w:ascii="Arial" w:hAnsi="Arial" w:cs="Arial"/>
          <w:sz w:val="22"/>
          <w:szCs w:val="22"/>
          <w:lang w:val="en-GB"/>
        </w:rPr>
      </w:pPr>
      <w:r w:rsidRPr="00976666">
        <w:rPr>
          <w:rFonts w:ascii="Arial" w:hAnsi="Arial" w:cs="Arial"/>
          <w:sz w:val="22"/>
          <w:szCs w:val="22"/>
          <w:lang w:val="en-GB"/>
        </w:rPr>
        <w:t>One year</w:t>
      </w:r>
      <w:r w:rsidR="005F75C3" w:rsidRPr="00976666">
        <w:rPr>
          <w:rFonts w:ascii="Arial" w:hAnsi="Arial" w:cs="Arial"/>
          <w:sz w:val="22"/>
          <w:szCs w:val="22"/>
          <w:lang w:val="en-GB"/>
        </w:rPr>
        <w:t>.</w:t>
      </w:r>
    </w:p>
    <w:p w14:paraId="747B48AD" w14:textId="67B3F1F5" w:rsidR="004A7773" w:rsidRPr="00193129" w:rsidRDefault="004A7773" w:rsidP="0020090A">
      <w:pPr>
        <w:keepNext/>
        <w:jc w:val="both"/>
        <w:rPr>
          <w:rFonts w:ascii="Arial" w:hAnsi="Arial" w:cs="Arial"/>
          <w:b/>
          <w:bCs/>
          <w:sz w:val="22"/>
          <w:szCs w:val="22"/>
          <w:highlight w:val="cyan"/>
          <w:lang w:val="fr-CA"/>
        </w:rPr>
      </w:pPr>
    </w:p>
    <w:p w14:paraId="33F29F47" w14:textId="12201967" w:rsidR="00E9597C" w:rsidRPr="00976666" w:rsidRDefault="00E9597C" w:rsidP="0020090A">
      <w:pPr>
        <w:keepNext/>
        <w:jc w:val="both"/>
        <w:rPr>
          <w:rFonts w:ascii="Arial" w:hAnsi="Arial" w:cs="Arial"/>
          <w:sz w:val="22"/>
          <w:szCs w:val="22"/>
          <w:lang w:val="en-GB"/>
        </w:rPr>
      </w:pPr>
      <w:r w:rsidRPr="00976666">
        <w:rPr>
          <w:rFonts w:ascii="Arial" w:hAnsi="Arial" w:cs="Arial"/>
          <w:b/>
          <w:bCs/>
          <w:sz w:val="22"/>
          <w:szCs w:val="22"/>
          <w:lang w:val="en-GB"/>
        </w:rPr>
        <w:t>Question 1.10</w:t>
      </w:r>
      <w:r w:rsidR="006F4A78" w:rsidRPr="00976666">
        <w:rPr>
          <w:rFonts w:ascii="Arial" w:hAnsi="Arial" w:cs="Arial"/>
          <w:sz w:val="22"/>
          <w:szCs w:val="22"/>
          <w:lang w:val="en-GB"/>
        </w:rPr>
        <w:t xml:space="preserve"> </w:t>
      </w:r>
    </w:p>
    <w:p w14:paraId="7DD53564" w14:textId="77777777" w:rsidR="00E9597C" w:rsidRPr="00976666" w:rsidRDefault="00E9597C" w:rsidP="0020090A">
      <w:pPr>
        <w:keepNext/>
        <w:jc w:val="both"/>
        <w:rPr>
          <w:rFonts w:ascii="Arial" w:hAnsi="Arial" w:cs="Arial"/>
          <w:sz w:val="22"/>
          <w:szCs w:val="22"/>
          <w:lang w:val="en-GB"/>
        </w:rPr>
      </w:pPr>
    </w:p>
    <w:p w14:paraId="776E2BEB" w14:textId="036F5B1B" w:rsidR="00E86A87" w:rsidRPr="00976666" w:rsidRDefault="00976666" w:rsidP="00E86A87">
      <w:pPr>
        <w:ind w:left="720" w:hanging="720"/>
        <w:rPr>
          <w:rFonts w:ascii="Arial" w:hAnsi="Arial" w:cs="Arial"/>
          <w:sz w:val="22"/>
          <w:szCs w:val="22"/>
          <w:lang w:val="en-GB"/>
        </w:rPr>
      </w:pPr>
      <w:r>
        <w:rPr>
          <w:rFonts w:ascii="Arial" w:hAnsi="Arial" w:cs="Arial"/>
          <w:sz w:val="22"/>
          <w:szCs w:val="22"/>
          <w:lang w:val="en-GB"/>
        </w:rPr>
        <w:t>Wh</w:t>
      </w:r>
      <w:r w:rsidR="00046823">
        <w:rPr>
          <w:rFonts w:ascii="Arial" w:hAnsi="Arial" w:cs="Arial"/>
          <w:sz w:val="22"/>
          <w:szCs w:val="22"/>
          <w:lang w:val="en-GB"/>
        </w:rPr>
        <w:t>ich</w:t>
      </w:r>
      <w:r>
        <w:rPr>
          <w:rFonts w:ascii="Arial" w:hAnsi="Arial" w:cs="Arial"/>
          <w:sz w:val="22"/>
          <w:szCs w:val="22"/>
          <w:lang w:val="en-GB"/>
        </w:rPr>
        <w:t xml:space="preserve"> of the following is a general prerequisite for transactions avoidance</w:t>
      </w:r>
      <w:r w:rsidR="00F54BA3" w:rsidRPr="00976666">
        <w:rPr>
          <w:rFonts w:ascii="Arial" w:hAnsi="Arial" w:cs="Arial"/>
          <w:sz w:val="22"/>
          <w:szCs w:val="22"/>
          <w:lang w:val="en-GB"/>
        </w:rPr>
        <w:t>?</w:t>
      </w:r>
    </w:p>
    <w:p w14:paraId="5897DA78" w14:textId="77777777" w:rsidR="00E86A87" w:rsidRPr="00976666" w:rsidRDefault="00E86A87" w:rsidP="00E86A87">
      <w:pPr>
        <w:ind w:left="720" w:hanging="720"/>
        <w:rPr>
          <w:rFonts w:ascii="Arial" w:hAnsi="Arial" w:cs="Arial"/>
          <w:sz w:val="22"/>
          <w:szCs w:val="22"/>
          <w:lang w:val="en-GB"/>
        </w:rPr>
      </w:pPr>
    </w:p>
    <w:p w14:paraId="54A5106C" w14:textId="513FB3BC" w:rsidR="00E86A87" w:rsidRPr="00976666" w:rsidRDefault="00976666" w:rsidP="00D4592B">
      <w:pPr>
        <w:pStyle w:val="ListParagraph"/>
        <w:numPr>
          <w:ilvl w:val="0"/>
          <w:numId w:val="31"/>
        </w:numPr>
        <w:ind w:left="426"/>
        <w:rPr>
          <w:rFonts w:ascii="Arial" w:hAnsi="Arial" w:cs="Arial"/>
          <w:sz w:val="22"/>
          <w:szCs w:val="22"/>
          <w:lang w:val="en-GB"/>
        </w:rPr>
      </w:pPr>
      <w:r>
        <w:rPr>
          <w:rFonts w:ascii="Arial" w:hAnsi="Arial" w:cs="Arial"/>
          <w:sz w:val="22"/>
          <w:szCs w:val="22"/>
          <w:lang w:val="en-GB"/>
        </w:rPr>
        <w:t>Substantive insolvency of the debtor</w:t>
      </w:r>
      <w:r w:rsidR="002B40FB" w:rsidRPr="00976666">
        <w:rPr>
          <w:rFonts w:ascii="Arial" w:hAnsi="Arial" w:cs="Arial"/>
          <w:sz w:val="22"/>
          <w:szCs w:val="22"/>
          <w:lang w:val="en-GB"/>
        </w:rPr>
        <w:t>.</w:t>
      </w:r>
    </w:p>
    <w:p w14:paraId="24AA457C" w14:textId="77777777" w:rsidR="00D4592B" w:rsidRPr="00976666" w:rsidRDefault="00D4592B" w:rsidP="00D4592B">
      <w:pPr>
        <w:ind w:left="426" w:hanging="284"/>
        <w:rPr>
          <w:rFonts w:ascii="Arial" w:hAnsi="Arial" w:cs="Arial"/>
          <w:sz w:val="22"/>
          <w:szCs w:val="22"/>
          <w:lang w:val="en-GB"/>
        </w:rPr>
      </w:pPr>
    </w:p>
    <w:p w14:paraId="5B73EF7A" w14:textId="1A1B5157" w:rsidR="00E86A87" w:rsidRPr="001E37B7" w:rsidRDefault="00976666" w:rsidP="00D4592B">
      <w:pPr>
        <w:pStyle w:val="ListParagraph"/>
        <w:numPr>
          <w:ilvl w:val="0"/>
          <w:numId w:val="31"/>
        </w:numPr>
        <w:ind w:left="426"/>
        <w:rPr>
          <w:rFonts w:ascii="Arial" w:hAnsi="Arial" w:cs="Arial"/>
          <w:sz w:val="22"/>
          <w:szCs w:val="22"/>
          <w:highlight w:val="yellow"/>
          <w:lang w:val="en-GB"/>
        </w:rPr>
      </w:pPr>
      <w:r w:rsidRPr="001E37B7">
        <w:rPr>
          <w:rFonts w:ascii="Arial" w:hAnsi="Arial" w:cs="Arial"/>
          <w:sz w:val="22"/>
          <w:szCs w:val="22"/>
          <w:highlight w:val="yellow"/>
          <w:lang w:val="en-GB"/>
        </w:rPr>
        <w:t>Disadvantage for the general body of creditors</w:t>
      </w:r>
      <w:r w:rsidR="002B40FB" w:rsidRPr="001E37B7">
        <w:rPr>
          <w:rFonts w:ascii="Arial" w:hAnsi="Arial" w:cs="Arial"/>
          <w:sz w:val="22"/>
          <w:szCs w:val="22"/>
          <w:highlight w:val="yellow"/>
          <w:lang w:val="en-GB"/>
        </w:rPr>
        <w:t>.</w:t>
      </w:r>
    </w:p>
    <w:p w14:paraId="1505AD63" w14:textId="77777777" w:rsidR="00D4592B" w:rsidRPr="00976666" w:rsidRDefault="00D4592B" w:rsidP="00D4592B">
      <w:pPr>
        <w:ind w:left="426" w:hanging="284"/>
        <w:rPr>
          <w:rFonts w:ascii="Arial" w:hAnsi="Arial" w:cs="Arial"/>
          <w:sz w:val="22"/>
          <w:szCs w:val="22"/>
          <w:lang w:val="en-GB"/>
        </w:rPr>
      </w:pPr>
    </w:p>
    <w:p w14:paraId="09B6F8E9" w14:textId="3894E8CA" w:rsidR="00E86A87" w:rsidRPr="00976666" w:rsidRDefault="00976666" w:rsidP="00D4592B">
      <w:pPr>
        <w:pStyle w:val="ListParagraph"/>
        <w:numPr>
          <w:ilvl w:val="0"/>
          <w:numId w:val="31"/>
        </w:numPr>
        <w:ind w:left="426"/>
        <w:rPr>
          <w:rFonts w:ascii="Arial" w:hAnsi="Arial" w:cs="Arial"/>
          <w:sz w:val="22"/>
          <w:szCs w:val="22"/>
          <w:lang w:val="en-GB"/>
        </w:rPr>
      </w:pPr>
      <w:r>
        <w:rPr>
          <w:rFonts w:ascii="Arial" w:hAnsi="Arial" w:cs="Arial"/>
          <w:sz w:val="22"/>
          <w:szCs w:val="22"/>
          <w:lang w:val="en-GB"/>
        </w:rPr>
        <w:t xml:space="preserve">Opponent’s knowledge of </w:t>
      </w:r>
      <w:r w:rsidR="000F1108">
        <w:rPr>
          <w:rFonts w:ascii="Arial" w:hAnsi="Arial" w:cs="Arial"/>
          <w:sz w:val="22"/>
          <w:szCs w:val="22"/>
          <w:lang w:val="en-GB"/>
        </w:rPr>
        <w:t>the disadvantage of the general body of creditors</w:t>
      </w:r>
      <w:r w:rsidR="002B40FB" w:rsidRPr="00976666">
        <w:rPr>
          <w:rFonts w:ascii="Arial" w:hAnsi="Arial" w:cs="Arial"/>
          <w:sz w:val="22"/>
          <w:szCs w:val="22"/>
          <w:lang w:val="en-GB"/>
        </w:rPr>
        <w:t>.</w:t>
      </w:r>
    </w:p>
    <w:p w14:paraId="51DB811E" w14:textId="77777777" w:rsidR="00D4592B" w:rsidRPr="00976666" w:rsidRDefault="00D4592B" w:rsidP="00D4592B">
      <w:pPr>
        <w:ind w:left="426" w:hanging="284"/>
        <w:rPr>
          <w:rFonts w:ascii="Arial" w:hAnsi="Arial" w:cs="Arial"/>
          <w:sz w:val="22"/>
          <w:szCs w:val="22"/>
          <w:lang w:val="en-GB"/>
        </w:rPr>
      </w:pPr>
    </w:p>
    <w:p w14:paraId="4B77B11A" w14:textId="0B31305B" w:rsidR="00C55824" w:rsidRPr="00976666" w:rsidRDefault="000F1108" w:rsidP="00D4592B">
      <w:pPr>
        <w:pStyle w:val="ListParagraph"/>
        <w:numPr>
          <w:ilvl w:val="0"/>
          <w:numId w:val="31"/>
        </w:numPr>
        <w:ind w:left="426"/>
        <w:rPr>
          <w:rFonts w:ascii="Arial" w:hAnsi="Arial" w:cs="Arial"/>
          <w:sz w:val="22"/>
          <w:szCs w:val="22"/>
          <w:lang w:val="en-GB"/>
        </w:rPr>
      </w:pPr>
      <w:r>
        <w:rPr>
          <w:rFonts w:ascii="Arial" w:hAnsi="Arial" w:cs="Arial"/>
          <w:sz w:val="22"/>
          <w:szCs w:val="22"/>
          <w:lang w:val="en-GB"/>
        </w:rPr>
        <w:t>Opponent is a creditor.</w:t>
      </w:r>
    </w:p>
    <w:p w14:paraId="086004A0" w14:textId="77777777" w:rsidR="00AE5655" w:rsidRPr="00193129" w:rsidRDefault="00AE5655" w:rsidP="002A37BB">
      <w:pPr>
        <w:jc w:val="both"/>
        <w:rPr>
          <w:rFonts w:ascii="Arial" w:hAnsi="Arial" w:cs="Arial"/>
          <w:bCs/>
          <w:sz w:val="22"/>
          <w:szCs w:val="22"/>
          <w:highlight w:val="cyan"/>
          <w:lang w:val="en-GB"/>
        </w:rPr>
      </w:pPr>
    </w:p>
    <w:p w14:paraId="669E1948" w14:textId="77777777" w:rsidR="00AE5655" w:rsidRPr="00193129" w:rsidRDefault="00AE5655" w:rsidP="002A37BB">
      <w:pPr>
        <w:jc w:val="both"/>
        <w:rPr>
          <w:rFonts w:ascii="Arial" w:hAnsi="Arial" w:cs="Arial"/>
          <w:bCs/>
          <w:sz w:val="22"/>
          <w:szCs w:val="22"/>
          <w:highlight w:val="cyan"/>
          <w:lang w:val="en-GB"/>
        </w:rPr>
      </w:pPr>
    </w:p>
    <w:p w14:paraId="5D5B6D19" w14:textId="77777777" w:rsidR="00962045" w:rsidRPr="00E349CE" w:rsidRDefault="00DF75F8" w:rsidP="002A37BB">
      <w:pPr>
        <w:jc w:val="both"/>
        <w:rPr>
          <w:rFonts w:ascii="Arial" w:hAnsi="Arial" w:cs="Arial"/>
          <w:b/>
          <w:sz w:val="22"/>
          <w:szCs w:val="22"/>
          <w:lang w:val="en-GB"/>
        </w:rPr>
      </w:pPr>
      <w:r w:rsidRPr="00E349CE">
        <w:rPr>
          <w:rFonts w:ascii="Arial" w:hAnsi="Arial" w:cs="Arial"/>
          <w:b/>
          <w:sz w:val="22"/>
          <w:szCs w:val="22"/>
          <w:lang w:val="en-GB"/>
        </w:rPr>
        <w:t>QUESTION 2</w:t>
      </w:r>
      <w:r w:rsidR="00962045" w:rsidRPr="00E349CE">
        <w:rPr>
          <w:rFonts w:ascii="Arial" w:hAnsi="Arial" w:cs="Arial"/>
          <w:b/>
          <w:sz w:val="22"/>
          <w:szCs w:val="22"/>
          <w:lang w:val="en-GB"/>
        </w:rPr>
        <w:t xml:space="preserve"> (direct questions) [10 marks] </w:t>
      </w:r>
    </w:p>
    <w:p w14:paraId="17755178" w14:textId="77777777" w:rsidR="00962045" w:rsidRPr="00E349CE" w:rsidRDefault="00962045" w:rsidP="002A37BB">
      <w:pPr>
        <w:ind w:left="720" w:hanging="720"/>
        <w:jc w:val="both"/>
        <w:rPr>
          <w:rFonts w:ascii="Arial" w:hAnsi="Arial" w:cs="Arial"/>
          <w:sz w:val="22"/>
          <w:szCs w:val="22"/>
          <w:lang w:val="en-GB"/>
        </w:rPr>
      </w:pPr>
    </w:p>
    <w:p w14:paraId="0AC325F7" w14:textId="77777777" w:rsidR="002C13C8" w:rsidRPr="00E349CE" w:rsidRDefault="002C13C8" w:rsidP="002A37BB">
      <w:pPr>
        <w:ind w:left="720" w:hanging="720"/>
        <w:jc w:val="both"/>
        <w:rPr>
          <w:rFonts w:ascii="Arial" w:hAnsi="Arial" w:cs="Arial"/>
          <w:sz w:val="22"/>
          <w:szCs w:val="22"/>
          <w:lang w:val="en-GB"/>
        </w:rPr>
      </w:pPr>
      <w:r w:rsidRPr="00E349CE">
        <w:rPr>
          <w:rFonts w:ascii="Arial" w:hAnsi="Arial" w:cs="Arial"/>
          <w:b/>
          <w:bCs/>
          <w:sz w:val="22"/>
          <w:szCs w:val="22"/>
          <w:lang w:val="en-GB"/>
        </w:rPr>
        <w:t xml:space="preserve">Question </w:t>
      </w:r>
      <w:r w:rsidR="00962045" w:rsidRPr="00E349CE">
        <w:rPr>
          <w:rFonts w:ascii="Arial" w:hAnsi="Arial" w:cs="Arial"/>
          <w:b/>
          <w:bCs/>
          <w:sz w:val="22"/>
          <w:szCs w:val="22"/>
          <w:lang w:val="en-GB"/>
        </w:rPr>
        <w:t>2.1</w:t>
      </w:r>
      <w:r w:rsidR="00962045" w:rsidRPr="00E349CE">
        <w:rPr>
          <w:rFonts w:ascii="Arial" w:hAnsi="Arial" w:cs="Arial"/>
          <w:b/>
          <w:bCs/>
          <w:sz w:val="22"/>
          <w:szCs w:val="22"/>
          <w:lang w:val="en-GB"/>
        </w:rPr>
        <w:tab/>
      </w:r>
      <w:r w:rsidR="00DE03AF" w:rsidRPr="00E349CE">
        <w:rPr>
          <w:rFonts w:ascii="Arial" w:hAnsi="Arial" w:cs="Arial"/>
          <w:b/>
          <w:bCs/>
          <w:sz w:val="22"/>
          <w:szCs w:val="22"/>
          <w:lang w:val="en-GB"/>
        </w:rPr>
        <w:t>[</w:t>
      </w:r>
      <w:r w:rsidR="00D17FDC" w:rsidRPr="00E349CE">
        <w:rPr>
          <w:rFonts w:ascii="Arial" w:hAnsi="Arial" w:cs="Arial"/>
          <w:b/>
          <w:bCs/>
          <w:sz w:val="22"/>
          <w:szCs w:val="22"/>
          <w:lang w:val="en-GB"/>
        </w:rPr>
        <w:t>m</w:t>
      </w:r>
      <w:r w:rsidR="00DE03AF" w:rsidRPr="00E349CE">
        <w:rPr>
          <w:rFonts w:ascii="Arial" w:hAnsi="Arial" w:cs="Arial"/>
          <w:b/>
          <w:bCs/>
          <w:sz w:val="22"/>
          <w:szCs w:val="22"/>
          <w:lang w:val="en-GB"/>
        </w:rPr>
        <w:t xml:space="preserve">aximum </w:t>
      </w:r>
      <w:r w:rsidR="00C34152" w:rsidRPr="00E349CE">
        <w:rPr>
          <w:rFonts w:ascii="Arial" w:hAnsi="Arial" w:cs="Arial"/>
          <w:b/>
          <w:bCs/>
          <w:sz w:val="22"/>
          <w:szCs w:val="22"/>
          <w:lang w:val="en-GB"/>
        </w:rPr>
        <w:t>3</w:t>
      </w:r>
      <w:r w:rsidR="00DE03AF" w:rsidRPr="00E349CE">
        <w:rPr>
          <w:rFonts w:ascii="Arial" w:hAnsi="Arial" w:cs="Arial"/>
          <w:b/>
          <w:bCs/>
          <w:sz w:val="22"/>
          <w:szCs w:val="22"/>
          <w:lang w:val="en-GB"/>
        </w:rPr>
        <w:t xml:space="preserve"> marks]</w:t>
      </w:r>
      <w:r w:rsidR="00DE03AF" w:rsidRPr="00E349CE">
        <w:rPr>
          <w:rFonts w:ascii="Arial" w:hAnsi="Arial" w:cs="Arial"/>
          <w:sz w:val="22"/>
          <w:szCs w:val="22"/>
          <w:lang w:val="en-GB"/>
        </w:rPr>
        <w:t xml:space="preserve"> </w:t>
      </w:r>
    </w:p>
    <w:p w14:paraId="7B941F23" w14:textId="77777777" w:rsidR="002C13C8" w:rsidRPr="00E349CE" w:rsidRDefault="002C13C8" w:rsidP="002A37BB">
      <w:pPr>
        <w:ind w:left="720" w:hanging="720"/>
        <w:jc w:val="both"/>
        <w:rPr>
          <w:rFonts w:ascii="Arial" w:hAnsi="Arial" w:cs="Arial"/>
          <w:sz w:val="22"/>
          <w:szCs w:val="22"/>
          <w:lang w:val="en-GB"/>
        </w:rPr>
      </w:pPr>
    </w:p>
    <w:p w14:paraId="7C7B7A92" w14:textId="1DB32A30" w:rsidR="0020090A" w:rsidRPr="00E349CE" w:rsidRDefault="00E349CE" w:rsidP="00C34152">
      <w:pPr>
        <w:jc w:val="both"/>
        <w:rPr>
          <w:rFonts w:ascii="Arial" w:hAnsi="Arial" w:cs="Arial"/>
          <w:sz w:val="22"/>
          <w:szCs w:val="22"/>
          <w:lang w:val="en-GB"/>
        </w:rPr>
      </w:pPr>
      <w:r>
        <w:rPr>
          <w:rFonts w:ascii="Arial" w:hAnsi="Arial" w:cs="Arial"/>
          <w:sz w:val="22"/>
          <w:szCs w:val="22"/>
          <w:lang w:val="en-GB"/>
        </w:rPr>
        <w:t xml:space="preserve">How is “insolvency” defined in the </w:t>
      </w:r>
      <w:proofErr w:type="spellStart"/>
      <w:r w:rsidRPr="009F4558">
        <w:rPr>
          <w:rFonts w:ascii="Arial" w:hAnsi="Arial" w:cs="Arial"/>
          <w:i/>
          <w:iCs/>
          <w:sz w:val="22"/>
          <w:szCs w:val="22"/>
          <w:lang w:val="en-GB"/>
        </w:rPr>
        <w:t>Insolvenzordnung</w:t>
      </w:r>
      <w:proofErr w:type="spellEnd"/>
      <w:r w:rsidR="00C34152" w:rsidRPr="00E349CE">
        <w:rPr>
          <w:rFonts w:ascii="Arial" w:hAnsi="Arial" w:cs="Arial"/>
          <w:sz w:val="22"/>
          <w:szCs w:val="22"/>
          <w:lang w:val="en-GB"/>
        </w:rPr>
        <w:t>?</w:t>
      </w:r>
    </w:p>
    <w:p w14:paraId="1B950D69" w14:textId="385F31CD" w:rsidR="00943E7F" w:rsidRDefault="00943E7F" w:rsidP="00C34152">
      <w:pPr>
        <w:jc w:val="both"/>
        <w:rPr>
          <w:rFonts w:ascii="Arial" w:hAnsi="Arial" w:cs="Arial"/>
          <w:sz w:val="22"/>
          <w:szCs w:val="22"/>
          <w:lang w:val="en-GB"/>
        </w:rPr>
      </w:pPr>
    </w:p>
    <w:p w14:paraId="370663CF" w14:textId="624BEBED" w:rsidR="003F6DA2" w:rsidRDefault="005651A8" w:rsidP="00C34152">
      <w:pPr>
        <w:jc w:val="both"/>
        <w:rPr>
          <w:rFonts w:ascii="Arial" w:hAnsi="Arial" w:cs="Arial"/>
          <w:i/>
          <w:iCs/>
          <w:color w:val="A6A6A6" w:themeColor="background1" w:themeShade="A6"/>
          <w:sz w:val="22"/>
          <w:szCs w:val="22"/>
          <w:lang w:val="en-GB"/>
        </w:rPr>
      </w:pPr>
      <w:r>
        <w:rPr>
          <w:rFonts w:ascii="Arial" w:hAnsi="Arial" w:cs="Arial"/>
          <w:color w:val="A6A6A6" w:themeColor="background1" w:themeShade="A6"/>
          <w:sz w:val="22"/>
          <w:szCs w:val="22"/>
          <w:lang w:val="en-GB"/>
        </w:rPr>
        <w:t xml:space="preserve">“Insolvency” can take 3 forms in the </w:t>
      </w:r>
      <w:proofErr w:type="spellStart"/>
      <w:r w:rsidRPr="005651A8">
        <w:rPr>
          <w:rFonts w:ascii="Arial" w:hAnsi="Arial" w:cs="Arial"/>
          <w:i/>
          <w:iCs/>
          <w:color w:val="A6A6A6" w:themeColor="background1" w:themeShade="A6"/>
          <w:sz w:val="22"/>
          <w:szCs w:val="22"/>
          <w:lang w:val="en-GB"/>
        </w:rPr>
        <w:t>Insolvenzordnung</w:t>
      </w:r>
      <w:proofErr w:type="spellEnd"/>
      <w:r>
        <w:rPr>
          <w:rFonts w:ascii="Arial" w:hAnsi="Arial" w:cs="Arial"/>
          <w:i/>
          <w:iCs/>
          <w:color w:val="A6A6A6" w:themeColor="background1" w:themeShade="A6"/>
          <w:sz w:val="22"/>
          <w:szCs w:val="22"/>
          <w:lang w:val="en-GB"/>
        </w:rPr>
        <w:t>:</w:t>
      </w:r>
    </w:p>
    <w:p w14:paraId="15A6D956" w14:textId="44505599" w:rsidR="005651A8" w:rsidRDefault="006D182A" w:rsidP="005651A8">
      <w:pPr>
        <w:pStyle w:val="ListParagraph"/>
        <w:numPr>
          <w:ilvl w:val="0"/>
          <w:numId w:val="33"/>
        </w:numPr>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Inability to pay debts as they fall due, also known as cash flow insolvency or illiquidity – this is where a debtor </w:t>
      </w:r>
      <w:r w:rsidR="006C4E1C">
        <w:rPr>
          <w:rFonts w:ascii="Arial" w:hAnsi="Arial" w:cs="Arial"/>
          <w:color w:val="A6A6A6" w:themeColor="background1" w:themeShade="A6"/>
          <w:sz w:val="22"/>
          <w:szCs w:val="22"/>
          <w:lang w:val="en-GB"/>
        </w:rPr>
        <w:t xml:space="preserve">consistently </w:t>
      </w:r>
      <w:r>
        <w:rPr>
          <w:rFonts w:ascii="Arial" w:hAnsi="Arial" w:cs="Arial"/>
          <w:color w:val="A6A6A6" w:themeColor="background1" w:themeShade="A6"/>
          <w:sz w:val="22"/>
          <w:szCs w:val="22"/>
          <w:lang w:val="en-GB"/>
        </w:rPr>
        <w:t xml:space="preserve">lacks the funds </w:t>
      </w:r>
      <w:r w:rsidR="006C4E1C">
        <w:rPr>
          <w:rFonts w:ascii="Arial" w:hAnsi="Arial" w:cs="Arial"/>
          <w:color w:val="A6A6A6" w:themeColor="background1" w:themeShade="A6"/>
          <w:sz w:val="22"/>
          <w:szCs w:val="22"/>
          <w:lang w:val="en-GB"/>
        </w:rPr>
        <w:t>to pay a considerable number of its creditors</w:t>
      </w:r>
      <w:r w:rsidR="006B4AE5">
        <w:rPr>
          <w:rFonts w:ascii="Arial" w:hAnsi="Arial" w:cs="Arial"/>
          <w:color w:val="A6A6A6" w:themeColor="background1" w:themeShade="A6"/>
          <w:sz w:val="22"/>
          <w:szCs w:val="22"/>
          <w:lang w:val="en-GB"/>
        </w:rPr>
        <w:t xml:space="preserve"> and </w:t>
      </w:r>
      <w:r w:rsidR="000B0E72">
        <w:rPr>
          <w:rFonts w:ascii="Arial" w:hAnsi="Arial" w:cs="Arial"/>
          <w:color w:val="A6A6A6" w:themeColor="background1" w:themeShade="A6"/>
          <w:sz w:val="22"/>
          <w:szCs w:val="22"/>
          <w:lang w:val="en-GB"/>
        </w:rPr>
        <w:t>payments are delayed by more than 3 weeks;</w:t>
      </w:r>
    </w:p>
    <w:p w14:paraId="58F0AAD1" w14:textId="4B151108" w:rsidR="000B0E72" w:rsidRDefault="000B0E72" w:rsidP="005651A8">
      <w:pPr>
        <w:pStyle w:val="ListParagraph"/>
        <w:numPr>
          <w:ilvl w:val="0"/>
          <w:numId w:val="33"/>
        </w:numPr>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Imminent inability to pay debts – this is where</w:t>
      </w:r>
      <w:r w:rsidR="00A62D01">
        <w:rPr>
          <w:rFonts w:ascii="Arial" w:hAnsi="Arial" w:cs="Arial"/>
          <w:color w:val="A6A6A6" w:themeColor="background1" w:themeShade="A6"/>
          <w:sz w:val="22"/>
          <w:szCs w:val="22"/>
          <w:lang w:val="en-GB"/>
        </w:rPr>
        <w:t xml:space="preserve">, taking into account both liabilities which will mature </w:t>
      </w:r>
      <w:r w:rsidR="001613DF">
        <w:rPr>
          <w:rFonts w:ascii="Arial" w:hAnsi="Arial" w:cs="Arial"/>
          <w:color w:val="A6A6A6" w:themeColor="background1" w:themeShade="A6"/>
          <w:sz w:val="22"/>
          <w:szCs w:val="22"/>
          <w:lang w:val="en-GB"/>
        </w:rPr>
        <w:t xml:space="preserve">within 2 years and sources of income which are likely to be available to the debtor, it remains </w:t>
      </w:r>
      <w:r w:rsidR="00F93060">
        <w:rPr>
          <w:rFonts w:ascii="Arial" w:hAnsi="Arial" w:cs="Arial"/>
          <w:color w:val="A6A6A6" w:themeColor="background1" w:themeShade="A6"/>
          <w:sz w:val="22"/>
          <w:szCs w:val="22"/>
          <w:lang w:val="en-GB"/>
        </w:rPr>
        <w:t>“predominantly likely” that the debtor will be able to pay its debts when due; and</w:t>
      </w:r>
    </w:p>
    <w:p w14:paraId="43644420" w14:textId="4DE83055" w:rsidR="003F6DA2" w:rsidRPr="00CF4E88" w:rsidRDefault="00F93060" w:rsidP="008962D8">
      <w:pPr>
        <w:pStyle w:val="ListParagraph"/>
        <w:numPr>
          <w:ilvl w:val="0"/>
          <w:numId w:val="33"/>
        </w:numPr>
        <w:jc w:val="both"/>
        <w:rPr>
          <w:rFonts w:ascii="Arial" w:hAnsi="Arial" w:cs="Arial"/>
          <w:sz w:val="22"/>
          <w:szCs w:val="22"/>
          <w:lang w:val="en-GB"/>
        </w:rPr>
      </w:pPr>
      <w:proofErr w:type="spellStart"/>
      <w:r w:rsidRPr="00CF4E88">
        <w:rPr>
          <w:rFonts w:ascii="Arial" w:hAnsi="Arial" w:cs="Arial"/>
          <w:color w:val="A6A6A6" w:themeColor="background1" w:themeShade="A6"/>
          <w:sz w:val="22"/>
          <w:szCs w:val="22"/>
          <w:lang w:val="en-GB"/>
        </w:rPr>
        <w:t>Overindebtedness</w:t>
      </w:r>
      <w:proofErr w:type="spellEnd"/>
      <w:r w:rsidRPr="00CF4E88">
        <w:rPr>
          <w:rFonts w:ascii="Arial" w:hAnsi="Arial" w:cs="Arial"/>
          <w:color w:val="A6A6A6" w:themeColor="background1" w:themeShade="A6"/>
          <w:sz w:val="22"/>
          <w:szCs w:val="22"/>
          <w:lang w:val="en-GB"/>
        </w:rPr>
        <w:t xml:space="preserve">, also known as balance sheet insolvency – this is where the </w:t>
      </w:r>
      <w:r w:rsidR="00CF4E88" w:rsidRPr="00CF4E88">
        <w:rPr>
          <w:rFonts w:ascii="Arial" w:hAnsi="Arial" w:cs="Arial"/>
          <w:color w:val="A6A6A6" w:themeColor="background1" w:themeShade="A6"/>
          <w:sz w:val="22"/>
          <w:szCs w:val="22"/>
          <w:lang w:val="en-GB"/>
        </w:rPr>
        <w:t>liabilities of a debtor are greater than its assets.</w:t>
      </w:r>
    </w:p>
    <w:p w14:paraId="6525CC4F" w14:textId="77777777" w:rsidR="00D05CA4" w:rsidRPr="00E349CE" w:rsidRDefault="00D05CA4" w:rsidP="00C34152">
      <w:pPr>
        <w:jc w:val="both"/>
        <w:rPr>
          <w:rFonts w:ascii="Arial" w:hAnsi="Arial" w:cs="Arial"/>
          <w:sz w:val="22"/>
          <w:szCs w:val="22"/>
          <w:lang w:val="en-GB"/>
        </w:rPr>
      </w:pPr>
    </w:p>
    <w:p w14:paraId="1A9D5A4E" w14:textId="77777777" w:rsidR="00C72848" w:rsidRPr="00E349CE" w:rsidRDefault="002C13C8" w:rsidP="002A37BB">
      <w:pPr>
        <w:ind w:left="720" w:hanging="720"/>
        <w:jc w:val="both"/>
        <w:rPr>
          <w:rFonts w:ascii="Arial" w:hAnsi="Arial" w:cs="Arial"/>
          <w:sz w:val="22"/>
          <w:szCs w:val="22"/>
          <w:lang w:val="en-GB"/>
        </w:rPr>
      </w:pPr>
      <w:r w:rsidRPr="00E349CE">
        <w:rPr>
          <w:rFonts w:ascii="Arial" w:hAnsi="Arial" w:cs="Arial"/>
          <w:b/>
          <w:bCs/>
          <w:sz w:val="22"/>
          <w:szCs w:val="22"/>
          <w:lang w:val="en-GB"/>
        </w:rPr>
        <w:lastRenderedPageBreak/>
        <w:t xml:space="preserve">Question </w:t>
      </w:r>
      <w:r w:rsidR="00DE03AF" w:rsidRPr="00E349CE">
        <w:rPr>
          <w:rFonts w:ascii="Arial" w:hAnsi="Arial" w:cs="Arial"/>
          <w:b/>
          <w:bCs/>
          <w:sz w:val="22"/>
          <w:szCs w:val="22"/>
          <w:lang w:val="en-GB"/>
        </w:rPr>
        <w:t>2.2</w:t>
      </w:r>
      <w:r w:rsidR="00DE03AF" w:rsidRPr="00E349CE">
        <w:rPr>
          <w:rFonts w:ascii="Arial" w:hAnsi="Arial" w:cs="Arial"/>
          <w:b/>
          <w:bCs/>
          <w:sz w:val="22"/>
          <w:szCs w:val="22"/>
          <w:lang w:val="en-GB"/>
        </w:rPr>
        <w:tab/>
        <w:t>[</w:t>
      </w:r>
      <w:r w:rsidR="00D17FDC" w:rsidRPr="00E349CE">
        <w:rPr>
          <w:rFonts w:ascii="Arial" w:hAnsi="Arial" w:cs="Arial"/>
          <w:b/>
          <w:bCs/>
          <w:sz w:val="22"/>
          <w:szCs w:val="22"/>
          <w:lang w:val="en-GB"/>
        </w:rPr>
        <w:t>m</w:t>
      </w:r>
      <w:r w:rsidR="00DE03AF" w:rsidRPr="00E349CE">
        <w:rPr>
          <w:rFonts w:ascii="Arial" w:hAnsi="Arial" w:cs="Arial"/>
          <w:b/>
          <w:bCs/>
          <w:sz w:val="22"/>
          <w:szCs w:val="22"/>
          <w:lang w:val="en-GB"/>
        </w:rPr>
        <w:t xml:space="preserve">aximum </w:t>
      </w:r>
      <w:r w:rsidR="00C34152" w:rsidRPr="00E349CE">
        <w:rPr>
          <w:rFonts w:ascii="Arial" w:hAnsi="Arial" w:cs="Arial"/>
          <w:b/>
          <w:bCs/>
          <w:sz w:val="22"/>
          <w:szCs w:val="22"/>
          <w:lang w:val="en-GB"/>
        </w:rPr>
        <w:t>4</w:t>
      </w:r>
      <w:r w:rsidR="00DE03AF" w:rsidRPr="00E349CE">
        <w:rPr>
          <w:rFonts w:ascii="Arial" w:hAnsi="Arial" w:cs="Arial"/>
          <w:b/>
          <w:bCs/>
          <w:sz w:val="22"/>
          <w:szCs w:val="22"/>
          <w:lang w:val="en-GB"/>
        </w:rPr>
        <w:t xml:space="preserve"> marks]</w:t>
      </w:r>
      <w:r w:rsidR="00DE03AF" w:rsidRPr="00E349CE">
        <w:rPr>
          <w:rFonts w:ascii="Arial" w:hAnsi="Arial" w:cs="Arial"/>
          <w:sz w:val="22"/>
          <w:szCs w:val="22"/>
          <w:lang w:val="en-GB"/>
        </w:rPr>
        <w:t xml:space="preserve"> </w:t>
      </w:r>
    </w:p>
    <w:p w14:paraId="219E3356" w14:textId="77777777" w:rsidR="00C72848" w:rsidRPr="00E349CE" w:rsidRDefault="00C72848" w:rsidP="002A37BB">
      <w:pPr>
        <w:ind w:left="720" w:hanging="720"/>
        <w:jc w:val="both"/>
        <w:rPr>
          <w:rFonts w:ascii="Arial" w:hAnsi="Arial" w:cs="Arial"/>
          <w:sz w:val="22"/>
          <w:szCs w:val="22"/>
          <w:lang w:val="en-GB"/>
        </w:rPr>
      </w:pPr>
    </w:p>
    <w:p w14:paraId="4D242B48" w14:textId="543B666B" w:rsidR="00C34152" w:rsidRPr="00E349CE" w:rsidRDefault="00E349CE" w:rsidP="00C34152">
      <w:pPr>
        <w:pStyle w:val="ListParagraph"/>
        <w:ind w:left="0"/>
        <w:rPr>
          <w:rFonts w:ascii="Arial" w:hAnsi="Arial" w:cs="Arial"/>
          <w:sz w:val="22"/>
          <w:szCs w:val="22"/>
          <w:lang w:val="en-GB"/>
        </w:rPr>
      </w:pPr>
      <w:r>
        <w:rPr>
          <w:rFonts w:ascii="Arial" w:hAnsi="Arial" w:cs="Arial"/>
          <w:sz w:val="22"/>
          <w:szCs w:val="22"/>
          <w:lang w:val="en-GB"/>
        </w:rPr>
        <w:t xml:space="preserve">Explain the relationship between pre-insolvency restructuring under the </w:t>
      </w:r>
      <w:proofErr w:type="spellStart"/>
      <w:r>
        <w:rPr>
          <w:rFonts w:ascii="Arial" w:hAnsi="Arial" w:cs="Arial"/>
          <w:sz w:val="22"/>
          <w:szCs w:val="22"/>
          <w:lang w:val="en-GB"/>
        </w:rPr>
        <w:t>StaRUG</w:t>
      </w:r>
      <w:proofErr w:type="spellEnd"/>
      <w:r>
        <w:rPr>
          <w:rFonts w:ascii="Arial" w:hAnsi="Arial" w:cs="Arial"/>
          <w:sz w:val="22"/>
          <w:szCs w:val="22"/>
          <w:lang w:val="en-GB"/>
        </w:rPr>
        <w:t xml:space="preserve"> and insolvency proceedings under the </w:t>
      </w:r>
      <w:proofErr w:type="spellStart"/>
      <w:r>
        <w:rPr>
          <w:rFonts w:ascii="Arial" w:hAnsi="Arial" w:cs="Arial"/>
          <w:sz w:val="22"/>
          <w:szCs w:val="22"/>
          <w:lang w:val="en-GB"/>
        </w:rPr>
        <w:t>InsO</w:t>
      </w:r>
      <w:proofErr w:type="spellEnd"/>
      <w:r>
        <w:rPr>
          <w:rFonts w:ascii="Arial" w:hAnsi="Arial" w:cs="Arial"/>
          <w:sz w:val="22"/>
          <w:szCs w:val="22"/>
          <w:lang w:val="en-GB"/>
        </w:rPr>
        <w:t>.</w:t>
      </w:r>
    </w:p>
    <w:p w14:paraId="7F9D361B" w14:textId="2DBEA140" w:rsidR="00C34152" w:rsidRDefault="00C34152" w:rsidP="00C34152">
      <w:pPr>
        <w:pStyle w:val="ListParagraph"/>
        <w:ind w:left="0"/>
        <w:rPr>
          <w:rFonts w:ascii="Arial" w:hAnsi="Arial" w:cs="Arial"/>
          <w:sz w:val="22"/>
          <w:szCs w:val="22"/>
          <w:lang w:val="en-GB"/>
        </w:rPr>
      </w:pPr>
    </w:p>
    <w:p w14:paraId="053CE421" w14:textId="5E581645" w:rsidR="009F4558" w:rsidRDefault="00F23D54" w:rsidP="00C34152">
      <w:pPr>
        <w:pStyle w:val="ListParagraph"/>
        <w:ind w:left="0"/>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The </w:t>
      </w:r>
      <w:proofErr w:type="spellStart"/>
      <w:r w:rsidR="00ED00E8">
        <w:rPr>
          <w:rFonts w:ascii="Arial" w:hAnsi="Arial" w:cs="Arial"/>
          <w:color w:val="A6A6A6" w:themeColor="background1" w:themeShade="A6"/>
          <w:sz w:val="22"/>
          <w:szCs w:val="22"/>
          <w:lang w:val="en-GB"/>
        </w:rPr>
        <w:t>StaRUG</w:t>
      </w:r>
      <w:proofErr w:type="spellEnd"/>
      <w:r w:rsidR="00ED00E8">
        <w:rPr>
          <w:rFonts w:ascii="Arial" w:hAnsi="Arial" w:cs="Arial"/>
          <w:color w:val="A6A6A6" w:themeColor="background1" w:themeShade="A6"/>
          <w:sz w:val="22"/>
          <w:szCs w:val="22"/>
          <w:lang w:val="en-GB"/>
        </w:rPr>
        <w:t xml:space="preserve"> provides alternatives to formal bankruptcy or insolvency proceedings to </w:t>
      </w:r>
      <w:r w:rsidR="00A35BA7">
        <w:rPr>
          <w:rFonts w:ascii="Arial" w:hAnsi="Arial" w:cs="Arial"/>
          <w:color w:val="A6A6A6" w:themeColor="background1" w:themeShade="A6"/>
          <w:sz w:val="22"/>
          <w:szCs w:val="22"/>
          <w:lang w:val="en-GB"/>
        </w:rPr>
        <w:t xml:space="preserve">individuals and companies who have not yet reached the point of bankruptcy/insolvency but anticipate that they will do so imminently. </w:t>
      </w:r>
      <w:r w:rsidR="00C53154">
        <w:rPr>
          <w:rFonts w:ascii="Arial" w:hAnsi="Arial" w:cs="Arial"/>
          <w:color w:val="A6A6A6" w:themeColor="background1" w:themeShade="A6"/>
          <w:sz w:val="22"/>
          <w:szCs w:val="22"/>
          <w:lang w:val="en-GB"/>
        </w:rPr>
        <w:t xml:space="preserve">These alternatives can take the form of rescue proceedings by way of </w:t>
      </w:r>
      <w:r w:rsidR="00710D78">
        <w:rPr>
          <w:rFonts w:ascii="Arial" w:hAnsi="Arial" w:cs="Arial"/>
          <w:color w:val="A6A6A6" w:themeColor="background1" w:themeShade="A6"/>
          <w:sz w:val="22"/>
          <w:szCs w:val="22"/>
          <w:lang w:val="en-GB"/>
        </w:rPr>
        <w:t xml:space="preserve">restructuring plans, </w:t>
      </w:r>
      <w:r w:rsidR="00362449">
        <w:rPr>
          <w:rFonts w:ascii="Arial" w:hAnsi="Arial" w:cs="Arial"/>
          <w:color w:val="A6A6A6" w:themeColor="background1" w:themeShade="A6"/>
          <w:sz w:val="22"/>
          <w:szCs w:val="22"/>
          <w:lang w:val="en-GB"/>
        </w:rPr>
        <w:t>restructuring mediators,</w:t>
      </w:r>
      <w:r w:rsidR="000F0D56">
        <w:rPr>
          <w:rFonts w:ascii="Arial" w:hAnsi="Arial" w:cs="Arial"/>
          <w:color w:val="A6A6A6" w:themeColor="background1" w:themeShade="A6"/>
          <w:sz w:val="22"/>
          <w:szCs w:val="22"/>
          <w:lang w:val="en-GB"/>
        </w:rPr>
        <w:t xml:space="preserve"> m</w:t>
      </w:r>
      <w:r w:rsidR="008B7B52">
        <w:rPr>
          <w:rFonts w:ascii="Arial" w:hAnsi="Arial" w:cs="Arial"/>
          <w:color w:val="A6A6A6" w:themeColor="background1" w:themeShade="A6"/>
          <w:sz w:val="22"/>
          <w:szCs w:val="22"/>
          <w:lang w:val="en-GB"/>
        </w:rPr>
        <w:t xml:space="preserve">onitors (these can only be appointed where creditors comprise certain small enterprises or </w:t>
      </w:r>
      <w:r w:rsidR="00AB5D47">
        <w:rPr>
          <w:rFonts w:ascii="Arial" w:hAnsi="Arial" w:cs="Arial"/>
          <w:color w:val="A6A6A6" w:themeColor="background1" w:themeShade="A6"/>
          <w:sz w:val="22"/>
          <w:szCs w:val="22"/>
          <w:lang w:val="en-GB"/>
        </w:rPr>
        <w:t>where a proposed moratorium or restructuring plans affects all creditors),</w:t>
      </w:r>
      <w:r w:rsidR="00362449">
        <w:rPr>
          <w:rFonts w:ascii="Arial" w:hAnsi="Arial" w:cs="Arial"/>
          <w:color w:val="A6A6A6" w:themeColor="background1" w:themeShade="A6"/>
          <w:sz w:val="22"/>
          <w:szCs w:val="22"/>
          <w:lang w:val="en-GB"/>
        </w:rPr>
        <w:t xml:space="preserve"> </w:t>
      </w:r>
      <w:r w:rsidR="00710D78">
        <w:rPr>
          <w:rFonts w:ascii="Arial" w:hAnsi="Arial" w:cs="Arial"/>
          <w:color w:val="A6A6A6" w:themeColor="background1" w:themeShade="A6"/>
          <w:sz w:val="22"/>
          <w:szCs w:val="22"/>
          <w:lang w:val="en-GB"/>
        </w:rPr>
        <w:t xml:space="preserve">moratoriums </w:t>
      </w:r>
      <w:r w:rsidR="002E7845">
        <w:rPr>
          <w:rFonts w:ascii="Arial" w:hAnsi="Arial" w:cs="Arial"/>
          <w:color w:val="A6A6A6" w:themeColor="background1" w:themeShade="A6"/>
          <w:sz w:val="22"/>
          <w:szCs w:val="22"/>
          <w:lang w:val="en-GB"/>
        </w:rPr>
        <w:t xml:space="preserve">(these are not automatic and must be applied for) </w:t>
      </w:r>
      <w:r w:rsidR="00710D78">
        <w:rPr>
          <w:rFonts w:ascii="Arial" w:hAnsi="Arial" w:cs="Arial"/>
          <w:color w:val="A6A6A6" w:themeColor="background1" w:themeShade="A6"/>
          <w:sz w:val="22"/>
          <w:szCs w:val="22"/>
          <w:lang w:val="en-GB"/>
        </w:rPr>
        <w:t xml:space="preserve">and examination or confirmation by a court of  </w:t>
      </w:r>
      <w:r w:rsidR="00362449">
        <w:rPr>
          <w:rFonts w:ascii="Arial" w:hAnsi="Arial" w:cs="Arial"/>
          <w:color w:val="A6A6A6" w:themeColor="background1" w:themeShade="A6"/>
          <w:sz w:val="22"/>
          <w:szCs w:val="22"/>
          <w:lang w:val="en-GB"/>
        </w:rPr>
        <w:t>various issues in connection with restructuring plans.</w:t>
      </w:r>
      <w:r w:rsidR="003D7708">
        <w:rPr>
          <w:rFonts w:ascii="Arial" w:hAnsi="Arial" w:cs="Arial"/>
          <w:color w:val="A6A6A6" w:themeColor="background1" w:themeShade="A6"/>
          <w:sz w:val="22"/>
          <w:szCs w:val="22"/>
          <w:lang w:val="en-GB"/>
        </w:rPr>
        <w:t xml:space="preserve"> By their very nature, the options made available through </w:t>
      </w:r>
      <w:proofErr w:type="spellStart"/>
      <w:r w:rsidR="003D7708">
        <w:rPr>
          <w:rFonts w:ascii="Arial" w:hAnsi="Arial" w:cs="Arial"/>
          <w:color w:val="A6A6A6" w:themeColor="background1" w:themeShade="A6"/>
          <w:sz w:val="22"/>
          <w:szCs w:val="22"/>
          <w:lang w:val="en-GB"/>
        </w:rPr>
        <w:t>StaRUG</w:t>
      </w:r>
      <w:proofErr w:type="spellEnd"/>
      <w:r w:rsidR="003D7708">
        <w:rPr>
          <w:rFonts w:ascii="Arial" w:hAnsi="Arial" w:cs="Arial"/>
          <w:color w:val="A6A6A6" w:themeColor="background1" w:themeShade="A6"/>
          <w:sz w:val="22"/>
          <w:szCs w:val="22"/>
          <w:lang w:val="en-GB"/>
        </w:rPr>
        <w:t xml:space="preserve"> </w:t>
      </w:r>
      <w:r w:rsidR="001D64F1">
        <w:rPr>
          <w:rFonts w:ascii="Arial" w:hAnsi="Arial" w:cs="Arial"/>
          <w:color w:val="A6A6A6" w:themeColor="background1" w:themeShade="A6"/>
          <w:sz w:val="22"/>
          <w:szCs w:val="22"/>
          <w:lang w:val="en-GB"/>
        </w:rPr>
        <w:t>are necessarily pre-insolvency solutions.</w:t>
      </w:r>
      <w:r w:rsidR="007A70A1">
        <w:rPr>
          <w:rFonts w:ascii="Arial" w:hAnsi="Arial" w:cs="Arial"/>
          <w:color w:val="A6A6A6" w:themeColor="background1" w:themeShade="A6"/>
          <w:sz w:val="22"/>
          <w:szCs w:val="22"/>
          <w:lang w:val="en-GB"/>
        </w:rPr>
        <w:t xml:space="preserve"> Another point to note is that a debtor has a choice as to whether </w:t>
      </w:r>
      <w:r w:rsidR="002141FA">
        <w:rPr>
          <w:rFonts w:ascii="Arial" w:hAnsi="Arial" w:cs="Arial"/>
          <w:color w:val="A6A6A6" w:themeColor="background1" w:themeShade="A6"/>
          <w:sz w:val="22"/>
          <w:szCs w:val="22"/>
          <w:lang w:val="en-GB"/>
        </w:rPr>
        <w:t xml:space="preserve">to make use of </w:t>
      </w:r>
      <w:proofErr w:type="spellStart"/>
      <w:r w:rsidR="002141FA">
        <w:rPr>
          <w:rFonts w:ascii="Arial" w:hAnsi="Arial" w:cs="Arial"/>
          <w:color w:val="A6A6A6" w:themeColor="background1" w:themeShade="A6"/>
          <w:sz w:val="22"/>
          <w:szCs w:val="22"/>
          <w:lang w:val="en-GB"/>
        </w:rPr>
        <w:t>StaRUG</w:t>
      </w:r>
      <w:proofErr w:type="spellEnd"/>
      <w:r w:rsidR="002141FA">
        <w:rPr>
          <w:rFonts w:ascii="Arial" w:hAnsi="Arial" w:cs="Arial"/>
          <w:color w:val="A6A6A6" w:themeColor="background1" w:themeShade="A6"/>
          <w:sz w:val="22"/>
          <w:szCs w:val="22"/>
          <w:lang w:val="en-GB"/>
        </w:rPr>
        <w:t xml:space="preserve">, and nothing prevents </w:t>
      </w:r>
      <w:r w:rsidR="00C86BE1">
        <w:rPr>
          <w:rFonts w:ascii="Arial" w:hAnsi="Arial" w:cs="Arial"/>
          <w:color w:val="A6A6A6" w:themeColor="background1" w:themeShade="A6"/>
          <w:sz w:val="22"/>
          <w:szCs w:val="22"/>
          <w:lang w:val="en-GB"/>
        </w:rPr>
        <w:t>a debtor</w:t>
      </w:r>
      <w:r w:rsidR="002141FA">
        <w:rPr>
          <w:rFonts w:ascii="Arial" w:hAnsi="Arial" w:cs="Arial"/>
          <w:color w:val="A6A6A6" w:themeColor="background1" w:themeShade="A6"/>
          <w:sz w:val="22"/>
          <w:szCs w:val="22"/>
          <w:lang w:val="en-GB"/>
        </w:rPr>
        <w:t xml:space="preserve"> from seeking out of court agreements with creditors before eventually applying to court for the assistance provided by </w:t>
      </w:r>
      <w:proofErr w:type="spellStart"/>
      <w:r w:rsidR="002141FA">
        <w:rPr>
          <w:rFonts w:ascii="Arial" w:hAnsi="Arial" w:cs="Arial"/>
          <w:color w:val="A6A6A6" w:themeColor="background1" w:themeShade="A6"/>
          <w:sz w:val="22"/>
          <w:szCs w:val="22"/>
          <w:lang w:val="en-GB"/>
        </w:rPr>
        <w:t>StaRUG</w:t>
      </w:r>
      <w:proofErr w:type="spellEnd"/>
      <w:r w:rsidR="000F0D56">
        <w:rPr>
          <w:rFonts w:ascii="Arial" w:hAnsi="Arial" w:cs="Arial"/>
          <w:color w:val="A6A6A6" w:themeColor="background1" w:themeShade="A6"/>
          <w:sz w:val="22"/>
          <w:szCs w:val="22"/>
          <w:lang w:val="en-GB"/>
        </w:rPr>
        <w:t xml:space="preserve">. </w:t>
      </w:r>
    </w:p>
    <w:p w14:paraId="35E57C3E" w14:textId="3FDC21FA" w:rsidR="00B85FD3" w:rsidRDefault="00B85FD3" w:rsidP="00C34152">
      <w:pPr>
        <w:pStyle w:val="ListParagraph"/>
        <w:ind w:left="0"/>
        <w:rPr>
          <w:rFonts w:ascii="Arial" w:hAnsi="Arial" w:cs="Arial"/>
          <w:color w:val="A6A6A6" w:themeColor="background1" w:themeShade="A6"/>
          <w:sz w:val="22"/>
          <w:szCs w:val="22"/>
          <w:lang w:val="en-GB"/>
        </w:rPr>
      </w:pPr>
    </w:p>
    <w:p w14:paraId="7B104A49" w14:textId="2CD69830" w:rsidR="00B85FD3" w:rsidRPr="00D05CA4" w:rsidRDefault="00B85FD3" w:rsidP="00C34152">
      <w:pPr>
        <w:pStyle w:val="ListParagraph"/>
        <w:ind w:left="0"/>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Under the </w:t>
      </w:r>
      <w:proofErr w:type="spellStart"/>
      <w:r>
        <w:rPr>
          <w:rFonts w:ascii="Arial" w:hAnsi="Arial" w:cs="Arial"/>
          <w:color w:val="A6A6A6" w:themeColor="background1" w:themeShade="A6"/>
          <w:sz w:val="22"/>
          <w:szCs w:val="22"/>
          <w:lang w:val="en-GB"/>
        </w:rPr>
        <w:t>InsO</w:t>
      </w:r>
      <w:proofErr w:type="spellEnd"/>
      <w:r>
        <w:rPr>
          <w:rFonts w:ascii="Arial" w:hAnsi="Arial" w:cs="Arial"/>
          <w:color w:val="A6A6A6" w:themeColor="background1" w:themeShade="A6"/>
          <w:sz w:val="22"/>
          <w:szCs w:val="22"/>
          <w:lang w:val="en-GB"/>
        </w:rPr>
        <w:t xml:space="preserve">, </w:t>
      </w:r>
      <w:r w:rsidR="00BB6401">
        <w:rPr>
          <w:rFonts w:ascii="Arial" w:hAnsi="Arial" w:cs="Arial"/>
          <w:color w:val="A6A6A6" w:themeColor="background1" w:themeShade="A6"/>
          <w:sz w:val="22"/>
          <w:szCs w:val="22"/>
          <w:lang w:val="en-GB"/>
        </w:rPr>
        <w:t>rescue provisions apply to corporate entities only</w:t>
      </w:r>
      <w:r w:rsidR="00FA0947">
        <w:rPr>
          <w:rFonts w:ascii="Arial" w:hAnsi="Arial" w:cs="Arial"/>
          <w:color w:val="A6A6A6" w:themeColor="background1" w:themeShade="A6"/>
          <w:sz w:val="22"/>
          <w:szCs w:val="22"/>
          <w:lang w:val="en-GB"/>
        </w:rPr>
        <w:t xml:space="preserve">, </w:t>
      </w:r>
      <w:r w:rsidR="00A466F5">
        <w:rPr>
          <w:rFonts w:ascii="Arial" w:hAnsi="Arial" w:cs="Arial"/>
          <w:color w:val="A6A6A6" w:themeColor="background1" w:themeShade="A6"/>
          <w:sz w:val="22"/>
          <w:szCs w:val="22"/>
          <w:lang w:val="en-GB"/>
        </w:rPr>
        <w:t>once these have become substantively insolvent as per the definition discussed in question 2.1 above</w:t>
      </w:r>
      <w:r w:rsidR="00BB6401">
        <w:rPr>
          <w:rFonts w:ascii="Arial" w:hAnsi="Arial" w:cs="Arial"/>
          <w:color w:val="A6A6A6" w:themeColor="background1" w:themeShade="A6"/>
          <w:sz w:val="22"/>
          <w:szCs w:val="22"/>
          <w:lang w:val="en-GB"/>
        </w:rPr>
        <w:t>.</w:t>
      </w:r>
      <w:r w:rsidR="00A466F5">
        <w:rPr>
          <w:rFonts w:ascii="Arial" w:hAnsi="Arial" w:cs="Arial"/>
          <w:color w:val="A6A6A6" w:themeColor="background1" w:themeShade="A6"/>
          <w:sz w:val="22"/>
          <w:szCs w:val="22"/>
          <w:lang w:val="en-GB"/>
        </w:rPr>
        <w:t xml:space="preserve"> </w:t>
      </w:r>
      <w:r w:rsidR="00C86BE1">
        <w:rPr>
          <w:rFonts w:ascii="Arial" w:hAnsi="Arial" w:cs="Arial"/>
          <w:color w:val="A6A6A6" w:themeColor="background1" w:themeShade="A6"/>
          <w:sz w:val="22"/>
          <w:szCs w:val="22"/>
          <w:lang w:val="en-GB"/>
        </w:rPr>
        <w:t xml:space="preserve">In contrast with </w:t>
      </w:r>
      <w:r w:rsidR="00590131">
        <w:rPr>
          <w:rFonts w:ascii="Arial" w:hAnsi="Arial" w:cs="Arial"/>
          <w:color w:val="A6A6A6" w:themeColor="background1" w:themeShade="A6"/>
          <w:sz w:val="22"/>
          <w:szCs w:val="22"/>
          <w:lang w:val="en-GB"/>
        </w:rPr>
        <w:t xml:space="preserve">the approach seen in relation to </w:t>
      </w:r>
      <w:proofErr w:type="spellStart"/>
      <w:r w:rsidR="00810864">
        <w:rPr>
          <w:rFonts w:ascii="Arial" w:hAnsi="Arial" w:cs="Arial"/>
          <w:color w:val="A6A6A6" w:themeColor="background1" w:themeShade="A6"/>
          <w:sz w:val="22"/>
          <w:szCs w:val="22"/>
          <w:lang w:val="en-GB"/>
        </w:rPr>
        <w:t>S</w:t>
      </w:r>
      <w:r w:rsidR="00590131">
        <w:rPr>
          <w:rFonts w:ascii="Arial" w:hAnsi="Arial" w:cs="Arial"/>
          <w:color w:val="A6A6A6" w:themeColor="background1" w:themeShade="A6"/>
          <w:sz w:val="22"/>
          <w:szCs w:val="22"/>
          <w:lang w:val="en-GB"/>
        </w:rPr>
        <w:t>taRUG</w:t>
      </w:r>
      <w:proofErr w:type="spellEnd"/>
      <w:r w:rsidR="00810864">
        <w:rPr>
          <w:rFonts w:ascii="Arial" w:hAnsi="Arial" w:cs="Arial"/>
          <w:color w:val="A6A6A6" w:themeColor="background1" w:themeShade="A6"/>
          <w:sz w:val="22"/>
          <w:szCs w:val="22"/>
          <w:lang w:val="en-GB"/>
        </w:rPr>
        <w:t xml:space="preserve">, </w:t>
      </w:r>
      <w:r w:rsidR="00123755">
        <w:rPr>
          <w:rFonts w:ascii="Arial" w:hAnsi="Arial" w:cs="Arial"/>
          <w:color w:val="A6A6A6" w:themeColor="background1" w:themeShade="A6"/>
          <w:sz w:val="22"/>
          <w:szCs w:val="22"/>
          <w:lang w:val="en-GB"/>
        </w:rPr>
        <w:t>both debtors and creditors can apply to start insolvency proceedings and, once</w:t>
      </w:r>
      <w:r w:rsidR="00805E3F">
        <w:rPr>
          <w:rFonts w:ascii="Arial" w:hAnsi="Arial" w:cs="Arial"/>
          <w:color w:val="A6A6A6" w:themeColor="background1" w:themeShade="A6"/>
          <w:sz w:val="22"/>
          <w:szCs w:val="22"/>
          <w:lang w:val="en-GB"/>
        </w:rPr>
        <w:t xml:space="preserve"> proceedings are open, it becomes the responsibility of the appointed insolvency practitioner to decide on which insolvency</w:t>
      </w:r>
      <w:r w:rsidR="00C751AD">
        <w:rPr>
          <w:rFonts w:ascii="Arial" w:hAnsi="Arial" w:cs="Arial"/>
          <w:color w:val="A6A6A6" w:themeColor="background1" w:themeShade="A6"/>
          <w:sz w:val="22"/>
          <w:szCs w:val="22"/>
          <w:lang w:val="en-GB"/>
        </w:rPr>
        <w:t xml:space="preserve"> route is the most appropriate in the circumstances</w:t>
      </w:r>
      <w:r w:rsidR="002D4FCB">
        <w:rPr>
          <w:rFonts w:ascii="Arial" w:hAnsi="Arial" w:cs="Arial"/>
          <w:color w:val="A6A6A6" w:themeColor="background1" w:themeShade="A6"/>
          <w:sz w:val="22"/>
          <w:szCs w:val="22"/>
          <w:lang w:val="en-GB"/>
        </w:rPr>
        <w:t xml:space="preserve"> – whilst </w:t>
      </w:r>
      <w:proofErr w:type="spellStart"/>
      <w:r w:rsidR="002D4FCB">
        <w:rPr>
          <w:rFonts w:ascii="Arial" w:hAnsi="Arial" w:cs="Arial"/>
          <w:color w:val="A6A6A6" w:themeColor="background1" w:themeShade="A6"/>
          <w:sz w:val="22"/>
          <w:szCs w:val="22"/>
          <w:lang w:val="en-GB"/>
        </w:rPr>
        <w:t>SarRUG</w:t>
      </w:r>
      <w:proofErr w:type="spellEnd"/>
      <w:r w:rsidR="002D4FCB">
        <w:rPr>
          <w:rFonts w:ascii="Arial" w:hAnsi="Arial" w:cs="Arial"/>
          <w:color w:val="A6A6A6" w:themeColor="background1" w:themeShade="A6"/>
          <w:sz w:val="22"/>
          <w:szCs w:val="22"/>
          <w:lang w:val="en-GB"/>
        </w:rPr>
        <w:t xml:space="preserve"> is aime</w:t>
      </w:r>
      <w:r w:rsidR="009B7FCB">
        <w:rPr>
          <w:rFonts w:ascii="Arial" w:hAnsi="Arial" w:cs="Arial"/>
          <w:color w:val="A6A6A6" w:themeColor="background1" w:themeShade="A6"/>
          <w:sz w:val="22"/>
          <w:szCs w:val="22"/>
          <w:lang w:val="en-GB"/>
        </w:rPr>
        <w:t xml:space="preserve">d at rescue, insolvency proceedings under the </w:t>
      </w:r>
      <w:proofErr w:type="spellStart"/>
      <w:r w:rsidR="009B7FCB">
        <w:rPr>
          <w:rFonts w:ascii="Arial" w:hAnsi="Arial" w:cs="Arial"/>
          <w:color w:val="A6A6A6" w:themeColor="background1" w:themeShade="A6"/>
          <w:sz w:val="22"/>
          <w:szCs w:val="22"/>
          <w:lang w:val="en-GB"/>
        </w:rPr>
        <w:t>InsO</w:t>
      </w:r>
      <w:proofErr w:type="spellEnd"/>
      <w:r w:rsidR="009B7FCB">
        <w:rPr>
          <w:rFonts w:ascii="Arial" w:hAnsi="Arial" w:cs="Arial"/>
          <w:color w:val="A6A6A6" w:themeColor="background1" w:themeShade="A6"/>
          <w:sz w:val="22"/>
          <w:szCs w:val="22"/>
          <w:lang w:val="en-GB"/>
        </w:rPr>
        <w:t xml:space="preserve"> can result in either the restructuring of an entity or its insolvent liquidation</w:t>
      </w:r>
      <w:r w:rsidR="00C751AD">
        <w:rPr>
          <w:rFonts w:ascii="Arial" w:hAnsi="Arial" w:cs="Arial"/>
          <w:color w:val="A6A6A6" w:themeColor="background1" w:themeShade="A6"/>
          <w:sz w:val="22"/>
          <w:szCs w:val="22"/>
          <w:lang w:val="en-GB"/>
        </w:rPr>
        <w:t>.</w:t>
      </w:r>
      <w:r w:rsidR="00E02503">
        <w:rPr>
          <w:rFonts w:ascii="Arial" w:hAnsi="Arial" w:cs="Arial"/>
          <w:color w:val="A6A6A6" w:themeColor="background1" w:themeShade="A6"/>
          <w:sz w:val="22"/>
          <w:szCs w:val="22"/>
          <w:lang w:val="en-GB"/>
        </w:rPr>
        <w:t xml:space="preserve"> The start of insolvency proceedings triggers an automatic moratorium</w:t>
      </w:r>
      <w:r w:rsidR="00AB5B9B">
        <w:rPr>
          <w:rFonts w:ascii="Arial" w:hAnsi="Arial" w:cs="Arial"/>
          <w:color w:val="A6A6A6" w:themeColor="background1" w:themeShade="A6"/>
          <w:sz w:val="22"/>
          <w:szCs w:val="22"/>
          <w:lang w:val="en-GB"/>
        </w:rPr>
        <w:t xml:space="preserve"> and </w:t>
      </w:r>
      <w:r w:rsidR="004E00BC">
        <w:rPr>
          <w:rFonts w:ascii="Arial" w:hAnsi="Arial" w:cs="Arial"/>
          <w:color w:val="A6A6A6" w:themeColor="background1" w:themeShade="A6"/>
          <w:sz w:val="22"/>
          <w:szCs w:val="22"/>
          <w:lang w:val="en-GB"/>
        </w:rPr>
        <w:t>the court the</w:t>
      </w:r>
      <w:r w:rsidR="00BB2154">
        <w:rPr>
          <w:rFonts w:ascii="Arial" w:hAnsi="Arial" w:cs="Arial"/>
          <w:color w:val="A6A6A6" w:themeColor="background1" w:themeShade="A6"/>
          <w:sz w:val="22"/>
          <w:szCs w:val="22"/>
          <w:lang w:val="en-GB"/>
        </w:rPr>
        <w:t>n</w:t>
      </w:r>
      <w:r w:rsidR="004E00BC">
        <w:rPr>
          <w:rFonts w:ascii="Arial" w:hAnsi="Arial" w:cs="Arial"/>
          <w:color w:val="A6A6A6" w:themeColor="background1" w:themeShade="A6"/>
          <w:sz w:val="22"/>
          <w:szCs w:val="22"/>
          <w:lang w:val="en-GB"/>
        </w:rPr>
        <w:t xml:space="preserve"> appoints </w:t>
      </w:r>
      <w:r w:rsidR="00BB2154">
        <w:rPr>
          <w:rFonts w:ascii="Arial" w:hAnsi="Arial" w:cs="Arial"/>
          <w:color w:val="A6A6A6" w:themeColor="background1" w:themeShade="A6"/>
          <w:sz w:val="22"/>
          <w:szCs w:val="22"/>
          <w:lang w:val="en-GB"/>
        </w:rPr>
        <w:t>an insolvency practitioner</w:t>
      </w:r>
      <w:r w:rsidR="00350606">
        <w:rPr>
          <w:rFonts w:ascii="Arial" w:hAnsi="Arial" w:cs="Arial"/>
          <w:color w:val="A6A6A6" w:themeColor="background1" w:themeShade="A6"/>
          <w:sz w:val="22"/>
          <w:szCs w:val="22"/>
          <w:lang w:val="en-GB"/>
        </w:rPr>
        <w:t xml:space="preserve">, whose duties and responsibilities are set out </w:t>
      </w:r>
      <w:r w:rsidR="002D4FCB">
        <w:rPr>
          <w:rFonts w:ascii="Arial" w:hAnsi="Arial" w:cs="Arial"/>
          <w:color w:val="A6A6A6" w:themeColor="background1" w:themeShade="A6"/>
          <w:sz w:val="22"/>
          <w:szCs w:val="22"/>
          <w:lang w:val="en-GB"/>
        </w:rPr>
        <w:t xml:space="preserve">in the </w:t>
      </w:r>
      <w:proofErr w:type="spellStart"/>
      <w:r w:rsidR="002D4FCB">
        <w:rPr>
          <w:rFonts w:ascii="Arial" w:hAnsi="Arial" w:cs="Arial"/>
          <w:color w:val="A6A6A6" w:themeColor="background1" w:themeShade="A6"/>
          <w:sz w:val="22"/>
          <w:szCs w:val="22"/>
          <w:lang w:val="en-GB"/>
        </w:rPr>
        <w:t>InsO</w:t>
      </w:r>
      <w:proofErr w:type="spellEnd"/>
      <w:r w:rsidR="002D4FCB">
        <w:rPr>
          <w:rFonts w:ascii="Arial" w:hAnsi="Arial" w:cs="Arial"/>
          <w:color w:val="A6A6A6" w:themeColor="background1" w:themeShade="A6"/>
          <w:sz w:val="22"/>
          <w:szCs w:val="22"/>
          <w:lang w:val="en-GB"/>
        </w:rPr>
        <w:t>,</w:t>
      </w:r>
      <w:r w:rsidR="00BB2154">
        <w:rPr>
          <w:rFonts w:ascii="Arial" w:hAnsi="Arial" w:cs="Arial"/>
          <w:color w:val="A6A6A6" w:themeColor="background1" w:themeShade="A6"/>
          <w:sz w:val="22"/>
          <w:szCs w:val="22"/>
          <w:lang w:val="en-GB"/>
        </w:rPr>
        <w:t xml:space="preserve"> to oversee the proceedings. </w:t>
      </w:r>
      <w:r w:rsidR="00970860">
        <w:rPr>
          <w:rFonts w:ascii="Arial" w:hAnsi="Arial" w:cs="Arial"/>
          <w:color w:val="A6A6A6" w:themeColor="background1" w:themeShade="A6"/>
          <w:sz w:val="22"/>
          <w:szCs w:val="22"/>
          <w:lang w:val="en-GB"/>
        </w:rPr>
        <w:t xml:space="preserve">The various provisions of </w:t>
      </w:r>
      <w:proofErr w:type="spellStart"/>
      <w:r w:rsidR="00970860">
        <w:rPr>
          <w:rFonts w:ascii="Arial" w:hAnsi="Arial" w:cs="Arial"/>
          <w:color w:val="A6A6A6" w:themeColor="background1" w:themeShade="A6"/>
          <w:sz w:val="22"/>
          <w:szCs w:val="22"/>
          <w:lang w:val="en-GB"/>
        </w:rPr>
        <w:t>InsO</w:t>
      </w:r>
      <w:proofErr w:type="spellEnd"/>
      <w:r w:rsidR="00970860">
        <w:rPr>
          <w:rFonts w:ascii="Arial" w:hAnsi="Arial" w:cs="Arial"/>
          <w:color w:val="A6A6A6" w:themeColor="background1" w:themeShade="A6"/>
          <w:sz w:val="22"/>
          <w:szCs w:val="22"/>
          <w:lang w:val="en-GB"/>
        </w:rPr>
        <w:t xml:space="preserve"> </w:t>
      </w:r>
      <w:r w:rsidR="00E22774">
        <w:rPr>
          <w:rFonts w:ascii="Arial" w:hAnsi="Arial" w:cs="Arial"/>
          <w:color w:val="A6A6A6" w:themeColor="background1" w:themeShade="A6"/>
          <w:sz w:val="22"/>
          <w:szCs w:val="22"/>
          <w:lang w:val="en-GB"/>
        </w:rPr>
        <w:t>relating to executory contracts, set-off and netting</w:t>
      </w:r>
      <w:r w:rsidR="00AF6ED2">
        <w:rPr>
          <w:rFonts w:ascii="Arial" w:hAnsi="Arial" w:cs="Arial"/>
          <w:color w:val="A6A6A6" w:themeColor="background1" w:themeShade="A6"/>
          <w:sz w:val="22"/>
          <w:szCs w:val="22"/>
          <w:lang w:val="en-GB"/>
        </w:rPr>
        <w:t xml:space="preserve"> in connection with financial contracts</w:t>
      </w:r>
      <w:r w:rsidR="00DD6FB1">
        <w:rPr>
          <w:rFonts w:ascii="Arial" w:hAnsi="Arial" w:cs="Arial"/>
          <w:color w:val="A6A6A6" w:themeColor="background1" w:themeShade="A6"/>
          <w:sz w:val="22"/>
          <w:szCs w:val="22"/>
          <w:lang w:val="en-GB"/>
        </w:rPr>
        <w:t>,</w:t>
      </w:r>
      <w:r w:rsidR="00E22774">
        <w:rPr>
          <w:rFonts w:ascii="Arial" w:hAnsi="Arial" w:cs="Arial"/>
          <w:color w:val="A6A6A6" w:themeColor="background1" w:themeShade="A6"/>
          <w:sz w:val="22"/>
          <w:szCs w:val="22"/>
          <w:lang w:val="en-GB"/>
        </w:rPr>
        <w:t xml:space="preserve"> vulnerable transactions</w:t>
      </w:r>
      <w:r w:rsidR="00AF6ED2">
        <w:rPr>
          <w:rFonts w:ascii="Arial" w:hAnsi="Arial" w:cs="Arial"/>
          <w:color w:val="A6A6A6" w:themeColor="background1" w:themeShade="A6"/>
          <w:sz w:val="22"/>
          <w:szCs w:val="22"/>
          <w:lang w:val="en-GB"/>
        </w:rPr>
        <w:t>, supply agreements</w:t>
      </w:r>
      <w:r w:rsidR="00B5233D">
        <w:rPr>
          <w:rFonts w:ascii="Arial" w:hAnsi="Arial" w:cs="Arial"/>
          <w:color w:val="A6A6A6" w:themeColor="background1" w:themeShade="A6"/>
          <w:sz w:val="22"/>
          <w:szCs w:val="22"/>
          <w:lang w:val="en-GB"/>
        </w:rPr>
        <w:t xml:space="preserve"> </w:t>
      </w:r>
      <w:r w:rsidR="009E20AC">
        <w:rPr>
          <w:rFonts w:ascii="Arial" w:hAnsi="Arial" w:cs="Arial"/>
          <w:color w:val="A6A6A6" w:themeColor="background1" w:themeShade="A6"/>
          <w:sz w:val="22"/>
          <w:szCs w:val="22"/>
          <w:lang w:val="en-GB"/>
        </w:rPr>
        <w:t xml:space="preserve">and the disclaiming of onerous contracts </w:t>
      </w:r>
      <w:r w:rsidR="00B5233D">
        <w:rPr>
          <w:rFonts w:ascii="Arial" w:hAnsi="Arial" w:cs="Arial"/>
          <w:color w:val="A6A6A6" w:themeColor="background1" w:themeShade="A6"/>
          <w:sz w:val="22"/>
          <w:szCs w:val="22"/>
          <w:lang w:val="en-GB"/>
        </w:rPr>
        <w:t>all have the debtor’s</w:t>
      </w:r>
      <w:r w:rsidR="00E00444">
        <w:rPr>
          <w:rFonts w:ascii="Arial" w:hAnsi="Arial" w:cs="Arial"/>
          <w:color w:val="A6A6A6" w:themeColor="background1" w:themeShade="A6"/>
          <w:sz w:val="22"/>
          <w:szCs w:val="22"/>
          <w:lang w:val="en-GB"/>
        </w:rPr>
        <w:t xml:space="preserve"> substantive</w:t>
      </w:r>
      <w:r w:rsidR="00B5233D">
        <w:rPr>
          <w:rFonts w:ascii="Arial" w:hAnsi="Arial" w:cs="Arial"/>
          <w:color w:val="A6A6A6" w:themeColor="background1" w:themeShade="A6"/>
          <w:sz w:val="22"/>
          <w:szCs w:val="22"/>
          <w:lang w:val="en-GB"/>
        </w:rPr>
        <w:t xml:space="preserve"> insolvency as a starting point and therefore only become available once insolvency proceedings under the </w:t>
      </w:r>
      <w:proofErr w:type="spellStart"/>
      <w:r w:rsidR="00B5233D">
        <w:rPr>
          <w:rFonts w:ascii="Arial" w:hAnsi="Arial" w:cs="Arial"/>
          <w:color w:val="A6A6A6" w:themeColor="background1" w:themeShade="A6"/>
          <w:sz w:val="22"/>
          <w:szCs w:val="22"/>
          <w:lang w:val="en-GB"/>
        </w:rPr>
        <w:t>InsO</w:t>
      </w:r>
      <w:proofErr w:type="spellEnd"/>
      <w:r w:rsidR="00B5233D">
        <w:rPr>
          <w:rFonts w:ascii="Arial" w:hAnsi="Arial" w:cs="Arial"/>
          <w:color w:val="A6A6A6" w:themeColor="background1" w:themeShade="A6"/>
          <w:sz w:val="22"/>
          <w:szCs w:val="22"/>
          <w:lang w:val="en-GB"/>
        </w:rPr>
        <w:t xml:space="preserve"> have been started. </w:t>
      </w:r>
      <w:r w:rsidR="00F8058A">
        <w:rPr>
          <w:rFonts w:ascii="Arial" w:hAnsi="Arial" w:cs="Arial"/>
          <w:color w:val="A6A6A6" w:themeColor="background1" w:themeShade="A6"/>
          <w:sz w:val="22"/>
          <w:szCs w:val="22"/>
          <w:lang w:val="en-GB"/>
        </w:rPr>
        <w:t xml:space="preserve">Finally, once insolvency proceedings have commenced, any pre-insolvency rescue steps which had been taken under </w:t>
      </w:r>
      <w:proofErr w:type="spellStart"/>
      <w:r w:rsidR="00F8058A">
        <w:rPr>
          <w:rFonts w:ascii="Arial" w:hAnsi="Arial" w:cs="Arial"/>
          <w:color w:val="A6A6A6" w:themeColor="background1" w:themeShade="A6"/>
          <w:sz w:val="22"/>
          <w:szCs w:val="22"/>
          <w:lang w:val="en-GB"/>
        </w:rPr>
        <w:t>StaRUG</w:t>
      </w:r>
      <w:proofErr w:type="spellEnd"/>
      <w:r w:rsidR="00F8058A">
        <w:rPr>
          <w:rFonts w:ascii="Arial" w:hAnsi="Arial" w:cs="Arial"/>
          <w:color w:val="A6A6A6" w:themeColor="background1" w:themeShade="A6"/>
          <w:sz w:val="22"/>
          <w:szCs w:val="22"/>
          <w:lang w:val="en-GB"/>
        </w:rPr>
        <w:t xml:space="preserve"> must terminate</w:t>
      </w:r>
      <w:r w:rsidR="009E20AC">
        <w:rPr>
          <w:rFonts w:ascii="Arial" w:hAnsi="Arial" w:cs="Arial"/>
          <w:color w:val="A6A6A6" w:themeColor="background1" w:themeShade="A6"/>
          <w:sz w:val="22"/>
          <w:szCs w:val="22"/>
          <w:lang w:val="en-GB"/>
        </w:rPr>
        <w:t xml:space="preserve"> and the </w:t>
      </w:r>
      <w:r w:rsidR="00774F37">
        <w:rPr>
          <w:rFonts w:ascii="Arial" w:hAnsi="Arial" w:cs="Arial"/>
          <w:color w:val="A6A6A6" w:themeColor="background1" w:themeShade="A6"/>
          <w:sz w:val="22"/>
          <w:szCs w:val="22"/>
          <w:lang w:val="en-GB"/>
        </w:rPr>
        <w:t xml:space="preserve">preferential status of certain priority claims </w:t>
      </w:r>
      <w:r w:rsidR="00AD4114">
        <w:rPr>
          <w:rFonts w:ascii="Arial" w:hAnsi="Arial" w:cs="Arial"/>
          <w:color w:val="A6A6A6" w:themeColor="background1" w:themeShade="A6"/>
          <w:sz w:val="22"/>
          <w:szCs w:val="22"/>
          <w:lang w:val="en-GB"/>
        </w:rPr>
        <w:t xml:space="preserve">found under the </w:t>
      </w:r>
      <w:proofErr w:type="spellStart"/>
      <w:r w:rsidR="00AD4114">
        <w:rPr>
          <w:rFonts w:ascii="Arial" w:hAnsi="Arial" w:cs="Arial"/>
          <w:color w:val="A6A6A6" w:themeColor="background1" w:themeShade="A6"/>
          <w:sz w:val="22"/>
          <w:szCs w:val="22"/>
          <w:lang w:val="en-GB"/>
        </w:rPr>
        <w:t>InsO</w:t>
      </w:r>
      <w:proofErr w:type="spellEnd"/>
      <w:r w:rsidR="00AD4114">
        <w:rPr>
          <w:rFonts w:ascii="Arial" w:hAnsi="Arial" w:cs="Arial"/>
          <w:color w:val="A6A6A6" w:themeColor="background1" w:themeShade="A6"/>
          <w:sz w:val="22"/>
          <w:szCs w:val="22"/>
          <w:lang w:val="en-GB"/>
        </w:rPr>
        <w:t xml:space="preserve"> has no equivalent in </w:t>
      </w:r>
      <w:proofErr w:type="spellStart"/>
      <w:r w:rsidR="00AD4114">
        <w:rPr>
          <w:rFonts w:ascii="Arial" w:hAnsi="Arial" w:cs="Arial"/>
          <w:color w:val="A6A6A6" w:themeColor="background1" w:themeShade="A6"/>
          <w:sz w:val="22"/>
          <w:szCs w:val="22"/>
          <w:lang w:val="en-GB"/>
        </w:rPr>
        <w:t>StaRUG</w:t>
      </w:r>
      <w:proofErr w:type="spellEnd"/>
      <w:r w:rsidR="00F8058A">
        <w:rPr>
          <w:rFonts w:ascii="Arial" w:hAnsi="Arial" w:cs="Arial"/>
          <w:color w:val="A6A6A6" w:themeColor="background1" w:themeShade="A6"/>
          <w:sz w:val="22"/>
          <w:szCs w:val="22"/>
          <w:lang w:val="en-GB"/>
        </w:rPr>
        <w:t xml:space="preserve">. </w:t>
      </w:r>
    </w:p>
    <w:p w14:paraId="724E3744" w14:textId="299F687E" w:rsidR="004B14C9" w:rsidRPr="00193129" w:rsidRDefault="004B14C9" w:rsidP="002F16BD">
      <w:pPr>
        <w:ind w:left="720" w:hanging="720"/>
        <w:jc w:val="right"/>
        <w:rPr>
          <w:rFonts w:ascii="Arial" w:hAnsi="Arial" w:cs="Arial"/>
          <w:b/>
          <w:color w:val="FF0000"/>
          <w:sz w:val="22"/>
          <w:szCs w:val="22"/>
          <w:highlight w:val="cyan"/>
        </w:rPr>
      </w:pPr>
    </w:p>
    <w:p w14:paraId="6B031977" w14:textId="420081AD" w:rsidR="00B30912" w:rsidRDefault="00B30912" w:rsidP="0098784A">
      <w:pPr>
        <w:jc w:val="both"/>
        <w:rPr>
          <w:rFonts w:ascii="Arial" w:hAnsi="Arial" w:cs="Arial"/>
          <w:sz w:val="22"/>
          <w:szCs w:val="22"/>
          <w:highlight w:val="cyan"/>
          <w:lang w:val="x-none"/>
        </w:rPr>
      </w:pPr>
    </w:p>
    <w:p w14:paraId="287BB239" w14:textId="77777777" w:rsidR="00D05CA4" w:rsidRPr="00193129" w:rsidRDefault="00D05CA4" w:rsidP="0098784A">
      <w:pPr>
        <w:jc w:val="both"/>
        <w:rPr>
          <w:rFonts w:ascii="Arial" w:hAnsi="Arial" w:cs="Arial"/>
          <w:sz w:val="22"/>
          <w:szCs w:val="22"/>
          <w:highlight w:val="cyan"/>
          <w:lang w:val="x-none"/>
        </w:rPr>
      </w:pPr>
    </w:p>
    <w:p w14:paraId="18635821" w14:textId="77777777" w:rsidR="00C72848" w:rsidRPr="00E349CE" w:rsidRDefault="00C72848" w:rsidP="002A37BB">
      <w:pPr>
        <w:ind w:left="720" w:hanging="720"/>
        <w:jc w:val="both"/>
        <w:rPr>
          <w:rFonts w:ascii="Arial" w:hAnsi="Arial" w:cs="Arial"/>
          <w:b/>
          <w:bCs/>
          <w:sz w:val="22"/>
          <w:szCs w:val="22"/>
          <w:lang w:val="en-GB"/>
        </w:rPr>
      </w:pPr>
      <w:r w:rsidRPr="00E349CE">
        <w:rPr>
          <w:rFonts w:ascii="Arial" w:hAnsi="Arial" w:cs="Arial"/>
          <w:b/>
          <w:bCs/>
          <w:sz w:val="22"/>
          <w:szCs w:val="22"/>
          <w:lang w:val="en-GB"/>
        </w:rPr>
        <w:t xml:space="preserve">Question </w:t>
      </w:r>
      <w:r w:rsidR="00E6452F" w:rsidRPr="00E349CE">
        <w:rPr>
          <w:rFonts w:ascii="Arial" w:hAnsi="Arial" w:cs="Arial"/>
          <w:b/>
          <w:bCs/>
          <w:sz w:val="22"/>
          <w:szCs w:val="22"/>
          <w:lang w:val="en-GB"/>
        </w:rPr>
        <w:t>2.3</w:t>
      </w:r>
      <w:r w:rsidR="00E6452F" w:rsidRPr="00E349CE">
        <w:rPr>
          <w:rFonts w:ascii="Arial" w:hAnsi="Arial" w:cs="Arial"/>
          <w:b/>
          <w:bCs/>
          <w:sz w:val="22"/>
          <w:szCs w:val="22"/>
          <w:lang w:val="en-GB"/>
        </w:rPr>
        <w:tab/>
        <w:t>[</w:t>
      </w:r>
      <w:r w:rsidR="00D17FDC" w:rsidRPr="00E349CE">
        <w:rPr>
          <w:rFonts w:ascii="Arial" w:hAnsi="Arial" w:cs="Arial"/>
          <w:b/>
          <w:bCs/>
          <w:sz w:val="22"/>
          <w:szCs w:val="22"/>
          <w:lang w:val="en-GB"/>
        </w:rPr>
        <w:t>m</w:t>
      </w:r>
      <w:r w:rsidR="00E6452F" w:rsidRPr="00E349CE">
        <w:rPr>
          <w:rFonts w:ascii="Arial" w:hAnsi="Arial" w:cs="Arial"/>
          <w:b/>
          <w:bCs/>
          <w:sz w:val="22"/>
          <w:szCs w:val="22"/>
          <w:lang w:val="en-GB"/>
        </w:rPr>
        <w:t xml:space="preserve">aximum </w:t>
      </w:r>
      <w:r w:rsidR="00C34152" w:rsidRPr="00E349CE">
        <w:rPr>
          <w:rFonts w:ascii="Arial" w:hAnsi="Arial" w:cs="Arial"/>
          <w:b/>
          <w:bCs/>
          <w:sz w:val="22"/>
          <w:szCs w:val="22"/>
          <w:lang w:val="en-GB"/>
        </w:rPr>
        <w:t>3</w:t>
      </w:r>
      <w:r w:rsidR="00E6452F" w:rsidRPr="00E349CE">
        <w:rPr>
          <w:rFonts w:ascii="Arial" w:hAnsi="Arial" w:cs="Arial"/>
          <w:b/>
          <w:bCs/>
          <w:sz w:val="22"/>
          <w:szCs w:val="22"/>
          <w:lang w:val="en-GB"/>
        </w:rPr>
        <w:t xml:space="preserve"> marks] </w:t>
      </w:r>
    </w:p>
    <w:p w14:paraId="3638B18C" w14:textId="77777777" w:rsidR="00C72848" w:rsidRPr="00E349CE" w:rsidRDefault="00C72848" w:rsidP="002A37BB">
      <w:pPr>
        <w:ind w:left="720" w:hanging="720"/>
        <w:jc w:val="both"/>
        <w:rPr>
          <w:rFonts w:ascii="Arial" w:hAnsi="Arial" w:cs="Arial"/>
          <w:b/>
          <w:bCs/>
          <w:sz w:val="22"/>
          <w:szCs w:val="22"/>
          <w:lang w:val="en-GB"/>
        </w:rPr>
      </w:pPr>
    </w:p>
    <w:p w14:paraId="38000D3E" w14:textId="7F2FF149" w:rsidR="00962045" w:rsidRPr="00E349CE" w:rsidRDefault="00E349CE" w:rsidP="00C34152">
      <w:pPr>
        <w:jc w:val="both"/>
        <w:rPr>
          <w:rFonts w:ascii="Arial" w:hAnsi="Arial" w:cs="Arial"/>
          <w:sz w:val="22"/>
          <w:szCs w:val="22"/>
          <w:lang w:val="en-GB"/>
        </w:rPr>
      </w:pPr>
      <w:r>
        <w:rPr>
          <w:rFonts w:ascii="Arial" w:hAnsi="Arial" w:cs="Arial"/>
          <w:sz w:val="22"/>
          <w:szCs w:val="22"/>
          <w:lang w:val="en-GB"/>
        </w:rPr>
        <w:t xml:space="preserve">Explain the special rules on tenancy agreements </w:t>
      </w:r>
      <w:r w:rsidR="00E43A56">
        <w:rPr>
          <w:rFonts w:ascii="Arial" w:hAnsi="Arial" w:cs="Arial"/>
          <w:sz w:val="22"/>
          <w:szCs w:val="22"/>
          <w:lang w:val="en-GB"/>
        </w:rPr>
        <w:t xml:space="preserve">for real estate </w:t>
      </w:r>
      <w:r>
        <w:rPr>
          <w:rFonts w:ascii="Arial" w:hAnsi="Arial" w:cs="Arial"/>
          <w:sz w:val="22"/>
          <w:szCs w:val="22"/>
          <w:lang w:val="en-GB"/>
        </w:rPr>
        <w:t xml:space="preserve">compared to </w:t>
      </w:r>
      <w:r w:rsidR="009F4558">
        <w:rPr>
          <w:rFonts w:ascii="Arial" w:hAnsi="Arial" w:cs="Arial"/>
          <w:sz w:val="22"/>
          <w:szCs w:val="22"/>
          <w:lang w:val="en-GB"/>
        </w:rPr>
        <w:t xml:space="preserve">the </w:t>
      </w:r>
      <w:r>
        <w:rPr>
          <w:rFonts w:ascii="Arial" w:hAnsi="Arial" w:cs="Arial"/>
          <w:sz w:val="22"/>
          <w:szCs w:val="22"/>
          <w:lang w:val="en-GB"/>
        </w:rPr>
        <w:t>general rules on executory contracts</w:t>
      </w:r>
      <w:r w:rsidR="003D55EA" w:rsidRPr="00E349CE">
        <w:rPr>
          <w:rFonts w:ascii="Arial" w:hAnsi="Arial" w:cs="Arial"/>
          <w:sz w:val="22"/>
          <w:szCs w:val="22"/>
          <w:lang w:val="en-GB"/>
        </w:rPr>
        <w:t>?</w:t>
      </w:r>
    </w:p>
    <w:p w14:paraId="1024EF6F" w14:textId="4892399E" w:rsidR="003D55EA" w:rsidRPr="00E349CE" w:rsidRDefault="003D55EA" w:rsidP="00C34152">
      <w:pPr>
        <w:jc w:val="both"/>
        <w:rPr>
          <w:rFonts w:ascii="Arial" w:hAnsi="Arial" w:cs="Arial"/>
          <w:sz w:val="22"/>
          <w:szCs w:val="22"/>
          <w:lang w:val="en-GB"/>
        </w:rPr>
      </w:pPr>
    </w:p>
    <w:p w14:paraId="2C710F86" w14:textId="039B67F3" w:rsidR="00D05CA4" w:rsidRDefault="00775B05" w:rsidP="00D05CA4">
      <w:pPr>
        <w:pStyle w:val="ListParagraph"/>
        <w:ind w:left="0"/>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Normally, </w:t>
      </w:r>
      <w:r w:rsidR="00AF0530">
        <w:rPr>
          <w:rFonts w:ascii="Arial" w:hAnsi="Arial" w:cs="Arial"/>
          <w:color w:val="A6A6A6" w:themeColor="background1" w:themeShade="A6"/>
          <w:sz w:val="22"/>
          <w:szCs w:val="22"/>
          <w:lang w:val="en-GB"/>
        </w:rPr>
        <w:t xml:space="preserve">contracts automatically terminate upon the start of insolvency proceedings. Executory contracts (in which </w:t>
      </w:r>
      <w:r w:rsidR="005107C5">
        <w:rPr>
          <w:rFonts w:ascii="Arial" w:hAnsi="Arial" w:cs="Arial"/>
          <w:color w:val="A6A6A6" w:themeColor="background1" w:themeShade="A6"/>
          <w:sz w:val="22"/>
          <w:szCs w:val="22"/>
          <w:lang w:val="en-GB"/>
        </w:rPr>
        <w:t xml:space="preserve">neither party has fully fulfilled its obligations) do not terminate automatically, but </w:t>
      </w:r>
      <w:r w:rsidR="00DD29D6">
        <w:rPr>
          <w:rFonts w:ascii="Arial" w:hAnsi="Arial" w:cs="Arial"/>
          <w:color w:val="A6A6A6" w:themeColor="background1" w:themeShade="A6"/>
          <w:sz w:val="22"/>
          <w:szCs w:val="22"/>
          <w:lang w:val="en-GB"/>
        </w:rPr>
        <w:t xml:space="preserve">the insolvency practitioner decides whether to </w:t>
      </w:r>
      <w:r w:rsidR="00430C39">
        <w:rPr>
          <w:rFonts w:ascii="Arial" w:hAnsi="Arial" w:cs="Arial"/>
          <w:color w:val="A6A6A6" w:themeColor="background1" w:themeShade="A6"/>
          <w:sz w:val="22"/>
          <w:szCs w:val="22"/>
          <w:lang w:val="en-GB"/>
        </w:rPr>
        <w:t xml:space="preserve">reject the contract (in which case </w:t>
      </w:r>
      <w:r w:rsidR="008F555C">
        <w:rPr>
          <w:rFonts w:ascii="Arial" w:hAnsi="Arial" w:cs="Arial"/>
          <w:color w:val="A6A6A6" w:themeColor="background1" w:themeShade="A6"/>
          <w:sz w:val="22"/>
          <w:szCs w:val="22"/>
          <w:lang w:val="en-GB"/>
        </w:rPr>
        <w:t>“</w:t>
      </w:r>
      <w:r w:rsidR="008F555C" w:rsidRPr="008F555C">
        <w:rPr>
          <w:rFonts w:ascii="Arial" w:hAnsi="Arial" w:cs="Arial"/>
          <w:color w:val="A6A6A6" w:themeColor="background1" w:themeShade="A6"/>
          <w:sz w:val="22"/>
          <w:szCs w:val="22"/>
          <w:lang w:val="en-GB"/>
        </w:rPr>
        <w:t>the other party shall be entitled to its claims for non-performance only as an insolvency creditor</w:t>
      </w:r>
      <w:r w:rsidR="008F555C">
        <w:rPr>
          <w:rFonts w:ascii="Arial" w:hAnsi="Arial" w:cs="Arial"/>
          <w:color w:val="A6A6A6" w:themeColor="background1" w:themeShade="A6"/>
          <w:sz w:val="22"/>
          <w:szCs w:val="22"/>
          <w:lang w:val="en-GB"/>
        </w:rPr>
        <w:t xml:space="preserve">” (section 103(2) </w:t>
      </w:r>
      <w:proofErr w:type="spellStart"/>
      <w:r w:rsidR="008F555C">
        <w:rPr>
          <w:rFonts w:ascii="Arial" w:hAnsi="Arial" w:cs="Arial"/>
          <w:color w:val="A6A6A6" w:themeColor="background1" w:themeShade="A6"/>
          <w:sz w:val="22"/>
          <w:szCs w:val="22"/>
          <w:lang w:val="en-GB"/>
        </w:rPr>
        <w:t>InsO</w:t>
      </w:r>
      <w:proofErr w:type="spellEnd"/>
      <w:r w:rsidR="008F555C">
        <w:rPr>
          <w:rFonts w:ascii="Arial" w:hAnsi="Arial" w:cs="Arial"/>
          <w:color w:val="A6A6A6" w:themeColor="background1" w:themeShade="A6"/>
          <w:sz w:val="22"/>
          <w:szCs w:val="22"/>
          <w:lang w:val="en-GB"/>
        </w:rPr>
        <w:t>)</w:t>
      </w:r>
      <w:r w:rsidR="000F70C1">
        <w:rPr>
          <w:rFonts w:ascii="Arial" w:hAnsi="Arial" w:cs="Arial"/>
          <w:color w:val="A6A6A6" w:themeColor="background1" w:themeShade="A6"/>
          <w:sz w:val="22"/>
          <w:szCs w:val="22"/>
          <w:lang w:val="en-GB"/>
        </w:rPr>
        <w:t xml:space="preserve"> and </w:t>
      </w:r>
      <w:r w:rsidR="00D57C70">
        <w:rPr>
          <w:rFonts w:ascii="Arial" w:hAnsi="Arial" w:cs="Arial"/>
          <w:color w:val="A6A6A6" w:themeColor="background1" w:themeShade="A6"/>
          <w:sz w:val="22"/>
          <w:szCs w:val="22"/>
          <w:lang w:val="en-GB"/>
        </w:rPr>
        <w:t>such claims will be satisfied on a pro-rata basis</w:t>
      </w:r>
      <w:r w:rsidR="000F70C1">
        <w:rPr>
          <w:rFonts w:ascii="Arial" w:hAnsi="Arial" w:cs="Arial"/>
          <w:color w:val="A6A6A6" w:themeColor="background1" w:themeShade="A6"/>
          <w:sz w:val="22"/>
          <w:szCs w:val="22"/>
          <w:lang w:val="en-GB"/>
        </w:rPr>
        <w:t>)</w:t>
      </w:r>
      <w:r w:rsidR="00AB7D1E">
        <w:rPr>
          <w:rFonts w:ascii="Arial" w:hAnsi="Arial" w:cs="Arial"/>
          <w:color w:val="A6A6A6" w:themeColor="background1" w:themeShade="A6"/>
          <w:sz w:val="22"/>
          <w:szCs w:val="22"/>
          <w:lang w:val="en-GB"/>
        </w:rPr>
        <w:t xml:space="preserve"> or to perform the contract (in which case the </w:t>
      </w:r>
      <w:r w:rsidR="00545AB8">
        <w:rPr>
          <w:rFonts w:ascii="Arial" w:hAnsi="Arial" w:cs="Arial"/>
          <w:color w:val="A6A6A6" w:themeColor="background1" w:themeShade="A6"/>
          <w:sz w:val="22"/>
          <w:szCs w:val="22"/>
          <w:lang w:val="en-GB"/>
        </w:rPr>
        <w:t>insolvency practitioner</w:t>
      </w:r>
      <w:r w:rsidR="00AB7D1E">
        <w:rPr>
          <w:rFonts w:ascii="Arial" w:hAnsi="Arial" w:cs="Arial"/>
          <w:color w:val="A6A6A6" w:themeColor="background1" w:themeShade="A6"/>
          <w:sz w:val="22"/>
          <w:szCs w:val="22"/>
          <w:lang w:val="en-GB"/>
        </w:rPr>
        <w:t xml:space="preserve"> “</w:t>
      </w:r>
      <w:r w:rsidR="00AB7D1E" w:rsidRPr="00AB7D1E">
        <w:rPr>
          <w:rFonts w:ascii="Arial" w:hAnsi="Arial" w:cs="Arial"/>
          <w:color w:val="A6A6A6" w:themeColor="background1" w:themeShade="A6"/>
          <w:sz w:val="22"/>
          <w:szCs w:val="22"/>
          <w:lang w:val="en-GB"/>
        </w:rPr>
        <w:t>replac</w:t>
      </w:r>
      <w:r w:rsidR="00545AB8">
        <w:rPr>
          <w:rFonts w:ascii="Arial" w:hAnsi="Arial" w:cs="Arial"/>
          <w:color w:val="A6A6A6" w:themeColor="background1" w:themeShade="A6"/>
          <w:sz w:val="22"/>
          <w:szCs w:val="22"/>
          <w:lang w:val="en-GB"/>
        </w:rPr>
        <w:t>es</w:t>
      </w:r>
      <w:r w:rsidR="00AB7D1E" w:rsidRPr="00AB7D1E">
        <w:rPr>
          <w:rFonts w:ascii="Arial" w:hAnsi="Arial" w:cs="Arial"/>
          <w:color w:val="A6A6A6" w:themeColor="background1" w:themeShade="A6"/>
          <w:sz w:val="22"/>
          <w:szCs w:val="22"/>
          <w:lang w:val="en-GB"/>
        </w:rPr>
        <w:t xml:space="preserve"> the debtor and claim</w:t>
      </w:r>
      <w:r w:rsidR="00545AB8">
        <w:rPr>
          <w:rFonts w:ascii="Arial" w:hAnsi="Arial" w:cs="Arial"/>
          <w:color w:val="A6A6A6" w:themeColor="background1" w:themeShade="A6"/>
          <w:sz w:val="22"/>
          <w:szCs w:val="22"/>
          <w:lang w:val="en-GB"/>
        </w:rPr>
        <w:t>s</w:t>
      </w:r>
      <w:r w:rsidR="00AB7D1E" w:rsidRPr="00AB7D1E">
        <w:rPr>
          <w:rFonts w:ascii="Arial" w:hAnsi="Arial" w:cs="Arial"/>
          <w:color w:val="A6A6A6" w:themeColor="background1" w:themeShade="A6"/>
          <w:sz w:val="22"/>
          <w:szCs w:val="22"/>
          <w:lang w:val="en-GB"/>
        </w:rPr>
        <w:t xml:space="preserve"> the other party's consideration</w:t>
      </w:r>
      <w:r w:rsidR="00AB7D1E">
        <w:rPr>
          <w:rFonts w:ascii="Arial" w:hAnsi="Arial" w:cs="Arial"/>
          <w:color w:val="A6A6A6" w:themeColor="background1" w:themeShade="A6"/>
          <w:sz w:val="22"/>
          <w:szCs w:val="22"/>
          <w:lang w:val="en-GB"/>
        </w:rPr>
        <w:t>”</w:t>
      </w:r>
      <w:r w:rsidR="00545AB8">
        <w:rPr>
          <w:rFonts w:ascii="Arial" w:hAnsi="Arial" w:cs="Arial"/>
          <w:color w:val="A6A6A6" w:themeColor="background1" w:themeShade="A6"/>
          <w:sz w:val="22"/>
          <w:szCs w:val="22"/>
          <w:lang w:val="en-GB"/>
        </w:rPr>
        <w:t xml:space="preserve"> (section 103(1) </w:t>
      </w:r>
      <w:proofErr w:type="spellStart"/>
      <w:r w:rsidR="00545AB8">
        <w:rPr>
          <w:rFonts w:ascii="Arial" w:hAnsi="Arial" w:cs="Arial"/>
          <w:color w:val="A6A6A6" w:themeColor="background1" w:themeShade="A6"/>
          <w:sz w:val="22"/>
          <w:szCs w:val="22"/>
          <w:lang w:val="en-GB"/>
        </w:rPr>
        <w:t>InsO</w:t>
      </w:r>
      <w:proofErr w:type="spellEnd"/>
      <w:r w:rsidR="00545AB8">
        <w:rPr>
          <w:rFonts w:ascii="Arial" w:hAnsi="Arial" w:cs="Arial"/>
          <w:color w:val="A6A6A6" w:themeColor="background1" w:themeShade="A6"/>
          <w:sz w:val="22"/>
          <w:szCs w:val="22"/>
          <w:lang w:val="en-GB"/>
        </w:rPr>
        <w:t>)</w:t>
      </w:r>
      <w:r w:rsidR="00141907">
        <w:rPr>
          <w:rFonts w:ascii="Arial" w:hAnsi="Arial" w:cs="Arial"/>
          <w:color w:val="A6A6A6" w:themeColor="background1" w:themeShade="A6"/>
          <w:sz w:val="22"/>
          <w:szCs w:val="22"/>
          <w:lang w:val="en-GB"/>
        </w:rPr>
        <w:t xml:space="preserve"> and the creditor’s claims are </w:t>
      </w:r>
      <w:r w:rsidR="000F70C1">
        <w:rPr>
          <w:rFonts w:ascii="Arial" w:hAnsi="Arial" w:cs="Arial"/>
          <w:color w:val="A6A6A6" w:themeColor="background1" w:themeShade="A6"/>
          <w:sz w:val="22"/>
          <w:szCs w:val="22"/>
          <w:lang w:val="en-GB"/>
        </w:rPr>
        <w:t xml:space="preserve">satisfied </w:t>
      </w:r>
      <w:r w:rsidR="00D57C70">
        <w:rPr>
          <w:rFonts w:ascii="Arial" w:hAnsi="Arial" w:cs="Arial"/>
          <w:color w:val="A6A6A6" w:themeColor="background1" w:themeShade="A6"/>
          <w:sz w:val="22"/>
          <w:szCs w:val="22"/>
          <w:lang w:val="en-GB"/>
        </w:rPr>
        <w:t xml:space="preserve">in full </w:t>
      </w:r>
      <w:r w:rsidR="000F70C1">
        <w:rPr>
          <w:rFonts w:ascii="Arial" w:hAnsi="Arial" w:cs="Arial"/>
          <w:color w:val="A6A6A6" w:themeColor="background1" w:themeShade="A6"/>
          <w:sz w:val="22"/>
          <w:szCs w:val="22"/>
          <w:lang w:val="en-GB"/>
        </w:rPr>
        <w:t>from the insolvency estate</w:t>
      </w:r>
      <w:r w:rsidR="00545AB8">
        <w:rPr>
          <w:rFonts w:ascii="Arial" w:hAnsi="Arial" w:cs="Arial"/>
          <w:color w:val="A6A6A6" w:themeColor="background1" w:themeShade="A6"/>
          <w:sz w:val="22"/>
          <w:szCs w:val="22"/>
          <w:lang w:val="en-GB"/>
        </w:rPr>
        <w:t xml:space="preserve">). </w:t>
      </w:r>
    </w:p>
    <w:p w14:paraId="7BEF93D7" w14:textId="310792A5" w:rsidR="003671C6" w:rsidRDefault="003671C6" w:rsidP="00D05CA4">
      <w:pPr>
        <w:pStyle w:val="ListParagraph"/>
        <w:ind w:left="0"/>
        <w:rPr>
          <w:rFonts w:ascii="Arial" w:hAnsi="Arial" w:cs="Arial"/>
          <w:color w:val="A6A6A6" w:themeColor="background1" w:themeShade="A6"/>
          <w:sz w:val="22"/>
          <w:szCs w:val="22"/>
          <w:lang w:val="en-GB"/>
        </w:rPr>
      </w:pPr>
    </w:p>
    <w:p w14:paraId="20A99D94" w14:textId="1F131F3C" w:rsidR="00545AB8" w:rsidRPr="00D05CA4" w:rsidRDefault="003671C6" w:rsidP="00D05CA4">
      <w:pPr>
        <w:pStyle w:val="ListParagraph"/>
        <w:ind w:left="0"/>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By contrast, leases of real estate </w:t>
      </w:r>
      <w:r w:rsidR="00352A11">
        <w:rPr>
          <w:rFonts w:ascii="Arial" w:hAnsi="Arial" w:cs="Arial"/>
          <w:color w:val="A6A6A6" w:themeColor="background1" w:themeShade="A6"/>
          <w:sz w:val="22"/>
          <w:szCs w:val="22"/>
          <w:lang w:val="en-GB"/>
        </w:rPr>
        <w:t>“</w:t>
      </w:r>
      <w:r w:rsidR="00352A11" w:rsidRPr="00352A11">
        <w:rPr>
          <w:rFonts w:ascii="Arial" w:hAnsi="Arial" w:cs="Arial"/>
          <w:color w:val="A6A6A6" w:themeColor="background1" w:themeShade="A6"/>
          <w:sz w:val="22"/>
          <w:szCs w:val="22"/>
          <w:lang w:val="en-GB"/>
        </w:rPr>
        <w:t>continue to exist, but to the credit of the insolvency estate</w:t>
      </w:r>
      <w:r w:rsidR="00352A11">
        <w:rPr>
          <w:rFonts w:ascii="Arial" w:hAnsi="Arial" w:cs="Arial"/>
          <w:color w:val="A6A6A6" w:themeColor="background1" w:themeShade="A6"/>
          <w:sz w:val="22"/>
          <w:szCs w:val="22"/>
          <w:lang w:val="en-GB"/>
        </w:rPr>
        <w:t xml:space="preserve">” (section 108(1) </w:t>
      </w:r>
      <w:proofErr w:type="spellStart"/>
      <w:r w:rsidR="00352A11">
        <w:rPr>
          <w:rFonts w:ascii="Arial" w:hAnsi="Arial" w:cs="Arial"/>
          <w:color w:val="A6A6A6" w:themeColor="background1" w:themeShade="A6"/>
          <w:sz w:val="22"/>
          <w:szCs w:val="22"/>
          <w:lang w:val="en-GB"/>
        </w:rPr>
        <w:t>InsO</w:t>
      </w:r>
      <w:proofErr w:type="spellEnd"/>
      <w:r w:rsidR="00352A11">
        <w:rPr>
          <w:rFonts w:ascii="Arial" w:hAnsi="Arial" w:cs="Arial"/>
          <w:color w:val="A6A6A6" w:themeColor="background1" w:themeShade="A6"/>
          <w:sz w:val="22"/>
          <w:szCs w:val="22"/>
          <w:lang w:val="en-GB"/>
        </w:rPr>
        <w:t>)</w:t>
      </w:r>
      <w:r w:rsidR="00D33974">
        <w:rPr>
          <w:rFonts w:ascii="Arial" w:hAnsi="Arial" w:cs="Arial"/>
          <w:color w:val="A6A6A6" w:themeColor="background1" w:themeShade="A6"/>
          <w:sz w:val="22"/>
          <w:szCs w:val="22"/>
          <w:lang w:val="en-GB"/>
        </w:rPr>
        <w:t xml:space="preserve"> and may be terminated by the insolvency practitioner regardless of any provisions to the contrary contained within the lease </w:t>
      </w:r>
      <w:r w:rsidR="00D72713">
        <w:rPr>
          <w:rFonts w:ascii="Arial" w:hAnsi="Arial" w:cs="Arial"/>
          <w:color w:val="A6A6A6" w:themeColor="background1" w:themeShade="A6"/>
          <w:sz w:val="22"/>
          <w:szCs w:val="22"/>
          <w:lang w:val="en-GB"/>
        </w:rPr>
        <w:t xml:space="preserve">agreement </w:t>
      </w:r>
      <w:r w:rsidR="00D33974">
        <w:rPr>
          <w:rFonts w:ascii="Arial" w:hAnsi="Arial" w:cs="Arial"/>
          <w:color w:val="A6A6A6" w:themeColor="background1" w:themeShade="A6"/>
          <w:sz w:val="22"/>
          <w:szCs w:val="22"/>
          <w:lang w:val="en-GB"/>
        </w:rPr>
        <w:t xml:space="preserve">itself. </w:t>
      </w:r>
      <w:r w:rsidR="00FF0665">
        <w:rPr>
          <w:rFonts w:ascii="Arial" w:hAnsi="Arial" w:cs="Arial"/>
          <w:color w:val="A6A6A6" w:themeColor="background1" w:themeShade="A6"/>
          <w:sz w:val="22"/>
          <w:szCs w:val="22"/>
          <w:lang w:val="en-GB"/>
        </w:rPr>
        <w:t>Whether or not</w:t>
      </w:r>
      <w:r w:rsidR="00D76D77">
        <w:rPr>
          <w:rFonts w:ascii="Arial" w:hAnsi="Arial" w:cs="Arial"/>
          <w:color w:val="A6A6A6" w:themeColor="background1" w:themeShade="A6"/>
          <w:sz w:val="22"/>
          <w:szCs w:val="22"/>
          <w:lang w:val="en-GB"/>
        </w:rPr>
        <w:t xml:space="preserve"> the </w:t>
      </w:r>
      <w:r w:rsidR="00D76D77">
        <w:rPr>
          <w:rFonts w:ascii="Arial" w:hAnsi="Arial" w:cs="Arial"/>
          <w:color w:val="A6A6A6" w:themeColor="background1" w:themeShade="A6"/>
          <w:sz w:val="22"/>
          <w:szCs w:val="22"/>
          <w:lang w:val="en-GB"/>
        </w:rPr>
        <w:lastRenderedPageBreak/>
        <w:t xml:space="preserve">insolvency practitioner chooses to terminate a lease, </w:t>
      </w:r>
      <w:r w:rsidR="004B6B5D">
        <w:rPr>
          <w:rFonts w:ascii="Arial" w:hAnsi="Arial" w:cs="Arial"/>
          <w:color w:val="A6A6A6" w:themeColor="background1" w:themeShade="A6"/>
          <w:sz w:val="22"/>
          <w:szCs w:val="22"/>
          <w:lang w:val="en-GB"/>
        </w:rPr>
        <w:t xml:space="preserve">the landlord’s claims are only satisfied on a </w:t>
      </w:r>
      <w:r w:rsidR="00DF63E1">
        <w:rPr>
          <w:rFonts w:ascii="Arial" w:hAnsi="Arial" w:cs="Arial"/>
          <w:color w:val="A6A6A6" w:themeColor="background1" w:themeShade="A6"/>
          <w:sz w:val="22"/>
          <w:szCs w:val="22"/>
          <w:lang w:val="en-GB"/>
        </w:rPr>
        <w:t xml:space="preserve">pro-rata basis </w:t>
      </w:r>
      <w:r w:rsidR="00D85310">
        <w:rPr>
          <w:rFonts w:ascii="Arial" w:hAnsi="Arial" w:cs="Arial"/>
          <w:color w:val="A6A6A6" w:themeColor="background1" w:themeShade="A6"/>
          <w:sz w:val="22"/>
          <w:szCs w:val="22"/>
          <w:lang w:val="en-GB"/>
        </w:rPr>
        <w:t xml:space="preserve">“as an insolvency creditor” </w:t>
      </w:r>
      <w:r w:rsidR="00DF63E1">
        <w:rPr>
          <w:rFonts w:ascii="Arial" w:hAnsi="Arial" w:cs="Arial"/>
          <w:color w:val="A6A6A6" w:themeColor="background1" w:themeShade="A6"/>
          <w:sz w:val="22"/>
          <w:szCs w:val="22"/>
          <w:lang w:val="en-GB"/>
        </w:rPr>
        <w:t xml:space="preserve">and </w:t>
      </w:r>
      <w:r w:rsidR="00DA3F48">
        <w:rPr>
          <w:rFonts w:ascii="Arial" w:hAnsi="Arial" w:cs="Arial"/>
          <w:color w:val="A6A6A6" w:themeColor="background1" w:themeShade="A6"/>
          <w:sz w:val="22"/>
          <w:szCs w:val="22"/>
          <w:lang w:val="en-GB"/>
        </w:rPr>
        <w:t>if the lease relates to the debtor’s residence then “</w:t>
      </w:r>
      <w:r w:rsidR="00DA3F48" w:rsidRPr="00DA3F48">
        <w:rPr>
          <w:rFonts w:ascii="Arial" w:hAnsi="Arial" w:cs="Arial"/>
          <w:color w:val="A6A6A6" w:themeColor="background1" w:themeShade="A6"/>
          <w:sz w:val="22"/>
          <w:szCs w:val="22"/>
          <w:lang w:val="en-GB"/>
        </w:rPr>
        <w:t xml:space="preserve">termination shall be replaced by the right of the insolvency administrator to declare that claims </w:t>
      </w:r>
      <w:r w:rsidR="00752760">
        <w:rPr>
          <w:rFonts w:ascii="Arial" w:hAnsi="Arial" w:cs="Arial"/>
          <w:color w:val="A6A6A6" w:themeColor="background1" w:themeShade="A6"/>
          <w:sz w:val="22"/>
          <w:szCs w:val="22"/>
          <w:lang w:val="en-GB"/>
        </w:rPr>
        <w:t xml:space="preserve">[…] </w:t>
      </w:r>
      <w:r w:rsidR="00DA3F48" w:rsidRPr="00DA3F48">
        <w:rPr>
          <w:rFonts w:ascii="Arial" w:hAnsi="Arial" w:cs="Arial"/>
          <w:color w:val="A6A6A6" w:themeColor="background1" w:themeShade="A6"/>
          <w:sz w:val="22"/>
          <w:szCs w:val="22"/>
          <w:lang w:val="en-GB"/>
        </w:rPr>
        <w:t>may not be asserted in the insolvency proceedings</w:t>
      </w:r>
      <w:r w:rsidR="00752760">
        <w:rPr>
          <w:rFonts w:ascii="Arial" w:hAnsi="Arial" w:cs="Arial"/>
          <w:color w:val="A6A6A6" w:themeColor="background1" w:themeShade="A6"/>
          <w:sz w:val="22"/>
          <w:szCs w:val="22"/>
          <w:lang w:val="en-GB"/>
        </w:rPr>
        <w:t xml:space="preserve">” (section 109(1) </w:t>
      </w:r>
      <w:proofErr w:type="spellStart"/>
      <w:r w:rsidR="00752760">
        <w:rPr>
          <w:rFonts w:ascii="Arial" w:hAnsi="Arial" w:cs="Arial"/>
          <w:color w:val="A6A6A6" w:themeColor="background1" w:themeShade="A6"/>
          <w:sz w:val="22"/>
          <w:szCs w:val="22"/>
          <w:lang w:val="en-GB"/>
        </w:rPr>
        <w:t>InsO</w:t>
      </w:r>
      <w:proofErr w:type="spellEnd"/>
      <w:r w:rsidR="00752760">
        <w:rPr>
          <w:rFonts w:ascii="Arial" w:hAnsi="Arial" w:cs="Arial"/>
          <w:color w:val="A6A6A6" w:themeColor="background1" w:themeShade="A6"/>
          <w:sz w:val="22"/>
          <w:szCs w:val="22"/>
          <w:lang w:val="en-GB"/>
        </w:rPr>
        <w:t xml:space="preserve">). </w:t>
      </w:r>
      <w:r w:rsidR="000331D8">
        <w:rPr>
          <w:rFonts w:ascii="Arial" w:hAnsi="Arial" w:cs="Arial"/>
          <w:color w:val="A6A6A6" w:themeColor="background1" w:themeShade="A6"/>
          <w:sz w:val="22"/>
          <w:szCs w:val="22"/>
          <w:lang w:val="en-GB"/>
        </w:rPr>
        <w:t>Finally,</w:t>
      </w:r>
      <w:r w:rsidR="00476BA8">
        <w:rPr>
          <w:rFonts w:ascii="Arial" w:hAnsi="Arial" w:cs="Arial"/>
          <w:color w:val="A6A6A6" w:themeColor="background1" w:themeShade="A6"/>
          <w:sz w:val="22"/>
          <w:szCs w:val="22"/>
          <w:lang w:val="en-GB"/>
        </w:rPr>
        <w:t xml:space="preserve"> where</w:t>
      </w:r>
      <w:r w:rsidR="000331D8">
        <w:rPr>
          <w:rFonts w:ascii="Arial" w:hAnsi="Arial" w:cs="Arial"/>
          <w:color w:val="A6A6A6" w:themeColor="background1" w:themeShade="A6"/>
          <w:sz w:val="22"/>
          <w:szCs w:val="22"/>
          <w:lang w:val="en-GB"/>
        </w:rPr>
        <w:t xml:space="preserve"> t</w:t>
      </w:r>
      <w:r w:rsidR="00F02970">
        <w:rPr>
          <w:rFonts w:ascii="Arial" w:hAnsi="Arial" w:cs="Arial"/>
          <w:color w:val="A6A6A6" w:themeColor="background1" w:themeShade="A6"/>
          <w:sz w:val="22"/>
          <w:szCs w:val="22"/>
          <w:lang w:val="en-GB"/>
        </w:rPr>
        <w:t>he landlord is</w:t>
      </w:r>
      <w:r w:rsidR="00476BA8">
        <w:rPr>
          <w:rFonts w:ascii="Arial" w:hAnsi="Arial" w:cs="Arial"/>
          <w:color w:val="A6A6A6" w:themeColor="background1" w:themeShade="A6"/>
          <w:sz w:val="22"/>
          <w:szCs w:val="22"/>
          <w:lang w:val="en-GB"/>
        </w:rPr>
        <w:t xml:space="preserve"> a creditor, they are</w:t>
      </w:r>
      <w:r w:rsidR="00F02970">
        <w:rPr>
          <w:rFonts w:ascii="Arial" w:hAnsi="Arial" w:cs="Arial"/>
          <w:color w:val="A6A6A6" w:themeColor="background1" w:themeShade="A6"/>
          <w:sz w:val="22"/>
          <w:szCs w:val="22"/>
          <w:lang w:val="en-GB"/>
        </w:rPr>
        <w:t xml:space="preserve"> not permitted to terminate the lease (section 112 </w:t>
      </w:r>
      <w:proofErr w:type="spellStart"/>
      <w:r w:rsidR="00F02970">
        <w:rPr>
          <w:rFonts w:ascii="Arial" w:hAnsi="Arial" w:cs="Arial"/>
          <w:color w:val="A6A6A6" w:themeColor="background1" w:themeShade="A6"/>
          <w:sz w:val="22"/>
          <w:szCs w:val="22"/>
          <w:lang w:val="en-GB"/>
        </w:rPr>
        <w:t>InsO</w:t>
      </w:r>
      <w:proofErr w:type="spellEnd"/>
      <w:r w:rsidR="00F02970">
        <w:rPr>
          <w:rFonts w:ascii="Arial" w:hAnsi="Arial" w:cs="Arial"/>
          <w:color w:val="A6A6A6" w:themeColor="background1" w:themeShade="A6"/>
          <w:sz w:val="22"/>
          <w:szCs w:val="22"/>
          <w:lang w:val="en-GB"/>
        </w:rPr>
        <w:t>)</w:t>
      </w:r>
      <w:r w:rsidR="000331D8">
        <w:rPr>
          <w:rFonts w:ascii="Arial" w:hAnsi="Arial" w:cs="Arial"/>
          <w:color w:val="A6A6A6" w:themeColor="background1" w:themeShade="A6"/>
          <w:sz w:val="22"/>
          <w:szCs w:val="22"/>
          <w:lang w:val="en-GB"/>
        </w:rPr>
        <w:t>.</w:t>
      </w:r>
    </w:p>
    <w:p w14:paraId="327DAA6E" w14:textId="2F5CEBA7" w:rsidR="001821C7" w:rsidRPr="00E349CE" w:rsidRDefault="001821C7" w:rsidP="00FB6757">
      <w:pPr>
        <w:autoSpaceDE w:val="0"/>
        <w:autoSpaceDN w:val="0"/>
        <w:adjustRightInd w:val="0"/>
        <w:snapToGrid w:val="0"/>
        <w:rPr>
          <w:rFonts w:ascii="Arial" w:hAnsi="Arial" w:cs="Arial"/>
          <w:color w:val="000000"/>
          <w:sz w:val="22"/>
          <w:szCs w:val="22"/>
          <w:lang w:val="x-none"/>
        </w:rPr>
      </w:pPr>
    </w:p>
    <w:p w14:paraId="1AC93B3D" w14:textId="77777777" w:rsidR="00780E21" w:rsidRPr="00193129" w:rsidRDefault="00780E21" w:rsidP="00FB6757">
      <w:pPr>
        <w:autoSpaceDE w:val="0"/>
        <w:autoSpaceDN w:val="0"/>
        <w:adjustRightInd w:val="0"/>
        <w:snapToGrid w:val="0"/>
        <w:rPr>
          <w:rFonts w:ascii="Arial" w:hAnsi="Arial" w:cs="Arial"/>
          <w:color w:val="000000"/>
          <w:sz w:val="22"/>
          <w:szCs w:val="22"/>
          <w:highlight w:val="cyan"/>
          <w:lang w:val="x-none"/>
        </w:rPr>
      </w:pPr>
    </w:p>
    <w:p w14:paraId="73DA2221" w14:textId="77777777" w:rsidR="00962045" w:rsidRPr="00E349CE" w:rsidRDefault="00DF75F8" w:rsidP="002A37BB">
      <w:pPr>
        <w:jc w:val="both"/>
        <w:rPr>
          <w:rFonts w:ascii="Arial" w:hAnsi="Arial" w:cs="Arial"/>
          <w:b/>
          <w:sz w:val="22"/>
          <w:szCs w:val="22"/>
          <w:lang w:val="en-GB"/>
        </w:rPr>
      </w:pPr>
      <w:r w:rsidRPr="00E349CE">
        <w:rPr>
          <w:rFonts w:ascii="Arial" w:hAnsi="Arial" w:cs="Arial"/>
          <w:b/>
          <w:sz w:val="22"/>
          <w:szCs w:val="22"/>
          <w:lang w:val="en-GB"/>
        </w:rPr>
        <w:t>QUESTION</w:t>
      </w:r>
      <w:r w:rsidR="00962045" w:rsidRPr="00E349CE">
        <w:rPr>
          <w:rFonts w:ascii="Arial" w:hAnsi="Arial" w:cs="Arial"/>
          <w:b/>
          <w:sz w:val="22"/>
          <w:szCs w:val="22"/>
          <w:lang w:val="en-GB"/>
        </w:rPr>
        <w:t xml:space="preserve"> 3 (essay-type questions) [15 marks</w:t>
      </w:r>
      <w:r w:rsidR="006A2646" w:rsidRPr="00E349CE">
        <w:rPr>
          <w:rFonts w:ascii="Arial" w:hAnsi="Arial" w:cs="Arial"/>
          <w:b/>
          <w:sz w:val="22"/>
          <w:szCs w:val="22"/>
          <w:lang w:val="en-GB"/>
        </w:rPr>
        <w:t xml:space="preserve"> in total</w:t>
      </w:r>
      <w:r w:rsidR="00962045" w:rsidRPr="00E349CE">
        <w:rPr>
          <w:rFonts w:ascii="Arial" w:hAnsi="Arial" w:cs="Arial"/>
          <w:b/>
          <w:sz w:val="22"/>
          <w:szCs w:val="22"/>
          <w:lang w:val="en-GB"/>
        </w:rPr>
        <w:t xml:space="preserve">] </w:t>
      </w:r>
    </w:p>
    <w:p w14:paraId="125C4274" w14:textId="77777777" w:rsidR="00962045" w:rsidRPr="00E349CE" w:rsidRDefault="00962045" w:rsidP="002A37BB">
      <w:pPr>
        <w:jc w:val="both"/>
        <w:rPr>
          <w:rFonts w:ascii="Arial" w:hAnsi="Arial" w:cs="Arial"/>
          <w:sz w:val="22"/>
          <w:szCs w:val="22"/>
          <w:lang w:val="en-GB"/>
        </w:rPr>
      </w:pPr>
    </w:p>
    <w:p w14:paraId="2769B017" w14:textId="27391E71" w:rsidR="00C34152" w:rsidRPr="00E349CE" w:rsidRDefault="009C7115" w:rsidP="00C34152">
      <w:pPr>
        <w:jc w:val="both"/>
        <w:rPr>
          <w:rFonts w:ascii="Arial" w:hAnsi="Arial" w:cs="Arial"/>
          <w:sz w:val="22"/>
          <w:szCs w:val="22"/>
          <w:lang w:val="en-GB"/>
        </w:rPr>
      </w:pPr>
      <w:r w:rsidRPr="00E349CE">
        <w:rPr>
          <w:rFonts w:ascii="Arial" w:hAnsi="Arial" w:cs="Arial"/>
          <w:sz w:val="22"/>
          <w:szCs w:val="22"/>
          <w:lang w:val="en-GB"/>
        </w:rPr>
        <w:t>E</w:t>
      </w:r>
      <w:r w:rsidR="009E1511" w:rsidRPr="00E349CE">
        <w:rPr>
          <w:rFonts w:ascii="Arial" w:hAnsi="Arial" w:cs="Arial"/>
          <w:sz w:val="22"/>
          <w:szCs w:val="22"/>
          <w:lang w:val="en-GB"/>
        </w:rPr>
        <w:t xml:space="preserve">xplain the rules in German insolvency law </w:t>
      </w:r>
      <w:r w:rsidRPr="00E349CE">
        <w:rPr>
          <w:rFonts w:ascii="Arial" w:hAnsi="Arial" w:cs="Arial"/>
          <w:sz w:val="22"/>
          <w:szCs w:val="22"/>
          <w:lang w:val="en-GB"/>
        </w:rPr>
        <w:t>relating to</w:t>
      </w:r>
      <w:r w:rsidR="009E1511" w:rsidRPr="00E349CE">
        <w:rPr>
          <w:rFonts w:ascii="Arial" w:hAnsi="Arial" w:cs="Arial"/>
          <w:sz w:val="22"/>
          <w:szCs w:val="22"/>
          <w:lang w:val="en-GB"/>
        </w:rPr>
        <w:t xml:space="preserve"> </w:t>
      </w:r>
      <w:r w:rsidR="00E349CE" w:rsidRPr="00E349CE">
        <w:rPr>
          <w:rFonts w:ascii="Arial" w:hAnsi="Arial" w:cs="Arial"/>
          <w:sz w:val="22"/>
          <w:szCs w:val="22"/>
          <w:lang w:val="en-GB"/>
        </w:rPr>
        <w:t>transactions avoidance</w:t>
      </w:r>
      <w:r w:rsidR="00C34152" w:rsidRPr="00E349CE">
        <w:rPr>
          <w:rFonts w:ascii="Arial" w:hAnsi="Arial" w:cs="Arial"/>
          <w:sz w:val="22"/>
          <w:szCs w:val="22"/>
          <w:lang w:val="en-GB"/>
        </w:rPr>
        <w:t>.</w:t>
      </w:r>
    </w:p>
    <w:p w14:paraId="4EBAB05E" w14:textId="5CB93BDC" w:rsidR="009E1511" w:rsidRPr="00E349CE" w:rsidRDefault="009E1511" w:rsidP="00C34152">
      <w:pPr>
        <w:jc w:val="both"/>
        <w:rPr>
          <w:rFonts w:ascii="Arial" w:hAnsi="Arial" w:cs="Arial"/>
          <w:sz w:val="22"/>
          <w:szCs w:val="22"/>
          <w:lang w:val="en-GB"/>
        </w:rPr>
      </w:pPr>
    </w:p>
    <w:p w14:paraId="086D40DB" w14:textId="557D9080" w:rsidR="00D05CA4" w:rsidRDefault="00764AB0" w:rsidP="00D05CA4">
      <w:pPr>
        <w:pStyle w:val="ListParagraph"/>
        <w:ind w:left="0"/>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w:t>
      </w:r>
      <w:r w:rsidR="00235F71">
        <w:rPr>
          <w:rFonts w:ascii="Arial" w:hAnsi="Arial" w:cs="Arial"/>
          <w:color w:val="A6A6A6" w:themeColor="background1" w:themeShade="A6"/>
          <w:sz w:val="22"/>
          <w:szCs w:val="22"/>
          <w:lang w:val="en-GB"/>
        </w:rPr>
        <w:t>Transactions avoidance</w:t>
      </w:r>
      <w:r>
        <w:rPr>
          <w:rFonts w:ascii="Arial" w:hAnsi="Arial" w:cs="Arial"/>
          <w:color w:val="A6A6A6" w:themeColor="background1" w:themeShade="A6"/>
          <w:sz w:val="22"/>
          <w:szCs w:val="22"/>
          <w:lang w:val="en-GB"/>
        </w:rPr>
        <w:t>”</w:t>
      </w:r>
      <w:r w:rsidR="00235F71">
        <w:rPr>
          <w:rFonts w:ascii="Arial" w:hAnsi="Arial" w:cs="Arial"/>
          <w:color w:val="A6A6A6" w:themeColor="background1" w:themeShade="A6"/>
          <w:sz w:val="22"/>
          <w:szCs w:val="22"/>
          <w:lang w:val="en-GB"/>
        </w:rPr>
        <w:t xml:space="preserve"> refers to the notion that certain transactions entered into by a company may be </w:t>
      </w:r>
      <w:r>
        <w:rPr>
          <w:rFonts w:ascii="Arial" w:hAnsi="Arial" w:cs="Arial"/>
          <w:color w:val="A6A6A6" w:themeColor="background1" w:themeShade="A6"/>
          <w:sz w:val="22"/>
          <w:szCs w:val="22"/>
          <w:lang w:val="en-GB"/>
        </w:rPr>
        <w:t>rendered void, as though they had never taken place, after a company is substantively insolvent.</w:t>
      </w:r>
      <w:r w:rsidR="00FE0C26">
        <w:rPr>
          <w:rFonts w:ascii="Arial" w:hAnsi="Arial" w:cs="Arial"/>
          <w:color w:val="A6A6A6" w:themeColor="background1" w:themeShade="A6"/>
          <w:sz w:val="22"/>
          <w:szCs w:val="22"/>
          <w:lang w:val="en-GB"/>
        </w:rPr>
        <w:t xml:space="preserve"> This can be beneficial for the company’s creditors as, if a transaction is avoided, assets may be returned to the company’s insolven</w:t>
      </w:r>
      <w:r w:rsidR="006C7B97">
        <w:rPr>
          <w:rFonts w:ascii="Arial" w:hAnsi="Arial" w:cs="Arial"/>
          <w:color w:val="A6A6A6" w:themeColor="background1" w:themeShade="A6"/>
          <w:sz w:val="22"/>
          <w:szCs w:val="22"/>
          <w:lang w:val="en-GB"/>
        </w:rPr>
        <w:t>cy</w:t>
      </w:r>
      <w:r w:rsidR="00FE0C26">
        <w:rPr>
          <w:rFonts w:ascii="Arial" w:hAnsi="Arial" w:cs="Arial"/>
          <w:color w:val="A6A6A6" w:themeColor="background1" w:themeShade="A6"/>
          <w:sz w:val="22"/>
          <w:szCs w:val="22"/>
          <w:lang w:val="en-GB"/>
        </w:rPr>
        <w:t xml:space="preserve"> estate for distribution to the creditors. </w:t>
      </w:r>
      <w:r w:rsidR="00EE0785">
        <w:rPr>
          <w:rFonts w:ascii="Arial" w:hAnsi="Arial" w:cs="Arial"/>
          <w:color w:val="A6A6A6" w:themeColor="background1" w:themeShade="A6"/>
          <w:sz w:val="22"/>
          <w:szCs w:val="22"/>
          <w:lang w:val="en-GB"/>
        </w:rPr>
        <w:t>The avoidance grounds include the following:</w:t>
      </w:r>
    </w:p>
    <w:p w14:paraId="41FF50BB" w14:textId="7AC8E056" w:rsidR="00FE0C26" w:rsidRDefault="00FE0C26" w:rsidP="00D05CA4">
      <w:pPr>
        <w:pStyle w:val="ListParagraph"/>
        <w:ind w:left="0"/>
        <w:rPr>
          <w:rFonts w:ascii="Arial" w:hAnsi="Arial" w:cs="Arial"/>
          <w:color w:val="A6A6A6" w:themeColor="background1" w:themeShade="A6"/>
          <w:sz w:val="22"/>
          <w:szCs w:val="22"/>
          <w:lang w:val="en-GB"/>
        </w:rPr>
      </w:pPr>
    </w:p>
    <w:p w14:paraId="07532B3F" w14:textId="1B4130D4" w:rsidR="00FE0C26" w:rsidRDefault="005A42E7" w:rsidP="00EE0785">
      <w:pPr>
        <w:pStyle w:val="ListParagraph"/>
        <w:numPr>
          <w:ilvl w:val="0"/>
          <w:numId w:val="34"/>
        </w:numPr>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t</w:t>
      </w:r>
      <w:r w:rsidR="004C3226">
        <w:rPr>
          <w:rFonts w:ascii="Arial" w:hAnsi="Arial" w:cs="Arial"/>
          <w:color w:val="A6A6A6" w:themeColor="background1" w:themeShade="A6"/>
          <w:sz w:val="22"/>
          <w:szCs w:val="22"/>
          <w:lang w:val="en-GB"/>
        </w:rPr>
        <w:t xml:space="preserve">ransactions </w:t>
      </w:r>
      <w:r w:rsidR="00CF5D8E">
        <w:rPr>
          <w:rFonts w:ascii="Arial" w:hAnsi="Arial" w:cs="Arial"/>
          <w:color w:val="A6A6A6" w:themeColor="background1" w:themeShade="A6"/>
          <w:sz w:val="22"/>
          <w:szCs w:val="22"/>
          <w:lang w:val="en-GB"/>
        </w:rPr>
        <w:t>granting security to</w:t>
      </w:r>
      <w:r w:rsidR="001A3BA3">
        <w:rPr>
          <w:rFonts w:ascii="Arial" w:hAnsi="Arial" w:cs="Arial"/>
          <w:color w:val="A6A6A6" w:themeColor="background1" w:themeShade="A6"/>
          <w:sz w:val="22"/>
          <w:szCs w:val="22"/>
          <w:lang w:val="en-GB"/>
        </w:rPr>
        <w:t>, or repaying,</w:t>
      </w:r>
      <w:r w:rsidR="00CF5D8E">
        <w:rPr>
          <w:rFonts w:ascii="Arial" w:hAnsi="Arial" w:cs="Arial"/>
          <w:color w:val="A6A6A6" w:themeColor="background1" w:themeShade="A6"/>
          <w:sz w:val="22"/>
          <w:szCs w:val="22"/>
          <w:lang w:val="en-GB"/>
        </w:rPr>
        <w:t xml:space="preserve"> an insolvency creditor may be vulnerable and subject to avoidance if </w:t>
      </w:r>
      <w:r w:rsidR="00804599">
        <w:rPr>
          <w:rFonts w:ascii="Arial" w:hAnsi="Arial" w:cs="Arial"/>
          <w:color w:val="A6A6A6" w:themeColor="background1" w:themeShade="A6"/>
          <w:sz w:val="22"/>
          <w:szCs w:val="22"/>
          <w:lang w:val="en-GB"/>
        </w:rPr>
        <w:t>they took place up to 3 months prior the start of the insolvency proceedings</w:t>
      </w:r>
      <w:r w:rsidR="0048111E">
        <w:rPr>
          <w:rFonts w:ascii="Arial" w:hAnsi="Arial" w:cs="Arial"/>
          <w:color w:val="A6A6A6" w:themeColor="background1" w:themeShade="A6"/>
          <w:sz w:val="22"/>
          <w:szCs w:val="22"/>
          <w:lang w:val="en-GB"/>
        </w:rPr>
        <w:t xml:space="preserve"> at a time where the creditor in question was aware that the debtor was insolvent</w:t>
      </w:r>
      <w:r>
        <w:rPr>
          <w:rFonts w:ascii="Arial" w:hAnsi="Arial" w:cs="Arial"/>
          <w:color w:val="A6A6A6" w:themeColor="background1" w:themeShade="A6"/>
          <w:sz w:val="22"/>
          <w:szCs w:val="22"/>
          <w:lang w:val="en-GB"/>
        </w:rPr>
        <w:t>;</w:t>
      </w:r>
    </w:p>
    <w:p w14:paraId="1F07C217" w14:textId="4B399B05" w:rsidR="005A42E7" w:rsidRDefault="005A42E7" w:rsidP="00EE0785">
      <w:pPr>
        <w:pStyle w:val="ListParagraph"/>
        <w:numPr>
          <w:ilvl w:val="0"/>
          <w:numId w:val="34"/>
        </w:numPr>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transactions granting security </w:t>
      </w:r>
      <w:r w:rsidR="00662EDD">
        <w:rPr>
          <w:rFonts w:ascii="Arial" w:hAnsi="Arial" w:cs="Arial"/>
          <w:color w:val="A6A6A6" w:themeColor="background1" w:themeShade="A6"/>
          <w:sz w:val="22"/>
          <w:szCs w:val="22"/>
          <w:lang w:val="en-GB"/>
        </w:rPr>
        <w:t>to</w:t>
      </w:r>
      <w:r w:rsidR="001A3BA3">
        <w:rPr>
          <w:rFonts w:ascii="Arial" w:hAnsi="Arial" w:cs="Arial"/>
          <w:color w:val="A6A6A6" w:themeColor="background1" w:themeShade="A6"/>
          <w:sz w:val="22"/>
          <w:szCs w:val="22"/>
          <w:lang w:val="en-GB"/>
        </w:rPr>
        <w:t>, or repaying,</w:t>
      </w:r>
      <w:r w:rsidR="00662EDD">
        <w:rPr>
          <w:rFonts w:ascii="Arial" w:hAnsi="Arial" w:cs="Arial"/>
          <w:color w:val="A6A6A6" w:themeColor="background1" w:themeShade="A6"/>
          <w:sz w:val="22"/>
          <w:szCs w:val="22"/>
          <w:lang w:val="en-GB"/>
        </w:rPr>
        <w:t xml:space="preserve"> an insolvency creditor who was not entitled to such security</w:t>
      </w:r>
      <w:r w:rsidR="001A3BA3">
        <w:rPr>
          <w:rFonts w:ascii="Arial" w:hAnsi="Arial" w:cs="Arial"/>
          <w:color w:val="A6A6A6" w:themeColor="background1" w:themeShade="A6"/>
          <w:sz w:val="22"/>
          <w:szCs w:val="22"/>
          <w:lang w:val="en-GB"/>
        </w:rPr>
        <w:t xml:space="preserve"> or repayment</w:t>
      </w:r>
      <w:r w:rsidR="0053522E">
        <w:rPr>
          <w:rFonts w:ascii="Arial" w:hAnsi="Arial" w:cs="Arial"/>
          <w:color w:val="A6A6A6" w:themeColor="background1" w:themeShade="A6"/>
          <w:sz w:val="22"/>
          <w:szCs w:val="22"/>
          <w:lang w:val="en-GB"/>
        </w:rPr>
        <w:t xml:space="preserve"> may be avoided if they took place</w:t>
      </w:r>
      <w:r w:rsidR="00662EDD">
        <w:rPr>
          <w:rFonts w:ascii="Arial" w:hAnsi="Arial" w:cs="Arial"/>
          <w:color w:val="A6A6A6" w:themeColor="background1" w:themeShade="A6"/>
          <w:sz w:val="22"/>
          <w:szCs w:val="22"/>
          <w:lang w:val="en-GB"/>
        </w:rPr>
        <w:t xml:space="preserve"> </w:t>
      </w:r>
      <w:r w:rsidR="00662EDD">
        <w:rPr>
          <w:rFonts w:ascii="Arial" w:hAnsi="Arial" w:cs="Arial"/>
          <w:color w:val="A6A6A6" w:themeColor="background1" w:themeShade="A6"/>
          <w:sz w:val="22"/>
          <w:szCs w:val="22"/>
          <w:lang w:val="en-GB"/>
        </w:rPr>
        <w:t>up to 3 months prior the start of the insolvency proceedings</w:t>
      </w:r>
      <w:r w:rsidR="000E71C1">
        <w:rPr>
          <w:rFonts w:ascii="Arial" w:hAnsi="Arial" w:cs="Arial"/>
          <w:color w:val="A6A6A6" w:themeColor="background1" w:themeShade="A6"/>
          <w:sz w:val="22"/>
          <w:szCs w:val="22"/>
          <w:lang w:val="en-GB"/>
        </w:rPr>
        <w:t xml:space="preserve"> </w:t>
      </w:r>
      <w:r w:rsidR="001A3BA3">
        <w:rPr>
          <w:rFonts w:ascii="Arial" w:hAnsi="Arial" w:cs="Arial"/>
          <w:color w:val="A6A6A6" w:themeColor="background1" w:themeShade="A6"/>
          <w:sz w:val="22"/>
          <w:szCs w:val="22"/>
          <w:lang w:val="en-GB"/>
        </w:rPr>
        <w:t>(</w:t>
      </w:r>
      <w:r w:rsidR="000E71C1">
        <w:rPr>
          <w:rFonts w:ascii="Arial" w:hAnsi="Arial" w:cs="Arial"/>
          <w:color w:val="A6A6A6" w:themeColor="background1" w:themeShade="A6"/>
          <w:sz w:val="22"/>
          <w:szCs w:val="22"/>
          <w:lang w:val="en-GB"/>
        </w:rPr>
        <w:t>at a time where the debtor was insolvent</w:t>
      </w:r>
      <w:r w:rsidR="001A3BA3">
        <w:rPr>
          <w:rFonts w:ascii="Arial" w:hAnsi="Arial" w:cs="Arial"/>
          <w:color w:val="A6A6A6" w:themeColor="background1" w:themeShade="A6"/>
          <w:sz w:val="22"/>
          <w:szCs w:val="22"/>
          <w:lang w:val="en-GB"/>
        </w:rPr>
        <w:t>)</w:t>
      </w:r>
      <w:r w:rsidR="000E71C1">
        <w:rPr>
          <w:rFonts w:ascii="Arial" w:hAnsi="Arial" w:cs="Arial"/>
          <w:color w:val="A6A6A6" w:themeColor="background1" w:themeShade="A6"/>
          <w:sz w:val="22"/>
          <w:szCs w:val="22"/>
          <w:lang w:val="en-GB"/>
        </w:rPr>
        <w:t xml:space="preserve">, or </w:t>
      </w:r>
      <w:r w:rsidR="0053522E">
        <w:rPr>
          <w:rFonts w:ascii="Arial" w:hAnsi="Arial" w:cs="Arial"/>
          <w:color w:val="A6A6A6" w:themeColor="background1" w:themeShade="A6"/>
          <w:sz w:val="22"/>
          <w:szCs w:val="22"/>
          <w:lang w:val="en-GB"/>
        </w:rPr>
        <w:t xml:space="preserve">if they took place </w:t>
      </w:r>
      <w:r w:rsidR="003D264C">
        <w:rPr>
          <w:rFonts w:ascii="Arial" w:hAnsi="Arial" w:cs="Arial"/>
          <w:color w:val="A6A6A6" w:themeColor="background1" w:themeShade="A6"/>
          <w:sz w:val="22"/>
          <w:szCs w:val="22"/>
          <w:lang w:val="en-GB"/>
        </w:rPr>
        <w:t>one month before of after the application for insolvency proceedings (even if the debtor was not in fact insolvent at the relevant time);</w:t>
      </w:r>
    </w:p>
    <w:p w14:paraId="3A489C09" w14:textId="77678119" w:rsidR="003D264C" w:rsidRDefault="002A1D87" w:rsidP="00EE0785">
      <w:pPr>
        <w:pStyle w:val="ListParagraph"/>
        <w:numPr>
          <w:ilvl w:val="0"/>
          <w:numId w:val="34"/>
        </w:numPr>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transactions whereby a creditor </w:t>
      </w:r>
      <w:r w:rsidR="00756674">
        <w:rPr>
          <w:rFonts w:ascii="Arial" w:hAnsi="Arial" w:cs="Arial"/>
          <w:color w:val="A6A6A6" w:themeColor="background1" w:themeShade="A6"/>
          <w:sz w:val="22"/>
          <w:szCs w:val="22"/>
          <w:lang w:val="en-GB"/>
        </w:rPr>
        <w:t>receives a form of benefit which immediately puts other creditors at a disadvantage</w:t>
      </w:r>
      <w:r w:rsidR="00EA6511">
        <w:rPr>
          <w:rFonts w:ascii="Arial" w:hAnsi="Arial" w:cs="Arial"/>
          <w:color w:val="A6A6A6" w:themeColor="background1" w:themeShade="A6"/>
          <w:sz w:val="22"/>
          <w:szCs w:val="22"/>
          <w:lang w:val="en-GB"/>
        </w:rPr>
        <w:t xml:space="preserve">, if they took place when that creditor knew that the debtor was insolvent or that </w:t>
      </w:r>
      <w:r w:rsidR="006651D7">
        <w:rPr>
          <w:rFonts w:ascii="Arial" w:hAnsi="Arial" w:cs="Arial"/>
          <w:color w:val="A6A6A6" w:themeColor="background1" w:themeShade="A6"/>
          <w:sz w:val="22"/>
          <w:szCs w:val="22"/>
          <w:lang w:val="en-GB"/>
        </w:rPr>
        <w:t>insolvency proceedings had been applied for;</w:t>
      </w:r>
    </w:p>
    <w:p w14:paraId="58D08462" w14:textId="671987AF" w:rsidR="006651D7" w:rsidRDefault="006651D7" w:rsidP="00EE0785">
      <w:pPr>
        <w:pStyle w:val="ListParagraph"/>
        <w:numPr>
          <w:ilvl w:val="0"/>
          <w:numId w:val="34"/>
        </w:numPr>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transactions made up to 10 years prior to the beginning of insolvency proceedings </w:t>
      </w:r>
      <w:r w:rsidR="00CF0646">
        <w:rPr>
          <w:rFonts w:ascii="Arial" w:hAnsi="Arial" w:cs="Arial"/>
          <w:color w:val="A6A6A6" w:themeColor="background1" w:themeShade="A6"/>
          <w:sz w:val="22"/>
          <w:szCs w:val="22"/>
          <w:lang w:val="en-GB"/>
        </w:rPr>
        <w:t>if the relevant creditor knew that such transactions were made for the purpose of disadvantaging other creditors;</w:t>
      </w:r>
    </w:p>
    <w:p w14:paraId="5977241B" w14:textId="753DB7E3" w:rsidR="00CF0646" w:rsidRDefault="000A514A" w:rsidP="00EE0785">
      <w:pPr>
        <w:pStyle w:val="ListParagraph"/>
        <w:numPr>
          <w:ilvl w:val="0"/>
          <w:numId w:val="34"/>
        </w:numPr>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transactions where an asset is gifted to a third party, or sold for significantly less than its </w:t>
      </w:r>
      <w:r w:rsidR="00E07AD1">
        <w:rPr>
          <w:rFonts w:ascii="Arial" w:hAnsi="Arial" w:cs="Arial"/>
          <w:color w:val="A6A6A6" w:themeColor="background1" w:themeShade="A6"/>
          <w:sz w:val="22"/>
          <w:szCs w:val="22"/>
          <w:lang w:val="en-GB"/>
        </w:rPr>
        <w:t>market value, if that transaction took place within 4 years of the start of insolvency proceedings; and</w:t>
      </w:r>
    </w:p>
    <w:p w14:paraId="5BC474A7" w14:textId="35BCC009" w:rsidR="00E07AD1" w:rsidRDefault="00E07AD1" w:rsidP="00EE0785">
      <w:pPr>
        <w:pStyle w:val="ListParagraph"/>
        <w:numPr>
          <w:ilvl w:val="0"/>
          <w:numId w:val="34"/>
        </w:numPr>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payments made to</w:t>
      </w:r>
      <w:r w:rsidR="00073C39">
        <w:rPr>
          <w:rFonts w:ascii="Arial" w:hAnsi="Arial" w:cs="Arial"/>
          <w:color w:val="A6A6A6" w:themeColor="background1" w:themeShade="A6"/>
          <w:sz w:val="22"/>
          <w:szCs w:val="22"/>
          <w:lang w:val="en-GB"/>
        </w:rPr>
        <w:t xml:space="preserve"> shareholders of a debtor company one year before </w:t>
      </w:r>
      <w:proofErr w:type="spellStart"/>
      <w:r w:rsidR="00073C39">
        <w:rPr>
          <w:rFonts w:ascii="Arial" w:hAnsi="Arial" w:cs="Arial"/>
          <w:color w:val="A6A6A6" w:themeColor="background1" w:themeShade="A6"/>
          <w:sz w:val="22"/>
          <w:szCs w:val="22"/>
          <w:lang w:val="en-GB"/>
        </w:rPr>
        <w:t>of</w:t>
      </w:r>
      <w:proofErr w:type="spellEnd"/>
      <w:r w:rsidR="00073C39">
        <w:rPr>
          <w:rFonts w:ascii="Arial" w:hAnsi="Arial" w:cs="Arial"/>
          <w:color w:val="A6A6A6" w:themeColor="background1" w:themeShade="A6"/>
          <w:sz w:val="22"/>
          <w:szCs w:val="22"/>
          <w:lang w:val="en-GB"/>
        </w:rPr>
        <w:t xml:space="preserve"> after the start of insolvency proceedings,</w:t>
      </w:r>
      <w:r>
        <w:rPr>
          <w:rFonts w:ascii="Arial" w:hAnsi="Arial" w:cs="Arial"/>
          <w:color w:val="A6A6A6" w:themeColor="background1" w:themeShade="A6"/>
          <w:sz w:val="22"/>
          <w:szCs w:val="22"/>
          <w:lang w:val="en-GB"/>
        </w:rPr>
        <w:t xml:space="preserve"> and securities granted to shareholders of a debtor</w:t>
      </w:r>
      <w:r w:rsidR="00073C39">
        <w:rPr>
          <w:rFonts w:ascii="Arial" w:hAnsi="Arial" w:cs="Arial"/>
          <w:color w:val="A6A6A6" w:themeColor="background1" w:themeShade="A6"/>
          <w:sz w:val="22"/>
          <w:szCs w:val="22"/>
          <w:lang w:val="en-GB"/>
        </w:rPr>
        <w:t xml:space="preserve"> company ten years before of after the start of insolvency proceedings, may also be voidable.</w:t>
      </w:r>
    </w:p>
    <w:p w14:paraId="251FDA29" w14:textId="450C5249" w:rsidR="00073C39" w:rsidRDefault="00073C39" w:rsidP="00073C39">
      <w:pPr>
        <w:rPr>
          <w:rFonts w:ascii="Arial" w:hAnsi="Arial" w:cs="Arial"/>
          <w:color w:val="A6A6A6" w:themeColor="background1" w:themeShade="A6"/>
          <w:sz w:val="22"/>
          <w:szCs w:val="22"/>
          <w:lang w:val="en-GB"/>
        </w:rPr>
      </w:pPr>
    </w:p>
    <w:p w14:paraId="04BDA718" w14:textId="236F8A51" w:rsidR="00073C39" w:rsidRPr="00073C39" w:rsidRDefault="00C46F3E" w:rsidP="00073C39">
      <w:pPr>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If a transaction is successfully challenged, then </w:t>
      </w:r>
      <w:r w:rsidR="00A70A5A">
        <w:rPr>
          <w:rFonts w:ascii="Arial" w:hAnsi="Arial" w:cs="Arial"/>
          <w:color w:val="A6A6A6" w:themeColor="background1" w:themeShade="A6"/>
          <w:sz w:val="22"/>
          <w:szCs w:val="22"/>
          <w:lang w:val="en-GB"/>
        </w:rPr>
        <w:t xml:space="preserve">the </w:t>
      </w:r>
      <w:r w:rsidR="003A0E94">
        <w:rPr>
          <w:rFonts w:ascii="Arial" w:hAnsi="Arial" w:cs="Arial"/>
          <w:color w:val="A6A6A6" w:themeColor="background1" w:themeShade="A6"/>
          <w:sz w:val="22"/>
          <w:szCs w:val="22"/>
          <w:lang w:val="en-GB"/>
        </w:rPr>
        <w:t>insolvency estate of the debtor</w:t>
      </w:r>
      <w:r w:rsidR="00A70A5A">
        <w:rPr>
          <w:rFonts w:ascii="Arial" w:hAnsi="Arial" w:cs="Arial"/>
          <w:color w:val="A6A6A6" w:themeColor="background1" w:themeShade="A6"/>
          <w:sz w:val="22"/>
          <w:szCs w:val="22"/>
          <w:lang w:val="en-GB"/>
        </w:rPr>
        <w:t xml:space="preserve"> must be put back in the position it would have been in if the transaction had never taken place – usually this means that</w:t>
      </w:r>
      <w:r w:rsidR="00707CC8">
        <w:rPr>
          <w:rFonts w:ascii="Arial" w:hAnsi="Arial" w:cs="Arial"/>
          <w:color w:val="A6A6A6" w:themeColor="background1" w:themeShade="A6"/>
          <w:sz w:val="22"/>
          <w:szCs w:val="22"/>
          <w:lang w:val="en-GB"/>
        </w:rPr>
        <w:t xml:space="preserve"> </w:t>
      </w:r>
      <w:r w:rsidR="00131A04">
        <w:rPr>
          <w:rFonts w:ascii="Arial" w:hAnsi="Arial" w:cs="Arial"/>
          <w:color w:val="A6A6A6" w:themeColor="background1" w:themeShade="A6"/>
          <w:sz w:val="22"/>
          <w:szCs w:val="22"/>
          <w:lang w:val="en-GB"/>
        </w:rPr>
        <w:t>(</w:t>
      </w:r>
      <w:r w:rsidR="00707CC8">
        <w:rPr>
          <w:rFonts w:ascii="Arial" w:hAnsi="Arial" w:cs="Arial"/>
          <w:color w:val="A6A6A6" w:themeColor="background1" w:themeShade="A6"/>
          <w:sz w:val="22"/>
          <w:szCs w:val="22"/>
          <w:lang w:val="en-GB"/>
        </w:rPr>
        <w:t xml:space="preserve">with a few exceptions encompassing </w:t>
      </w:r>
      <w:r w:rsidR="00131A04">
        <w:rPr>
          <w:rFonts w:ascii="Arial" w:hAnsi="Arial" w:cs="Arial"/>
          <w:color w:val="A6A6A6" w:themeColor="background1" w:themeShade="A6"/>
          <w:sz w:val="22"/>
          <w:szCs w:val="22"/>
          <w:lang w:val="en-GB"/>
        </w:rPr>
        <w:t>assets forming part of a debtor’s personal household</w:t>
      </w:r>
      <w:r w:rsidR="000E2E9B">
        <w:rPr>
          <w:rFonts w:ascii="Arial" w:hAnsi="Arial" w:cs="Arial"/>
          <w:color w:val="A6A6A6" w:themeColor="background1" w:themeShade="A6"/>
          <w:sz w:val="22"/>
          <w:szCs w:val="22"/>
          <w:lang w:val="en-GB"/>
        </w:rPr>
        <w:t>, clothing and specialist work equipment)</w:t>
      </w:r>
      <w:r w:rsidR="00A70A5A">
        <w:rPr>
          <w:rFonts w:ascii="Arial" w:hAnsi="Arial" w:cs="Arial"/>
          <w:color w:val="A6A6A6" w:themeColor="background1" w:themeShade="A6"/>
          <w:sz w:val="22"/>
          <w:szCs w:val="22"/>
          <w:lang w:val="en-GB"/>
        </w:rPr>
        <w:t xml:space="preserve"> property has </w:t>
      </w:r>
      <w:r w:rsidR="000E2E9B">
        <w:rPr>
          <w:rFonts w:ascii="Arial" w:hAnsi="Arial" w:cs="Arial"/>
          <w:color w:val="A6A6A6" w:themeColor="background1" w:themeShade="A6"/>
          <w:sz w:val="22"/>
          <w:szCs w:val="22"/>
          <w:lang w:val="en-GB"/>
        </w:rPr>
        <w:t>to</w:t>
      </w:r>
      <w:r w:rsidR="00A70A5A">
        <w:rPr>
          <w:rFonts w:ascii="Arial" w:hAnsi="Arial" w:cs="Arial"/>
          <w:color w:val="A6A6A6" w:themeColor="background1" w:themeShade="A6"/>
          <w:sz w:val="22"/>
          <w:szCs w:val="22"/>
          <w:lang w:val="en-GB"/>
        </w:rPr>
        <w:t xml:space="preserve"> be returned or security </w:t>
      </w:r>
      <w:r w:rsidR="000E2E9B">
        <w:rPr>
          <w:rFonts w:ascii="Arial" w:hAnsi="Arial" w:cs="Arial"/>
          <w:color w:val="A6A6A6" w:themeColor="background1" w:themeShade="A6"/>
          <w:sz w:val="22"/>
          <w:szCs w:val="22"/>
          <w:lang w:val="en-GB"/>
        </w:rPr>
        <w:t>must be</w:t>
      </w:r>
      <w:r w:rsidR="003A0E94">
        <w:rPr>
          <w:rFonts w:ascii="Arial" w:hAnsi="Arial" w:cs="Arial"/>
          <w:color w:val="A6A6A6" w:themeColor="background1" w:themeShade="A6"/>
          <w:sz w:val="22"/>
          <w:szCs w:val="22"/>
          <w:lang w:val="en-GB"/>
        </w:rPr>
        <w:t xml:space="preserve"> discharged. </w:t>
      </w:r>
      <w:r w:rsidR="00981F41">
        <w:rPr>
          <w:rFonts w:ascii="Arial" w:hAnsi="Arial" w:cs="Arial"/>
          <w:color w:val="A6A6A6" w:themeColor="background1" w:themeShade="A6"/>
          <w:sz w:val="22"/>
          <w:szCs w:val="22"/>
          <w:lang w:val="en-GB"/>
        </w:rPr>
        <w:t>We can see from the above list that the overarching principle is that any transactions which put the insolvency creditors at a disadvantage can be challenged</w:t>
      </w:r>
      <w:r w:rsidR="00DF396D">
        <w:rPr>
          <w:rFonts w:ascii="Arial" w:hAnsi="Arial" w:cs="Arial"/>
          <w:color w:val="A6A6A6" w:themeColor="background1" w:themeShade="A6"/>
          <w:sz w:val="22"/>
          <w:szCs w:val="22"/>
          <w:lang w:val="en-GB"/>
        </w:rPr>
        <w:t xml:space="preserve">. To emphasise this general </w:t>
      </w:r>
      <w:r w:rsidR="00321BDC">
        <w:rPr>
          <w:rFonts w:ascii="Arial" w:hAnsi="Arial" w:cs="Arial"/>
          <w:color w:val="A6A6A6" w:themeColor="background1" w:themeShade="A6"/>
          <w:sz w:val="22"/>
          <w:szCs w:val="22"/>
          <w:lang w:val="en-GB"/>
        </w:rPr>
        <w:t xml:space="preserve">principle, it is relevant to note that even third parties who may have purchased an asset in good faith are not </w:t>
      </w:r>
      <w:r>
        <w:rPr>
          <w:rFonts w:ascii="Arial" w:hAnsi="Arial" w:cs="Arial"/>
          <w:color w:val="A6A6A6" w:themeColor="background1" w:themeShade="A6"/>
          <w:sz w:val="22"/>
          <w:szCs w:val="22"/>
          <w:lang w:val="en-GB"/>
        </w:rPr>
        <w:t xml:space="preserve">protected from the above claw-back provisions. </w:t>
      </w:r>
    </w:p>
    <w:p w14:paraId="00130585" w14:textId="529A5CA6" w:rsidR="00780E21" w:rsidRPr="009F4558" w:rsidRDefault="00780E21" w:rsidP="003E4613">
      <w:pPr>
        <w:jc w:val="both"/>
        <w:rPr>
          <w:rFonts w:ascii="Arial" w:hAnsi="Arial" w:cs="Arial"/>
          <w:color w:val="000000"/>
          <w:sz w:val="22"/>
          <w:szCs w:val="22"/>
        </w:rPr>
      </w:pPr>
    </w:p>
    <w:p w14:paraId="06E1270C" w14:textId="77777777" w:rsidR="00CC34BB" w:rsidRPr="00193129" w:rsidRDefault="00CC34BB" w:rsidP="003E4613">
      <w:pPr>
        <w:jc w:val="both"/>
        <w:rPr>
          <w:rFonts w:ascii="Arial" w:hAnsi="Arial" w:cs="Arial"/>
          <w:color w:val="000000"/>
          <w:sz w:val="22"/>
          <w:szCs w:val="22"/>
          <w:highlight w:val="cyan"/>
        </w:rPr>
      </w:pPr>
    </w:p>
    <w:p w14:paraId="324C0272" w14:textId="196D6BD7" w:rsidR="009B0723" w:rsidRPr="00436E76" w:rsidRDefault="00DF75F8" w:rsidP="00031C73">
      <w:pPr>
        <w:jc w:val="both"/>
        <w:rPr>
          <w:rFonts w:ascii="Arial" w:hAnsi="Arial" w:cs="Arial"/>
          <w:b/>
          <w:sz w:val="22"/>
          <w:szCs w:val="22"/>
          <w:lang w:val="en-GB"/>
        </w:rPr>
      </w:pPr>
      <w:r w:rsidRPr="00436E76">
        <w:rPr>
          <w:rFonts w:ascii="Arial" w:hAnsi="Arial" w:cs="Arial"/>
          <w:b/>
          <w:sz w:val="22"/>
          <w:szCs w:val="22"/>
          <w:lang w:val="en-GB"/>
        </w:rPr>
        <w:t>QUESTION 4</w:t>
      </w:r>
      <w:r w:rsidR="009B0723" w:rsidRPr="00436E76">
        <w:rPr>
          <w:rFonts w:ascii="Arial" w:hAnsi="Arial" w:cs="Arial"/>
          <w:b/>
          <w:sz w:val="22"/>
          <w:szCs w:val="22"/>
          <w:lang w:val="en-GB"/>
        </w:rPr>
        <w:t xml:space="preserve"> (fact-based application-type question) [15 marks</w:t>
      </w:r>
      <w:r w:rsidR="006A2646" w:rsidRPr="00436E76">
        <w:rPr>
          <w:rFonts w:ascii="Arial" w:hAnsi="Arial" w:cs="Arial"/>
          <w:b/>
          <w:sz w:val="22"/>
          <w:szCs w:val="22"/>
          <w:lang w:val="en-GB"/>
        </w:rPr>
        <w:t xml:space="preserve"> in total</w:t>
      </w:r>
      <w:r w:rsidR="009B0723" w:rsidRPr="00436E76">
        <w:rPr>
          <w:rFonts w:ascii="Arial" w:hAnsi="Arial" w:cs="Arial"/>
          <w:b/>
          <w:sz w:val="22"/>
          <w:szCs w:val="22"/>
          <w:lang w:val="en-GB"/>
        </w:rPr>
        <w:t>]</w:t>
      </w:r>
    </w:p>
    <w:p w14:paraId="2906B099" w14:textId="77777777" w:rsidR="009B0723" w:rsidRPr="00436E76" w:rsidRDefault="009B0723" w:rsidP="00087F21">
      <w:pPr>
        <w:jc w:val="both"/>
        <w:rPr>
          <w:rFonts w:ascii="Arial" w:hAnsi="Arial" w:cs="Arial"/>
          <w:sz w:val="22"/>
          <w:szCs w:val="22"/>
          <w:lang w:val="en-GB"/>
        </w:rPr>
      </w:pPr>
    </w:p>
    <w:p w14:paraId="00B1A79E" w14:textId="1C918F2A" w:rsidR="00C34152" w:rsidRPr="00436E76" w:rsidRDefault="00436E76" w:rsidP="00C66D35">
      <w:pPr>
        <w:pStyle w:val="HTMLPreformatted"/>
        <w:jc w:val="both"/>
        <w:rPr>
          <w:rFonts w:ascii="Arial" w:hAnsi="Arial" w:cs="Arial"/>
          <w:sz w:val="22"/>
          <w:szCs w:val="22"/>
          <w:lang w:val="en-GB"/>
        </w:rPr>
      </w:pPr>
      <w:r>
        <w:rPr>
          <w:rFonts w:ascii="Arial" w:hAnsi="Arial" w:cs="Arial"/>
          <w:sz w:val="22"/>
          <w:szCs w:val="22"/>
          <w:lang w:val="en-GB"/>
        </w:rPr>
        <w:t>In January 2020</w:t>
      </w:r>
      <w:r w:rsidR="00CC572F" w:rsidRPr="00436E76">
        <w:rPr>
          <w:rFonts w:ascii="Arial" w:hAnsi="Arial" w:cs="Arial"/>
          <w:sz w:val="22"/>
          <w:szCs w:val="22"/>
          <w:lang w:val="en-GB"/>
        </w:rPr>
        <w:t xml:space="preserve">, </w:t>
      </w:r>
      <w:r w:rsidR="00AB3A98" w:rsidRPr="00436E76">
        <w:rPr>
          <w:rFonts w:ascii="Arial" w:hAnsi="Arial" w:cs="Arial"/>
          <w:sz w:val="22"/>
          <w:szCs w:val="22"/>
          <w:lang w:val="en-GB"/>
        </w:rPr>
        <w:t>Bank (B) has granted debtor (D) a loan</w:t>
      </w:r>
      <w:r w:rsidR="00CC572F" w:rsidRPr="00436E76">
        <w:rPr>
          <w:rFonts w:ascii="Arial" w:hAnsi="Arial" w:cs="Arial"/>
          <w:sz w:val="22"/>
          <w:szCs w:val="22"/>
          <w:lang w:val="en-GB"/>
        </w:rPr>
        <w:t xml:space="preserve"> </w:t>
      </w:r>
      <w:r w:rsidR="00F06C6E" w:rsidRPr="00436E76">
        <w:rPr>
          <w:rFonts w:ascii="Arial" w:hAnsi="Arial" w:cs="Arial"/>
          <w:sz w:val="22"/>
          <w:szCs w:val="22"/>
          <w:lang w:val="en-GB"/>
        </w:rPr>
        <w:t>of</w:t>
      </w:r>
      <w:r w:rsidR="00CC572F" w:rsidRPr="00436E76">
        <w:rPr>
          <w:rFonts w:ascii="Arial" w:hAnsi="Arial" w:cs="Arial"/>
          <w:sz w:val="22"/>
          <w:szCs w:val="22"/>
          <w:lang w:val="en-GB"/>
        </w:rPr>
        <w:t xml:space="preserve"> </w:t>
      </w:r>
      <w:r w:rsidR="00F06C6E" w:rsidRPr="00436E76">
        <w:rPr>
          <w:rFonts w:ascii="Arial" w:hAnsi="Arial" w:cs="Arial"/>
          <w:sz w:val="22"/>
          <w:szCs w:val="22"/>
          <w:lang w:val="en-GB"/>
        </w:rPr>
        <w:t xml:space="preserve">EUR </w:t>
      </w:r>
      <w:r w:rsidR="00CC572F" w:rsidRPr="00436E76">
        <w:rPr>
          <w:rFonts w:ascii="Arial" w:hAnsi="Arial" w:cs="Arial"/>
          <w:sz w:val="22"/>
          <w:szCs w:val="22"/>
          <w:lang w:val="en-GB"/>
        </w:rPr>
        <w:t>50,000</w:t>
      </w:r>
      <w:r w:rsidR="00C34152" w:rsidRPr="00436E76">
        <w:rPr>
          <w:rFonts w:ascii="Arial" w:hAnsi="Arial" w:cs="Arial"/>
          <w:sz w:val="22"/>
          <w:szCs w:val="22"/>
          <w:lang w:val="en-GB"/>
        </w:rPr>
        <w:t>.</w:t>
      </w:r>
      <w:r w:rsidR="00AB3A98" w:rsidRPr="00436E76">
        <w:rPr>
          <w:rFonts w:ascii="Arial" w:hAnsi="Arial" w:cs="Arial"/>
          <w:sz w:val="22"/>
          <w:szCs w:val="22"/>
          <w:lang w:val="en-GB"/>
        </w:rPr>
        <w:t xml:space="preserve"> Since B asked for securit</w:t>
      </w:r>
      <w:r w:rsidR="00F06C6E" w:rsidRPr="00436E76">
        <w:rPr>
          <w:rFonts w:ascii="Arial" w:hAnsi="Arial" w:cs="Arial"/>
          <w:sz w:val="22"/>
          <w:szCs w:val="22"/>
          <w:lang w:val="en-GB"/>
        </w:rPr>
        <w:t>y</w:t>
      </w:r>
      <w:r w:rsidR="00AB3A98" w:rsidRPr="00436E76">
        <w:rPr>
          <w:rFonts w:ascii="Arial" w:hAnsi="Arial" w:cs="Arial"/>
          <w:sz w:val="22"/>
          <w:szCs w:val="22"/>
          <w:lang w:val="en-GB"/>
        </w:rPr>
        <w:t xml:space="preserve">, D has </w:t>
      </w:r>
      <w:r>
        <w:rPr>
          <w:rFonts w:ascii="Arial" w:hAnsi="Arial" w:cs="Arial"/>
          <w:sz w:val="22"/>
          <w:szCs w:val="22"/>
          <w:lang w:val="en-GB"/>
        </w:rPr>
        <w:t xml:space="preserve">assigned </w:t>
      </w:r>
      <w:r w:rsidR="00AB3A98" w:rsidRPr="00436E76">
        <w:rPr>
          <w:rFonts w:ascii="Arial" w:hAnsi="Arial" w:cs="Arial"/>
          <w:sz w:val="22"/>
          <w:szCs w:val="22"/>
          <w:lang w:val="en-GB"/>
        </w:rPr>
        <w:t>all</w:t>
      </w:r>
      <w:r>
        <w:rPr>
          <w:rFonts w:ascii="Arial" w:hAnsi="Arial" w:cs="Arial"/>
          <w:sz w:val="22"/>
          <w:szCs w:val="22"/>
          <w:lang w:val="en-GB"/>
        </w:rPr>
        <w:t xml:space="preserve"> her</w:t>
      </w:r>
      <w:r w:rsidR="00AB3A98" w:rsidRPr="00436E76">
        <w:rPr>
          <w:rFonts w:ascii="Arial" w:hAnsi="Arial" w:cs="Arial"/>
          <w:sz w:val="22"/>
          <w:szCs w:val="22"/>
          <w:lang w:val="en-GB"/>
        </w:rPr>
        <w:t xml:space="preserve"> </w:t>
      </w:r>
      <w:r w:rsidR="00CC572F" w:rsidRPr="00436E76">
        <w:rPr>
          <w:rFonts w:ascii="Arial" w:hAnsi="Arial" w:cs="Arial"/>
          <w:sz w:val="22"/>
          <w:szCs w:val="22"/>
          <w:lang w:val="en-GB"/>
        </w:rPr>
        <w:t xml:space="preserve">current and future </w:t>
      </w:r>
      <w:r w:rsidR="00AB3A98" w:rsidRPr="00436E76">
        <w:rPr>
          <w:rFonts w:ascii="Arial" w:hAnsi="Arial" w:cs="Arial"/>
          <w:sz w:val="22"/>
          <w:szCs w:val="22"/>
          <w:lang w:val="en-GB"/>
        </w:rPr>
        <w:t xml:space="preserve">receivables against her customers by way of security. </w:t>
      </w:r>
      <w:r w:rsidR="00CC572F" w:rsidRPr="00436E76">
        <w:rPr>
          <w:rFonts w:ascii="Arial" w:hAnsi="Arial" w:cs="Arial"/>
          <w:sz w:val="22"/>
          <w:szCs w:val="22"/>
          <w:lang w:val="en-GB"/>
        </w:rPr>
        <w:t xml:space="preserve">Sixteen </w:t>
      </w:r>
      <w:r w:rsidR="00F06C6E" w:rsidRPr="00436E76">
        <w:rPr>
          <w:rFonts w:ascii="Arial" w:hAnsi="Arial" w:cs="Arial"/>
          <w:sz w:val="22"/>
          <w:szCs w:val="22"/>
          <w:lang w:val="en-GB"/>
        </w:rPr>
        <w:t xml:space="preserve">(16) </w:t>
      </w:r>
      <w:r w:rsidR="00CC572F" w:rsidRPr="00436E76">
        <w:rPr>
          <w:rFonts w:ascii="Arial" w:hAnsi="Arial" w:cs="Arial"/>
          <w:sz w:val="22"/>
          <w:szCs w:val="22"/>
          <w:lang w:val="en-GB"/>
        </w:rPr>
        <w:t>months later, i</w:t>
      </w:r>
      <w:r>
        <w:rPr>
          <w:rFonts w:ascii="Arial" w:hAnsi="Arial" w:cs="Arial"/>
          <w:sz w:val="22"/>
          <w:szCs w:val="22"/>
          <w:lang w:val="en-GB"/>
        </w:rPr>
        <w:t>n May 2021</w:t>
      </w:r>
      <w:r w:rsidR="00AB3A98" w:rsidRPr="00436E76">
        <w:rPr>
          <w:rFonts w:ascii="Arial" w:hAnsi="Arial" w:cs="Arial"/>
          <w:sz w:val="22"/>
          <w:szCs w:val="22"/>
          <w:lang w:val="en-GB"/>
        </w:rPr>
        <w:t>, D is unable to pay her debts whe</w:t>
      </w:r>
      <w:r>
        <w:rPr>
          <w:rFonts w:ascii="Arial" w:hAnsi="Arial" w:cs="Arial"/>
          <w:sz w:val="22"/>
          <w:szCs w:val="22"/>
          <w:lang w:val="en-GB"/>
        </w:rPr>
        <w:t xml:space="preserve">n they fall due. On 3 July 2021, insolvency proceedings are opened against D and </w:t>
      </w:r>
      <w:r w:rsidR="007125F6">
        <w:rPr>
          <w:rFonts w:ascii="Arial" w:hAnsi="Arial" w:cs="Arial"/>
          <w:sz w:val="22"/>
          <w:szCs w:val="22"/>
          <w:lang w:val="en-GB"/>
        </w:rPr>
        <w:t>IA</w:t>
      </w:r>
      <w:r>
        <w:rPr>
          <w:rFonts w:ascii="Arial" w:hAnsi="Arial" w:cs="Arial"/>
          <w:sz w:val="22"/>
          <w:szCs w:val="22"/>
          <w:lang w:val="en-GB"/>
        </w:rPr>
        <w:t xml:space="preserve"> is appointed as insolvency administrator. I</w:t>
      </w:r>
      <w:r w:rsidR="007125F6">
        <w:rPr>
          <w:rFonts w:ascii="Arial" w:hAnsi="Arial" w:cs="Arial"/>
          <w:sz w:val="22"/>
          <w:szCs w:val="22"/>
          <w:lang w:val="en-GB"/>
        </w:rPr>
        <w:t>A</w:t>
      </w:r>
      <w:r>
        <w:rPr>
          <w:rFonts w:ascii="Arial" w:hAnsi="Arial" w:cs="Arial"/>
          <w:sz w:val="22"/>
          <w:szCs w:val="22"/>
          <w:lang w:val="en-GB"/>
        </w:rPr>
        <w:t xml:space="preserve"> collects two receivables</w:t>
      </w:r>
      <w:r w:rsidR="00C66D35">
        <w:rPr>
          <w:rFonts w:ascii="Arial" w:hAnsi="Arial" w:cs="Arial"/>
          <w:sz w:val="22"/>
          <w:szCs w:val="22"/>
          <w:lang w:val="en-GB"/>
        </w:rPr>
        <w:t xml:space="preserve">, both amounting to </w:t>
      </w:r>
      <w:r w:rsidR="007125F6">
        <w:rPr>
          <w:rFonts w:ascii="Arial" w:hAnsi="Arial" w:cs="Arial"/>
          <w:sz w:val="22"/>
          <w:szCs w:val="22"/>
          <w:lang w:val="en-GB"/>
        </w:rPr>
        <w:t xml:space="preserve">EUR </w:t>
      </w:r>
      <w:r w:rsidR="00C66D35">
        <w:rPr>
          <w:rFonts w:ascii="Arial" w:hAnsi="Arial" w:cs="Arial"/>
          <w:sz w:val="22"/>
          <w:szCs w:val="22"/>
          <w:lang w:val="en-GB"/>
        </w:rPr>
        <w:t>11</w:t>
      </w:r>
      <w:r w:rsidR="007125F6">
        <w:rPr>
          <w:rFonts w:ascii="Arial" w:hAnsi="Arial" w:cs="Arial"/>
          <w:sz w:val="22"/>
          <w:szCs w:val="22"/>
          <w:lang w:val="en-GB"/>
        </w:rPr>
        <w:t>,</w:t>
      </w:r>
      <w:r w:rsidR="00C66D35">
        <w:rPr>
          <w:rFonts w:ascii="Arial" w:hAnsi="Arial" w:cs="Arial"/>
          <w:sz w:val="22"/>
          <w:szCs w:val="22"/>
          <w:lang w:val="en-GB"/>
        </w:rPr>
        <w:t>900 (including 19% VAT)</w:t>
      </w:r>
      <w:r>
        <w:rPr>
          <w:rFonts w:ascii="Arial" w:hAnsi="Arial" w:cs="Arial"/>
          <w:sz w:val="22"/>
          <w:szCs w:val="22"/>
          <w:lang w:val="en-GB"/>
        </w:rPr>
        <w:t xml:space="preserve">. The first claim is rooted in a service contract between D and X concluded </w:t>
      </w:r>
      <w:r w:rsidR="00726A52">
        <w:rPr>
          <w:rFonts w:ascii="Arial" w:hAnsi="Arial" w:cs="Arial"/>
          <w:sz w:val="22"/>
          <w:szCs w:val="22"/>
          <w:lang w:val="en-GB"/>
        </w:rPr>
        <w:t>i</w:t>
      </w:r>
      <w:r>
        <w:rPr>
          <w:rFonts w:ascii="Arial" w:hAnsi="Arial" w:cs="Arial"/>
          <w:sz w:val="22"/>
          <w:szCs w:val="22"/>
          <w:lang w:val="en-GB"/>
        </w:rPr>
        <w:t xml:space="preserve">n </w:t>
      </w:r>
      <w:r w:rsidR="00C66D35">
        <w:rPr>
          <w:rFonts w:ascii="Arial" w:hAnsi="Arial" w:cs="Arial"/>
          <w:sz w:val="22"/>
          <w:szCs w:val="22"/>
          <w:lang w:val="en-GB"/>
        </w:rPr>
        <w:t>June 2020. D has rendered the services on 7 July 2020. The second claim stems from a contract which I</w:t>
      </w:r>
      <w:r w:rsidR="007125F6">
        <w:rPr>
          <w:rFonts w:ascii="Arial" w:hAnsi="Arial" w:cs="Arial"/>
          <w:sz w:val="22"/>
          <w:szCs w:val="22"/>
          <w:lang w:val="en-GB"/>
        </w:rPr>
        <w:t>A</w:t>
      </w:r>
      <w:r w:rsidR="00C66D35">
        <w:rPr>
          <w:rFonts w:ascii="Arial" w:hAnsi="Arial" w:cs="Arial"/>
          <w:sz w:val="22"/>
          <w:szCs w:val="22"/>
          <w:lang w:val="en-GB"/>
        </w:rPr>
        <w:t>, who decided to maintain</w:t>
      </w:r>
      <w:r w:rsidR="00C66D35" w:rsidRPr="00C66D35">
        <w:rPr>
          <w:rFonts w:ascii="Arial" w:hAnsi="Arial" w:cs="Arial"/>
          <w:sz w:val="22"/>
          <w:szCs w:val="22"/>
          <w:lang w:val="en-GB"/>
        </w:rPr>
        <w:t xml:space="preserve"> </w:t>
      </w:r>
      <w:r w:rsidR="00C66D35">
        <w:rPr>
          <w:rFonts w:ascii="Arial" w:hAnsi="Arial" w:cs="Arial"/>
          <w:sz w:val="22"/>
          <w:szCs w:val="22"/>
          <w:lang w:val="en-GB"/>
        </w:rPr>
        <w:t>D’s business, concluded with Z on 20 July 2021 and which I</w:t>
      </w:r>
      <w:r w:rsidR="007125F6">
        <w:rPr>
          <w:rFonts w:ascii="Arial" w:hAnsi="Arial" w:cs="Arial"/>
          <w:sz w:val="22"/>
          <w:szCs w:val="22"/>
          <w:lang w:val="en-GB"/>
        </w:rPr>
        <w:t>A</w:t>
      </w:r>
      <w:r w:rsidR="00C66D35">
        <w:rPr>
          <w:rFonts w:ascii="Arial" w:hAnsi="Arial" w:cs="Arial"/>
          <w:sz w:val="22"/>
          <w:szCs w:val="22"/>
          <w:lang w:val="en-GB"/>
        </w:rPr>
        <w:t xml:space="preserve"> performed on 16 August 2021. X and Z pay the consideration for the services rendered to them </w:t>
      </w:r>
      <w:r w:rsidR="00902A28">
        <w:rPr>
          <w:rFonts w:ascii="Arial" w:hAnsi="Arial" w:cs="Arial"/>
          <w:sz w:val="22"/>
          <w:szCs w:val="22"/>
          <w:lang w:val="en-GB"/>
        </w:rPr>
        <w:t>by</w:t>
      </w:r>
      <w:r w:rsidR="00C66D35">
        <w:rPr>
          <w:rFonts w:ascii="Arial" w:hAnsi="Arial" w:cs="Arial"/>
          <w:sz w:val="22"/>
          <w:szCs w:val="22"/>
          <w:lang w:val="en-GB"/>
        </w:rPr>
        <w:t xml:space="preserve"> I</w:t>
      </w:r>
      <w:r w:rsidR="007125F6">
        <w:rPr>
          <w:rFonts w:ascii="Arial" w:hAnsi="Arial" w:cs="Arial"/>
          <w:sz w:val="22"/>
          <w:szCs w:val="22"/>
          <w:lang w:val="en-GB"/>
        </w:rPr>
        <w:t>A</w:t>
      </w:r>
      <w:r w:rsidR="00C66D35">
        <w:rPr>
          <w:rFonts w:ascii="Arial" w:hAnsi="Arial" w:cs="Arial"/>
          <w:sz w:val="22"/>
          <w:szCs w:val="22"/>
          <w:lang w:val="en-GB"/>
        </w:rPr>
        <w:t xml:space="preserve">. B demands surrender of these payments (together </w:t>
      </w:r>
      <w:r w:rsidR="00902A28">
        <w:rPr>
          <w:rFonts w:ascii="Arial" w:hAnsi="Arial" w:cs="Arial"/>
          <w:sz w:val="22"/>
          <w:szCs w:val="22"/>
          <w:lang w:val="en-GB"/>
        </w:rPr>
        <w:t xml:space="preserve">EUR </w:t>
      </w:r>
      <w:r w:rsidR="00C66D35">
        <w:rPr>
          <w:rFonts w:ascii="Arial" w:hAnsi="Arial" w:cs="Arial"/>
          <w:sz w:val="22"/>
          <w:szCs w:val="22"/>
          <w:lang w:val="en-GB"/>
        </w:rPr>
        <w:t>23</w:t>
      </w:r>
      <w:r w:rsidR="00902A28">
        <w:rPr>
          <w:rFonts w:ascii="Arial" w:hAnsi="Arial" w:cs="Arial"/>
          <w:sz w:val="22"/>
          <w:szCs w:val="22"/>
          <w:lang w:val="en-GB"/>
        </w:rPr>
        <w:t>,</w:t>
      </w:r>
      <w:r w:rsidR="00C66D35">
        <w:rPr>
          <w:rFonts w:ascii="Arial" w:hAnsi="Arial" w:cs="Arial"/>
          <w:sz w:val="22"/>
          <w:szCs w:val="22"/>
          <w:lang w:val="en-GB"/>
        </w:rPr>
        <w:t>800) from I</w:t>
      </w:r>
      <w:r w:rsidR="007125F6">
        <w:rPr>
          <w:rFonts w:ascii="Arial" w:hAnsi="Arial" w:cs="Arial"/>
          <w:sz w:val="22"/>
          <w:szCs w:val="22"/>
          <w:lang w:val="en-GB"/>
        </w:rPr>
        <w:t>A</w:t>
      </w:r>
      <w:r w:rsidR="00C66D35">
        <w:rPr>
          <w:rFonts w:ascii="Arial" w:hAnsi="Arial" w:cs="Arial"/>
          <w:sz w:val="22"/>
          <w:szCs w:val="22"/>
          <w:lang w:val="en-GB"/>
        </w:rPr>
        <w:t xml:space="preserve">. </w:t>
      </w:r>
    </w:p>
    <w:p w14:paraId="3A77F732" w14:textId="77777777" w:rsidR="00C34152" w:rsidRPr="00436E76" w:rsidRDefault="00C34152" w:rsidP="00C34152">
      <w:pPr>
        <w:pStyle w:val="HTMLPreformatted"/>
        <w:jc w:val="both"/>
        <w:rPr>
          <w:rFonts w:ascii="Arial" w:hAnsi="Arial" w:cs="Arial"/>
          <w:sz w:val="22"/>
          <w:szCs w:val="22"/>
          <w:lang w:val="en-GB"/>
        </w:rPr>
      </w:pPr>
    </w:p>
    <w:p w14:paraId="275305BE" w14:textId="172E03A5" w:rsidR="00C34152" w:rsidRPr="00436E76" w:rsidRDefault="00902A28" w:rsidP="00C34152">
      <w:pPr>
        <w:jc w:val="both"/>
        <w:rPr>
          <w:rFonts w:ascii="Arial" w:hAnsi="Arial" w:cs="Arial"/>
          <w:sz w:val="22"/>
          <w:szCs w:val="22"/>
          <w:lang w:val="en-GB"/>
        </w:rPr>
      </w:pPr>
      <w:r>
        <w:rPr>
          <w:rFonts w:ascii="Arial" w:hAnsi="Arial" w:cs="Arial"/>
          <w:sz w:val="22"/>
          <w:szCs w:val="22"/>
          <w:lang w:val="en-GB"/>
        </w:rPr>
        <w:t xml:space="preserve">Does B have </w:t>
      </w:r>
      <w:r w:rsidR="00C66D35">
        <w:rPr>
          <w:rFonts w:ascii="Arial" w:hAnsi="Arial" w:cs="Arial"/>
          <w:sz w:val="22"/>
          <w:szCs w:val="22"/>
          <w:lang w:val="en-GB"/>
        </w:rPr>
        <w:t>a claim against I</w:t>
      </w:r>
      <w:r w:rsidR="007125F6">
        <w:rPr>
          <w:rFonts w:ascii="Arial" w:hAnsi="Arial" w:cs="Arial"/>
          <w:sz w:val="22"/>
          <w:szCs w:val="22"/>
          <w:lang w:val="en-GB"/>
        </w:rPr>
        <w:t>A</w:t>
      </w:r>
      <w:r w:rsidR="00C34152" w:rsidRPr="00436E76">
        <w:rPr>
          <w:rFonts w:ascii="Arial" w:hAnsi="Arial" w:cs="Arial"/>
          <w:sz w:val="22"/>
          <w:szCs w:val="22"/>
          <w:lang w:val="en-GB"/>
        </w:rPr>
        <w:t>? Test this based on the norms.</w:t>
      </w:r>
    </w:p>
    <w:p w14:paraId="6BD7A8AE" w14:textId="2A5C9FEB" w:rsidR="00CC572F" w:rsidRDefault="00CC572F" w:rsidP="00C34152">
      <w:pPr>
        <w:jc w:val="both"/>
        <w:rPr>
          <w:rFonts w:ascii="Arial" w:hAnsi="Arial" w:cs="Arial"/>
          <w:sz w:val="22"/>
          <w:szCs w:val="22"/>
          <w:lang w:val="en-GB"/>
        </w:rPr>
      </w:pPr>
    </w:p>
    <w:p w14:paraId="625DB55F" w14:textId="72E5FEDB" w:rsidR="00D05CA4" w:rsidRDefault="00F6305E" w:rsidP="00D05CA4">
      <w:pPr>
        <w:pStyle w:val="ListParagraph"/>
        <w:ind w:left="0"/>
        <w:rPr>
          <w:rFonts w:ascii="Arial" w:hAnsi="Arial" w:cs="Arial"/>
          <w:color w:val="A6A6A6" w:themeColor="background1" w:themeShade="A6"/>
          <w:sz w:val="22"/>
          <w:szCs w:val="22"/>
          <w:lang w:val="en-GB"/>
        </w:rPr>
      </w:pPr>
      <w:bookmarkStart w:id="1" w:name="_Hlk17745211"/>
      <w:r>
        <w:rPr>
          <w:rFonts w:ascii="Arial" w:hAnsi="Arial" w:cs="Arial"/>
          <w:color w:val="A6A6A6" w:themeColor="background1" w:themeShade="A6"/>
          <w:sz w:val="22"/>
          <w:szCs w:val="22"/>
          <w:lang w:val="en-GB"/>
        </w:rPr>
        <w:t>Here we will a</w:t>
      </w:r>
      <w:r w:rsidR="0026706A">
        <w:rPr>
          <w:rFonts w:ascii="Arial" w:hAnsi="Arial" w:cs="Arial"/>
          <w:color w:val="A6A6A6" w:themeColor="background1" w:themeShade="A6"/>
          <w:sz w:val="22"/>
          <w:szCs w:val="22"/>
          <w:lang w:val="en-GB"/>
        </w:rPr>
        <w:t>ssume t</w:t>
      </w:r>
      <w:r>
        <w:rPr>
          <w:rFonts w:ascii="Arial" w:hAnsi="Arial" w:cs="Arial"/>
          <w:color w:val="A6A6A6" w:themeColor="background1" w:themeShade="A6"/>
          <w:sz w:val="22"/>
          <w:szCs w:val="22"/>
          <w:lang w:val="en-GB"/>
        </w:rPr>
        <w:t>hat t</w:t>
      </w:r>
      <w:r w:rsidR="001F3DA9">
        <w:rPr>
          <w:rFonts w:ascii="Arial" w:hAnsi="Arial" w:cs="Arial"/>
          <w:color w:val="A6A6A6" w:themeColor="background1" w:themeShade="A6"/>
          <w:sz w:val="22"/>
          <w:szCs w:val="22"/>
          <w:lang w:val="en-GB"/>
        </w:rPr>
        <w:t>he security was</w:t>
      </w:r>
      <w:r w:rsidR="0026706A">
        <w:rPr>
          <w:rFonts w:ascii="Arial" w:hAnsi="Arial" w:cs="Arial"/>
          <w:color w:val="A6A6A6" w:themeColor="background1" w:themeShade="A6"/>
          <w:sz w:val="22"/>
          <w:szCs w:val="22"/>
          <w:lang w:val="en-GB"/>
        </w:rPr>
        <w:t xml:space="preserve"> validly</w:t>
      </w:r>
      <w:r w:rsidR="001F3DA9">
        <w:rPr>
          <w:rFonts w:ascii="Arial" w:hAnsi="Arial" w:cs="Arial"/>
          <w:color w:val="A6A6A6" w:themeColor="background1" w:themeShade="A6"/>
          <w:sz w:val="22"/>
          <w:szCs w:val="22"/>
          <w:lang w:val="en-GB"/>
        </w:rPr>
        <w:t xml:space="preserve"> created</w:t>
      </w:r>
      <w:r w:rsidR="00E127B5">
        <w:rPr>
          <w:rFonts w:ascii="Arial" w:hAnsi="Arial" w:cs="Arial"/>
          <w:color w:val="A6A6A6" w:themeColor="background1" w:themeShade="A6"/>
          <w:sz w:val="22"/>
          <w:szCs w:val="22"/>
          <w:lang w:val="en-GB"/>
        </w:rPr>
        <w:t>,</w:t>
      </w:r>
      <w:r>
        <w:rPr>
          <w:rFonts w:ascii="Arial" w:hAnsi="Arial" w:cs="Arial"/>
          <w:color w:val="A6A6A6" w:themeColor="background1" w:themeShade="A6"/>
          <w:sz w:val="22"/>
          <w:szCs w:val="22"/>
          <w:lang w:val="en-GB"/>
        </w:rPr>
        <w:t xml:space="preserve"> and that</w:t>
      </w:r>
      <w:r w:rsidR="00E127B5">
        <w:rPr>
          <w:rFonts w:ascii="Arial" w:hAnsi="Arial" w:cs="Arial"/>
          <w:color w:val="A6A6A6" w:themeColor="background1" w:themeShade="A6"/>
          <w:sz w:val="22"/>
          <w:szCs w:val="22"/>
          <w:lang w:val="en-GB"/>
        </w:rPr>
        <w:t xml:space="preserve"> </w:t>
      </w:r>
      <w:r w:rsidR="00854854">
        <w:rPr>
          <w:rFonts w:ascii="Arial" w:hAnsi="Arial" w:cs="Arial"/>
          <w:color w:val="A6A6A6" w:themeColor="background1" w:themeShade="A6"/>
          <w:sz w:val="22"/>
          <w:szCs w:val="22"/>
          <w:lang w:val="en-GB"/>
        </w:rPr>
        <w:t>X was</w:t>
      </w:r>
      <w:r w:rsidR="000C1C5A">
        <w:rPr>
          <w:rFonts w:ascii="Arial" w:hAnsi="Arial" w:cs="Arial"/>
          <w:color w:val="A6A6A6" w:themeColor="background1" w:themeShade="A6"/>
          <w:sz w:val="22"/>
          <w:szCs w:val="22"/>
          <w:lang w:val="en-GB"/>
        </w:rPr>
        <w:t xml:space="preserve"> duly notified of the assignment</w:t>
      </w:r>
      <w:r w:rsidR="0026706A">
        <w:rPr>
          <w:rFonts w:ascii="Arial" w:hAnsi="Arial" w:cs="Arial"/>
          <w:color w:val="A6A6A6" w:themeColor="background1" w:themeShade="A6"/>
          <w:sz w:val="22"/>
          <w:szCs w:val="22"/>
          <w:lang w:val="en-GB"/>
        </w:rPr>
        <w:t xml:space="preserve">. </w:t>
      </w:r>
      <w:r w:rsidR="009328E1">
        <w:rPr>
          <w:rFonts w:ascii="Arial" w:hAnsi="Arial" w:cs="Arial"/>
          <w:color w:val="A6A6A6" w:themeColor="background1" w:themeShade="A6"/>
          <w:sz w:val="22"/>
          <w:szCs w:val="22"/>
          <w:lang w:val="en-GB"/>
        </w:rPr>
        <w:t>The security was</w:t>
      </w:r>
      <w:r w:rsidR="0026706A">
        <w:rPr>
          <w:rFonts w:ascii="Arial" w:hAnsi="Arial" w:cs="Arial"/>
          <w:color w:val="A6A6A6" w:themeColor="background1" w:themeShade="A6"/>
          <w:sz w:val="22"/>
          <w:szCs w:val="22"/>
          <w:lang w:val="en-GB"/>
        </w:rPr>
        <w:t xml:space="preserve"> created outside the 3-month period</w:t>
      </w:r>
      <w:r w:rsidR="009328E1">
        <w:rPr>
          <w:rFonts w:ascii="Arial" w:hAnsi="Arial" w:cs="Arial"/>
          <w:color w:val="A6A6A6" w:themeColor="background1" w:themeShade="A6"/>
          <w:sz w:val="22"/>
          <w:szCs w:val="22"/>
          <w:lang w:val="en-GB"/>
        </w:rPr>
        <w:t xml:space="preserve"> during which security interests can be reviewed and challenged, therefore we will assume that the creation of this security cannot be avoided</w:t>
      </w:r>
      <w:r w:rsidR="0026706A">
        <w:rPr>
          <w:rFonts w:ascii="Arial" w:hAnsi="Arial" w:cs="Arial"/>
          <w:color w:val="A6A6A6" w:themeColor="background1" w:themeShade="A6"/>
          <w:sz w:val="22"/>
          <w:szCs w:val="22"/>
          <w:lang w:val="en-GB"/>
        </w:rPr>
        <w:t xml:space="preserve">. </w:t>
      </w:r>
    </w:p>
    <w:p w14:paraId="0D23100C" w14:textId="152B481F" w:rsidR="0043389D" w:rsidRDefault="0043389D" w:rsidP="00D05CA4">
      <w:pPr>
        <w:pStyle w:val="ListParagraph"/>
        <w:ind w:left="0"/>
        <w:rPr>
          <w:rFonts w:ascii="Arial" w:hAnsi="Arial" w:cs="Arial"/>
          <w:color w:val="A6A6A6" w:themeColor="background1" w:themeShade="A6"/>
          <w:sz w:val="22"/>
          <w:szCs w:val="22"/>
          <w:lang w:val="en-GB"/>
        </w:rPr>
      </w:pPr>
    </w:p>
    <w:p w14:paraId="387A83BC" w14:textId="6CF2D4BF" w:rsidR="0043389D" w:rsidRDefault="009328E1" w:rsidP="00D05CA4">
      <w:pPr>
        <w:pStyle w:val="ListParagraph"/>
        <w:ind w:left="0"/>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In relation to the s</w:t>
      </w:r>
      <w:r w:rsidR="0043389D">
        <w:rPr>
          <w:rFonts w:ascii="Arial" w:hAnsi="Arial" w:cs="Arial"/>
          <w:color w:val="A6A6A6" w:themeColor="background1" w:themeShade="A6"/>
          <w:sz w:val="22"/>
          <w:szCs w:val="22"/>
          <w:lang w:val="en-GB"/>
        </w:rPr>
        <w:t xml:space="preserve">ervice contract </w:t>
      </w:r>
      <w:r>
        <w:rPr>
          <w:rFonts w:ascii="Arial" w:hAnsi="Arial" w:cs="Arial"/>
          <w:color w:val="A6A6A6" w:themeColor="background1" w:themeShade="A6"/>
          <w:sz w:val="22"/>
          <w:szCs w:val="22"/>
          <w:lang w:val="en-GB"/>
        </w:rPr>
        <w:t>within D and X, this will be</w:t>
      </w:r>
      <w:r w:rsidR="00982918">
        <w:rPr>
          <w:rFonts w:ascii="Arial" w:hAnsi="Arial" w:cs="Arial"/>
          <w:color w:val="A6A6A6" w:themeColor="background1" w:themeShade="A6"/>
          <w:sz w:val="22"/>
          <w:szCs w:val="22"/>
          <w:lang w:val="en-GB"/>
        </w:rPr>
        <w:t xml:space="preserve"> subject to the assignment by way of security </w:t>
      </w:r>
      <w:r w:rsidR="00B767FF">
        <w:rPr>
          <w:rFonts w:ascii="Arial" w:hAnsi="Arial" w:cs="Arial"/>
          <w:color w:val="A6A6A6" w:themeColor="background1" w:themeShade="A6"/>
          <w:sz w:val="22"/>
          <w:szCs w:val="22"/>
          <w:lang w:val="en-GB"/>
        </w:rPr>
        <w:t xml:space="preserve">in favour of B </w:t>
      </w:r>
      <w:r w:rsidR="00982918">
        <w:rPr>
          <w:rFonts w:ascii="Arial" w:hAnsi="Arial" w:cs="Arial"/>
          <w:color w:val="A6A6A6" w:themeColor="background1" w:themeShade="A6"/>
          <w:sz w:val="22"/>
          <w:szCs w:val="22"/>
          <w:lang w:val="en-GB"/>
        </w:rPr>
        <w:t xml:space="preserve">as a future receivable – it did not exist at the time the security agreement was created, however as soon </w:t>
      </w:r>
      <w:r w:rsidR="0047403F">
        <w:rPr>
          <w:rFonts w:ascii="Arial" w:hAnsi="Arial" w:cs="Arial"/>
          <w:color w:val="A6A6A6" w:themeColor="background1" w:themeShade="A6"/>
          <w:sz w:val="22"/>
          <w:szCs w:val="22"/>
          <w:lang w:val="en-GB"/>
        </w:rPr>
        <w:t xml:space="preserve">the service contract was entered into it became part of B’s security package. The services were duly rendered therefore we can safely assume that this is not an executory contract. </w:t>
      </w:r>
      <w:r w:rsidR="00C161A2">
        <w:rPr>
          <w:rFonts w:ascii="Arial" w:hAnsi="Arial" w:cs="Arial"/>
          <w:color w:val="A6A6A6" w:themeColor="background1" w:themeShade="A6"/>
          <w:sz w:val="22"/>
          <w:szCs w:val="22"/>
          <w:lang w:val="en-GB"/>
        </w:rPr>
        <w:t xml:space="preserve">Although B </w:t>
      </w:r>
      <w:r w:rsidR="00083D09">
        <w:rPr>
          <w:rFonts w:ascii="Arial" w:hAnsi="Arial" w:cs="Arial"/>
          <w:color w:val="A6A6A6" w:themeColor="background1" w:themeShade="A6"/>
          <w:sz w:val="22"/>
          <w:szCs w:val="22"/>
          <w:lang w:val="en-GB"/>
        </w:rPr>
        <w:t>pursuant</w:t>
      </w:r>
      <w:r w:rsidR="00C161A2">
        <w:rPr>
          <w:rFonts w:ascii="Arial" w:hAnsi="Arial" w:cs="Arial"/>
          <w:color w:val="A6A6A6" w:themeColor="background1" w:themeShade="A6"/>
          <w:sz w:val="22"/>
          <w:szCs w:val="22"/>
          <w:lang w:val="en-GB"/>
        </w:rPr>
        <w:t xml:space="preserve"> to the right of separate satisfaction, does not have the right to</w:t>
      </w:r>
      <w:r w:rsidR="00083D09">
        <w:rPr>
          <w:rFonts w:ascii="Arial" w:hAnsi="Arial" w:cs="Arial"/>
          <w:color w:val="A6A6A6" w:themeColor="background1" w:themeShade="A6"/>
          <w:sz w:val="22"/>
          <w:szCs w:val="22"/>
          <w:lang w:val="en-GB"/>
        </w:rPr>
        <w:t xml:space="preserve"> demand that the receivable be separated from the insolvency estate, its status as a secured creditor enables B to </w:t>
      </w:r>
      <w:r w:rsidR="00837198">
        <w:rPr>
          <w:rFonts w:ascii="Arial" w:hAnsi="Arial" w:cs="Arial"/>
          <w:color w:val="A6A6A6" w:themeColor="background1" w:themeShade="A6"/>
          <w:sz w:val="22"/>
          <w:szCs w:val="22"/>
          <w:lang w:val="en-GB"/>
        </w:rPr>
        <w:t xml:space="preserve">demand preferential satisfaction out of the proceeds of that receivable. B can only demand satisfaction up to the </w:t>
      </w:r>
      <w:r w:rsidR="00C26474">
        <w:rPr>
          <w:rFonts w:ascii="Arial" w:hAnsi="Arial" w:cs="Arial"/>
          <w:color w:val="A6A6A6" w:themeColor="background1" w:themeShade="A6"/>
          <w:sz w:val="22"/>
          <w:szCs w:val="22"/>
          <w:lang w:val="en-GB"/>
        </w:rPr>
        <w:t xml:space="preserve">amount of its secured claim – here, this is EUR 50,000 and the EUR 11,900 </w:t>
      </w:r>
      <w:r w:rsidR="00FC1703">
        <w:rPr>
          <w:rFonts w:ascii="Arial" w:hAnsi="Arial" w:cs="Arial"/>
          <w:color w:val="A6A6A6" w:themeColor="background1" w:themeShade="A6"/>
          <w:sz w:val="22"/>
          <w:szCs w:val="22"/>
          <w:lang w:val="en-GB"/>
        </w:rPr>
        <w:t>collected by IA in connection with the service contract with X can therefore be claimed by B.</w:t>
      </w:r>
    </w:p>
    <w:p w14:paraId="444EC2D1" w14:textId="1C949655" w:rsidR="000F36E3" w:rsidRDefault="000F36E3" w:rsidP="00D05CA4">
      <w:pPr>
        <w:pStyle w:val="ListParagraph"/>
        <w:ind w:left="0"/>
        <w:rPr>
          <w:rFonts w:ascii="Arial" w:hAnsi="Arial" w:cs="Arial"/>
          <w:color w:val="A6A6A6" w:themeColor="background1" w:themeShade="A6"/>
          <w:sz w:val="22"/>
          <w:szCs w:val="22"/>
          <w:lang w:val="en-GB"/>
        </w:rPr>
      </w:pPr>
    </w:p>
    <w:p w14:paraId="0B57FC85" w14:textId="1EF54A0F" w:rsidR="000F36E3" w:rsidRDefault="00FC1703" w:rsidP="00D05CA4">
      <w:pPr>
        <w:pStyle w:val="ListParagraph"/>
        <w:ind w:left="0"/>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The c</w:t>
      </w:r>
      <w:r w:rsidR="000F36E3">
        <w:rPr>
          <w:rFonts w:ascii="Arial" w:hAnsi="Arial" w:cs="Arial"/>
          <w:color w:val="A6A6A6" w:themeColor="background1" w:themeShade="A6"/>
          <w:sz w:val="22"/>
          <w:szCs w:val="22"/>
          <w:lang w:val="en-GB"/>
        </w:rPr>
        <w:t>ontract entered into</w:t>
      </w:r>
      <w:r>
        <w:rPr>
          <w:rFonts w:ascii="Arial" w:hAnsi="Arial" w:cs="Arial"/>
          <w:color w:val="A6A6A6" w:themeColor="background1" w:themeShade="A6"/>
          <w:sz w:val="22"/>
          <w:szCs w:val="22"/>
          <w:lang w:val="en-GB"/>
        </w:rPr>
        <w:t xml:space="preserve"> with Z, however</w:t>
      </w:r>
      <w:r w:rsidR="003C0926">
        <w:rPr>
          <w:rFonts w:ascii="Arial" w:hAnsi="Arial" w:cs="Arial"/>
          <w:color w:val="A6A6A6" w:themeColor="background1" w:themeShade="A6"/>
          <w:sz w:val="22"/>
          <w:szCs w:val="22"/>
          <w:lang w:val="en-GB"/>
        </w:rPr>
        <w:t>, is</w:t>
      </w:r>
      <w:r w:rsidR="00E85BEA">
        <w:rPr>
          <w:rFonts w:ascii="Arial" w:hAnsi="Arial" w:cs="Arial"/>
          <w:color w:val="A6A6A6" w:themeColor="background1" w:themeShade="A6"/>
          <w:sz w:val="22"/>
          <w:szCs w:val="22"/>
          <w:lang w:val="en-GB"/>
        </w:rPr>
        <w:t xml:space="preserve"> </w:t>
      </w:r>
      <w:r w:rsidR="004954C9">
        <w:rPr>
          <w:rFonts w:ascii="Arial" w:hAnsi="Arial" w:cs="Arial"/>
          <w:color w:val="A6A6A6" w:themeColor="background1" w:themeShade="A6"/>
          <w:sz w:val="22"/>
          <w:szCs w:val="22"/>
          <w:lang w:val="en-GB"/>
        </w:rPr>
        <w:t xml:space="preserve">not </w:t>
      </w:r>
      <w:r w:rsidR="003C0926">
        <w:rPr>
          <w:rFonts w:ascii="Arial" w:hAnsi="Arial" w:cs="Arial"/>
          <w:color w:val="A6A6A6" w:themeColor="background1" w:themeShade="A6"/>
          <w:sz w:val="22"/>
          <w:szCs w:val="22"/>
          <w:lang w:val="en-GB"/>
        </w:rPr>
        <w:t>subject to the security interest in favour of B even though, technically, it can also be said to be a “future receivable” to the extent that it was created after entry into the security agreement. This is because</w:t>
      </w:r>
      <w:r w:rsidR="00985D8F">
        <w:rPr>
          <w:rFonts w:ascii="Arial" w:hAnsi="Arial" w:cs="Arial"/>
          <w:color w:val="A6A6A6" w:themeColor="background1" w:themeShade="A6"/>
          <w:sz w:val="22"/>
          <w:szCs w:val="22"/>
          <w:lang w:val="en-GB"/>
        </w:rPr>
        <w:t xml:space="preserve"> that contract was created </w:t>
      </w:r>
      <w:r w:rsidR="00985D8F">
        <w:rPr>
          <w:rFonts w:ascii="Arial" w:hAnsi="Arial" w:cs="Arial"/>
          <w:color w:val="A6A6A6" w:themeColor="background1" w:themeShade="A6"/>
          <w:sz w:val="22"/>
          <w:szCs w:val="22"/>
          <w:lang w:val="en-GB"/>
        </w:rPr>
        <w:t>after the start of insolvency proceedings</w:t>
      </w:r>
      <w:r w:rsidR="00985D8F">
        <w:rPr>
          <w:rFonts w:ascii="Arial" w:hAnsi="Arial" w:cs="Arial"/>
          <w:color w:val="A6A6A6" w:themeColor="background1" w:themeShade="A6"/>
          <w:sz w:val="22"/>
          <w:szCs w:val="22"/>
          <w:lang w:val="en-GB"/>
        </w:rPr>
        <w:t xml:space="preserve"> and, under</w:t>
      </w:r>
      <w:r w:rsidR="003C0926">
        <w:rPr>
          <w:rFonts w:ascii="Arial" w:hAnsi="Arial" w:cs="Arial"/>
          <w:color w:val="A6A6A6" w:themeColor="background1" w:themeShade="A6"/>
          <w:sz w:val="22"/>
          <w:szCs w:val="22"/>
          <w:lang w:val="en-GB"/>
        </w:rPr>
        <w:t xml:space="preserve"> </w:t>
      </w:r>
      <w:r w:rsidR="007143BB">
        <w:rPr>
          <w:rFonts w:ascii="Arial" w:hAnsi="Arial" w:cs="Arial"/>
          <w:color w:val="A6A6A6" w:themeColor="background1" w:themeShade="A6"/>
          <w:sz w:val="22"/>
          <w:szCs w:val="22"/>
          <w:lang w:val="en-GB"/>
        </w:rPr>
        <w:t xml:space="preserve">section 91 </w:t>
      </w:r>
      <w:proofErr w:type="spellStart"/>
      <w:r w:rsidR="007143BB">
        <w:rPr>
          <w:rFonts w:ascii="Arial" w:hAnsi="Arial" w:cs="Arial"/>
          <w:color w:val="A6A6A6" w:themeColor="background1" w:themeShade="A6"/>
          <w:sz w:val="22"/>
          <w:szCs w:val="22"/>
          <w:lang w:val="en-GB"/>
        </w:rPr>
        <w:t>InsO</w:t>
      </w:r>
      <w:proofErr w:type="spellEnd"/>
      <w:r w:rsidR="004B5C59">
        <w:rPr>
          <w:rFonts w:ascii="Arial" w:hAnsi="Arial" w:cs="Arial"/>
          <w:color w:val="A6A6A6" w:themeColor="background1" w:themeShade="A6"/>
          <w:sz w:val="22"/>
          <w:szCs w:val="22"/>
          <w:lang w:val="en-GB"/>
        </w:rPr>
        <w:t>, “</w:t>
      </w:r>
      <w:r w:rsidR="004B5C59" w:rsidRPr="004B5C59">
        <w:rPr>
          <w:rFonts w:ascii="Arial" w:hAnsi="Arial" w:cs="Arial"/>
          <w:color w:val="A6A6A6" w:themeColor="background1" w:themeShade="A6"/>
          <w:sz w:val="22"/>
          <w:szCs w:val="22"/>
          <w:lang w:val="en-GB"/>
        </w:rPr>
        <w:t>After the opening of the insolvency proceedings rights in objects forming part of the insolvency estate cannot be acquired with legal effect even if such acquisition of rights is not based on the debtor's transfer or effected by way of execution</w:t>
      </w:r>
      <w:r w:rsidR="00D5670F">
        <w:rPr>
          <w:rFonts w:ascii="Arial" w:hAnsi="Arial" w:cs="Arial"/>
          <w:color w:val="A6A6A6" w:themeColor="background1" w:themeShade="A6"/>
          <w:sz w:val="22"/>
          <w:szCs w:val="22"/>
          <w:lang w:val="en-GB"/>
        </w:rPr>
        <w:t>”. This means that B’s position cannot be improved</w:t>
      </w:r>
      <w:r w:rsidR="007143BB">
        <w:rPr>
          <w:rFonts w:ascii="Arial" w:hAnsi="Arial" w:cs="Arial"/>
          <w:color w:val="A6A6A6" w:themeColor="background1" w:themeShade="A6"/>
          <w:sz w:val="22"/>
          <w:szCs w:val="22"/>
          <w:lang w:val="en-GB"/>
        </w:rPr>
        <w:t xml:space="preserve"> </w:t>
      </w:r>
      <w:r w:rsidR="00D5670F">
        <w:rPr>
          <w:rFonts w:ascii="Arial" w:hAnsi="Arial" w:cs="Arial"/>
          <w:color w:val="A6A6A6" w:themeColor="background1" w:themeShade="A6"/>
          <w:sz w:val="22"/>
          <w:szCs w:val="22"/>
          <w:lang w:val="en-GB"/>
        </w:rPr>
        <w:t xml:space="preserve">by the grant of additional security after the </w:t>
      </w:r>
      <w:r w:rsidR="00A846AB">
        <w:rPr>
          <w:rFonts w:ascii="Arial" w:hAnsi="Arial" w:cs="Arial"/>
          <w:color w:val="A6A6A6" w:themeColor="background1" w:themeShade="A6"/>
          <w:sz w:val="22"/>
          <w:szCs w:val="22"/>
          <w:lang w:val="en-GB"/>
        </w:rPr>
        <w:t>beginning of insolvency proceedings. As a result, the EUR 11,900 representing the receivable under the contract with Z form</w:t>
      </w:r>
      <w:r w:rsidR="007143BB">
        <w:rPr>
          <w:rFonts w:ascii="Arial" w:hAnsi="Arial" w:cs="Arial"/>
          <w:color w:val="A6A6A6" w:themeColor="background1" w:themeShade="A6"/>
          <w:sz w:val="22"/>
          <w:szCs w:val="22"/>
          <w:lang w:val="en-GB"/>
        </w:rPr>
        <w:t xml:space="preserve"> part of the insolvency estate</w:t>
      </w:r>
      <w:r w:rsidR="00A846AB">
        <w:rPr>
          <w:rFonts w:ascii="Arial" w:hAnsi="Arial" w:cs="Arial"/>
          <w:color w:val="A6A6A6" w:themeColor="background1" w:themeShade="A6"/>
          <w:sz w:val="22"/>
          <w:szCs w:val="22"/>
          <w:lang w:val="en-GB"/>
        </w:rPr>
        <w:t xml:space="preserve"> for distribution to the insolvency creditors, and </w:t>
      </w:r>
      <w:r w:rsidR="007143BB">
        <w:rPr>
          <w:rFonts w:ascii="Arial" w:hAnsi="Arial" w:cs="Arial"/>
          <w:color w:val="A6A6A6" w:themeColor="background1" w:themeShade="A6"/>
          <w:sz w:val="22"/>
          <w:szCs w:val="22"/>
          <w:lang w:val="en-GB"/>
        </w:rPr>
        <w:t xml:space="preserve">not part of </w:t>
      </w:r>
      <w:r w:rsidR="00A846AB">
        <w:rPr>
          <w:rFonts w:ascii="Arial" w:hAnsi="Arial" w:cs="Arial"/>
          <w:color w:val="A6A6A6" w:themeColor="background1" w:themeShade="A6"/>
          <w:sz w:val="22"/>
          <w:szCs w:val="22"/>
          <w:lang w:val="en-GB"/>
        </w:rPr>
        <w:t xml:space="preserve">the </w:t>
      </w:r>
      <w:r w:rsidR="007143BB">
        <w:rPr>
          <w:rFonts w:ascii="Arial" w:hAnsi="Arial" w:cs="Arial"/>
          <w:color w:val="A6A6A6" w:themeColor="background1" w:themeShade="A6"/>
          <w:sz w:val="22"/>
          <w:szCs w:val="22"/>
          <w:lang w:val="en-GB"/>
        </w:rPr>
        <w:t>security</w:t>
      </w:r>
      <w:r w:rsidR="00A846AB">
        <w:rPr>
          <w:rFonts w:ascii="Arial" w:hAnsi="Arial" w:cs="Arial"/>
          <w:color w:val="A6A6A6" w:themeColor="background1" w:themeShade="A6"/>
          <w:sz w:val="22"/>
          <w:szCs w:val="22"/>
          <w:lang w:val="en-GB"/>
        </w:rPr>
        <w:t xml:space="preserve"> package from </w:t>
      </w:r>
      <w:r w:rsidR="002309EA">
        <w:rPr>
          <w:rFonts w:ascii="Arial" w:hAnsi="Arial" w:cs="Arial"/>
          <w:color w:val="A6A6A6" w:themeColor="background1" w:themeShade="A6"/>
          <w:sz w:val="22"/>
          <w:szCs w:val="22"/>
          <w:lang w:val="en-GB"/>
        </w:rPr>
        <w:t xml:space="preserve">which B’ as a secured creditor, can demand satisfaction. </w:t>
      </w:r>
    </w:p>
    <w:p w14:paraId="2C160C2D" w14:textId="64DDD311" w:rsidR="002309EA" w:rsidRDefault="002309EA" w:rsidP="00D05CA4">
      <w:pPr>
        <w:pStyle w:val="ListParagraph"/>
        <w:ind w:left="0"/>
        <w:rPr>
          <w:rFonts w:ascii="Arial" w:hAnsi="Arial" w:cs="Arial"/>
          <w:color w:val="A6A6A6" w:themeColor="background1" w:themeShade="A6"/>
          <w:sz w:val="22"/>
          <w:szCs w:val="22"/>
          <w:lang w:val="en-GB"/>
        </w:rPr>
      </w:pPr>
    </w:p>
    <w:p w14:paraId="2CF72046" w14:textId="6B7F1F94" w:rsidR="002309EA" w:rsidRPr="00D05CA4" w:rsidRDefault="002309EA" w:rsidP="00D05CA4">
      <w:pPr>
        <w:pStyle w:val="ListParagraph"/>
        <w:ind w:left="0"/>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The consequences for B are that it can be paid EUR 11,900 by IA in connection with the service contract with X but does not have a claim to the EUR 11,900 </w:t>
      </w:r>
      <w:r w:rsidR="00377CFA">
        <w:rPr>
          <w:rFonts w:ascii="Arial" w:hAnsi="Arial" w:cs="Arial"/>
          <w:color w:val="A6A6A6" w:themeColor="background1" w:themeShade="A6"/>
          <w:sz w:val="22"/>
          <w:szCs w:val="22"/>
          <w:lang w:val="en-GB"/>
        </w:rPr>
        <w:t xml:space="preserve">in connection with the contract with Z, leaving B with a balance of </w:t>
      </w:r>
      <w:r w:rsidR="00BF5021">
        <w:rPr>
          <w:rFonts w:ascii="Arial" w:hAnsi="Arial" w:cs="Arial"/>
          <w:color w:val="A6A6A6" w:themeColor="background1" w:themeShade="A6"/>
          <w:sz w:val="22"/>
          <w:szCs w:val="22"/>
          <w:lang w:val="en-GB"/>
        </w:rPr>
        <w:t>EUR 38,100</w:t>
      </w:r>
      <w:r w:rsidR="00B91D45">
        <w:rPr>
          <w:rFonts w:ascii="Arial" w:hAnsi="Arial" w:cs="Arial"/>
          <w:color w:val="A6A6A6" w:themeColor="background1" w:themeShade="A6"/>
          <w:sz w:val="22"/>
          <w:szCs w:val="22"/>
          <w:lang w:val="en-GB"/>
        </w:rPr>
        <w:t xml:space="preserve"> as a secured creditor. </w:t>
      </w:r>
    </w:p>
    <w:p w14:paraId="37102164" w14:textId="77777777" w:rsidR="00102CC9" w:rsidRPr="00636DD2" w:rsidRDefault="00102CC9" w:rsidP="00087F21">
      <w:pPr>
        <w:jc w:val="both"/>
        <w:rPr>
          <w:rFonts w:ascii="Arial" w:hAnsi="Arial" w:cs="Arial"/>
          <w:sz w:val="22"/>
          <w:szCs w:val="22"/>
          <w:highlight w:val="yellow"/>
          <w:lang w:val="en-GB"/>
        </w:rPr>
      </w:pPr>
    </w:p>
    <w:bookmarkEnd w:id="1"/>
    <w:p w14:paraId="29833350" w14:textId="337D681B" w:rsidR="00FA3037" w:rsidRPr="00193129" w:rsidRDefault="00FA3037" w:rsidP="00FA3037">
      <w:pPr>
        <w:autoSpaceDE w:val="0"/>
        <w:autoSpaceDN w:val="0"/>
        <w:adjustRightInd w:val="0"/>
        <w:snapToGrid w:val="0"/>
        <w:spacing w:before="8"/>
        <w:jc w:val="right"/>
        <w:rPr>
          <w:rFonts w:ascii="Arial" w:hAnsi="Arial" w:cs="Arial"/>
          <w:b/>
          <w:color w:val="FF0000"/>
          <w:sz w:val="22"/>
          <w:szCs w:val="22"/>
          <w:highlight w:val="cyan"/>
        </w:rPr>
      </w:pPr>
    </w:p>
    <w:p w14:paraId="06264898" w14:textId="77777777" w:rsidR="00FA3037" w:rsidRPr="00193129" w:rsidRDefault="00FA3037" w:rsidP="00FA3037">
      <w:pPr>
        <w:autoSpaceDE w:val="0"/>
        <w:autoSpaceDN w:val="0"/>
        <w:adjustRightInd w:val="0"/>
        <w:snapToGrid w:val="0"/>
        <w:spacing w:before="8"/>
        <w:jc w:val="center"/>
        <w:rPr>
          <w:rFonts w:ascii="Arial" w:hAnsi="Arial" w:cs="Arial"/>
          <w:b/>
          <w:color w:val="FF0000"/>
          <w:sz w:val="22"/>
          <w:szCs w:val="22"/>
          <w:highlight w:val="cyan"/>
        </w:rPr>
      </w:pPr>
    </w:p>
    <w:p w14:paraId="71C39D00" w14:textId="618E6427" w:rsidR="00B77F46" w:rsidRDefault="00C606C3" w:rsidP="004E3A6B">
      <w:pPr>
        <w:jc w:val="center"/>
        <w:rPr>
          <w:rFonts w:ascii="Arial" w:hAnsi="Arial" w:cs="Arial"/>
          <w:b/>
          <w:bCs/>
          <w:sz w:val="22"/>
          <w:szCs w:val="22"/>
          <w:lang w:val="en-GB"/>
        </w:rPr>
      </w:pPr>
      <w:r w:rsidRPr="00E349CE">
        <w:rPr>
          <w:rFonts w:ascii="Arial" w:hAnsi="Arial" w:cs="Arial"/>
          <w:b/>
          <w:bCs/>
          <w:sz w:val="22"/>
          <w:szCs w:val="22"/>
          <w:lang w:val="en-GB"/>
        </w:rPr>
        <w:t>*</w:t>
      </w:r>
      <w:r w:rsidR="001E25B9" w:rsidRPr="00E349CE">
        <w:rPr>
          <w:rFonts w:ascii="Arial" w:hAnsi="Arial" w:cs="Arial"/>
          <w:b/>
          <w:bCs/>
          <w:sz w:val="22"/>
          <w:szCs w:val="22"/>
          <w:lang w:val="en-GB"/>
        </w:rPr>
        <w:t xml:space="preserve"> </w:t>
      </w:r>
      <w:r w:rsidR="0077498C" w:rsidRPr="00E349CE">
        <w:rPr>
          <w:rFonts w:ascii="Arial" w:hAnsi="Arial" w:cs="Arial"/>
          <w:b/>
          <w:bCs/>
          <w:sz w:val="22"/>
          <w:szCs w:val="22"/>
          <w:lang w:val="en-GB"/>
        </w:rPr>
        <w:t>End of Assessment</w:t>
      </w:r>
      <w:r w:rsidR="001E25B9" w:rsidRPr="00E349CE">
        <w:rPr>
          <w:rFonts w:ascii="Arial" w:hAnsi="Arial" w:cs="Arial"/>
          <w:b/>
          <w:bCs/>
          <w:sz w:val="22"/>
          <w:szCs w:val="22"/>
          <w:lang w:val="en-GB"/>
        </w:rPr>
        <w:t xml:space="preserve"> </w:t>
      </w:r>
      <w:r w:rsidRPr="00E349CE">
        <w:rPr>
          <w:rFonts w:ascii="Arial" w:hAnsi="Arial" w:cs="Arial"/>
          <w:b/>
          <w:bCs/>
          <w:sz w:val="22"/>
          <w:szCs w:val="22"/>
          <w:lang w:val="en-GB"/>
        </w:rPr>
        <w:t>*</w:t>
      </w:r>
    </w:p>
    <w:p w14:paraId="2EA512F9" w14:textId="22B412C1" w:rsidR="00FA3037" w:rsidRDefault="00FA3037" w:rsidP="004E3A6B">
      <w:pPr>
        <w:jc w:val="center"/>
        <w:rPr>
          <w:rFonts w:ascii="Arial" w:hAnsi="Arial" w:cs="Arial"/>
          <w:b/>
          <w:bCs/>
          <w:sz w:val="22"/>
          <w:szCs w:val="22"/>
          <w:lang w:val="en-GB"/>
        </w:rPr>
      </w:pPr>
    </w:p>
    <w:sectPr w:rsidR="00FA3037" w:rsidSect="0073158B">
      <w:footerReference w:type="even" r:id="rId12"/>
      <w:footerReference w:type="default" r:id="rId13"/>
      <w:head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29591" w14:textId="77777777" w:rsidR="00C857CA" w:rsidRDefault="00C857CA" w:rsidP="00241B44">
      <w:r>
        <w:separator/>
      </w:r>
    </w:p>
  </w:endnote>
  <w:endnote w:type="continuationSeparator" w:id="0">
    <w:p w14:paraId="3D51BF35" w14:textId="77777777" w:rsidR="00C857CA" w:rsidRDefault="00C857C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7CF398F" w14:textId="77777777" w:rsidR="002124BE" w:rsidRPr="00FC7B47" w:rsidRDefault="002124BE"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3E0258C" w14:textId="77777777" w:rsidR="002124BE" w:rsidRPr="00FC7B47" w:rsidRDefault="002124BE"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22"/>
        <w:szCs w:val="22"/>
      </w:rPr>
      <w:id w:val="-1409602822"/>
      <w:docPartObj>
        <w:docPartGallery w:val="Page Numbers (Bottom of Page)"/>
        <w:docPartUnique/>
      </w:docPartObj>
    </w:sdtPr>
    <w:sdtEndPr>
      <w:rPr>
        <w:rStyle w:val="PageNumber"/>
        <w:b w:val="0"/>
        <w:bCs w:val="0"/>
      </w:rPr>
    </w:sdtEndPr>
    <w:sdtContent>
      <w:p w14:paraId="00AD0DDF" w14:textId="3A24CE89" w:rsidR="002124BE" w:rsidRPr="00902A28" w:rsidRDefault="002124BE" w:rsidP="00672963">
        <w:pPr>
          <w:pStyle w:val="Footer"/>
          <w:framePr w:wrap="none" w:vAnchor="text" w:hAnchor="margin" w:xAlign="right" w:y="1"/>
          <w:rPr>
            <w:rStyle w:val="PageNumber"/>
            <w:rFonts w:ascii="Arial" w:hAnsi="Arial" w:cs="Arial"/>
            <w:sz w:val="22"/>
            <w:szCs w:val="22"/>
          </w:rPr>
        </w:pPr>
        <w:r w:rsidRPr="00902A28">
          <w:rPr>
            <w:rStyle w:val="PageNumber"/>
            <w:rFonts w:ascii="Arial" w:hAnsi="Arial" w:cs="Arial"/>
            <w:b/>
            <w:bCs/>
            <w:sz w:val="22"/>
            <w:szCs w:val="22"/>
          </w:rPr>
          <w:t xml:space="preserve">Page </w:t>
        </w:r>
        <w:r w:rsidRPr="00902A28">
          <w:rPr>
            <w:rStyle w:val="PageNumber"/>
            <w:rFonts w:ascii="Arial" w:hAnsi="Arial" w:cs="Arial"/>
            <w:b/>
            <w:bCs/>
            <w:sz w:val="22"/>
            <w:szCs w:val="22"/>
          </w:rPr>
          <w:fldChar w:fldCharType="begin"/>
        </w:r>
        <w:r w:rsidRPr="00902A28">
          <w:rPr>
            <w:rStyle w:val="PageNumber"/>
            <w:rFonts w:ascii="Arial" w:hAnsi="Arial" w:cs="Arial"/>
            <w:b/>
            <w:bCs/>
            <w:sz w:val="22"/>
            <w:szCs w:val="22"/>
          </w:rPr>
          <w:instrText xml:space="preserve"> PAGE </w:instrText>
        </w:r>
        <w:r w:rsidRPr="00902A28">
          <w:rPr>
            <w:rStyle w:val="PageNumber"/>
            <w:rFonts w:ascii="Arial" w:hAnsi="Arial" w:cs="Arial"/>
            <w:b/>
            <w:bCs/>
            <w:sz w:val="22"/>
            <w:szCs w:val="22"/>
          </w:rPr>
          <w:fldChar w:fldCharType="separate"/>
        </w:r>
        <w:r w:rsidR="0037467B" w:rsidRPr="00902A28">
          <w:rPr>
            <w:rStyle w:val="PageNumber"/>
            <w:rFonts w:ascii="Arial" w:hAnsi="Arial" w:cs="Arial"/>
            <w:b/>
            <w:bCs/>
            <w:noProof/>
            <w:sz w:val="22"/>
            <w:szCs w:val="22"/>
          </w:rPr>
          <w:t>7</w:t>
        </w:r>
        <w:r w:rsidRPr="00902A28">
          <w:rPr>
            <w:rStyle w:val="PageNumber"/>
            <w:rFonts w:ascii="Arial" w:hAnsi="Arial" w:cs="Arial"/>
            <w:b/>
            <w:bCs/>
            <w:sz w:val="22"/>
            <w:szCs w:val="22"/>
          </w:rPr>
          <w:fldChar w:fldCharType="end"/>
        </w:r>
      </w:p>
    </w:sdtContent>
  </w:sdt>
  <w:p w14:paraId="5AC08553" w14:textId="77865221" w:rsidR="00BC2C6F" w:rsidRPr="00902A28" w:rsidRDefault="00CA1FEA" w:rsidP="009B4976">
    <w:pPr>
      <w:pStyle w:val="Footer"/>
      <w:ind w:right="360"/>
      <w:rPr>
        <w:rFonts w:ascii="Arial" w:hAnsi="Arial" w:cs="Arial"/>
        <w:sz w:val="22"/>
        <w:szCs w:val="22"/>
        <w:lang w:val="en-GB"/>
      </w:rPr>
    </w:pPr>
    <w:r>
      <w:rPr>
        <w:rFonts w:ascii="Arial" w:hAnsi="Arial" w:cs="Arial"/>
        <w:sz w:val="22"/>
        <w:szCs w:val="22"/>
        <w:lang w:val="en-GB"/>
      </w:rPr>
      <w:t>202122-557</w:t>
    </w:r>
    <w:r w:rsidR="002124BE" w:rsidRPr="00902A28">
      <w:rPr>
        <w:rFonts w:ascii="Arial" w:hAnsi="Arial" w:cs="Arial"/>
        <w:sz w:val="22"/>
        <w:szCs w:val="22"/>
        <w:lang w:val="en-GB"/>
      </w:rPr>
      <w:t>.assessment6B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6502C" w14:textId="77777777" w:rsidR="00C857CA" w:rsidRDefault="00C857CA" w:rsidP="00241B44">
      <w:r>
        <w:separator/>
      </w:r>
    </w:p>
  </w:footnote>
  <w:footnote w:type="continuationSeparator" w:id="0">
    <w:p w14:paraId="67EFF93D" w14:textId="77777777" w:rsidR="00C857CA" w:rsidRDefault="00C857CA"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F696" w14:textId="02EF56AD" w:rsidR="002124BE" w:rsidRDefault="002124BE" w:rsidP="009B4976">
    <w:pPr>
      <w:pStyle w:val="Footer"/>
      <w:ind w:right="360"/>
      <w:rPr>
        <w:rFonts w:ascii="Arial" w:hAnsi="Arial" w:cs="Arial"/>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5604"/>
    <w:multiLevelType w:val="hybridMultilevel"/>
    <w:tmpl w:val="5C7A16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72376"/>
    <w:multiLevelType w:val="hybridMultilevel"/>
    <w:tmpl w:val="1AE2CB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D2453"/>
    <w:multiLevelType w:val="hybridMultilevel"/>
    <w:tmpl w:val="9E8E3D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709A9"/>
    <w:multiLevelType w:val="hybridMultilevel"/>
    <w:tmpl w:val="9FEA5E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2B0D8E"/>
    <w:multiLevelType w:val="hybridMultilevel"/>
    <w:tmpl w:val="4DD4130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15:restartNumberingAfterBreak="0">
    <w:nsid w:val="1A3D59E8"/>
    <w:multiLevelType w:val="hybridMultilevel"/>
    <w:tmpl w:val="E272B8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AF6DE2"/>
    <w:multiLevelType w:val="hybridMultilevel"/>
    <w:tmpl w:val="8924A1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5E6434"/>
    <w:multiLevelType w:val="hybridMultilevel"/>
    <w:tmpl w:val="2C38EC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0300B8"/>
    <w:multiLevelType w:val="hybridMultilevel"/>
    <w:tmpl w:val="A1105B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B45AE3"/>
    <w:multiLevelType w:val="hybridMultilevel"/>
    <w:tmpl w:val="ECB22E3C"/>
    <w:lvl w:ilvl="0" w:tplc="059A1DA2">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D362B66"/>
    <w:multiLevelType w:val="hybridMultilevel"/>
    <w:tmpl w:val="5CD269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C377BA"/>
    <w:multiLevelType w:val="hybridMultilevel"/>
    <w:tmpl w:val="54F23B6C"/>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071D05"/>
    <w:multiLevelType w:val="hybridMultilevel"/>
    <w:tmpl w:val="AC687F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083EE8"/>
    <w:multiLevelType w:val="hybridMultilevel"/>
    <w:tmpl w:val="2DC074C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4" w15:restartNumberingAfterBreak="0">
    <w:nsid w:val="356B1B42"/>
    <w:multiLevelType w:val="hybridMultilevel"/>
    <w:tmpl w:val="B6183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6522D72"/>
    <w:multiLevelType w:val="hybridMultilevel"/>
    <w:tmpl w:val="4DDEA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A45B15"/>
    <w:multiLevelType w:val="hybridMultilevel"/>
    <w:tmpl w:val="11A4487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7" w15:restartNumberingAfterBreak="0">
    <w:nsid w:val="393D2799"/>
    <w:multiLevelType w:val="hybridMultilevel"/>
    <w:tmpl w:val="5630E182"/>
    <w:lvl w:ilvl="0" w:tplc="DA30FEE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7C436F"/>
    <w:multiLevelType w:val="hybridMultilevel"/>
    <w:tmpl w:val="4CF601BC"/>
    <w:lvl w:ilvl="0" w:tplc="A4A87342">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9" w15:restartNumberingAfterBreak="0">
    <w:nsid w:val="46655120"/>
    <w:multiLevelType w:val="hybridMultilevel"/>
    <w:tmpl w:val="5C489E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0D04DE"/>
    <w:multiLevelType w:val="hybridMultilevel"/>
    <w:tmpl w:val="E320C4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D6C5B30"/>
    <w:multiLevelType w:val="hybridMultilevel"/>
    <w:tmpl w:val="6CD6A9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2746A6"/>
    <w:multiLevelType w:val="hybridMultilevel"/>
    <w:tmpl w:val="0970934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FC244E"/>
    <w:multiLevelType w:val="hybridMultilevel"/>
    <w:tmpl w:val="01D81A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473D74"/>
    <w:multiLevelType w:val="hybridMultilevel"/>
    <w:tmpl w:val="FA4A87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D44997"/>
    <w:multiLevelType w:val="hybridMultilevel"/>
    <w:tmpl w:val="CBFAC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134175"/>
    <w:multiLevelType w:val="hybridMultilevel"/>
    <w:tmpl w:val="B0F405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CF4147D"/>
    <w:multiLevelType w:val="hybridMultilevel"/>
    <w:tmpl w:val="58DEA9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5E60A4"/>
    <w:multiLevelType w:val="hybridMultilevel"/>
    <w:tmpl w:val="86E6B9A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D80A90"/>
    <w:multiLevelType w:val="hybridMultilevel"/>
    <w:tmpl w:val="AEDA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3F7187D"/>
    <w:multiLevelType w:val="hybridMultilevel"/>
    <w:tmpl w:val="757A37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50E5CEF"/>
    <w:multiLevelType w:val="hybridMultilevel"/>
    <w:tmpl w:val="60FC09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8B7C5D"/>
    <w:multiLevelType w:val="hybridMultilevel"/>
    <w:tmpl w:val="B076476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182BAF"/>
    <w:multiLevelType w:val="hybridMultilevel"/>
    <w:tmpl w:val="399CA8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9"/>
  </w:num>
  <w:num w:numId="3">
    <w:abstractNumId w:val="29"/>
  </w:num>
  <w:num w:numId="4">
    <w:abstractNumId w:val="26"/>
  </w:num>
  <w:num w:numId="5">
    <w:abstractNumId w:val="20"/>
  </w:num>
  <w:num w:numId="6">
    <w:abstractNumId w:val="16"/>
  </w:num>
  <w:num w:numId="7">
    <w:abstractNumId w:val="4"/>
  </w:num>
  <w:num w:numId="8">
    <w:abstractNumId w:val="14"/>
  </w:num>
  <w:num w:numId="9">
    <w:abstractNumId w:val="13"/>
  </w:num>
  <w:num w:numId="10">
    <w:abstractNumId w:val="30"/>
  </w:num>
  <w:num w:numId="11">
    <w:abstractNumId w:val="2"/>
  </w:num>
  <w:num w:numId="12">
    <w:abstractNumId w:val="21"/>
  </w:num>
  <w:num w:numId="13">
    <w:abstractNumId w:val="23"/>
  </w:num>
  <w:num w:numId="14">
    <w:abstractNumId w:val="3"/>
  </w:num>
  <w:num w:numId="15">
    <w:abstractNumId w:val="17"/>
  </w:num>
  <w:num w:numId="16">
    <w:abstractNumId w:val="11"/>
  </w:num>
  <w:num w:numId="17">
    <w:abstractNumId w:val="32"/>
  </w:num>
  <w:num w:numId="18">
    <w:abstractNumId w:val="24"/>
  </w:num>
  <w:num w:numId="19">
    <w:abstractNumId w:val="33"/>
  </w:num>
  <w:num w:numId="20">
    <w:abstractNumId w:val="6"/>
  </w:num>
  <w:num w:numId="21">
    <w:abstractNumId w:val="0"/>
  </w:num>
  <w:num w:numId="22">
    <w:abstractNumId w:val="8"/>
  </w:num>
  <w:num w:numId="23">
    <w:abstractNumId w:val="5"/>
  </w:num>
  <w:num w:numId="24">
    <w:abstractNumId w:val="22"/>
  </w:num>
  <w:num w:numId="25">
    <w:abstractNumId w:val="1"/>
  </w:num>
  <w:num w:numId="26">
    <w:abstractNumId w:val="12"/>
  </w:num>
  <w:num w:numId="27">
    <w:abstractNumId w:val="10"/>
  </w:num>
  <w:num w:numId="28">
    <w:abstractNumId w:val="31"/>
  </w:num>
  <w:num w:numId="29">
    <w:abstractNumId w:val="28"/>
  </w:num>
  <w:num w:numId="30">
    <w:abstractNumId w:val="19"/>
  </w:num>
  <w:num w:numId="31">
    <w:abstractNumId w:val="27"/>
  </w:num>
  <w:num w:numId="32">
    <w:abstractNumId w:val="7"/>
  </w:num>
  <w:num w:numId="33">
    <w:abstractNumId w:val="25"/>
  </w:num>
  <w:num w:numId="34">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Natalie\AppData\Local\Temp\4230e271-e7f3-4da7-8153-6599d259be9e.docx"/>
    <w:docVar w:name="zzmp10LastTrailerInserted" w:val="^`~#mp!@8J⌔#(┛┥677Ŕm7k1d7h´gÑ⌉pÙš⌐ŧ⌍Ƃ⌕z⌒Ð⌏!=⌕¦⌒0⌏­⌕/⌒L⌏@‴⌕j⌒,⌏O⌡Ý₰³⌟․%i¡ìD⌉x\‱D⌞ª|Ü‟64k3èiV⌉i⌘⌇üÄPx⌇KŤ¿⌄Y®⌅Y¬¡¬^Ut⌍«ö@⌎ëö⌌»ÛˍÂ⌘ïgg§ÜÑ¥O&quot;⌙,.⌉⌃⌑⌙'J_^;MI5M011"/>
    <w:docVar w:name="zzmp10LastTrailerInserted_1078" w:val="^`~#mp!@8J⌔#(┛┥677Ŕm7k1d7h´gÑ⌉pÙš⌐ŧ⌍Ƃ⌕z⌒Ð⌏!=⌕¦⌒0⌏­⌕/⌒L⌏@‴⌕j⌒,⌏O⌡Ý₰³⌟․%i¡ìD⌉x\‱D⌞ª|Ü‟64k3èiV⌉i⌘⌇üÄPx⌇KŤ¿⌄Y®⌅Y¬¡¬^Ut⌍«ö@⌎ëö⌌»ÛˍÂ⌘ïgg§ÜÑ¥O&quot;⌙,.⌉⌃⌑⌙'J_^;MI5M011"/>
    <w:docVar w:name="zzmp10mSEGsValidated" w:val="1"/>
    <w:docVar w:name="zzmpCompatibilityMode" w:val="14"/>
    <w:docVar w:name="zzmpLegacyTrailerRemoved" w:val="True"/>
  </w:docVars>
  <w:rsids>
    <w:rsidRoot w:val="00045088"/>
    <w:rsid w:val="00003560"/>
    <w:rsid w:val="00004297"/>
    <w:rsid w:val="00006E04"/>
    <w:rsid w:val="00007BF3"/>
    <w:rsid w:val="00007F3A"/>
    <w:rsid w:val="00010BA0"/>
    <w:rsid w:val="00014895"/>
    <w:rsid w:val="00020557"/>
    <w:rsid w:val="00021FC2"/>
    <w:rsid w:val="000250C7"/>
    <w:rsid w:val="000261D6"/>
    <w:rsid w:val="00026F16"/>
    <w:rsid w:val="000318B6"/>
    <w:rsid w:val="00031C73"/>
    <w:rsid w:val="000331D8"/>
    <w:rsid w:val="00036853"/>
    <w:rsid w:val="00037621"/>
    <w:rsid w:val="000413DC"/>
    <w:rsid w:val="000434E3"/>
    <w:rsid w:val="00044D46"/>
    <w:rsid w:val="00045088"/>
    <w:rsid w:val="00045904"/>
    <w:rsid w:val="00046823"/>
    <w:rsid w:val="000500C6"/>
    <w:rsid w:val="000502FD"/>
    <w:rsid w:val="00055386"/>
    <w:rsid w:val="00063E4B"/>
    <w:rsid w:val="00063E77"/>
    <w:rsid w:val="00065166"/>
    <w:rsid w:val="00070B9F"/>
    <w:rsid w:val="000733B6"/>
    <w:rsid w:val="00073645"/>
    <w:rsid w:val="000738BF"/>
    <w:rsid w:val="00073C39"/>
    <w:rsid w:val="0007535A"/>
    <w:rsid w:val="00077E0A"/>
    <w:rsid w:val="00081DD7"/>
    <w:rsid w:val="00082609"/>
    <w:rsid w:val="00083D09"/>
    <w:rsid w:val="000851CC"/>
    <w:rsid w:val="00087F21"/>
    <w:rsid w:val="00093BE8"/>
    <w:rsid w:val="000941D0"/>
    <w:rsid w:val="00097260"/>
    <w:rsid w:val="000A407B"/>
    <w:rsid w:val="000A514A"/>
    <w:rsid w:val="000A68ED"/>
    <w:rsid w:val="000B0E72"/>
    <w:rsid w:val="000B20E5"/>
    <w:rsid w:val="000B5FF1"/>
    <w:rsid w:val="000B609F"/>
    <w:rsid w:val="000C1C5A"/>
    <w:rsid w:val="000D55A8"/>
    <w:rsid w:val="000D652C"/>
    <w:rsid w:val="000E0A8C"/>
    <w:rsid w:val="000E2E9B"/>
    <w:rsid w:val="000E4841"/>
    <w:rsid w:val="000E5146"/>
    <w:rsid w:val="000E71C1"/>
    <w:rsid w:val="000F0D56"/>
    <w:rsid w:val="000F1108"/>
    <w:rsid w:val="000F1677"/>
    <w:rsid w:val="000F36E3"/>
    <w:rsid w:val="000F3D6C"/>
    <w:rsid w:val="000F70C1"/>
    <w:rsid w:val="00101319"/>
    <w:rsid w:val="00101707"/>
    <w:rsid w:val="00102CC9"/>
    <w:rsid w:val="0010593A"/>
    <w:rsid w:val="00110FBE"/>
    <w:rsid w:val="0011473D"/>
    <w:rsid w:val="00115C85"/>
    <w:rsid w:val="00123755"/>
    <w:rsid w:val="00123855"/>
    <w:rsid w:val="00124F2F"/>
    <w:rsid w:val="00126A4D"/>
    <w:rsid w:val="00131A04"/>
    <w:rsid w:val="001354C2"/>
    <w:rsid w:val="0014171F"/>
    <w:rsid w:val="00141907"/>
    <w:rsid w:val="00141E86"/>
    <w:rsid w:val="0014622C"/>
    <w:rsid w:val="001505A1"/>
    <w:rsid w:val="00152348"/>
    <w:rsid w:val="0015456D"/>
    <w:rsid w:val="00154D34"/>
    <w:rsid w:val="00155FA2"/>
    <w:rsid w:val="001613DF"/>
    <w:rsid w:val="00161560"/>
    <w:rsid w:val="00161F1B"/>
    <w:rsid w:val="00162829"/>
    <w:rsid w:val="001766E9"/>
    <w:rsid w:val="00176A52"/>
    <w:rsid w:val="001776C0"/>
    <w:rsid w:val="00177B71"/>
    <w:rsid w:val="00180548"/>
    <w:rsid w:val="00180AC4"/>
    <w:rsid w:val="00180CCE"/>
    <w:rsid w:val="001821C7"/>
    <w:rsid w:val="0018267A"/>
    <w:rsid w:val="00182779"/>
    <w:rsid w:val="001830DF"/>
    <w:rsid w:val="00187133"/>
    <w:rsid w:val="00187220"/>
    <w:rsid w:val="00192C84"/>
    <w:rsid w:val="00193129"/>
    <w:rsid w:val="001966D9"/>
    <w:rsid w:val="0019703F"/>
    <w:rsid w:val="001A007A"/>
    <w:rsid w:val="001A3BA3"/>
    <w:rsid w:val="001A3CEE"/>
    <w:rsid w:val="001A7E9A"/>
    <w:rsid w:val="001B0F70"/>
    <w:rsid w:val="001B45E6"/>
    <w:rsid w:val="001B5016"/>
    <w:rsid w:val="001C45FC"/>
    <w:rsid w:val="001C5B2D"/>
    <w:rsid w:val="001C78D0"/>
    <w:rsid w:val="001D0469"/>
    <w:rsid w:val="001D1A71"/>
    <w:rsid w:val="001D29C0"/>
    <w:rsid w:val="001D4862"/>
    <w:rsid w:val="001D64F1"/>
    <w:rsid w:val="001E20AF"/>
    <w:rsid w:val="001E25B9"/>
    <w:rsid w:val="001E37B7"/>
    <w:rsid w:val="001E49E0"/>
    <w:rsid w:val="001E7B5A"/>
    <w:rsid w:val="001F0ECC"/>
    <w:rsid w:val="001F356D"/>
    <w:rsid w:val="001F3DA9"/>
    <w:rsid w:val="001F7412"/>
    <w:rsid w:val="0020090A"/>
    <w:rsid w:val="00202DFE"/>
    <w:rsid w:val="00206156"/>
    <w:rsid w:val="0020725B"/>
    <w:rsid w:val="002110F1"/>
    <w:rsid w:val="002124BE"/>
    <w:rsid w:val="002129C5"/>
    <w:rsid w:val="002141FA"/>
    <w:rsid w:val="00214F37"/>
    <w:rsid w:val="00216DA8"/>
    <w:rsid w:val="00222AF0"/>
    <w:rsid w:val="002231AA"/>
    <w:rsid w:val="002309EA"/>
    <w:rsid w:val="00233B9E"/>
    <w:rsid w:val="002356EA"/>
    <w:rsid w:val="00235F71"/>
    <w:rsid w:val="00236292"/>
    <w:rsid w:val="0024116D"/>
    <w:rsid w:val="00241785"/>
    <w:rsid w:val="00241B44"/>
    <w:rsid w:val="00241FA3"/>
    <w:rsid w:val="00244AE8"/>
    <w:rsid w:val="00245EFB"/>
    <w:rsid w:val="0025078F"/>
    <w:rsid w:val="00251005"/>
    <w:rsid w:val="002517E1"/>
    <w:rsid w:val="0025386E"/>
    <w:rsid w:val="002562B1"/>
    <w:rsid w:val="002638B0"/>
    <w:rsid w:val="00265094"/>
    <w:rsid w:val="002654A9"/>
    <w:rsid w:val="0026647A"/>
    <w:rsid w:val="002668D3"/>
    <w:rsid w:val="0026706A"/>
    <w:rsid w:val="0027299F"/>
    <w:rsid w:val="0027702F"/>
    <w:rsid w:val="00283EA6"/>
    <w:rsid w:val="00284387"/>
    <w:rsid w:val="00284EBE"/>
    <w:rsid w:val="002872AF"/>
    <w:rsid w:val="002903A7"/>
    <w:rsid w:val="00292C50"/>
    <w:rsid w:val="0029433F"/>
    <w:rsid w:val="00294829"/>
    <w:rsid w:val="0029575F"/>
    <w:rsid w:val="0029690F"/>
    <w:rsid w:val="00297C8A"/>
    <w:rsid w:val="002A032F"/>
    <w:rsid w:val="002A1D87"/>
    <w:rsid w:val="002A2A60"/>
    <w:rsid w:val="002A37BB"/>
    <w:rsid w:val="002A5915"/>
    <w:rsid w:val="002B1C45"/>
    <w:rsid w:val="002B40FB"/>
    <w:rsid w:val="002C13C8"/>
    <w:rsid w:val="002C151E"/>
    <w:rsid w:val="002C2624"/>
    <w:rsid w:val="002C3547"/>
    <w:rsid w:val="002C4A81"/>
    <w:rsid w:val="002C77A0"/>
    <w:rsid w:val="002D0021"/>
    <w:rsid w:val="002D1132"/>
    <w:rsid w:val="002D299D"/>
    <w:rsid w:val="002D3473"/>
    <w:rsid w:val="002D4FCB"/>
    <w:rsid w:val="002E7845"/>
    <w:rsid w:val="002F16BD"/>
    <w:rsid w:val="002F1956"/>
    <w:rsid w:val="002F3440"/>
    <w:rsid w:val="002F75A3"/>
    <w:rsid w:val="00303C2F"/>
    <w:rsid w:val="00304AFC"/>
    <w:rsid w:val="00312DE7"/>
    <w:rsid w:val="003133C5"/>
    <w:rsid w:val="00313F58"/>
    <w:rsid w:val="003144EF"/>
    <w:rsid w:val="0031647C"/>
    <w:rsid w:val="00320C0E"/>
    <w:rsid w:val="00321BDC"/>
    <w:rsid w:val="00326292"/>
    <w:rsid w:val="00326415"/>
    <w:rsid w:val="00330937"/>
    <w:rsid w:val="00330F31"/>
    <w:rsid w:val="00334648"/>
    <w:rsid w:val="0033768C"/>
    <w:rsid w:val="00337938"/>
    <w:rsid w:val="00337A2A"/>
    <w:rsid w:val="00340769"/>
    <w:rsid w:val="00341AA6"/>
    <w:rsid w:val="00350606"/>
    <w:rsid w:val="00352A11"/>
    <w:rsid w:val="00355D93"/>
    <w:rsid w:val="00361A0A"/>
    <w:rsid w:val="00362449"/>
    <w:rsid w:val="003635EA"/>
    <w:rsid w:val="0036380C"/>
    <w:rsid w:val="00364582"/>
    <w:rsid w:val="0036459E"/>
    <w:rsid w:val="00364836"/>
    <w:rsid w:val="0036565C"/>
    <w:rsid w:val="0036625E"/>
    <w:rsid w:val="003671C6"/>
    <w:rsid w:val="0037044D"/>
    <w:rsid w:val="00373AB9"/>
    <w:rsid w:val="0037465A"/>
    <w:rsid w:val="0037467B"/>
    <w:rsid w:val="00376713"/>
    <w:rsid w:val="00377CFA"/>
    <w:rsid w:val="00382C98"/>
    <w:rsid w:val="0038533C"/>
    <w:rsid w:val="00386568"/>
    <w:rsid w:val="00390B57"/>
    <w:rsid w:val="003939F8"/>
    <w:rsid w:val="003948D5"/>
    <w:rsid w:val="00396821"/>
    <w:rsid w:val="00397D3A"/>
    <w:rsid w:val="003A051E"/>
    <w:rsid w:val="003A0E94"/>
    <w:rsid w:val="003A1418"/>
    <w:rsid w:val="003A73C4"/>
    <w:rsid w:val="003B170F"/>
    <w:rsid w:val="003B3C5F"/>
    <w:rsid w:val="003B4E46"/>
    <w:rsid w:val="003C0926"/>
    <w:rsid w:val="003C4471"/>
    <w:rsid w:val="003C4653"/>
    <w:rsid w:val="003D0A6D"/>
    <w:rsid w:val="003D264C"/>
    <w:rsid w:val="003D55EA"/>
    <w:rsid w:val="003D7708"/>
    <w:rsid w:val="003D7817"/>
    <w:rsid w:val="003E0B16"/>
    <w:rsid w:val="003E37A6"/>
    <w:rsid w:val="003E4613"/>
    <w:rsid w:val="003E67D1"/>
    <w:rsid w:val="003F6DA2"/>
    <w:rsid w:val="00404329"/>
    <w:rsid w:val="00405DC1"/>
    <w:rsid w:val="00415F1F"/>
    <w:rsid w:val="0042108F"/>
    <w:rsid w:val="0042667D"/>
    <w:rsid w:val="00430C39"/>
    <w:rsid w:val="00430FED"/>
    <w:rsid w:val="0043344A"/>
    <w:rsid w:val="0043389D"/>
    <w:rsid w:val="0043494E"/>
    <w:rsid w:val="00434A8C"/>
    <w:rsid w:val="00435CCC"/>
    <w:rsid w:val="00436E76"/>
    <w:rsid w:val="00437297"/>
    <w:rsid w:val="00444284"/>
    <w:rsid w:val="00445499"/>
    <w:rsid w:val="00445CE6"/>
    <w:rsid w:val="004534C2"/>
    <w:rsid w:val="0045446F"/>
    <w:rsid w:val="0045683E"/>
    <w:rsid w:val="004610E6"/>
    <w:rsid w:val="0046178A"/>
    <w:rsid w:val="004618ED"/>
    <w:rsid w:val="004702E6"/>
    <w:rsid w:val="00470DBC"/>
    <w:rsid w:val="0047403F"/>
    <w:rsid w:val="00476BA8"/>
    <w:rsid w:val="00477C72"/>
    <w:rsid w:val="0048111E"/>
    <w:rsid w:val="0048499F"/>
    <w:rsid w:val="00491675"/>
    <w:rsid w:val="00493855"/>
    <w:rsid w:val="004954C9"/>
    <w:rsid w:val="00495E79"/>
    <w:rsid w:val="004A2D83"/>
    <w:rsid w:val="004A40BD"/>
    <w:rsid w:val="004A57DD"/>
    <w:rsid w:val="004A7773"/>
    <w:rsid w:val="004A7B51"/>
    <w:rsid w:val="004A7D71"/>
    <w:rsid w:val="004A7EF3"/>
    <w:rsid w:val="004B11FD"/>
    <w:rsid w:val="004B14C9"/>
    <w:rsid w:val="004B23A2"/>
    <w:rsid w:val="004B3A9C"/>
    <w:rsid w:val="004B4AB4"/>
    <w:rsid w:val="004B5C59"/>
    <w:rsid w:val="004B6B5D"/>
    <w:rsid w:val="004C2CAD"/>
    <w:rsid w:val="004C3226"/>
    <w:rsid w:val="004C3E0D"/>
    <w:rsid w:val="004C5950"/>
    <w:rsid w:val="004C71B6"/>
    <w:rsid w:val="004D1A5A"/>
    <w:rsid w:val="004D2FFF"/>
    <w:rsid w:val="004D3721"/>
    <w:rsid w:val="004D64F9"/>
    <w:rsid w:val="004E00BC"/>
    <w:rsid w:val="004E1B0F"/>
    <w:rsid w:val="004E3A6B"/>
    <w:rsid w:val="004E622C"/>
    <w:rsid w:val="004E6A79"/>
    <w:rsid w:val="004F4FE3"/>
    <w:rsid w:val="004F5FDF"/>
    <w:rsid w:val="004F61AD"/>
    <w:rsid w:val="00500161"/>
    <w:rsid w:val="00504120"/>
    <w:rsid w:val="005107C5"/>
    <w:rsid w:val="00515102"/>
    <w:rsid w:val="00515BFA"/>
    <w:rsid w:val="00515D64"/>
    <w:rsid w:val="005176E2"/>
    <w:rsid w:val="005177FE"/>
    <w:rsid w:val="0052016A"/>
    <w:rsid w:val="00520ADB"/>
    <w:rsid w:val="0052115C"/>
    <w:rsid w:val="0052263B"/>
    <w:rsid w:val="00524728"/>
    <w:rsid w:val="00526A9C"/>
    <w:rsid w:val="00530111"/>
    <w:rsid w:val="00532BD6"/>
    <w:rsid w:val="005331CA"/>
    <w:rsid w:val="0053522E"/>
    <w:rsid w:val="00537970"/>
    <w:rsid w:val="00540E3A"/>
    <w:rsid w:val="005413B5"/>
    <w:rsid w:val="00542C8D"/>
    <w:rsid w:val="00544127"/>
    <w:rsid w:val="005456F8"/>
    <w:rsid w:val="00545969"/>
    <w:rsid w:val="00545AB8"/>
    <w:rsid w:val="005463A9"/>
    <w:rsid w:val="00546695"/>
    <w:rsid w:val="00553EB2"/>
    <w:rsid w:val="00555123"/>
    <w:rsid w:val="00560534"/>
    <w:rsid w:val="0056391B"/>
    <w:rsid w:val="00563D1C"/>
    <w:rsid w:val="005650E2"/>
    <w:rsid w:val="005651A8"/>
    <w:rsid w:val="00566FCB"/>
    <w:rsid w:val="00567AD7"/>
    <w:rsid w:val="00570602"/>
    <w:rsid w:val="005733DE"/>
    <w:rsid w:val="00575B2D"/>
    <w:rsid w:val="00576BC6"/>
    <w:rsid w:val="005833D0"/>
    <w:rsid w:val="005835B0"/>
    <w:rsid w:val="005846F3"/>
    <w:rsid w:val="0058622F"/>
    <w:rsid w:val="00590131"/>
    <w:rsid w:val="0059082C"/>
    <w:rsid w:val="00591998"/>
    <w:rsid w:val="00592F82"/>
    <w:rsid w:val="00594D70"/>
    <w:rsid w:val="005A0CCA"/>
    <w:rsid w:val="005A1FEE"/>
    <w:rsid w:val="005A228B"/>
    <w:rsid w:val="005A42E7"/>
    <w:rsid w:val="005A6E6D"/>
    <w:rsid w:val="005A6FF2"/>
    <w:rsid w:val="005A726D"/>
    <w:rsid w:val="005B37C7"/>
    <w:rsid w:val="005B6732"/>
    <w:rsid w:val="005B67AC"/>
    <w:rsid w:val="005B79F4"/>
    <w:rsid w:val="005C6810"/>
    <w:rsid w:val="005D16DD"/>
    <w:rsid w:val="005D1FA5"/>
    <w:rsid w:val="005D43E0"/>
    <w:rsid w:val="005D4E0F"/>
    <w:rsid w:val="005D58A3"/>
    <w:rsid w:val="005E1B79"/>
    <w:rsid w:val="005E2F42"/>
    <w:rsid w:val="005E6076"/>
    <w:rsid w:val="005E7008"/>
    <w:rsid w:val="005F026D"/>
    <w:rsid w:val="005F213B"/>
    <w:rsid w:val="005F2AEA"/>
    <w:rsid w:val="005F2D0B"/>
    <w:rsid w:val="005F4512"/>
    <w:rsid w:val="005F4B31"/>
    <w:rsid w:val="005F75C3"/>
    <w:rsid w:val="006019E8"/>
    <w:rsid w:val="00604F93"/>
    <w:rsid w:val="006052CC"/>
    <w:rsid w:val="006056C0"/>
    <w:rsid w:val="00610388"/>
    <w:rsid w:val="006106AD"/>
    <w:rsid w:val="00610AC7"/>
    <w:rsid w:val="00612CA5"/>
    <w:rsid w:val="006153EC"/>
    <w:rsid w:val="00617650"/>
    <w:rsid w:val="00621466"/>
    <w:rsid w:val="00621A17"/>
    <w:rsid w:val="00622222"/>
    <w:rsid w:val="00627CC9"/>
    <w:rsid w:val="00627E7B"/>
    <w:rsid w:val="00630542"/>
    <w:rsid w:val="00632E44"/>
    <w:rsid w:val="00634622"/>
    <w:rsid w:val="00636808"/>
    <w:rsid w:val="00636DD2"/>
    <w:rsid w:val="00641515"/>
    <w:rsid w:val="0064414B"/>
    <w:rsid w:val="006456CD"/>
    <w:rsid w:val="00651EB5"/>
    <w:rsid w:val="00652B78"/>
    <w:rsid w:val="00654538"/>
    <w:rsid w:val="00654C2F"/>
    <w:rsid w:val="006554D2"/>
    <w:rsid w:val="00657087"/>
    <w:rsid w:val="00662EDD"/>
    <w:rsid w:val="0066334B"/>
    <w:rsid w:val="006639DB"/>
    <w:rsid w:val="00663CD3"/>
    <w:rsid w:val="00663E6F"/>
    <w:rsid w:val="006651D7"/>
    <w:rsid w:val="006661EF"/>
    <w:rsid w:val="006718DF"/>
    <w:rsid w:val="00672963"/>
    <w:rsid w:val="00673351"/>
    <w:rsid w:val="00674283"/>
    <w:rsid w:val="00677AEB"/>
    <w:rsid w:val="00680EF2"/>
    <w:rsid w:val="0068557F"/>
    <w:rsid w:val="00687A1D"/>
    <w:rsid w:val="00690913"/>
    <w:rsid w:val="00691C00"/>
    <w:rsid w:val="00697EA1"/>
    <w:rsid w:val="006A2646"/>
    <w:rsid w:val="006A5C59"/>
    <w:rsid w:val="006A5E5E"/>
    <w:rsid w:val="006A6530"/>
    <w:rsid w:val="006B0912"/>
    <w:rsid w:val="006B42ED"/>
    <w:rsid w:val="006B435A"/>
    <w:rsid w:val="006B4A46"/>
    <w:rsid w:val="006B4AE5"/>
    <w:rsid w:val="006B4C64"/>
    <w:rsid w:val="006B64B4"/>
    <w:rsid w:val="006C3F50"/>
    <w:rsid w:val="006C4E1C"/>
    <w:rsid w:val="006C6DF5"/>
    <w:rsid w:val="006C7B97"/>
    <w:rsid w:val="006D182A"/>
    <w:rsid w:val="006D41E7"/>
    <w:rsid w:val="006D6BD5"/>
    <w:rsid w:val="006E481A"/>
    <w:rsid w:val="006E5298"/>
    <w:rsid w:val="006F4A78"/>
    <w:rsid w:val="006F734A"/>
    <w:rsid w:val="00700D83"/>
    <w:rsid w:val="00704852"/>
    <w:rsid w:val="00705CEF"/>
    <w:rsid w:val="007074E9"/>
    <w:rsid w:val="00707CC8"/>
    <w:rsid w:val="00710D78"/>
    <w:rsid w:val="007119A7"/>
    <w:rsid w:val="007125F6"/>
    <w:rsid w:val="0071353C"/>
    <w:rsid w:val="00713DA4"/>
    <w:rsid w:val="007143BB"/>
    <w:rsid w:val="00714BF1"/>
    <w:rsid w:val="00721383"/>
    <w:rsid w:val="00726A52"/>
    <w:rsid w:val="00726C84"/>
    <w:rsid w:val="0073158B"/>
    <w:rsid w:val="007333CC"/>
    <w:rsid w:val="0073399A"/>
    <w:rsid w:val="00740DAD"/>
    <w:rsid w:val="00746D42"/>
    <w:rsid w:val="00752760"/>
    <w:rsid w:val="00756674"/>
    <w:rsid w:val="007603F5"/>
    <w:rsid w:val="007622E8"/>
    <w:rsid w:val="00763D39"/>
    <w:rsid w:val="00764AB0"/>
    <w:rsid w:val="00764DB0"/>
    <w:rsid w:val="0076764D"/>
    <w:rsid w:val="00767CF5"/>
    <w:rsid w:val="007743BA"/>
    <w:rsid w:val="0077498C"/>
    <w:rsid w:val="00774F37"/>
    <w:rsid w:val="00775B05"/>
    <w:rsid w:val="007809BC"/>
    <w:rsid w:val="00780E21"/>
    <w:rsid w:val="00784128"/>
    <w:rsid w:val="00784156"/>
    <w:rsid w:val="00787BCC"/>
    <w:rsid w:val="007905A5"/>
    <w:rsid w:val="00793173"/>
    <w:rsid w:val="00797096"/>
    <w:rsid w:val="007976A3"/>
    <w:rsid w:val="007A067D"/>
    <w:rsid w:val="007A12FF"/>
    <w:rsid w:val="007A2A33"/>
    <w:rsid w:val="007A3213"/>
    <w:rsid w:val="007A61EA"/>
    <w:rsid w:val="007A70A1"/>
    <w:rsid w:val="007B5C89"/>
    <w:rsid w:val="007C0AED"/>
    <w:rsid w:val="007C1FCC"/>
    <w:rsid w:val="007C28EF"/>
    <w:rsid w:val="007C4B9E"/>
    <w:rsid w:val="007C6201"/>
    <w:rsid w:val="007D1E9F"/>
    <w:rsid w:val="007D7536"/>
    <w:rsid w:val="007D7C92"/>
    <w:rsid w:val="007E065A"/>
    <w:rsid w:val="007E1154"/>
    <w:rsid w:val="007E6BA4"/>
    <w:rsid w:val="007E73D3"/>
    <w:rsid w:val="007E7A91"/>
    <w:rsid w:val="007F41F8"/>
    <w:rsid w:val="007F659B"/>
    <w:rsid w:val="007F7102"/>
    <w:rsid w:val="007F7B1F"/>
    <w:rsid w:val="0080454E"/>
    <w:rsid w:val="00804599"/>
    <w:rsid w:val="00804B7F"/>
    <w:rsid w:val="00804C32"/>
    <w:rsid w:val="00805E3F"/>
    <w:rsid w:val="00806302"/>
    <w:rsid w:val="0080700E"/>
    <w:rsid w:val="00807119"/>
    <w:rsid w:val="00810864"/>
    <w:rsid w:val="0081162B"/>
    <w:rsid w:val="00813B0E"/>
    <w:rsid w:val="00814751"/>
    <w:rsid w:val="00815D64"/>
    <w:rsid w:val="008247D4"/>
    <w:rsid w:val="0082483F"/>
    <w:rsid w:val="008279C0"/>
    <w:rsid w:val="00837198"/>
    <w:rsid w:val="008406FF"/>
    <w:rsid w:val="008443E0"/>
    <w:rsid w:val="0084766D"/>
    <w:rsid w:val="00851A1E"/>
    <w:rsid w:val="00853668"/>
    <w:rsid w:val="00854854"/>
    <w:rsid w:val="00861C2C"/>
    <w:rsid w:val="00867701"/>
    <w:rsid w:val="008723F3"/>
    <w:rsid w:val="00876F56"/>
    <w:rsid w:val="00881DE6"/>
    <w:rsid w:val="00881E90"/>
    <w:rsid w:val="008837A6"/>
    <w:rsid w:val="0089145D"/>
    <w:rsid w:val="00892326"/>
    <w:rsid w:val="008927C8"/>
    <w:rsid w:val="008A2BFB"/>
    <w:rsid w:val="008A4DF2"/>
    <w:rsid w:val="008A4EC7"/>
    <w:rsid w:val="008A6CFE"/>
    <w:rsid w:val="008B5333"/>
    <w:rsid w:val="008B5508"/>
    <w:rsid w:val="008B6223"/>
    <w:rsid w:val="008B7B52"/>
    <w:rsid w:val="008C2F3F"/>
    <w:rsid w:val="008C6252"/>
    <w:rsid w:val="008C66E0"/>
    <w:rsid w:val="008D176B"/>
    <w:rsid w:val="008E17D3"/>
    <w:rsid w:val="008E3339"/>
    <w:rsid w:val="008E71F3"/>
    <w:rsid w:val="008F15C9"/>
    <w:rsid w:val="008F20FC"/>
    <w:rsid w:val="008F4653"/>
    <w:rsid w:val="008F555C"/>
    <w:rsid w:val="008F5FFE"/>
    <w:rsid w:val="00901FF6"/>
    <w:rsid w:val="00902A28"/>
    <w:rsid w:val="00905A43"/>
    <w:rsid w:val="00907762"/>
    <w:rsid w:val="009115D8"/>
    <w:rsid w:val="0091244E"/>
    <w:rsid w:val="00912C79"/>
    <w:rsid w:val="0091484E"/>
    <w:rsid w:val="00921B8C"/>
    <w:rsid w:val="00930D92"/>
    <w:rsid w:val="009328E1"/>
    <w:rsid w:val="00935179"/>
    <w:rsid w:val="00937B1F"/>
    <w:rsid w:val="0094077F"/>
    <w:rsid w:val="009418C9"/>
    <w:rsid w:val="00942123"/>
    <w:rsid w:val="00943E7F"/>
    <w:rsid w:val="00950565"/>
    <w:rsid w:val="0095207B"/>
    <w:rsid w:val="00962045"/>
    <w:rsid w:val="009668D7"/>
    <w:rsid w:val="00966B3D"/>
    <w:rsid w:val="00970860"/>
    <w:rsid w:val="009741AC"/>
    <w:rsid w:val="00976666"/>
    <w:rsid w:val="00980E61"/>
    <w:rsid w:val="00981F41"/>
    <w:rsid w:val="00982918"/>
    <w:rsid w:val="00982D29"/>
    <w:rsid w:val="00985D8F"/>
    <w:rsid w:val="0098784A"/>
    <w:rsid w:val="00991428"/>
    <w:rsid w:val="00992170"/>
    <w:rsid w:val="00992676"/>
    <w:rsid w:val="009954B2"/>
    <w:rsid w:val="00996691"/>
    <w:rsid w:val="009A36FB"/>
    <w:rsid w:val="009A3AB7"/>
    <w:rsid w:val="009B0723"/>
    <w:rsid w:val="009B07AD"/>
    <w:rsid w:val="009B0883"/>
    <w:rsid w:val="009B15E2"/>
    <w:rsid w:val="009B3F83"/>
    <w:rsid w:val="009B4976"/>
    <w:rsid w:val="009B7FCB"/>
    <w:rsid w:val="009C0B8E"/>
    <w:rsid w:val="009C1BC8"/>
    <w:rsid w:val="009C2442"/>
    <w:rsid w:val="009C289F"/>
    <w:rsid w:val="009C32DE"/>
    <w:rsid w:val="009C7115"/>
    <w:rsid w:val="009D0811"/>
    <w:rsid w:val="009D0EE1"/>
    <w:rsid w:val="009D12AA"/>
    <w:rsid w:val="009D158F"/>
    <w:rsid w:val="009D159E"/>
    <w:rsid w:val="009E1511"/>
    <w:rsid w:val="009E20AC"/>
    <w:rsid w:val="009E2AEB"/>
    <w:rsid w:val="009E2E27"/>
    <w:rsid w:val="009E33FC"/>
    <w:rsid w:val="009E45DF"/>
    <w:rsid w:val="009E4DE3"/>
    <w:rsid w:val="009E5234"/>
    <w:rsid w:val="009F275E"/>
    <w:rsid w:val="009F4558"/>
    <w:rsid w:val="009F4E80"/>
    <w:rsid w:val="00A03D04"/>
    <w:rsid w:val="00A047EE"/>
    <w:rsid w:val="00A053F2"/>
    <w:rsid w:val="00A13D68"/>
    <w:rsid w:val="00A2274A"/>
    <w:rsid w:val="00A235B7"/>
    <w:rsid w:val="00A27A7A"/>
    <w:rsid w:val="00A31326"/>
    <w:rsid w:val="00A34ABE"/>
    <w:rsid w:val="00A35BA7"/>
    <w:rsid w:val="00A35FBC"/>
    <w:rsid w:val="00A37EFB"/>
    <w:rsid w:val="00A407EF"/>
    <w:rsid w:val="00A414D2"/>
    <w:rsid w:val="00A42A63"/>
    <w:rsid w:val="00A436F3"/>
    <w:rsid w:val="00A4440D"/>
    <w:rsid w:val="00A44F4B"/>
    <w:rsid w:val="00A466F5"/>
    <w:rsid w:val="00A46B4C"/>
    <w:rsid w:val="00A5117B"/>
    <w:rsid w:val="00A513CA"/>
    <w:rsid w:val="00A52015"/>
    <w:rsid w:val="00A56D34"/>
    <w:rsid w:val="00A60074"/>
    <w:rsid w:val="00A62BFA"/>
    <w:rsid w:val="00A62D01"/>
    <w:rsid w:val="00A6627C"/>
    <w:rsid w:val="00A66FE4"/>
    <w:rsid w:val="00A70A5A"/>
    <w:rsid w:val="00A71019"/>
    <w:rsid w:val="00A778C5"/>
    <w:rsid w:val="00A81029"/>
    <w:rsid w:val="00A845F5"/>
    <w:rsid w:val="00A846AB"/>
    <w:rsid w:val="00A91902"/>
    <w:rsid w:val="00A96489"/>
    <w:rsid w:val="00AA3A3E"/>
    <w:rsid w:val="00AA6CFB"/>
    <w:rsid w:val="00AB0BD2"/>
    <w:rsid w:val="00AB2425"/>
    <w:rsid w:val="00AB3A98"/>
    <w:rsid w:val="00AB3F42"/>
    <w:rsid w:val="00AB5B9B"/>
    <w:rsid w:val="00AB5D47"/>
    <w:rsid w:val="00AB685C"/>
    <w:rsid w:val="00AB6C2D"/>
    <w:rsid w:val="00AB7D1E"/>
    <w:rsid w:val="00AC08F7"/>
    <w:rsid w:val="00AC1E03"/>
    <w:rsid w:val="00AC2EDA"/>
    <w:rsid w:val="00AC3839"/>
    <w:rsid w:val="00AC7082"/>
    <w:rsid w:val="00AD4114"/>
    <w:rsid w:val="00AD4BE8"/>
    <w:rsid w:val="00AD62C1"/>
    <w:rsid w:val="00AD70B6"/>
    <w:rsid w:val="00AE1CE7"/>
    <w:rsid w:val="00AE5655"/>
    <w:rsid w:val="00AE7339"/>
    <w:rsid w:val="00AF00EF"/>
    <w:rsid w:val="00AF0530"/>
    <w:rsid w:val="00AF228E"/>
    <w:rsid w:val="00AF6ED2"/>
    <w:rsid w:val="00B016A8"/>
    <w:rsid w:val="00B0396F"/>
    <w:rsid w:val="00B04214"/>
    <w:rsid w:val="00B14819"/>
    <w:rsid w:val="00B14F53"/>
    <w:rsid w:val="00B15D67"/>
    <w:rsid w:val="00B15E2F"/>
    <w:rsid w:val="00B17860"/>
    <w:rsid w:val="00B17AA9"/>
    <w:rsid w:val="00B22A6B"/>
    <w:rsid w:val="00B23E79"/>
    <w:rsid w:val="00B24847"/>
    <w:rsid w:val="00B2796B"/>
    <w:rsid w:val="00B27980"/>
    <w:rsid w:val="00B30912"/>
    <w:rsid w:val="00B37CE7"/>
    <w:rsid w:val="00B44713"/>
    <w:rsid w:val="00B4760A"/>
    <w:rsid w:val="00B50485"/>
    <w:rsid w:val="00B5137E"/>
    <w:rsid w:val="00B51B95"/>
    <w:rsid w:val="00B5233D"/>
    <w:rsid w:val="00B52F6C"/>
    <w:rsid w:val="00B539EB"/>
    <w:rsid w:val="00B54416"/>
    <w:rsid w:val="00B56103"/>
    <w:rsid w:val="00B628AD"/>
    <w:rsid w:val="00B64929"/>
    <w:rsid w:val="00B736DF"/>
    <w:rsid w:val="00B743D6"/>
    <w:rsid w:val="00B74FBD"/>
    <w:rsid w:val="00B767FF"/>
    <w:rsid w:val="00B77BF0"/>
    <w:rsid w:val="00B77F46"/>
    <w:rsid w:val="00B82586"/>
    <w:rsid w:val="00B829A3"/>
    <w:rsid w:val="00B85FD3"/>
    <w:rsid w:val="00B86DB1"/>
    <w:rsid w:val="00B87869"/>
    <w:rsid w:val="00B91D45"/>
    <w:rsid w:val="00B9639B"/>
    <w:rsid w:val="00B97AC7"/>
    <w:rsid w:val="00BA3247"/>
    <w:rsid w:val="00BA3467"/>
    <w:rsid w:val="00BA520E"/>
    <w:rsid w:val="00BB0F2B"/>
    <w:rsid w:val="00BB2154"/>
    <w:rsid w:val="00BB3A00"/>
    <w:rsid w:val="00BB6401"/>
    <w:rsid w:val="00BC1ECD"/>
    <w:rsid w:val="00BC2C6F"/>
    <w:rsid w:val="00BC3938"/>
    <w:rsid w:val="00BD5EF2"/>
    <w:rsid w:val="00BE1500"/>
    <w:rsid w:val="00BE4FF3"/>
    <w:rsid w:val="00BF0162"/>
    <w:rsid w:val="00BF49DF"/>
    <w:rsid w:val="00BF5021"/>
    <w:rsid w:val="00BF50F7"/>
    <w:rsid w:val="00BF59BF"/>
    <w:rsid w:val="00BF77BA"/>
    <w:rsid w:val="00C007C1"/>
    <w:rsid w:val="00C02F29"/>
    <w:rsid w:val="00C02F34"/>
    <w:rsid w:val="00C128B8"/>
    <w:rsid w:val="00C161A2"/>
    <w:rsid w:val="00C17718"/>
    <w:rsid w:val="00C20AFE"/>
    <w:rsid w:val="00C22A25"/>
    <w:rsid w:val="00C22D5A"/>
    <w:rsid w:val="00C23DD8"/>
    <w:rsid w:val="00C248C8"/>
    <w:rsid w:val="00C2611D"/>
    <w:rsid w:val="00C26474"/>
    <w:rsid w:val="00C30A31"/>
    <w:rsid w:val="00C338CF"/>
    <w:rsid w:val="00C34152"/>
    <w:rsid w:val="00C35671"/>
    <w:rsid w:val="00C35B77"/>
    <w:rsid w:val="00C376EB"/>
    <w:rsid w:val="00C41277"/>
    <w:rsid w:val="00C421EC"/>
    <w:rsid w:val="00C460F5"/>
    <w:rsid w:val="00C46916"/>
    <w:rsid w:val="00C46A92"/>
    <w:rsid w:val="00C46EC1"/>
    <w:rsid w:val="00C46F3E"/>
    <w:rsid w:val="00C52796"/>
    <w:rsid w:val="00C53154"/>
    <w:rsid w:val="00C53E2C"/>
    <w:rsid w:val="00C550C8"/>
    <w:rsid w:val="00C55824"/>
    <w:rsid w:val="00C56B61"/>
    <w:rsid w:val="00C606C3"/>
    <w:rsid w:val="00C6184F"/>
    <w:rsid w:val="00C620F4"/>
    <w:rsid w:val="00C64EC5"/>
    <w:rsid w:val="00C65319"/>
    <w:rsid w:val="00C66D35"/>
    <w:rsid w:val="00C72848"/>
    <w:rsid w:val="00C751AD"/>
    <w:rsid w:val="00C7736C"/>
    <w:rsid w:val="00C82D87"/>
    <w:rsid w:val="00C838DE"/>
    <w:rsid w:val="00C83A0E"/>
    <w:rsid w:val="00C8559C"/>
    <w:rsid w:val="00C857CA"/>
    <w:rsid w:val="00C86BE1"/>
    <w:rsid w:val="00C86F1B"/>
    <w:rsid w:val="00C8712A"/>
    <w:rsid w:val="00C902C8"/>
    <w:rsid w:val="00C919D1"/>
    <w:rsid w:val="00C959C5"/>
    <w:rsid w:val="00C963D3"/>
    <w:rsid w:val="00CA1FEA"/>
    <w:rsid w:val="00CA379A"/>
    <w:rsid w:val="00CA4476"/>
    <w:rsid w:val="00CA5CD9"/>
    <w:rsid w:val="00CB04C5"/>
    <w:rsid w:val="00CB1983"/>
    <w:rsid w:val="00CB1DFF"/>
    <w:rsid w:val="00CB2CBB"/>
    <w:rsid w:val="00CB7CAC"/>
    <w:rsid w:val="00CC030F"/>
    <w:rsid w:val="00CC28C5"/>
    <w:rsid w:val="00CC2CB6"/>
    <w:rsid w:val="00CC34BB"/>
    <w:rsid w:val="00CC3CDD"/>
    <w:rsid w:val="00CC5335"/>
    <w:rsid w:val="00CC572F"/>
    <w:rsid w:val="00CC5BA4"/>
    <w:rsid w:val="00CD4998"/>
    <w:rsid w:val="00CD5117"/>
    <w:rsid w:val="00CE1035"/>
    <w:rsid w:val="00CE4D69"/>
    <w:rsid w:val="00CE51E2"/>
    <w:rsid w:val="00CE5EDA"/>
    <w:rsid w:val="00CE6593"/>
    <w:rsid w:val="00CE6E50"/>
    <w:rsid w:val="00CF0646"/>
    <w:rsid w:val="00CF2819"/>
    <w:rsid w:val="00CF4E88"/>
    <w:rsid w:val="00CF4F9D"/>
    <w:rsid w:val="00CF5CEE"/>
    <w:rsid w:val="00CF5D8E"/>
    <w:rsid w:val="00CF70DC"/>
    <w:rsid w:val="00D05110"/>
    <w:rsid w:val="00D05CA4"/>
    <w:rsid w:val="00D07F71"/>
    <w:rsid w:val="00D148DC"/>
    <w:rsid w:val="00D17384"/>
    <w:rsid w:val="00D17FDC"/>
    <w:rsid w:val="00D21D8C"/>
    <w:rsid w:val="00D33974"/>
    <w:rsid w:val="00D40287"/>
    <w:rsid w:val="00D4049B"/>
    <w:rsid w:val="00D42F29"/>
    <w:rsid w:val="00D452F4"/>
    <w:rsid w:val="00D4592B"/>
    <w:rsid w:val="00D503DF"/>
    <w:rsid w:val="00D50B7E"/>
    <w:rsid w:val="00D50D3B"/>
    <w:rsid w:val="00D51214"/>
    <w:rsid w:val="00D53719"/>
    <w:rsid w:val="00D539BA"/>
    <w:rsid w:val="00D54343"/>
    <w:rsid w:val="00D56534"/>
    <w:rsid w:val="00D5670F"/>
    <w:rsid w:val="00D57C70"/>
    <w:rsid w:val="00D63EFD"/>
    <w:rsid w:val="00D67D46"/>
    <w:rsid w:val="00D71A34"/>
    <w:rsid w:val="00D72713"/>
    <w:rsid w:val="00D72992"/>
    <w:rsid w:val="00D76D77"/>
    <w:rsid w:val="00D824F9"/>
    <w:rsid w:val="00D84752"/>
    <w:rsid w:val="00D85310"/>
    <w:rsid w:val="00D85892"/>
    <w:rsid w:val="00D86B3B"/>
    <w:rsid w:val="00D8748A"/>
    <w:rsid w:val="00D92CBE"/>
    <w:rsid w:val="00D93196"/>
    <w:rsid w:val="00D9383B"/>
    <w:rsid w:val="00D97773"/>
    <w:rsid w:val="00D97F98"/>
    <w:rsid w:val="00DA0708"/>
    <w:rsid w:val="00DA0DC0"/>
    <w:rsid w:val="00DA3F48"/>
    <w:rsid w:val="00DA4C6D"/>
    <w:rsid w:val="00DB243C"/>
    <w:rsid w:val="00DB2C64"/>
    <w:rsid w:val="00DB482A"/>
    <w:rsid w:val="00DB50FB"/>
    <w:rsid w:val="00DB56F2"/>
    <w:rsid w:val="00DB6A15"/>
    <w:rsid w:val="00DB6EF5"/>
    <w:rsid w:val="00DC3089"/>
    <w:rsid w:val="00DC4420"/>
    <w:rsid w:val="00DD0802"/>
    <w:rsid w:val="00DD29D6"/>
    <w:rsid w:val="00DD2E11"/>
    <w:rsid w:val="00DD540E"/>
    <w:rsid w:val="00DD6FB1"/>
    <w:rsid w:val="00DE03AF"/>
    <w:rsid w:val="00DE0A95"/>
    <w:rsid w:val="00DE121C"/>
    <w:rsid w:val="00DE1EE6"/>
    <w:rsid w:val="00DE6633"/>
    <w:rsid w:val="00DF396D"/>
    <w:rsid w:val="00DF63E1"/>
    <w:rsid w:val="00DF75F8"/>
    <w:rsid w:val="00DF7A3A"/>
    <w:rsid w:val="00E00444"/>
    <w:rsid w:val="00E00C00"/>
    <w:rsid w:val="00E02503"/>
    <w:rsid w:val="00E05217"/>
    <w:rsid w:val="00E0751E"/>
    <w:rsid w:val="00E07AD1"/>
    <w:rsid w:val="00E07C5A"/>
    <w:rsid w:val="00E127B5"/>
    <w:rsid w:val="00E15BA9"/>
    <w:rsid w:val="00E21401"/>
    <w:rsid w:val="00E22774"/>
    <w:rsid w:val="00E26192"/>
    <w:rsid w:val="00E26E19"/>
    <w:rsid w:val="00E31DF3"/>
    <w:rsid w:val="00E3480F"/>
    <w:rsid w:val="00E349CE"/>
    <w:rsid w:val="00E407CE"/>
    <w:rsid w:val="00E42C3D"/>
    <w:rsid w:val="00E43A56"/>
    <w:rsid w:val="00E4487E"/>
    <w:rsid w:val="00E44B9C"/>
    <w:rsid w:val="00E450A4"/>
    <w:rsid w:val="00E4595D"/>
    <w:rsid w:val="00E506BE"/>
    <w:rsid w:val="00E52B46"/>
    <w:rsid w:val="00E53223"/>
    <w:rsid w:val="00E55547"/>
    <w:rsid w:val="00E6302B"/>
    <w:rsid w:val="00E6452F"/>
    <w:rsid w:val="00E64F45"/>
    <w:rsid w:val="00E6742D"/>
    <w:rsid w:val="00E676A0"/>
    <w:rsid w:val="00E71CB0"/>
    <w:rsid w:val="00E7733D"/>
    <w:rsid w:val="00E77C3D"/>
    <w:rsid w:val="00E83419"/>
    <w:rsid w:val="00E85BEA"/>
    <w:rsid w:val="00E86A87"/>
    <w:rsid w:val="00E87D2C"/>
    <w:rsid w:val="00E90991"/>
    <w:rsid w:val="00E909F0"/>
    <w:rsid w:val="00E90D47"/>
    <w:rsid w:val="00E917E4"/>
    <w:rsid w:val="00E93993"/>
    <w:rsid w:val="00E9597C"/>
    <w:rsid w:val="00EA02E2"/>
    <w:rsid w:val="00EA0913"/>
    <w:rsid w:val="00EA0CAC"/>
    <w:rsid w:val="00EA1017"/>
    <w:rsid w:val="00EA53FC"/>
    <w:rsid w:val="00EA5988"/>
    <w:rsid w:val="00EA5B00"/>
    <w:rsid w:val="00EA6511"/>
    <w:rsid w:val="00EA6BB4"/>
    <w:rsid w:val="00EB1388"/>
    <w:rsid w:val="00EB146B"/>
    <w:rsid w:val="00EB3484"/>
    <w:rsid w:val="00EB45AC"/>
    <w:rsid w:val="00EB7ED9"/>
    <w:rsid w:val="00EC441F"/>
    <w:rsid w:val="00EC4755"/>
    <w:rsid w:val="00EC62B8"/>
    <w:rsid w:val="00ED00E8"/>
    <w:rsid w:val="00ED0482"/>
    <w:rsid w:val="00ED0BC4"/>
    <w:rsid w:val="00ED447D"/>
    <w:rsid w:val="00ED6613"/>
    <w:rsid w:val="00EE0785"/>
    <w:rsid w:val="00EE1487"/>
    <w:rsid w:val="00EE1BE4"/>
    <w:rsid w:val="00EE4971"/>
    <w:rsid w:val="00EE6CB0"/>
    <w:rsid w:val="00EE746F"/>
    <w:rsid w:val="00EF090E"/>
    <w:rsid w:val="00EF3E13"/>
    <w:rsid w:val="00EF5572"/>
    <w:rsid w:val="00F02970"/>
    <w:rsid w:val="00F033DA"/>
    <w:rsid w:val="00F06C6E"/>
    <w:rsid w:val="00F07A2E"/>
    <w:rsid w:val="00F13026"/>
    <w:rsid w:val="00F13691"/>
    <w:rsid w:val="00F13FB1"/>
    <w:rsid w:val="00F1477D"/>
    <w:rsid w:val="00F17740"/>
    <w:rsid w:val="00F233C0"/>
    <w:rsid w:val="00F23D54"/>
    <w:rsid w:val="00F24462"/>
    <w:rsid w:val="00F27BA8"/>
    <w:rsid w:val="00F27CD8"/>
    <w:rsid w:val="00F30351"/>
    <w:rsid w:val="00F3323E"/>
    <w:rsid w:val="00F33820"/>
    <w:rsid w:val="00F33A2D"/>
    <w:rsid w:val="00F341F4"/>
    <w:rsid w:val="00F345EA"/>
    <w:rsid w:val="00F34F9D"/>
    <w:rsid w:val="00F35568"/>
    <w:rsid w:val="00F35CCE"/>
    <w:rsid w:val="00F36B26"/>
    <w:rsid w:val="00F4124D"/>
    <w:rsid w:val="00F42904"/>
    <w:rsid w:val="00F50C07"/>
    <w:rsid w:val="00F538FE"/>
    <w:rsid w:val="00F54BA3"/>
    <w:rsid w:val="00F5524B"/>
    <w:rsid w:val="00F60538"/>
    <w:rsid w:val="00F61DD2"/>
    <w:rsid w:val="00F6305E"/>
    <w:rsid w:val="00F66AFF"/>
    <w:rsid w:val="00F7126E"/>
    <w:rsid w:val="00F71433"/>
    <w:rsid w:val="00F745D9"/>
    <w:rsid w:val="00F74BAE"/>
    <w:rsid w:val="00F8058A"/>
    <w:rsid w:val="00F83889"/>
    <w:rsid w:val="00F84DB9"/>
    <w:rsid w:val="00F86F46"/>
    <w:rsid w:val="00F93060"/>
    <w:rsid w:val="00F93F96"/>
    <w:rsid w:val="00F97C5B"/>
    <w:rsid w:val="00FA0947"/>
    <w:rsid w:val="00FA3037"/>
    <w:rsid w:val="00FA3D50"/>
    <w:rsid w:val="00FB4B95"/>
    <w:rsid w:val="00FB54AD"/>
    <w:rsid w:val="00FB6757"/>
    <w:rsid w:val="00FB7FBD"/>
    <w:rsid w:val="00FC1703"/>
    <w:rsid w:val="00FC374A"/>
    <w:rsid w:val="00FC3CB5"/>
    <w:rsid w:val="00FC6944"/>
    <w:rsid w:val="00FC74C8"/>
    <w:rsid w:val="00FC7B47"/>
    <w:rsid w:val="00FD035C"/>
    <w:rsid w:val="00FD1A35"/>
    <w:rsid w:val="00FD2EA4"/>
    <w:rsid w:val="00FD36C5"/>
    <w:rsid w:val="00FD47A2"/>
    <w:rsid w:val="00FD6310"/>
    <w:rsid w:val="00FD64C1"/>
    <w:rsid w:val="00FD7C7B"/>
    <w:rsid w:val="00FE0A86"/>
    <w:rsid w:val="00FE0C26"/>
    <w:rsid w:val="00FE1D12"/>
    <w:rsid w:val="00FE2122"/>
    <w:rsid w:val="00FE2A86"/>
    <w:rsid w:val="00FE2DE2"/>
    <w:rsid w:val="00FE4EC0"/>
    <w:rsid w:val="00FF0665"/>
    <w:rsid w:val="00FF0747"/>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71394F"/>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HTMLPreformatted">
    <w:name w:val="HTML Preformatted"/>
    <w:basedOn w:val="Normal"/>
    <w:link w:val="HTMLPreformattedChar"/>
    <w:uiPriority w:val="99"/>
    <w:unhideWhenUsed/>
    <w:rsid w:val="00C3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de-DE" w:eastAsia="de-DE"/>
    </w:rPr>
  </w:style>
  <w:style w:type="character" w:customStyle="1" w:styleId="HTMLPreformattedChar">
    <w:name w:val="HTML Preformatted Char"/>
    <w:basedOn w:val="DefaultParagraphFont"/>
    <w:link w:val="HTMLPreformatted"/>
    <w:uiPriority w:val="99"/>
    <w:rsid w:val="00C34152"/>
    <w:rPr>
      <w:rFonts w:ascii="Courier New" w:eastAsia="Times New Roman" w:hAnsi="Courier New" w:cs="Courier New"/>
      <w:sz w:val="20"/>
      <w:szCs w:val="20"/>
      <w:lang w:val="de-DE" w:eastAsia="de-DE"/>
    </w:rPr>
  </w:style>
  <w:style w:type="paragraph" w:customStyle="1" w:styleId="MacPacTrailer">
    <w:name w:val="MacPac Trailer"/>
    <w:rsid w:val="00BC2C6F"/>
    <w:pPr>
      <w:widowControl w:val="0"/>
      <w:spacing w:line="200" w:lineRule="exact"/>
    </w:pPr>
    <w:rPr>
      <w:rFonts w:ascii="Arial" w:eastAsia="Times New Roman" w:hAnsi="Arial" w:cs="Times New Roman"/>
      <w:sz w:val="16"/>
      <w:szCs w:val="22"/>
    </w:rPr>
  </w:style>
  <w:style w:type="character" w:styleId="PlaceholderText">
    <w:name w:val="Placeholder Text"/>
    <w:basedOn w:val="DefaultParagraphFont"/>
    <w:uiPriority w:val="99"/>
    <w:semiHidden/>
    <w:rsid w:val="00CB1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88209254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64BCEA86D0BA4BAE432B2F7735AA28" ma:contentTypeVersion="11" ma:contentTypeDescription="Create a new document." ma:contentTypeScope="" ma:versionID="6b7cb59b2fa2b25de0dee3995504269b">
  <xsd:schema xmlns:xsd="http://www.w3.org/2001/XMLSchema" xmlns:xs="http://www.w3.org/2001/XMLSchema" xmlns:p="http://schemas.microsoft.com/office/2006/metadata/properties" xmlns:ns2="9d9d78ad-c2df-4309-9856-12ced59ebe5a" xmlns:ns3="612f66ad-72bb-4b79-b69e-c3800ca531fd" targetNamespace="http://schemas.microsoft.com/office/2006/metadata/properties" ma:root="true" ma:fieldsID="a30c11aa89a959eccdbeee010faec530" ns2:_="" ns3:_="">
    <xsd:import namespace="9d9d78ad-c2df-4309-9856-12ced59ebe5a"/>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d78ad-c2df-4309-9856-12ced59eb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442F9B-161C-4C24-A216-A653ED918A5E}">
  <ds:schemaRefs>
    <ds:schemaRef ds:uri="http://schemas.openxmlformats.org/officeDocument/2006/bibliography"/>
  </ds:schemaRefs>
</ds:datastoreItem>
</file>

<file path=customXml/itemProps2.xml><?xml version="1.0" encoding="utf-8"?>
<ds:datastoreItem xmlns:ds="http://schemas.openxmlformats.org/officeDocument/2006/customXml" ds:itemID="{86DEE006-A427-4B00-B2CB-EC186FF07DDA}">
  <ds:schemaRefs>
    <ds:schemaRef ds:uri="http://schemas.microsoft.com/sharepoint/v3/contenttype/forms"/>
  </ds:schemaRefs>
</ds:datastoreItem>
</file>

<file path=customXml/itemProps3.xml><?xml version="1.0" encoding="utf-8"?>
<ds:datastoreItem xmlns:ds="http://schemas.openxmlformats.org/officeDocument/2006/customXml" ds:itemID="{48298C10-A0BF-45E2-94B7-E01836A36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d78ad-c2df-4309-9856-12ced59ebe5a"/>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9CA8DA-28F4-461F-A2BB-C46A8C2DF2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8</Pages>
  <Words>2634</Words>
  <Characters>15018</Characters>
  <Application>Microsoft Office Word</Application>
  <DocSecurity>0</DocSecurity>
  <Lines>125</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Wolverhampton</Company>
  <LinksUpToDate>false</LinksUpToDate>
  <CharactersWithSpaces>17617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Sara Segura</cp:lastModifiedBy>
  <cp:revision>174</cp:revision>
  <cp:lastPrinted>2019-08-27T05:42:00Z</cp:lastPrinted>
  <dcterms:created xsi:type="dcterms:W3CDTF">2021-05-13T11:03:00Z</dcterms:created>
  <dcterms:modified xsi:type="dcterms:W3CDTF">2022-04-20T16:08:00Z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0x0101009F64BCEA86D0BA4BAE432B2F7735AA28</vt:lpwstr>
  </property>
</Properties>
</file>