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686203"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686203">
        <w:rPr>
          <w:rFonts w:ascii="Arial" w:hAnsi="Arial" w:cs="Arial"/>
          <w:sz w:val="22"/>
          <w:szCs w:val="22"/>
          <w:highlight w:val="yellow"/>
          <w:lang w:val="en-GB"/>
        </w:rPr>
        <w:t>All of</w:t>
      </w:r>
      <w:proofErr w:type="gramEnd"/>
      <w:r w:rsidRPr="00686203">
        <w:rPr>
          <w:rFonts w:ascii="Arial" w:hAnsi="Arial" w:cs="Arial"/>
          <w:sz w:val="22"/>
          <w:szCs w:val="22"/>
          <w:highlight w:val="yellow"/>
          <w:lang w:val="en-GB"/>
        </w:rPr>
        <w:t xml:space="preserve"> the above. </w:t>
      </w:r>
      <w:bookmarkEnd w:id="1"/>
      <w:r w:rsidRPr="00686203">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686203">
        <w:rPr>
          <w:rFonts w:ascii="Arial" w:hAnsi="Arial" w:cs="Arial"/>
          <w:sz w:val="22"/>
          <w:szCs w:val="22"/>
          <w:highlight w:val="yellow"/>
          <w:lang w:val="en-GB"/>
        </w:rPr>
        <w:t>The existence of a statutory basis in national (insolvency) laws for co</w:t>
      </w:r>
      <w:r w:rsidR="00B61419" w:rsidRPr="00686203">
        <w:rPr>
          <w:rFonts w:ascii="Arial" w:hAnsi="Arial" w:cs="Arial"/>
          <w:sz w:val="22"/>
          <w:szCs w:val="22"/>
          <w:highlight w:val="yellow"/>
          <w:lang w:val="en-GB"/>
        </w:rPr>
        <w:t>-</w:t>
      </w:r>
      <w:r w:rsidRPr="00686203">
        <w:rPr>
          <w:rFonts w:ascii="Arial" w:hAnsi="Arial" w:cs="Arial"/>
          <w:sz w:val="22"/>
          <w:szCs w:val="22"/>
          <w:highlight w:val="yellow"/>
          <w:lang w:val="en-GB"/>
        </w:rPr>
        <w:t>operation and co</w:t>
      </w:r>
      <w:r w:rsidR="00B61419" w:rsidRPr="00686203">
        <w:rPr>
          <w:rFonts w:ascii="Arial" w:hAnsi="Arial" w:cs="Arial"/>
          <w:sz w:val="22"/>
          <w:szCs w:val="22"/>
          <w:highlight w:val="yellow"/>
          <w:lang w:val="en-GB"/>
        </w:rPr>
        <w:t>-</w:t>
      </w:r>
      <w:r w:rsidRPr="00686203">
        <w:rPr>
          <w:rFonts w:ascii="Arial" w:hAnsi="Arial" w:cs="Arial"/>
          <w:sz w:val="22"/>
          <w:szCs w:val="22"/>
          <w:highlight w:val="yellow"/>
          <w:lang w:val="en-GB"/>
        </w:rPr>
        <w:t>ordination of domestic courts with foreign courts or foreign representatives</w:t>
      </w:r>
      <w:r w:rsidRPr="009B5832">
        <w:rPr>
          <w:rFonts w:ascii="Arial" w:hAnsi="Arial" w:cs="Arial"/>
          <w:sz w:val="22"/>
          <w:szCs w:val="22"/>
          <w:lang w:val="en-GB"/>
        </w:rPr>
        <w:t>.</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686203">
        <w:rPr>
          <w:rFonts w:ascii="Arial" w:hAnsi="Arial" w:cs="Arial"/>
          <w:sz w:val="22"/>
          <w:szCs w:val="22"/>
          <w:highlight w:val="yellow"/>
          <w:lang w:val="en-GB"/>
        </w:rPr>
        <w:t>The debtor has neither its COMI nor an establishment in the jurisdiction where the foreign proceedings were opened</w:t>
      </w:r>
      <w:r w:rsidRPr="009B5832">
        <w:rPr>
          <w:rFonts w:ascii="Arial" w:hAnsi="Arial" w:cs="Arial"/>
          <w:sz w:val="22"/>
          <w:szCs w:val="22"/>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686203">
        <w:rPr>
          <w:rFonts w:ascii="Arial" w:hAnsi="Arial" w:cs="Arial"/>
          <w:sz w:val="22"/>
          <w:szCs w:val="22"/>
          <w:highlight w:val="yellow"/>
          <w:lang w:val="en-GB"/>
        </w:rPr>
        <w:t>The public policy exception</w:t>
      </w:r>
      <w:r w:rsidRPr="009B5832">
        <w:rPr>
          <w:rFonts w:ascii="Arial" w:hAnsi="Arial" w:cs="Arial"/>
          <w:sz w:val="22"/>
          <w:szCs w:val="22"/>
          <w:lang w:val="en-GB"/>
        </w:rPr>
        <w:t>.</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686203" w:rsidRDefault="00C504E5" w:rsidP="00C504E5">
      <w:pPr>
        <w:pStyle w:val="ListParagraph"/>
        <w:numPr>
          <w:ilvl w:val="0"/>
          <w:numId w:val="20"/>
        </w:numPr>
        <w:ind w:left="426"/>
        <w:jc w:val="both"/>
        <w:rPr>
          <w:rFonts w:ascii="Arial" w:hAnsi="Arial" w:cs="Arial"/>
          <w:sz w:val="22"/>
          <w:szCs w:val="22"/>
          <w:highlight w:val="yellow"/>
          <w:lang w:val="en-GB"/>
        </w:rPr>
      </w:pPr>
      <w:r w:rsidRPr="00686203">
        <w:rPr>
          <w:rFonts w:ascii="Arial" w:hAnsi="Arial" w:cs="Arial"/>
          <w:sz w:val="22"/>
          <w:szCs w:val="22"/>
          <w:highlight w:val="yellow"/>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70D9EC1E"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F06D026"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1705E90E" w:rsidR="00C72848" w:rsidRPr="009B5832" w:rsidRDefault="00C72848"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77777777" w:rsidR="0041139B" w:rsidRPr="009B5832" w:rsidRDefault="0041139B" w:rsidP="0041139B">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544D5306" w:rsidR="00544127" w:rsidRPr="009B5832" w:rsidRDefault="00DF75F8" w:rsidP="00707FC8">
      <w:pPr>
        <w:jc w:val="both"/>
        <w:rPr>
          <w:rFonts w:ascii="Arial" w:hAnsi="Arial" w:cs="Arial"/>
          <w:sz w:val="24"/>
          <w:lang w:val="en-GB"/>
        </w:rPr>
      </w:pPr>
      <w:r w:rsidRPr="009B5832">
        <w:rPr>
          <w:rFonts w:ascii="Arial" w:hAnsi="Arial" w:cs="Arial"/>
          <w:color w:val="7B7B7B" w:themeColor="accent3" w:themeShade="BF"/>
          <w:sz w:val="22"/>
          <w:szCs w:val="22"/>
          <w:lang w:val="en-GB"/>
        </w:rPr>
        <w:t>[Type your answer here]</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3576F987"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04F7C8C"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7777777"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lastRenderedPageBreak/>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w:t>
      </w:r>
      <w:r w:rsidRPr="009B5832">
        <w:rPr>
          <w:rFonts w:ascii="Arial" w:hAnsi="Arial" w:cs="Arial"/>
          <w:color w:val="000000"/>
          <w:sz w:val="22"/>
          <w:szCs w:val="22"/>
          <w:lang w:val="en-GB" w:eastAsia="en-GB"/>
        </w:rPr>
        <w:lastRenderedPageBreak/>
        <w:t>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lastRenderedPageBreak/>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lastRenderedPageBreak/>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77777777" w:rsidR="00387106" w:rsidRPr="009B5832" w:rsidRDefault="00387106"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15D1" w14:textId="77777777" w:rsidR="00EA21B7" w:rsidRDefault="00EA21B7" w:rsidP="00241B44">
      <w:r>
        <w:separator/>
      </w:r>
    </w:p>
  </w:endnote>
  <w:endnote w:type="continuationSeparator" w:id="0">
    <w:p w14:paraId="68F466CB" w14:textId="77777777" w:rsidR="00EA21B7" w:rsidRDefault="00EA21B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1ECF13C"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w:t>
    </w:r>
    <w:r w:rsidR="000F579C">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1B89" w14:textId="77777777" w:rsidR="00EA21B7" w:rsidRDefault="00EA21B7" w:rsidP="00241B44">
      <w:r>
        <w:separator/>
      </w:r>
    </w:p>
  </w:footnote>
  <w:footnote w:type="continuationSeparator" w:id="0">
    <w:p w14:paraId="34DD8535" w14:textId="77777777" w:rsidR="00EA21B7" w:rsidRDefault="00EA21B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6203"/>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A21B7"/>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Chioma Adiele</cp:lastModifiedBy>
  <cp:revision>2</cp:revision>
  <cp:lastPrinted>2019-08-27T05:42:00Z</cp:lastPrinted>
  <dcterms:created xsi:type="dcterms:W3CDTF">2022-03-01T22:55:00Z</dcterms:created>
  <dcterms:modified xsi:type="dcterms:W3CDTF">2022-03-01T22:55:00Z</dcterms:modified>
</cp:coreProperties>
</file>