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FF5098" w:rsidRDefault="00AE5B6F" w:rsidP="00B04033">
      <w:pPr>
        <w:pStyle w:val="ListParagraph"/>
        <w:numPr>
          <w:ilvl w:val="0"/>
          <w:numId w:val="1"/>
        </w:numPr>
        <w:ind w:left="426"/>
        <w:jc w:val="both"/>
        <w:rPr>
          <w:rFonts w:ascii="Arial" w:hAnsi="Arial" w:cs="Arial"/>
          <w:sz w:val="22"/>
          <w:szCs w:val="22"/>
          <w:lang w:val="en-GB"/>
        </w:rPr>
      </w:pPr>
      <w:r w:rsidRPr="005F086A">
        <w:rPr>
          <w:rFonts w:ascii="Arial" w:hAnsi="Arial" w:cs="Arial"/>
          <w:sz w:val="22"/>
          <w:szCs w:val="22"/>
          <w:highlight w:val="yellow"/>
          <w:lang w:val="en-GB"/>
        </w:rPr>
        <w:t>w</w:t>
      </w:r>
      <w:r w:rsidR="00C91062" w:rsidRPr="005F086A">
        <w:rPr>
          <w:rFonts w:ascii="Arial" w:hAnsi="Arial" w:cs="Arial"/>
          <w:sz w:val="22"/>
          <w:szCs w:val="22"/>
          <w:highlight w:val="yellow"/>
          <w:lang w:val="en-GB"/>
        </w:rPr>
        <w:t>ithin 8 weeks of the commencement of the administration</w:t>
      </w:r>
      <w:r w:rsidR="00763348" w:rsidRPr="005F086A">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C026F3" w:rsidRDefault="00E443D7" w:rsidP="00B04033">
      <w:pPr>
        <w:pStyle w:val="ListParagraph"/>
        <w:numPr>
          <w:ilvl w:val="0"/>
          <w:numId w:val="2"/>
        </w:numPr>
        <w:ind w:left="426"/>
        <w:jc w:val="both"/>
        <w:rPr>
          <w:rFonts w:ascii="Arial" w:hAnsi="Arial" w:cs="Arial"/>
          <w:sz w:val="22"/>
          <w:szCs w:val="22"/>
          <w:highlight w:val="yellow"/>
          <w:lang w:val="en-GB"/>
        </w:rPr>
      </w:pPr>
      <w:r w:rsidRPr="00C026F3">
        <w:rPr>
          <w:rFonts w:ascii="Arial" w:hAnsi="Arial" w:cs="Arial"/>
          <w:sz w:val="22"/>
          <w:szCs w:val="22"/>
          <w:highlight w:val="yellow"/>
          <w:lang w:val="en-GB"/>
        </w:rPr>
        <w:t>One year</w:t>
      </w:r>
      <w:r w:rsidR="00763348" w:rsidRPr="00C026F3">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156117" w:rsidRDefault="00AE5B6F" w:rsidP="00B04033">
      <w:pPr>
        <w:pStyle w:val="ListParagraph"/>
        <w:numPr>
          <w:ilvl w:val="0"/>
          <w:numId w:val="3"/>
        </w:numPr>
        <w:ind w:left="426"/>
        <w:jc w:val="both"/>
        <w:rPr>
          <w:rFonts w:ascii="Arial" w:hAnsi="Arial" w:cs="Arial"/>
          <w:sz w:val="22"/>
          <w:szCs w:val="22"/>
          <w:highlight w:val="yellow"/>
          <w:lang w:val="en-GB"/>
        </w:rPr>
      </w:pPr>
      <w:r w:rsidRPr="00156117">
        <w:rPr>
          <w:rFonts w:ascii="Arial" w:hAnsi="Arial" w:cs="Arial"/>
          <w:sz w:val="22"/>
          <w:szCs w:val="22"/>
          <w:highlight w:val="yellow"/>
          <w:lang w:val="en-GB"/>
        </w:rPr>
        <w:t>T</w:t>
      </w:r>
      <w:r w:rsidR="008D1616" w:rsidRPr="00156117">
        <w:rPr>
          <w:rFonts w:ascii="Arial" w:hAnsi="Arial" w:cs="Arial"/>
          <w:sz w:val="22"/>
          <w:szCs w:val="22"/>
          <w:highlight w:val="yellow"/>
          <w:lang w:val="en-GB"/>
        </w:rPr>
        <w:t>he company is, or is likely to become, unable to pay their debts, as defined under s</w:t>
      </w:r>
      <w:r w:rsidR="00E833F4" w:rsidRPr="00156117">
        <w:rPr>
          <w:rFonts w:ascii="Arial" w:hAnsi="Arial" w:cs="Arial"/>
          <w:sz w:val="22"/>
          <w:szCs w:val="22"/>
          <w:highlight w:val="yellow"/>
          <w:lang w:val="en-GB"/>
        </w:rPr>
        <w:t>ection</w:t>
      </w:r>
      <w:r w:rsidR="008D1616" w:rsidRPr="00156117">
        <w:rPr>
          <w:rFonts w:ascii="Arial" w:hAnsi="Arial" w:cs="Arial"/>
          <w:sz w:val="22"/>
          <w:szCs w:val="22"/>
          <w:highlight w:val="yellow"/>
          <w:lang w:val="en-GB"/>
        </w:rPr>
        <w:t xml:space="preserve"> 123 of the Insolvency Act 1986</w:t>
      </w:r>
      <w:r w:rsidR="00763348" w:rsidRPr="00156117">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156117" w:rsidRDefault="00C91062" w:rsidP="00B04033">
      <w:pPr>
        <w:pStyle w:val="ListParagraph"/>
        <w:numPr>
          <w:ilvl w:val="0"/>
          <w:numId w:val="4"/>
        </w:numPr>
        <w:ind w:left="426"/>
        <w:jc w:val="both"/>
        <w:rPr>
          <w:rFonts w:ascii="Arial" w:hAnsi="Arial" w:cs="Arial"/>
          <w:sz w:val="22"/>
          <w:szCs w:val="22"/>
          <w:highlight w:val="yellow"/>
          <w:lang w:val="en-GB"/>
        </w:rPr>
      </w:pPr>
      <w:r w:rsidRPr="00156117">
        <w:rPr>
          <w:rFonts w:ascii="Arial" w:hAnsi="Arial" w:cs="Arial"/>
          <w:sz w:val="22"/>
          <w:szCs w:val="22"/>
          <w:highlight w:val="yellow"/>
          <w:lang w:val="en-GB"/>
        </w:rPr>
        <w:t>The purchaser</w:t>
      </w:r>
      <w:r w:rsidR="00763348" w:rsidRPr="00156117">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E15025" w:rsidRDefault="00BA1CFD" w:rsidP="00B04033">
      <w:pPr>
        <w:pStyle w:val="ListParagraph"/>
        <w:numPr>
          <w:ilvl w:val="0"/>
          <w:numId w:val="5"/>
        </w:numPr>
        <w:ind w:left="426"/>
        <w:jc w:val="both"/>
        <w:rPr>
          <w:rFonts w:ascii="Arial" w:hAnsi="Arial" w:cs="Arial"/>
          <w:sz w:val="22"/>
          <w:szCs w:val="22"/>
          <w:highlight w:val="yellow"/>
          <w:lang w:val="en-GB"/>
        </w:rPr>
      </w:pPr>
      <w:r w:rsidRPr="00E15025">
        <w:rPr>
          <w:rFonts w:ascii="Arial" w:hAnsi="Arial" w:cs="Arial"/>
          <w:sz w:val="22"/>
          <w:szCs w:val="22"/>
          <w:highlight w:val="yellow"/>
          <w:lang w:val="en-GB"/>
        </w:rPr>
        <w:t>Administration</w:t>
      </w:r>
      <w:r w:rsidR="00763348" w:rsidRPr="00E15025">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3A1E6A" w:rsidRDefault="00BA1CFD" w:rsidP="00B04033">
      <w:pPr>
        <w:pStyle w:val="ListParagraph"/>
        <w:numPr>
          <w:ilvl w:val="0"/>
          <w:numId w:val="6"/>
        </w:numPr>
        <w:ind w:left="426"/>
        <w:jc w:val="both"/>
        <w:rPr>
          <w:rFonts w:ascii="Arial" w:hAnsi="Arial" w:cs="Arial"/>
          <w:sz w:val="22"/>
          <w:szCs w:val="22"/>
          <w:highlight w:val="yellow"/>
          <w:lang w:val="en-GB"/>
        </w:rPr>
      </w:pPr>
      <w:r w:rsidRPr="003A1E6A">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ListParagraph"/>
        <w:numPr>
          <w:ilvl w:val="0"/>
          <w:numId w:val="7"/>
        </w:numPr>
        <w:ind w:left="426"/>
        <w:jc w:val="both"/>
        <w:rPr>
          <w:rFonts w:ascii="Arial" w:hAnsi="Arial" w:cs="Arial"/>
          <w:sz w:val="22"/>
          <w:szCs w:val="22"/>
          <w:lang w:val="en-GB"/>
        </w:rPr>
      </w:pPr>
      <w:r w:rsidRPr="00FF5098">
        <w:rPr>
          <w:rFonts w:ascii="Arial" w:hAnsi="Arial" w:cs="Arial"/>
          <w:sz w:val="22"/>
          <w:szCs w:val="22"/>
          <w:lang w:val="en-GB"/>
        </w:rPr>
        <w:t>Breach of fiduciary duty</w:t>
      </w:r>
      <w:r w:rsidR="00763348" w:rsidRPr="00FF5098">
        <w:rPr>
          <w:rFonts w:ascii="Arial" w:hAnsi="Arial" w:cs="Arial"/>
          <w:sz w:val="22"/>
          <w:szCs w:val="22"/>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3A1E6A" w:rsidRDefault="00876F56" w:rsidP="00B04033">
      <w:pPr>
        <w:pStyle w:val="ListParagraph"/>
        <w:numPr>
          <w:ilvl w:val="0"/>
          <w:numId w:val="8"/>
        </w:numPr>
        <w:ind w:left="426"/>
        <w:jc w:val="both"/>
        <w:rPr>
          <w:rFonts w:ascii="Arial" w:hAnsi="Arial" w:cs="Arial"/>
          <w:sz w:val="22"/>
          <w:szCs w:val="22"/>
          <w:lang w:val="en-GB"/>
        </w:rPr>
      </w:pPr>
      <w:r w:rsidRPr="003A1E6A">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3A1E6A" w:rsidRDefault="00876F56" w:rsidP="00B04033">
      <w:pPr>
        <w:pStyle w:val="ListParagraph"/>
        <w:numPr>
          <w:ilvl w:val="0"/>
          <w:numId w:val="8"/>
        </w:numPr>
        <w:ind w:left="426"/>
        <w:jc w:val="both"/>
        <w:rPr>
          <w:rFonts w:ascii="Arial" w:hAnsi="Arial" w:cs="Arial"/>
          <w:sz w:val="22"/>
          <w:szCs w:val="22"/>
          <w:highlight w:val="yellow"/>
          <w:lang w:val="en-GB"/>
        </w:rPr>
      </w:pPr>
      <w:r w:rsidRPr="003A1E6A">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687028" w:rsidRDefault="00E833F4" w:rsidP="00B04033">
      <w:pPr>
        <w:pStyle w:val="ListParagraph"/>
        <w:numPr>
          <w:ilvl w:val="0"/>
          <w:numId w:val="9"/>
        </w:numPr>
        <w:ind w:left="426"/>
        <w:jc w:val="both"/>
        <w:rPr>
          <w:rFonts w:ascii="Arial" w:hAnsi="Arial" w:cs="Arial"/>
          <w:sz w:val="22"/>
          <w:szCs w:val="22"/>
          <w:highlight w:val="yellow"/>
          <w:lang w:val="en-GB"/>
        </w:rPr>
      </w:pPr>
      <w:r w:rsidRPr="00687028">
        <w:rPr>
          <w:rFonts w:ascii="Arial" w:hAnsi="Arial" w:cs="Arial"/>
          <w:sz w:val="22"/>
          <w:szCs w:val="22"/>
          <w:highlight w:val="yellow"/>
          <w:lang w:val="en-GB"/>
        </w:rPr>
        <w:t>A</w:t>
      </w:r>
      <w:r w:rsidR="000D10C6" w:rsidRPr="00687028">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780D90" w:rsidRDefault="0020204E" w:rsidP="00B04033">
      <w:pPr>
        <w:pStyle w:val="ListParagraph"/>
        <w:numPr>
          <w:ilvl w:val="0"/>
          <w:numId w:val="10"/>
        </w:numPr>
        <w:ind w:left="426"/>
        <w:jc w:val="both"/>
        <w:rPr>
          <w:rFonts w:ascii="Arial" w:hAnsi="Arial" w:cs="Arial"/>
          <w:sz w:val="22"/>
          <w:szCs w:val="22"/>
          <w:highlight w:val="yellow"/>
          <w:lang w:val="en-GB"/>
        </w:rPr>
      </w:pPr>
      <w:r w:rsidRPr="00780D90">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(i)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7061C9D6" w14:textId="3A27DF34" w:rsidR="00AE5B6F" w:rsidRPr="008F2015" w:rsidRDefault="00B5344E" w:rsidP="008F2015">
      <w:pPr>
        <w:pStyle w:val="ListParagraph"/>
        <w:numPr>
          <w:ilvl w:val="0"/>
          <w:numId w:val="18"/>
        </w:numPr>
        <w:jc w:val="both"/>
        <w:rPr>
          <w:rFonts w:ascii="Arial" w:hAnsi="Arial" w:cs="Arial"/>
          <w:color w:val="767171" w:themeColor="background2" w:themeShade="80"/>
          <w:sz w:val="22"/>
          <w:szCs w:val="22"/>
          <w:lang w:val="en-GB"/>
        </w:rPr>
      </w:pPr>
      <w:r w:rsidRPr="008F2015">
        <w:rPr>
          <w:rFonts w:ascii="Arial" w:hAnsi="Arial" w:cs="Arial"/>
          <w:color w:val="767171" w:themeColor="background2" w:themeShade="80"/>
          <w:sz w:val="22"/>
          <w:szCs w:val="22"/>
          <w:lang w:val="en-GB"/>
        </w:rPr>
        <w:t>p</w:t>
      </w:r>
      <w:r w:rsidR="006E7F92" w:rsidRPr="008F2015">
        <w:rPr>
          <w:rFonts w:ascii="Arial" w:hAnsi="Arial" w:cs="Arial"/>
          <w:color w:val="767171" w:themeColor="background2" w:themeShade="80"/>
          <w:sz w:val="22"/>
          <w:szCs w:val="22"/>
          <w:lang w:val="en-GB"/>
        </w:rPr>
        <w:t xml:space="preserve">ursuant to section 423 of the Insolvency Act 1986, </w:t>
      </w:r>
      <w:r w:rsidR="00647598">
        <w:rPr>
          <w:rFonts w:ascii="Arial" w:hAnsi="Arial" w:cs="Arial"/>
          <w:color w:val="767171" w:themeColor="background2" w:themeShade="80"/>
          <w:sz w:val="22"/>
          <w:szCs w:val="22"/>
          <w:lang w:val="en-GB"/>
        </w:rPr>
        <w:t>relief</w:t>
      </w:r>
      <w:r w:rsidR="006E7F92" w:rsidRPr="008F2015">
        <w:rPr>
          <w:rFonts w:ascii="Arial" w:hAnsi="Arial" w:cs="Arial"/>
          <w:color w:val="767171" w:themeColor="background2" w:themeShade="80"/>
          <w:sz w:val="22"/>
          <w:szCs w:val="22"/>
          <w:lang w:val="en-GB"/>
        </w:rPr>
        <w:t xml:space="preserve"> may be </w:t>
      </w:r>
      <w:r w:rsidR="00647598">
        <w:rPr>
          <w:rFonts w:ascii="Arial" w:hAnsi="Arial" w:cs="Arial"/>
          <w:color w:val="767171" w:themeColor="background2" w:themeShade="80"/>
          <w:sz w:val="22"/>
          <w:szCs w:val="22"/>
          <w:lang w:val="en-GB"/>
        </w:rPr>
        <w:t>sought</w:t>
      </w:r>
      <w:r w:rsidR="006E7F92" w:rsidRPr="008F2015">
        <w:rPr>
          <w:rFonts w:ascii="Arial" w:hAnsi="Arial" w:cs="Arial"/>
          <w:color w:val="767171" w:themeColor="background2" w:themeShade="80"/>
          <w:sz w:val="22"/>
          <w:szCs w:val="22"/>
          <w:lang w:val="en-GB"/>
        </w:rPr>
        <w:t xml:space="preserve"> – in respect of transactions which are </w:t>
      </w:r>
      <w:r w:rsidR="00647598">
        <w:rPr>
          <w:rFonts w:ascii="Arial" w:hAnsi="Arial" w:cs="Arial"/>
          <w:color w:val="767171" w:themeColor="background2" w:themeShade="80"/>
          <w:sz w:val="22"/>
          <w:szCs w:val="22"/>
          <w:lang w:val="en-GB"/>
        </w:rPr>
        <w:t xml:space="preserve">allegedly </w:t>
      </w:r>
      <w:r w:rsidR="006E7F92" w:rsidRPr="008F2015">
        <w:rPr>
          <w:rFonts w:ascii="Arial" w:hAnsi="Arial" w:cs="Arial"/>
          <w:color w:val="767171" w:themeColor="background2" w:themeShade="80"/>
          <w:sz w:val="22"/>
          <w:szCs w:val="22"/>
          <w:lang w:val="en-GB"/>
        </w:rPr>
        <w:t>designed to defraud creditors – by:</w:t>
      </w:r>
    </w:p>
    <w:p w14:paraId="51FB6B13" w14:textId="0530CB42" w:rsidR="006E7F92" w:rsidRPr="008F2015" w:rsidRDefault="006E7F92" w:rsidP="008F2015">
      <w:pPr>
        <w:pStyle w:val="ListParagraph"/>
        <w:numPr>
          <w:ilvl w:val="0"/>
          <w:numId w:val="19"/>
        </w:numPr>
        <w:jc w:val="both"/>
        <w:rPr>
          <w:rFonts w:ascii="Arial" w:hAnsi="Arial" w:cs="Arial"/>
          <w:color w:val="767171" w:themeColor="background2" w:themeShade="80"/>
          <w:sz w:val="22"/>
          <w:szCs w:val="22"/>
          <w:lang w:val="en-GB"/>
        </w:rPr>
      </w:pPr>
      <w:r w:rsidRPr="008F2015">
        <w:rPr>
          <w:rFonts w:ascii="Arial" w:hAnsi="Arial" w:cs="Arial"/>
          <w:color w:val="767171" w:themeColor="background2" w:themeShade="80"/>
          <w:sz w:val="22"/>
          <w:szCs w:val="22"/>
          <w:lang w:val="en-GB"/>
        </w:rPr>
        <w:t>the Official Receiver, the liquidator, the administrator and (with leave of the court) any victim of the transaction (e.g. a creditor) in cases where the company is being wound up or is in administration;</w:t>
      </w:r>
    </w:p>
    <w:p w14:paraId="3BF25780" w14:textId="4850D913" w:rsidR="006E7F92" w:rsidRPr="008F2015" w:rsidRDefault="006E7F92" w:rsidP="008F2015">
      <w:pPr>
        <w:pStyle w:val="ListParagraph"/>
        <w:numPr>
          <w:ilvl w:val="0"/>
          <w:numId w:val="19"/>
        </w:numPr>
        <w:jc w:val="both"/>
        <w:rPr>
          <w:rFonts w:ascii="Arial" w:hAnsi="Arial" w:cs="Arial"/>
          <w:color w:val="767171" w:themeColor="background2" w:themeShade="80"/>
          <w:sz w:val="22"/>
          <w:szCs w:val="22"/>
          <w:lang w:val="en-GB"/>
        </w:rPr>
      </w:pPr>
      <w:r w:rsidRPr="008F2015">
        <w:rPr>
          <w:rFonts w:ascii="Arial" w:hAnsi="Arial" w:cs="Arial"/>
          <w:color w:val="767171" w:themeColor="background2" w:themeShade="80"/>
          <w:sz w:val="22"/>
          <w:szCs w:val="22"/>
          <w:lang w:val="en-GB"/>
        </w:rPr>
        <w:t>where a victim is bound by a Company Voluntary Arrangement (CVA), the supervisor of the CVA; or</w:t>
      </w:r>
    </w:p>
    <w:p w14:paraId="60A495AD" w14:textId="11A284F9" w:rsidR="006E7F92" w:rsidRPr="008F2015" w:rsidRDefault="006E7F92" w:rsidP="008F2015">
      <w:pPr>
        <w:pStyle w:val="ListParagraph"/>
        <w:numPr>
          <w:ilvl w:val="0"/>
          <w:numId w:val="19"/>
        </w:numPr>
        <w:jc w:val="both"/>
        <w:rPr>
          <w:rFonts w:ascii="Arial" w:hAnsi="Arial" w:cs="Arial"/>
          <w:color w:val="767171" w:themeColor="background2" w:themeShade="80"/>
          <w:sz w:val="22"/>
          <w:szCs w:val="22"/>
          <w:lang w:val="en-GB"/>
        </w:rPr>
      </w:pPr>
      <w:r w:rsidRPr="008F2015">
        <w:rPr>
          <w:rFonts w:ascii="Arial" w:hAnsi="Arial" w:cs="Arial"/>
          <w:color w:val="767171" w:themeColor="background2" w:themeShade="80"/>
          <w:sz w:val="22"/>
          <w:szCs w:val="22"/>
          <w:lang w:val="en-GB"/>
        </w:rPr>
        <w:t>a victim of the transaction in any other case;</w:t>
      </w:r>
    </w:p>
    <w:p w14:paraId="79BAF154" w14:textId="6591A94A" w:rsidR="008F2015" w:rsidRPr="008F2015" w:rsidRDefault="00B5344E" w:rsidP="008F2015">
      <w:pPr>
        <w:pStyle w:val="ListParagraph"/>
        <w:numPr>
          <w:ilvl w:val="0"/>
          <w:numId w:val="18"/>
        </w:numPr>
        <w:jc w:val="both"/>
        <w:rPr>
          <w:rFonts w:ascii="Arial" w:hAnsi="Arial" w:cs="Arial"/>
          <w:color w:val="767171" w:themeColor="background2" w:themeShade="80"/>
          <w:sz w:val="22"/>
          <w:szCs w:val="22"/>
          <w:lang w:val="en-GB"/>
        </w:rPr>
      </w:pPr>
      <w:r w:rsidRPr="008F2015">
        <w:rPr>
          <w:rFonts w:ascii="Arial" w:hAnsi="Arial" w:cs="Arial"/>
          <w:color w:val="767171" w:themeColor="background2" w:themeShade="80"/>
          <w:sz w:val="22"/>
          <w:szCs w:val="22"/>
          <w:lang w:val="en-GB"/>
        </w:rPr>
        <w:t>pursuant to section 6 of the Company Directors Disqualification Act 1986</w:t>
      </w:r>
      <w:r w:rsidR="008F2015" w:rsidRPr="008F2015">
        <w:rPr>
          <w:rFonts w:ascii="Arial" w:hAnsi="Arial" w:cs="Arial"/>
          <w:color w:val="767171" w:themeColor="background2" w:themeShade="80"/>
          <w:sz w:val="22"/>
          <w:szCs w:val="22"/>
          <w:lang w:val="en-GB"/>
        </w:rPr>
        <w:t xml:space="preserve"> (the “CDDA”) </w:t>
      </w:r>
      <w:r w:rsidR="00647598">
        <w:rPr>
          <w:rFonts w:ascii="Arial" w:hAnsi="Arial" w:cs="Arial"/>
          <w:color w:val="767171" w:themeColor="background2" w:themeShade="80"/>
          <w:sz w:val="22"/>
          <w:szCs w:val="22"/>
          <w:lang w:val="en-GB"/>
        </w:rPr>
        <w:t>a</w:t>
      </w:r>
      <w:r w:rsidR="00647598" w:rsidRPr="008F2015">
        <w:rPr>
          <w:rFonts w:ascii="Arial" w:hAnsi="Arial" w:cs="Arial"/>
          <w:color w:val="767171" w:themeColor="background2" w:themeShade="80"/>
          <w:sz w:val="22"/>
          <w:szCs w:val="22"/>
          <w:lang w:val="en-GB"/>
        </w:rPr>
        <w:t xml:space="preserve"> </w:t>
      </w:r>
      <w:r w:rsidR="00647598">
        <w:rPr>
          <w:rFonts w:ascii="Arial" w:hAnsi="Arial" w:cs="Arial"/>
          <w:color w:val="767171" w:themeColor="background2" w:themeShade="80"/>
          <w:sz w:val="22"/>
          <w:szCs w:val="22"/>
          <w:lang w:val="en-GB"/>
        </w:rPr>
        <w:t xml:space="preserve">disqualification order may be sought </w:t>
      </w:r>
      <w:r w:rsidR="008F2015" w:rsidRPr="008F2015">
        <w:rPr>
          <w:rFonts w:ascii="Arial" w:hAnsi="Arial" w:cs="Arial"/>
          <w:color w:val="767171" w:themeColor="background2" w:themeShade="80"/>
          <w:sz w:val="22"/>
          <w:szCs w:val="22"/>
          <w:lang w:val="en-GB"/>
        </w:rPr>
        <w:t>by:</w:t>
      </w:r>
    </w:p>
    <w:p w14:paraId="629830CD" w14:textId="30F86C4F" w:rsidR="008F2015" w:rsidRPr="008F2015" w:rsidRDefault="008F2015" w:rsidP="008F2015">
      <w:pPr>
        <w:pStyle w:val="ListParagraph"/>
        <w:numPr>
          <w:ilvl w:val="0"/>
          <w:numId w:val="21"/>
        </w:numPr>
        <w:jc w:val="both"/>
        <w:rPr>
          <w:rFonts w:ascii="Arial" w:hAnsi="Arial" w:cs="Arial"/>
          <w:color w:val="767171" w:themeColor="background2" w:themeShade="80"/>
          <w:sz w:val="22"/>
          <w:szCs w:val="22"/>
          <w:lang w:val="en-GB"/>
        </w:rPr>
      </w:pPr>
      <w:r w:rsidRPr="008F2015">
        <w:rPr>
          <w:rFonts w:ascii="Arial" w:hAnsi="Arial" w:cs="Arial"/>
          <w:color w:val="767171" w:themeColor="background2" w:themeShade="80"/>
          <w:sz w:val="22"/>
          <w:szCs w:val="22"/>
          <w:lang w:val="en-GB"/>
        </w:rPr>
        <w:t>the Secretary of State (CDDA s 7(1)(a)); or</w:t>
      </w:r>
    </w:p>
    <w:p w14:paraId="6392C74F" w14:textId="2936DFE6" w:rsidR="008F2015" w:rsidRPr="008F2015" w:rsidRDefault="008F2015" w:rsidP="008F2015">
      <w:pPr>
        <w:pStyle w:val="legclearfix"/>
        <w:numPr>
          <w:ilvl w:val="0"/>
          <w:numId w:val="21"/>
        </w:numPr>
        <w:shd w:val="clear" w:color="auto" w:fill="FFFFFF"/>
        <w:spacing w:before="0" w:beforeAutospacing="0" w:after="0" w:afterAutospacing="0"/>
        <w:rPr>
          <w:rFonts w:ascii="Arial" w:hAnsi="Arial" w:cs="Arial"/>
          <w:color w:val="767171" w:themeColor="background2" w:themeShade="80"/>
          <w:sz w:val="22"/>
          <w:szCs w:val="22"/>
        </w:rPr>
      </w:pPr>
      <w:r w:rsidRPr="008F2015">
        <w:rPr>
          <w:rStyle w:val="legds"/>
          <w:rFonts w:ascii="Arial" w:hAnsi="Arial" w:cs="Arial"/>
          <w:color w:val="767171" w:themeColor="background2" w:themeShade="80"/>
          <w:sz w:val="22"/>
          <w:szCs w:val="22"/>
        </w:rPr>
        <w:t>by the Official Receiver on the direction of the Secretary of State in the case of a person who is or has been a director of a company which is being wound up by a court in England and Wales (CDDA s 7(1)(b)</w:t>
      </w:r>
      <w:r>
        <w:rPr>
          <w:rStyle w:val="legds"/>
          <w:rFonts w:ascii="Arial" w:hAnsi="Arial" w:cs="Arial"/>
          <w:color w:val="767171" w:themeColor="background2" w:themeShade="80"/>
          <w:sz w:val="22"/>
          <w:szCs w:val="22"/>
        </w:rPr>
        <w:t>)</w:t>
      </w:r>
      <w:r w:rsidRPr="008F2015">
        <w:rPr>
          <w:rStyle w:val="legds"/>
          <w:rFonts w:ascii="Arial" w:hAnsi="Arial" w:cs="Arial"/>
          <w:color w:val="767171" w:themeColor="background2" w:themeShade="80"/>
          <w:sz w:val="22"/>
          <w:szCs w:val="22"/>
        </w:rPr>
        <w:t>;</w:t>
      </w:r>
    </w:p>
    <w:p w14:paraId="22C610C9" w14:textId="20187B30" w:rsidR="00DE03AF" w:rsidRPr="00647598" w:rsidRDefault="00647598" w:rsidP="00647598">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246ZB(1) of the Insolvency Act 1986, relief may be sought</w:t>
      </w:r>
      <w:r w:rsidRPr="008F2015">
        <w:rPr>
          <w:rFonts w:ascii="Arial" w:hAnsi="Arial" w:cs="Arial"/>
          <w:color w:val="767171" w:themeColor="background2" w:themeShade="80"/>
          <w:sz w:val="22"/>
          <w:szCs w:val="22"/>
          <w:lang w:val="en-GB"/>
        </w:rPr>
        <w:t xml:space="preserve"> </w:t>
      </w:r>
      <w:r>
        <w:rPr>
          <w:rFonts w:ascii="Arial" w:hAnsi="Arial" w:cs="Arial"/>
          <w:color w:val="767171" w:themeColor="background2" w:themeShade="80"/>
          <w:sz w:val="22"/>
          <w:szCs w:val="22"/>
          <w:lang w:val="en-GB"/>
        </w:rPr>
        <w:t xml:space="preserve">during administration </w:t>
      </w:r>
      <w:r w:rsidRPr="008F2015">
        <w:rPr>
          <w:rFonts w:ascii="Arial" w:hAnsi="Arial" w:cs="Arial"/>
          <w:color w:val="767171" w:themeColor="background2" w:themeShade="80"/>
          <w:sz w:val="22"/>
          <w:szCs w:val="22"/>
          <w:lang w:val="en-GB"/>
        </w:rPr>
        <w:t xml:space="preserve">in respect of </w:t>
      </w:r>
      <w:r>
        <w:rPr>
          <w:rFonts w:ascii="Arial" w:hAnsi="Arial" w:cs="Arial"/>
          <w:color w:val="767171" w:themeColor="background2" w:themeShade="80"/>
          <w:sz w:val="22"/>
          <w:szCs w:val="22"/>
          <w:lang w:val="en-GB"/>
        </w:rPr>
        <w:t>wrongful trading</w:t>
      </w:r>
      <w:r w:rsidRPr="008F2015">
        <w:rPr>
          <w:rFonts w:ascii="Arial" w:hAnsi="Arial" w:cs="Arial"/>
          <w:color w:val="767171" w:themeColor="background2" w:themeShade="80"/>
          <w:sz w:val="22"/>
          <w:szCs w:val="22"/>
          <w:lang w:val="en-GB"/>
        </w:rPr>
        <w:t xml:space="preserve"> </w:t>
      </w:r>
      <w:r>
        <w:rPr>
          <w:rFonts w:ascii="Arial" w:hAnsi="Arial" w:cs="Arial"/>
          <w:color w:val="767171" w:themeColor="background2" w:themeShade="80"/>
          <w:sz w:val="22"/>
          <w:szCs w:val="22"/>
          <w:lang w:val="en-GB"/>
        </w:rPr>
        <w:t xml:space="preserve">by </w:t>
      </w:r>
      <w:r w:rsidRPr="00647598">
        <w:rPr>
          <w:rFonts w:ascii="Arial" w:hAnsi="Arial" w:cs="Arial"/>
          <w:color w:val="7B7B7B" w:themeColor="accent3" w:themeShade="BF"/>
          <w:sz w:val="22"/>
          <w:szCs w:val="22"/>
          <w:lang w:val="en-GB"/>
        </w:rPr>
        <w:t>the administrator.</w:t>
      </w: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56E73A2C" w14:textId="5A8D2A95" w:rsidR="00ED3FC1" w:rsidRPr="00ED3FC1" w:rsidRDefault="00ED3FC1" w:rsidP="00ED3FC1">
      <w:pPr>
        <w:jc w:val="both"/>
        <w:rPr>
          <w:rFonts w:ascii="Arial" w:hAnsi="Arial" w:cs="Arial"/>
          <w:color w:val="767171" w:themeColor="background2" w:themeShade="80"/>
          <w:sz w:val="22"/>
          <w:szCs w:val="22"/>
          <w:lang w:val="en-GB"/>
        </w:rPr>
      </w:pPr>
      <w:r w:rsidRPr="00ED3FC1">
        <w:rPr>
          <w:rFonts w:ascii="Arial" w:hAnsi="Arial" w:cs="Arial"/>
          <w:color w:val="767171" w:themeColor="background2" w:themeShade="80"/>
          <w:sz w:val="22"/>
          <w:szCs w:val="22"/>
          <w:lang w:val="en-GB"/>
        </w:rPr>
        <w:t>Rule 15.3 of the Insolvency Rules 2016 sets out the five qualifying decision procedures by which creditors may make decisions in respect of an insolvent company:</w:t>
      </w:r>
    </w:p>
    <w:p w14:paraId="6CD188A9" w14:textId="3D749CBA" w:rsidR="00ED3FC1" w:rsidRPr="00ED3FC1" w:rsidRDefault="00ED3FC1" w:rsidP="00ED3FC1">
      <w:pPr>
        <w:pStyle w:val="ListParagraph"/>
        <w:numPr>
          <w:ilvl w:val="0"/>
          <w:numId w:val="22"/>
        </w:numPr>
        <w:shd w:val="clear" w:color="auto" w:fill="FFFFFF"/>
        <w:rPr>
          <w:rFonts w:ascii="Arial" w:hAnsi="Arial" w:cs="Arial"/>
          <w:color w:val="767171" w:themeColor="background2" w:themeShade="80"/>
          <w:sz w:val="22"/>
          <w:szCs w:val="22"/>
          <w:lang w:eastAsia="zh-CN" w:bidi="he-IL"/>
        </w:rPr>
      </w:pPr>
      <w:r w:rsidRPr="00ED3FC1">
        <w:rPr>
          <w:rFonts w:ascii="Arial" w:hAnsi="Arial" w:cs="Arial"/>
          <w:color w:val="767171" w:themeColor="background2" w:themeShade="80"/>
          <w:sz w:val="22"/>
          <w:szCs w:val="22"/>
          <w:lang w:eastAsia="zh-CN" w:bidi="he-IL"/>
        </w:rPr>
        <w:t>correspondence;</w:t>
      </w:r>
    </w:p>
    <w:p w14:paraId="3B1F8584" w14:textId="77777777" w:rsidR="00ED3FC1" w:rsidRDefault="00ED3FC1" w:rsidP="00ED3FC1">
      <w:pPr>
        <w:pStyle w:val="ListParagraph"/>
        <w:numPr>
          <w:ilvl w:val="0"/>
          <w:numId w:val="22"/>
        </w:numPr>
        <w:shd w:val="clear" w:color="auto" w:fill="FFFFFF"/>
        <w:rPr>
          <w:rFonts w:ascii="Arial" w:hAnsi="Arial" w:cs="Arial"/>
          <w:color w:val="767171" w:themeColor="background2" w:themeShade="80"/>
          <w:sz w:val="22"/>
          <w:szCs w:val="22"/>
          <w:lang w:eastAsia="zh-CN" w:bidi="he-IL"/>
        </w:rPr>
      </w:pPr>
      <w:r w:rsidRPr="00ED3FC1">
        <w:rPr>
          <w:rFonts w:ascii="Arial" w:hAnsi="Arial" w:cs="Arial"/>
          <w:color w:val="767171" w:themeColor="background2" w:themeShade="80"/>
          <w:sz w:val="22"/>
          <w:szCs w:val="22"/>
          <w:lang w:eastAsia="zh-CN" w:bidi="he-IL"/>
        </w:rPr>
        <w:t>electronic voting;</w:t>
      </w:r>
    </w:p>
    <w:p w14:paraId="0818EA69" w14:textId="77777777" w:rsidR="00ED3FC1" w:rsidRDefault="00ED3FC1" w:rsidP="00ED3FC1">
      <w:pPr>
        <w:pStyle w:val="ListParagraph"/>
        <w:numPr>
          <w:ilvl w:val="0"/>
          <w:numId w:val="22"/>
        </w:numPr>
        <w:shd w:val="clear" w:color="auto" w:fill="FFFFFF"/>
        <w:rPr>
          <w:rFonts w:ascii="Arial" w:hAnsi="Arial" w:cs="Arial"/>
          <w:color w:val="767171" w:themeColor="background2" w:themeShade="80"/>
          <w:sz w:val="22"/>
          <w:szCs w:val="22"/>
          <w:lang w:eastAsia="zh-CN" w:bidi="he-IL"/>
        </w:rPr>
      </w:pPr>
      <w:r w:rsidRPr="00ED3FC1">
        <w:rPr>
          <w:rFonts w:ascii="Arial" w:hAnsi="Arial" w:cs="Arial"/>
          <w:color w:val="767171" w:themeColor="background2" w:themeShade="80"/>
          <w:sz w:val="22"/>
          <w:szCs w:val="22"/>
          <w:lang w:eastAsia="zh-CN" w:bidi="he-IL"/>
        </w:rPr>
        <w:t>virtual meeting;</w:t>
      </w:r>
    </w:p>
    <w:p w14:paraId="554D2B9A" w14:textId="77777777" w:rsidR="00ED3FC1" w:rsidRDefault="00ED3FC1" w:rsidP="00ED3FC1">
      <w:pPr>
        <w:pStyle w:val="ListParagraph"/>
        <w:numPr>
          <w:ilvl w:val="0"/>
          <w:numId w:val="22"/>
        </w:numPr>
        <w:shd w:val="clear" w:color="auto" w:fill="FFFFFF"/>
        <w:rPr>
          <w:rFonts w:ascii="Arial" w:hAnsi="Arial" w:cs="Arial"/>
          <w:color w:val="767171" w:themeColor="background2" w:themeShade="80"/>
          <w:sz w:val="22"/>
          <w:szCs w:val="22"/>
          <w:lang w:eastAsia="zh-CN" w:bidi="he-IL"/>
        </w:rPr>
      </w:pPr>
      <w:r w:rsidRPr="00ED3FC1">
        <w:rPr>
          <w:rFonts w:ascii="Arial" w:hAnsi="Arial" w:cs="Arial"/>
          <w:color w:val="767171" w:themeColor="background2" w:themeShade="80"/>
          <w:sz w:val="22"/>
          <w:szCs w:val="22"/>
          <w:lang w:eastAsia="zh-CN" w:bidi="he-IL"/>
        </w:rPr>
        <w:t>physical meeting; or</w:t>
      </w:r>
    </w:p>
    <w:p w14:paraId="77384F9B" w14:textId="7FDCD10F" w:rsidR="00ED3FC1" w:rsidRPr="00ED3FC1" w:rsidRDefault="00ED3FC1" w:rsidP="00ED3FC1">
      <w:pPr>
        <w:pStyle w:val="ListParagraph"/>
        <w:numPr>
          <w:ilvl w:val="0"/>
          <w:numId w:val="22"/>
        </w:numPr>
        <w:shd w:val="clear" w:color="auto" w:fill="FFFFFF"/>
        <w:rPr>
          <w:rFonts w:ascii="Arial" w:hAnsi="Arial" w:cs="Arial"/>
          <w:color w:val="767171" w:themeColor="background2" w:themeShade="80"/>
          <w:sz w:val="22"/>
          <w:szCs w:val="22"/>
          <w:lang w:eastAsia="zh-CN" w:bidi="he-IL"/>
        </w:rPr>
      </w:pPr>
      <w:r w:rsidRPr="00ED3FC1">
        <w:rPr>
          <w:rFonts w:ascii="Arial" w:hAnsi="Arial" w:cs="Arial"/>
          <w:color w:val="767171" w:themeColor="background2" w:themeShade="80"/>
          <w:sz w:val="22"/>
          <w:szCs w:val="22"/>
          <w:lang w:eastAsia="zh-CN" w:bidi="he-IL"/>
        </w:rPr>
        <w:t>any other decision making procedure which enables all creditors who are entitled to participate in the making of the decision to participate equally.</w:t>
      </w:r>
    </w:p>
    <w:p w14:paraId="0DDC4ABF" w14:textId="77777777" w:rsidR="00ED3FC1" w:rsidRPr="00FF5098" w:rsidRDefault="00ED3FC1" w:rsidP="00FF5098">
      <w:pPr>
        <w:jc w:val="both"/>
        <w:rPr>
          <w:rFonts w:ascii="Arial" w:hAnsi="Arial" w:cs="Arial"/>
          <w:color w:val="7B7B7B" w:themeColor="accent3" w:themeShade="BF"/>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2E450CAD" w14:textId="04D757A0" w:rsidR="00FF5098" w:rsidRPr="00FE0810" w:rsidRDefault="008B13FC" w:rsidP="008B13FC">
      <w:pPr>
        <w:jc w:val="both"/>
        <w:rPr>
          <w:rFonts w:ascii="Arial" w:hAnsi="Arial" w:cs="Arial"/>
          <w:color w:val="767171" w:themeColor="background2" w:themeShade="80"/>
          <w:sz w:val="22"/>
          <w:szCs w:val="22"/>
          <w:lang w:val="en-GB"/>
        </w:rPr>
      </w:pPr>
      <w:r w:rsidRPr="00FE0810">
        <w:rPr>
          <w:rFonts w:ascii="Arial" w:hAnsi="Arial" w:cs="Arial"/>
          <w:color w:val="767171" w:themeColor="background2" w:themeShade="80"/>
          <w:sz w:val="22"/>
          <w:szCs w:val="22"/>
          <w:lang w:val="en-GB"/>
        </w:rPr>
        <w:t xml:space="preserve">Pursuant to section 233(2) to (3A) of the Insolvency Act 1986, an administrator may request that contractual suppliers of gas, electricity, water, communication services, and goods or services </w:t>
      </w:r>
      <w:r w:rsidRPr="00FE0810">
        <w:rPr>
          <w:rFonts w:ascii="Arial" w:hAnsi="Arial" w:cs="Arial"/>
          <w:color w:val="767171" w:themeColor="background2" w:themeShade="80"/>
          <w:sz w:val="22"/>
          <w:szCs w:val="22"/>
          <w:shd w:val="clear" w:color="auto" w:fill="FFFFFF"/>
        </w:rPr>
        <w:t>where the supply is for the purpose of enabling or facilitating anything to be done by electronic means</w:t>
      </w:r>
      <w:r w:rsidRPr="00FE0810">
        <w:rPr>
          <w:rFonts w:ascii="Arial" w:hAnsi="Arial" w:cs="Arial"/>
          <w:color w:val="767171" w:themeColor="background2" w:themeShade="80"/>
          <w:sz w:val="22"/>
          <w:szCs w:val="22"/>
          <w:shd w:val="clear" w:color="auto" w:fill="FFFFFF"/>
        </w:rPr>
        <w:t xml:space="preserve"> (i.e. </w:t>
      </w:r>
      <w:r w:rsidRPr="00FE0810">
        <w:rPr>
          <w:rStyle w:val="legaddition"/>
          <w:rFonts w:ascii="Arial" w:hAnsi="Arial" w:cs="Arial"/>
          <w:color w:val="767171" w:themeColor="background2" w:themeShade="80"/>
          <w:sz w:val="22"/>
          <w:szCs w:val="22"/>
        </w:rPr>
        <w:t>point of sale terminals</w:t>
      </w:r>
      <w:r w:rsidRPr="00FE0810">
        <w:rPr>
          <w:rStyle w:val="legaddition"/>
          <w:rFonts w:ascii="Arial" w:hAnsi="Arial" w:cs="Arial"/>
          <w:color w:val="767171" w:themeColor="background2" w:themeShade="80"/>
          <w:sz w:val="22"/>
          <w:szCs w:val="22"/>
        </w:rPr>
        <w:t xml:space="preserve">; </w:t>
      </w:r>
      <w:r w:rsidRPr="00FE0810">
        <w:rPr>
          <w:rStyle w:val="legaddition"/>
          <w:rFonts w:ascii="Arial" w:hAnsi="Arial" w:cs="Arial"/>
          <w:color w:val="767171" w:themeColor="background2" w:themeShade="80"/>
          <w:sz w:val="22"/>
          <w:szCs w:val="22"/>
        </w:rPr>
        <w:t>computer hardware and software</w:t>
      </w:r>
      <w:r w:rsidRPr="00FE0810">
        <w:rPr>
          <w:rStyle w:val="legaddition"/>
          <w:rFonts w:ascii="Arial" w:hAnsi="Arial" w:cs="Arial"/>
          <w:color w:val="767171" w:themeColor="background2" w:themeShade="80"/>
          <w:sz w:val="22"/>
          <w:szCs w:val="22"/>
        </w:rPr>
        <w:t xml:space="preserve">; </w:t>
      </w:r>
      <w:r w:rsidRPr="00FE0810">
        <w:rPr>
          <w:rStyle w:val="legaddition"/>
          <w:rFonts w:ascii="Arial" w:hAnsi="Arial" w:cs="Arial"/>
          <w:color w:val="767171" w:themeColor="background2" w:themeShade="80"/>
          <w:sz w:val="22"/>
          <w:szCs w:val="22"/>
        </w:rPr>
        <w:t>information, advice and technical assistance in connection with the use of information technology;</w:t>
      </w:r>
      <w:r w:rsidRPr="00FE0810">
        <w:rPr>
          <w:rStyle w:val="legaddition"/>
          <w:rFonts w:ascii="Arial" w:hAnsi="Arial" w:cs="Arial"/>
          <w:color w:val="767171" w:themeColor="background2" w:themeShade="80"/>
          <w:sz w:val="22"/>
          <w:szCs w:val="22"/>
        </w:rPr>
        <w:t xml:space="preserve"> </w:t>
      </w:r>
      <w:r w:rsidRPr="00FE0810">
        <w:rPr>
          <w:rStyle w:val="legaddition"/>
          <w:rFonts w:ascii="Arial" w:hAnsi="Arial" w:cs="Arial"/>
          <w:color w:val="767171" w:themeColor="background2" w:themeShade="80"/>
          <w:sz w:val="22"/>
          <w:szCs w:val="22"/>
        </w:rPr>
        <w:t>data storage and processing;</w:t>
      </w:r>
      <w:r w:rsidRPr="00FE0810">
        <w:rPr>
          <w:rStyle w:val="legaddition"/>
          <w:rFonts w:ascii="Arial" w:hAnsi="Arial" w:cs="Arial"/>
          <w:color w:val="767171" w:themeColor="background2" w:themeShade="80"/>
          <w:sz w:val="22"/>
          <w:szCs w:val="22"/>
        </w:rPr>
        <w:t xml:space="preserve"> and </w:t>
      </w:r>
      <w:r w:rsidRPr="00FE0810">
        <w:rPr>
          <w:rStyle w:val="legaddition"/>
          <w:rFonts w:ascii="Arial" w:hAnsi="Arial" w:cs="Arial"/>
          <w:color w:val="767171" w:themeColor="background2" w:themeShade="80"/>
          <w:sz w:val="22"/>
          <w:szCs w:val="22"/>
        </w:rPr>
        <w:t>website hosting</w:t>
      </w:r>
      <w:r w:rsidRPr="00FE0810">
        <w:rPr>
          <w:rStyle w:val="legaddition"/>
          <w:rFonts w:ascii="Arial" w:hAnsi="Arial" w:cs="Arial"/>
          <w:color w:val="767171" w:themeColor="background2" w:themeShade="80"/>
          <w:sz w:val="22"/>
          <w:szCs w:val="22"/>
        </w:rPr>
        <w:t>)</w:t>
      </w:r>
      <w:r w:rsidRPr="00FE0810">
        <w:rPr>
          <w:rFonts w:ascii="Arial" w:hAnsi="Arial" w:cs="Arial"/>
          <w:color w:val="767171" w:themeColor="background2" w:themeShade="80"/>
          <w:sz w:val="22"/>
          <w:szCs w:val="22"/>
          <w:shd w:val="clear" w:color="auto" w:fill="FFFFFF"/>
        </w:rPr>
        <w:t xml:space="preserve"> </w:t>
      </w:r>
      <w:r w:rsidRPr="00FE0810">
        <w:rPr>
          <w:rFonts w:ascii="Arial" w:hAnsi="Arial" w:cs="Arial"/>
          <w:color w:val="767171" w:themeColor="background2" w:themeShade="80"/>
          <w:sz w:val="22"/>
          <w:szCs w:val="22"/>
          <w:lang w:val="en-GB"/>
        </w:rPr>
        <w:t>continue supply during the administration.</w:t>
      </w:r>
    </w:p>
    <w:p w14:paraId="54494DD8" w14:textId="6C903131" w:rsidR="00FE0810" w:rsidRPr="00FE0810" w:rsidRDefault="00FE0810" w:rsidP="008B13FC">
      <w:pPr>
        <w:jc w:val="both"/>
        <w:rPr>
          <w:rFonts w:ascii="Arial" w:hAnsi="Arial" w:cs="Arial"/>
          <w:color w:val="767171" w:themeColor="background2" w:themeShade="80"/>
          <w:sz w:val="22"/>
          <w:szCs w:val="22"/>
          <w:lang w:val="en-GB"/>
        </w:rPr>
      </w:pPr>
    </w:p>
    <w:p w14:paraId="6867D78D" w14:textId="21A891F4" w:rsidR="00FE0810" w:rsidRDefault="00FE0810" w:rsidP="00FE0810">
      <w:pPr>
        <w:jc w:val="both"/>
        <w:rPr>
          <w:rStyle w:val="legds"/>
          <w:rFonts w:ascii="Arial" w:hAnsi="Arial" w:cs="Arial"/>
          <w:color w:val="767171" w:themeColor="background2" w:themeShade="80"/>
          <w:sz w:val="22"/>
          <w:szCs w:val="22"/>
        </w:rPr>
      </w:pPr>
      <w:r w:rsidRPr="00FE0810">
        <w:rPr>
          <w:rFonts w:ascii="Arial" w:hAnsi="Arial" w:cs="Arial"/>
          <w:color w:val="767171" w:themeColor="background2" w:themeShade="80"/>
          <w:sz w:val="22"/>
          <w:szCs w:val="22"/>
          <w:lang w:val="en-GB"/>
        </w:rPr>
        <w:t>Pursuant to section 233(2)</w:t>
      </w:r>
      <w:r w:rsidRPr="00FE0810">
        <w:rPr>
          <w:rFonts w:ascii="Arial" w:hAnsi="Arial" w:cs="Arial"/>
          <w:color w:val="767171" w:themeColor="background2" w:themeShade="80"/>
          <w:sz w:val="22"/>
          <w:szCs w:val="22"/>
          <w:lang w:val="en-GB"/>
        </w:rPr>
        <w:t xml:space="preserve">, whilst a supplier </w:t>
      </w:r>
      <w:r w:rsidRPr="00FE0810">
        <w:rPr>
          <w:rStyle w:val="legds"/>
          <w:rFonts w:ascii="Arial" w:hAnsi="Arial" w:cs="Arial"/>
          <w:color w:val="767171" w:themeColor="background2" w:themeShade="80"/>
          <w:sz w:val="22"/>
          <w:szCs w:val="22"/>
        </w:rPr>
        <w:t xml:space="preserve">may make it a condition of </w:t>
      </w:r>
      <w:r w:rsidRPr="00FE0810">
        <w:rPr>
          <w:rStyle w:val="legds"/>
          <w:rFonts w:ascii="Arial" w:hAnsi="Arial" w:cs="Arial"/>
          <w:color w:val="767171" w:themeColor="background2" w:themeShade="80"/>
          <w:sz w:val="22"/>
          <w:szCs w:val="22"/>
        </w:rPr>
        <w:t>continuing</w:t>
      </w:r>
      <w:r w:rsidRPr="00FE0810">
        <w:rPr>
          <w:rStyle w:val="legds"/>
          <w:rFonts w:ascii="Arial" w:hAnsi="Arial" w:cs="Arial"/>
          <w:color w:val="767171" w:themeColor="background2" w:themeShade="80"/>
          <w:sz w:val="22"/>
          <w:szCs w:val="22"/>
        </w:rPr>
        <w:t xml:space="preserve"> supply that the </w:t>
      </w:r>
      <w:r w:rsidRPr="00FE0810">
        <w:rPr>
          <w:rStyle w:val="legds"/>
          <w:rFonts w:ascii="Arial" w:hAnsi="Arial" w:cs="Arial"/>
          <w:color w:val="767171" w:themeColor="background2" w:themeShade="80"/>
          <w:sz w:val="22"/>
          <w:szCs w:val="22"/>
        </w:rPr>
        <w:t>administrator</w:t>
      </w:r>
      <w:r w:rsidRPr="00FE0810">
        <w:rPr>
          <w:rStyle w:val="legds"/>
          <w:rFonts w:ascii="Arial" w:hAnsi="Arial" w:cs="Arial"/>
          <w:color w:val="767171" w:themeColor="background2" w:themeShade="80"/>
          <w:sz w:val="22"/>
          <w:szCs w:val="22"/>
        </w:rPr>
        <w:t xml:space="preserve"> guarantee the payment of any charges in respect of the </w:t>
      </w:r>
      <w:r w:rsidR="00B74EFE">
        <w:rPr>
          <w:rStyle w:val="legds"/>
          <w:rFonts w:ascii="Arial" w:hAnsi="Arial" w:cs="Arial"/>
          <w:color w:val="767171" w:themeColor="background2" w:themeShade="80"/>
          <w:sz w:val="22"/>
          <w:szCs w:val="22"/>
        </w:rPr>
        <w:t xml:space="preserve">continued </w:t>
      </w:r>
      <w:r w:rsidRPr="00FE0810">
        <w:rPr>
          <w:rStyle w:val="legds"/>
          <w:rFonts w:ascii="Arial" w:hAnsi="Arial" w:cs="Arial"/>
          <w:color w:val="767171" w:themeColor="background2" w:themeShade="80"/>
          <w:sz w:val="22"/>
          <w:szCs w:val="22"/>
        </w:rPr>
        <w:t xml:space="preserve">supply, </w:t>
      </w:r>
      <w:r w:rsidRPr="00FE0810">
        <w:rPr>
          <w:rStyle w:val="legds"/>
          <w:rFonts w:ascii="Arial" w:hAnsi="Arial" w:cs="Arial"/>
          <w:color w:val="767171" w:themeColor="background2" w:themeShade="80"/>
          <w:sz w:val="22"/>
          <w:szCs w:val="22"/>
        </w:rPr>
        <w:t xml:space="preserve">the supplier may </w:t>
      </w:r>
      <w:r w:rsidRPr="00FE0810">
        <w:rPr>
          <w:rStyle w:val="legds"/>
          <w:rFonts w:ascii="Arial" w:hAnsi="Arial" w:cs="Arial"/>
          <w:color w:val="767171" w:themeColor="background2" w:themeShade="80"/>
          <w:sz w:val="22"/>
          <w:szCs w:val="22"/>
        </w:rPr>
        <w:t xml:space="preserve">not make it a condition of </w:t>
      </w:r>
      <w:r w:rsidRPr="00FE0810">
        <w:rPr>
          <w:rStyle w:val="legds"/>
          <w:rFonts w:ascii="Arial" w:hAnsi="Arial" w:cs="Arial"/>
          <w:color w:val="767171" w:themeColor="background2" w:themeShade="80"/>
          <w:sz w:val="22"/>
          <w:szCs w:val="22"/>
        </w:rPr>
        <w:t>continuing</w:t>
      </w:r>
      <w:r w:rsidRPr="00FE0810">
        <w:rPr>
          <w:rStyle w:val="legds"/>
          <w:rFonts w:ascii="Arial" w:hAnsi="Arial" w:cs="Arial"/>
          <w:color w:val="767171" w:themeColor="background2" w:themeShade="80"/>
          <w:sz w:val="22"/>
          <w:szCs w:val="22"/>
        </w:rPr>
        <w:t xml:space="preserve"> supply</w:t>
      </w:r>
      <w:r w:rsidRPr="00FE0810">
        <w:rPr>
          <w:rStyle w:val="legds"/>
          <w:rFonts w:ascii="Arial" w:hAnsi="Arial" w:cs="Arial"/>
          <w:color w:val="767171" w:themeColor="background2" w:themeShade="80"/>
          <w:sz w:val="22"/>
          <w:szCs w:val="22"/>
        </w:rPr>
        <w:t xml:space="preserve"> </w:t>
      </w:r>
      <w:r w:rsidRPr="00FE0810">
        <w:rPr>
          <w:rStyle w:val="legds"/>
          <w:rFonts w:ascii="Arial" w:hAnsi="Arial" w:cs="Arial"/>
          <w:color w:val="767171" w:themeColor="background2" w:themeShade="80"/>
          <w:sz w:val="22"/>
          <w:szCs w:val="22"/>
        </w:rPr>
        <w:t xml:space="preserve">that any outstanding </w:t>
      </w:r>
      <w:r w:rsidRPr="00FE0810">
        <w:rPr>
          <w:rStyle w:val="legds"/>
          <w:rFonts w:ascii="Arial" w:hAnsi="Arial" w:cs="Arial"/>
          <w:color w:val="767171" w:themeColor="background2" w:themeShade="80"/>
          <w:sz w:val="22"/>
          <w:szCs w:val="22"/>
        </w:rPr>
        <w:t xml:space="preserve">pre-administration </w:t>
      </w:r>
      <w:r w:rsidRPr="00FE0810">
        <w:rPr>
          <w:rStyle w:val="legds"/>
          <w:rFonts w:ascii="Arial" w:hAnsi="Arial" w:cs="Arial"/>
          <w:color w:val="767171" w:themeColor="background2" w:themeShade="80"/>
          <w:sz w:val="22"/>
          <w:szCs w:val="22"/>
        </w:rPr>
        <w:t xml:space="preserve">charges </w:t>
      </w:r>
      <w:r w:rsidRPr="00FE0810">
        <w:rPr>
          <w:rStyle w:val="legds"/>
          <w:rFonts w:ascii="Arial" w:hAnsi="Arial" w:cs="Arial"/>
          <w:color w:val="767171" w:themeColor="background2" w:themeShade="80"/>
          <w:sz w:val="22"/>
          <w:szCs w:val="22"/>
        </w:rPr>
        <w:t>for</w:t>
      </w:r>
      <w:r w:rsidRPr="00FE0810">
        <w:rPr>
          <w:rStyle w:val="legds"/>
          <w:rFonts w:ascii="Arial" w:hAnsi="Arial" w:cs="Arial"/>
          <w:color w:val="767171" w:themeColor="background2" w:themeShade="80"/>
          <w:sz w:val="22"/>
          <w:szCs w:val="22"/>
        </w:rPr>
        <w:t xml:space="preserve"> supply </w:t>
      </w:r>
      <w:r w:rsidR="00B74EFE">
        <w:rPr>
          <w:rStyle w:val="legds"/>
          <w:rFonts w:ascii="Arial" w:hAnsi="Arial" w:cs="Arial"/>
          <w:color w:val="767171" w:themeColor="background2" w:themeShade="80"/>
          <w:sz w:val="22"/>
          <w:szCs w:val="22"/>
        </w:rPr>
        <w:t xml:space="preserve">be </w:t>
      </w:r>
      <w:r w:rsidRPr="00FE0810">
        <w:rPr>
          <w:rStyle w:val="legds"/>
          <w:rFonts w:ascii="Arial" w:hAnsi="Arial" w:cs="Arial"/>
          <w:color w:val="767171" w:themeColor="background2" w:themeShade="80"/>
          <w:sz w:val="22"/>
          <w:szCs w:val="22"/>
        </w:rPr>
        <w:t>paid.</w:t>
      </w:r>
    </w:p>
    <w:p w14:paraId="0ED50B03" w14:textId="77777777" w:rsidR="00FE0810" w:rsidRDefault="00FE0810" w:rsidP="00FE0810">
      <w:pPr>
        <w:jc w:val="both"/>
        <w:rPr>
          <w:rStyle w:val="legds"/>
          <w:rFonts w:ascii="Arial" w:hAnsi="Arial" w:cs="Arial"/>
          <w:color w:val="767171" w:themeColor="background2" w:themeShade="80"/>
          <w:sz w:val="22"/>
          <w:szCs w:val="22"/>
        </w:rPr>
      </w:pPr>
    </w:p>
    <w:p w14:paraId="721F3422" w14:textId="1BE02530" w:rsidR="00FE0810" w:rsidRPr="00FE0810" w:rsidRDefault="00FE0810" w:rsidP="00FE0810">
      <w:pPr>
        <w:jc w:val="both"/>
        <w:rPr>
          <w:rFonts w:ascii="Arial" w:hAnsi="Arial" w:cs="Arial"/>
          <w:color w:val="767171" w:themeColor="background2" w:themeShade="80"/>
          <w:sz w:val="22"/>
          <w:szCs w:val="22"/>
        </w:rPr>
      </w:pPr>
      <w:r>
        <w:rPr>
          <w:rStyle w:val="legds"/>
          <w:rFonts w:ascii="Arial" w:hAnsi="Arial" w:cs="Arial"/>
          <w:color w:val="767171" w:themeColor="background2" w:themeShade="80"/>
          <w:sz w:val="22"/>
          <w:szCs w:val="22"/>
        </w:rPr>
        <w:t xml:space="preserve">Further, pursuant to section 233A, during an administration a supplier of essential services may not rely on any provision in the supply contract which purports to allow the supplier, </w:t>
      </w:r>
      <w:r>
        <w:rPr>
          <w:rStyle w:val="legds"/>
          <w:rFonts w:ascii="Arial" w:hAnsi="Arial" w:cs="Arial"/>
          <w:color w:val="767171" w:themeColor="background2" w:themeShade="80"/>
          <w:sz w:val="22"/>
          <w:szCs w:val="22"/>
        </w:rPr>
        <w:t>if the company becomes insolvent</w:t>
      </w:r>
      <w:r>
        <w:rPr>
          <w:rStyle w:val="legds"/>
          <w:rFonts w:ascii="Arial" w:hAnsi="Arial" w:cs="Arial"/>
          <w:color w:val="767171" w:themeColor="background2" w:themeShade="80"/>
          <w:sz w:val="22"/>
          <w:szCs w:val="22"/>
        </w:rPr>
        <w:t>, to cease supply or alter the terms of supply (e.g. higher rates or faster payment terms).</w:t>
      </w: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6F36B044" w14:textId="20150EB3" w:rsidR="00AA7FA2" w:rsidRDefault="00AA7FA2" w:rsidP="00AA7FA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 liquidation, distribution payments are prioritised as follows (in descending order):</w:t>
      </w:r>
    </w:p>
    <w:p w14:paraId="53A3E4EB" w14:textId="42FE6C02" w:rsidR="00AA7FA2" w:rsidRPr="00AA7FA2" w:rsidRDefault="00AA7FA2" w:rsidP="00AA7FA2">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expenses of winding up, pursuant to section 115 </w:t>
      </w:r>
      <w:r w:rsidRPr="00FE0810">
        <w:rPr>
          <w:rFonts w:ascii="Arial" w:hAnsi="Arial" w:cs="Arial"/>
          <w:color w:val="767171" w:themeColor="background2" w:themeShade="80"/>
          <w:sz w:val="22"/>
          <w:szCs w:val="22"/>
          <w:lang w:val="en-GB"/>
        </w:rPr>
        <w:t>of the Insolvency Act 1986</w:t>
      </w:r>
      <w:r>
        <w:rPr>
          <w:rFonts w:ascii="Arial" w:hAnsi="Arial" w:cs="Arial"/>
          <w:color w:val="767171" w:themeColor="background2" w:themeShade="80"/>
          <w:sz w:val="22"/>
          <w:szCs w:val="22"/>
          <w:lang w:val="en-GB"/>
        </w:rPr>
        <w:t xml:space="preserve"> and </w:t>
      </w:r>
      <w:r w:rsidRPr="00ED3FC1">
        <w:rPr>
          <w:rFonts w:ascii="Arial" w:hAnsi="Arial" w:cs="Arial"/>
          <w:color w:val="767171" w:themeColor="background2" w:themeShade="80"/>
          <w:sz w:val="22"/>
          <w:szCs w:val="22"/>
          <w:lang w:val="en-GB"/>
        </w:rPr>
        <w:t>Rule</w:t>
      </w:r>
      <w:r>
        <w:rPr>
          <w:rFonts w:ascii="Arial" w:hAnsi="Arial" w:cs="Arial"/>
          <w:color w:val="767171" w:themeColor="background2" w:themeShade="80"/>
          <w:sz w:val="22"/>
          <w:szCs w:val="22"/>
          <w:lang w:val="en-GB"/>
        </w:rPr>
        <w:t>s</w:t>
      </w:r>
      <w:r w:rsidRPr="00ED3FC1">
        <w:rPr>
          <w:rFonts w:ascii="Arial" w:hAnsi="Arial" w:cs="Arial"/>
          <w:color w:val="767171" w:themeColor="background2" w:themeShade="80"/>
          <w:sz w:val="22"/>
          <w:szCs w:val="22"/>
          <w:lang w:val="en-GB"/>
        </w:rPr>
        <w:t xml:space="preserve"> </w:t>
      </w:r>
      <w:r>
        <w:rPr>
          <w:rFonts w:ascii="Arial" w:hAnsi="Arial" w:cs="Arial"/>
          <w:color w:val="767171" w:themeColor="background2" w:themeShade="80"/>
          <w:sz w:val="22"/>
          <w:szCs w:val="22"/>
          <w:lang w:val="en-GB"/>
        </w:rPr>
        <w:t>6.42 and 7.108</w:t>
      </w:r>
      <w:r w:rsidRPr="00ED3FC1">
        <w:rPr>
          <w:rFonts w:ascii="Arial" w:hAnsi="Arial" w:cs="Arial"/>
          <w:color w:val="767171" w:themeColor="background2" w:themeShade="80"/>
          <w:sz w:val="22"/>
          <w:szCs w:val="22"/>
          <w:lang w:val="en-GB"/>
        </w:rPr>
        <w:t xml:space="preserve"> of the Insolvency Rules 2016</w:t>
      </w:r>
      <w:r>
        <w:rPr>
          <w:rFonts w:ascii="Arial" w:hAnsi="Arial" w:cs="Arial"/>
          <w:color w:val="767171" w:themeColor="background2" w:themeShade="80"/>
          <w:sz w:val="22"/>
          <w:szCs w:val="22"/>
          <w:lang w:val="en-GB"/>
        </w:rPr>
        <w:t>, in the following order:</w:t>
      </w:r>
    </w:p>
    <w:p w14:paraId="358270F4" w14:textId="1BA00BA3" w:rsidR="00AA7FA2" w:rsidRPr="00AA7FA2" w:rsidRDefault="009A37A2" w:rsidP="00AA7FA2">
      <w:pPr>
        <w:pStyle w:val="ListParagraph"/>
        <w:numPr>
          <w:ilvl w:val="1"/>
          <w:numId w:val="23"/>
        </w:numPr>
        <w:jc w:val="both"/>
        <w:rPr>
          <w:rFonts w:ascii="Arial" w:hAnsi="Arial" w:cs="Arial"/>
          <w:color w:val="7B7B7B" w:themeColor="accent3" w:themeShade="BF"/>
          <w:sz w:val="22"/>
          <w:szCs w:val="22"/>
          <w:lang w:val="en-GB"/>
        </w:rPr>
      </w:pPr>
      <w:r>
        <w:rPr>
          <w:rFonts w:ascii="Arial" w:hAnsi="Arial" w:cs="Arial"/>
          <w:color w:val="767171" w:themeColor="background2" w:themeShade="80"/>
          <w:sz w:val="22"/>
          <w:szCs w:val="22"/>
          <w:lang w:val="en-GB"/>
        </w:rPr>
        <w:t xml:space="preserve">the </w:t>
      </w:r>
      <w:r w:rsidR="00AA7FA2">
        <w:rPr>
          <w:rFonts w:ascii="Arial" w:hAnsi="Arial" w:cs="Arial"/>
          <w:color w:val="767171" w:themeColor="background2" w:themeShade="80"/>
          <w:sz w:val="22"/>
          <w:szCs w:val="22"/>
          <w:lang w:val="en-GB"/>
        </w:rPr>
        <w:t>liquidator’s expenses in preserving, collecting and realising assets of the company (including the costs of the conduct of legal proceedings);</w:t>
      </w:r>
    </w:p>
    <w:p w14:paraId="18094DFC" w14:textId="2964B07C" w:rsidR="009A37A2" w:rsidRPr="009A37A2" w:rsidRDefault="009A37A2" w:rsidP="00AA7FA2">
      <w:pPr>
        <w:pStyle w:val="ListParagraph"/>
        <w:numPr>
          <w:ilvl w:val="1"/>
          <w:numId w:val="23"/>
        </w:numPr>
        <w:jc w:val="both"/>
        <w:rPr>
          <w:rFonts w:ascii="Arial" w:hAnsi="Arial" w:cs="Arial"/>
          <w:color w:val="7B7B7B" w:themeColor="accent3" w:themeShade="BF"/>
          <w:sz w:val="22"/>
          <w:szCs w:val="22"/>
          <w:lang w:val="en-GB"/>
        </w:rPr>
      </w:pPr>
      <w:r>
        <w:rPr>
          <w:rFonts w:ascii="Arial" w:hAnsi="Arial" w:cs="Arial"/>
          <w:color w:val="767171" w:themeColor="background2" w:themeShade="80"/>
          <w:sz w:val="22"/>
          <w:szCs w:val="22"/>
          <w:lang w:val="en-GB"/>
        </w:rPr>
        <w:t xml:space="preserve">the liquidator’s </w:t>
      </w:r>
      <w:r w:rsidR="00D812C9">
        <w:rPr>
          <w:rFonts w:ascii="Arial" w:hAnsi="Arial" w:cs="Arial"/>
          <w:color w:val="767171" w:themeColor="background2" w:themeShade="80"/>
          <w:sz w:val="22"/>
          <w:szCs w:val="22"/>
          <w:lang w:val="en-GB"/>
        </w:rPr>
        <w:t>expenses for</w:t>
      </w:r>
      <w:r>
        <w:rPr>
          <w:rFonts w:ascii="Arial" w:hAnsi="Arial" w:cs="Arial"/>
          <w:color w:val="767171" w:themeColor="background2" w:themeShade="80"/>
          <w:sz w:val="22"/>
          <w:szCs w:val="22"/>
          <w:lang w:val="en-GB"/>
        </w:rPr>
        <w:t xml:space="preserve"> any security furnished;</w:t>
      </w:r>
    </w:p>
    <w:p w14:paraId="661F0C05" w14:textId="507361CB" w:rsidR="00D812C9" w:rsidRPr="00D812C9" w:rsidRDefault="00D812C9" w:rsidP="00AA7FA2">
      <w:pPr>
        <w:pStyle w:val="ListParagraph"/>
        <w:numPr>
          <w:ilvl w:val="1"/>
          <w:numId w:val="23"/>
        </w:numPr>
        <w:jc w:val="both"/>
        <w:rPr>
          <w:rFonts w:ascii="Arial" w:hAnsi="Arial" w:cs="Arial"/>
          <w:color w:val="7B7B7B" w:themeColor="accent3" w:themeShade="BF"/>
          <w:sz w:val="22"/>
          <w:szCs w:val="22"/>
          <w:lang w:val="en-GB"/>
        </w:rPr>
      </w:pPr>
      <w:r>
        <w:rPr>
          <w:rFonts w:ascii="Arial" w:hAnsi="Arial" w:cs="Arial"/>
          <w:color w:val="767171" w:themeColor="background2" w:themeShade="80"/>
          <w:sz w:val="22"/>
          <w:szCs w:val="22"/>
          <w:lang w:val="en-GB"/>
        </w:rPr>
        <w:t>fees incurred to assist in the preparation of the Statement of Affairs and any accounts;</w:t>
      </w:r>
    </w:p>
    <w:p w14:paraId="37EF917E" w14:textId="65E400B0" w:rsidR="00AA7FA2" w:rsidRPr="00D812C9" w:rsidRDefault="00D812C9" w:rsidP="00AA7FA2">
      <w:pPr>
        <w:pStyle w:val="ListParagraph"/>
        <w:numPr>
          <w:ilvl w:val="1"/>
          <w:numId w:val="23"/>
        </w:numPr>
        <w:jc w:val="both"/>
        <w:rPr>
          <w:rFonts w:ascii="Arial" w:hAnsi="Arial" w:cs="Arial"/>
          <w:color w:val="7B7B7B" w:themeColor="accent3" w:themeShade="BF"/>
          <w:sz w:val="22"/>
          <w:szCs w:val="22"/>
          <w:lang w:val="en-GB"/>
        </w:rPr>
      </w:pPr>
      <w:r>
        <w:rPr>
          <w:rFonts w:ascii="Arial" w:hAnsi="Arial" w:cs="Arial"/>
          <w:color w:val="767171" w:themeColor="background2" w:themeShade="80"/>
          <w:sz w:val="22"/>
          <w:szCs w:val="22"/>
          <w:lang w:val="en-GB"/>
        </w:rPr>
        <w:t>the liquidator’s disbursements</w:t>
      </w:r>
      <w:r w:rsidR="009A37A2">
        <w:rPr>
          <w:rFonts w:ascii="Arial" w:hAnsi="Arial" w:cs="Arial"/>
          <w:color w:val="767171" w:themeColor="background2" w:themeShade="80"/>
          <w:sz w:val="22"/>
          <w:szCs w:val="22"/>
          <w:lang w:val="en-GB"/>
        </w:rPr>
        <w:t xml:space="preserve"> </w:t>
      </w:r>
      <w:r>
        <w:rPr>
          <w:rFonts w:ascii="Arial" w:hAnsi="Arial" w:cs="Arial"/>
          <w:color w:val="767171" w:themeColor="background2" w:themeShade="80"/>
          <w:sz w:val="22"/>
          <w:szCs w:val="22"/>
          <w:lang w:val="en-GB"/>
        </w:rPr>
        <w:t>(e.g. liquidation committee members’ expenses);</w:t>
      </w:r>
    </w:p>
    <w:p w14:paraId="76FB5951" w14:textId="5616498F" w:rsidR="00D812C9" w:rsidRPr="00D812C9" w:rsidRDefault="00D812C9" w:rsidP="00AA7FA2">
      <w:pPr>
        <w:pStyle w:val="ListParagraph"/>
        <w:numPr>
          <w:ilvl w:val="1"/>
          <w:numId w:val="23"/>
        </w:numPr>
        <w:jc w:val="both"/>
        <w:rPr>
          <w:rFonts w:ascii="Arial" w:hAnsi="Arial" w:cs="Arial"/>
          <w:color w:val="7B7B7B" w:themeColor="accent3" w:themeShade="BF"/>
          <w:sz w:val="22"/>
          <w:szCs w:val="22"/>
          <w:lang w:val="en-GB"/>
        </w:rPr>
      </w:pPr>
      <w:r>
        <w:rPr>
          <w:rFonts w:ascii="Arial" w:hAnsi="Arial" w:cs="Arial"/>
          <w:color w:val="767171" w:themeColor="background2" w:themeShade="80"/>
          <w:sz w:val="22"/>
          <w:szCs w:val="22"/>
          <w:lang w:val="en-GB"/>
        </w:rPr>
        <w:t>the remuneration of anyone employed by the liquidator to provide services to the company;</w:t>
      </w:r>
    </w:p>
    <w:p w14:paraId="3010DB53" w14:textId="276D8C5C" w:rsidR="00D812C9" w:rsidRPr="00D812C9" w:rsidRDefault="00D812C9" w:rsidP="00AA7FA2">
      <w:pPr>
        <w:pStyle w:val="ListParagraph"/>
        <w:numPr>
          <w:ilvl w:val="1"/>
          <w:numId w:val="23"/>
        </w:numPr>
        <w:jc w:val="both"/>
        <w:rPr>
          <w:rFonts w:ascii="Arial" w:hAnsi="Arial" w:cs="Arial"/>
          <w:color w:val="7B7B7B" w:themeColor="accent3" w:themeShade="BF"/>
          <w:sz w:val="22"/>
          <w:szCs w:val="22"/>
          <w:lang w:val="en-GB"/>
        </w:rPr>
      </w:pPr>
      <w:r>
        <w:rPr>
          <w:rFonts w:ascii="Arial" w:hAnsi="Arial" w:cs="Arial"/>
          <w:color w:val="767171" w:themeColor="background2" w:themeShade="80"/>
          <w:sz w:val="22"/>
          <w:szCs w:val="22"/>
          <w:lang w:val="en-GB"/>
        </w:rPr>
        <w:t>the liquidator’s remuneration;</w:t>
      </w:r>
    </w:p>
    <w:p w14:paraId="30AE6137" w14:textId="476C8E07" w:rsidR="00D812C9" w:rsidRPr="00D812C9" w:rsidRDefault="00D812C9" w:rsidP="00AA7FA2">
      <w:pPr>
        <w:pStyle w:val="ListParagraph"/>
        <w:numPr>
          <w:ilvl w:val="1"/>
          <w:numId w:val="23"/>
        </w:numPr>
        <w:jc w:val="both"/>
        <w:rPr>
          <w:rFonts w:ascii="Arial" w:hAnsi="Arial" w:cs="Arial"/>
          <w:color w:val="7B7B7B" w:themeColor="accent3" w:themeShade="BF"/>
          <w:sz w:val="22"/>
          <w:szCs w:val="22"/>
          <w:lang w:val="en-GB"/>
        </w:rPr>
      </w:pPr>
      <w:r>
        <w:rPr>
          <w:rFonts w:ascii="Arial" w:hAnsi="Arial" w:cs="Arial"/>
          <w:color w:val="767171" w:themeColor="background2" w:themeShade="80"/>
          <w:sz w:val="22"/>
          <w:szCs w:val="22"/>
          <w:lang w:val="en-GB"/>
        </w:rPr>
        <w:t>tax owing for any taxable gains on the realisation of the company’s assets;</w:t>
      </w:r>
      <w:r w:rsidR="00225DA2">
        <w:rPr>
          <w:rFonts w:ascii="Arial" w:hAnsi="Arial" w:cs="Arial"/>
          <w:color w:val="767171" w:themeColor="background2" w:themeShade="80"/>
          <w:sz w:val="22"/>
          <w:szCs w:val="22"/>
          <w:lang w:val="en-GB"/>
        </w:rPr>
        <w:t xml:space="preserve"> and</w:t>
      </w:r>
    </w:p>
    <w:p w14:paraId="145FE77F" w14:textId="44829144" w:rsidR="00D812C9" w:rsidRPr="00D812C9" w:rsidRDefault="00D812C9" w:rsidP="00D812C9">
      <w:pPr>
        <w:pStyle w:val="ListParagraph"/>
        <w:numPr>
          <w:ilvl w:val="1"/>
          <w:numId w:val="23"/>
        </w:numPr>
        <w:jc w:val="both"/>
        <w:rPr>
          <w:rFonts w:ascii="Arial" w:hAnsi="Arial" w:cs="Arial"/>
          <w:color w:val="7B7B7B" w:themeColor="accent3" w:themeShade="BF"/>
          <w:sz w:val="22"/>
          <w:szCs w:val="22"/>
          <w:lang w:val="en-GB"/>
        </w:rPr>
      </w:pPr>
      <w:r>
        <w:rPr>
          <w:rFonts w:ascii="Arial" w:hAnsi="Arial" w:cs="Arial"/>
          <w:color w:val="767171" w:themeColor="background2" w:themeShade="80"/>
          <w:sz w:val="22"/>
          <w:szCs w:val="22"/>
          <w:lang w:val="en-GB"/>
        </w:rPr>
        <w:t>any other expenses properly incurred by the liquidator;</w:t>
      </w:r>
    </w:p>
    <w:p w14:paraId="64743357" w14:textId="68B4C167" w:rsidR="00AA7FA2" w:rsidRDefault="000366C6" w:rsidP="00AA7FA2">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preferential creditors, whose priority cannot be altered by the administrator and who take priority before any payment may be made to holders of floating charges or unsecured creditors, divided into ordinary preferential debt and secondary preferential debt</w:t>
      </w:r>
      <w:r w:rsidR="006868CF">
        <w:rPr>
          <w:rFonts w:ascii="Arial" w:hAnsi="Arial" w:cs="Arial"/>
          <w:color w:val="7B7B7B" w:themeColor="accent3" w:themeShade="BF"/>
          <w:sz w:val="22"/>
          <w:szCs w:val="22"/>
          <w:lang w:val="en-GB"/>
        </w:rPr>
        <w:t>, including</w:t>
      </w:r>
      <w:r w:rsidR="00F73609">
        <w:rPr>
          <w:rFonts w:ascii="Arial" w:hAnsi="Arial" w:cs="Arial"/>
          <w:color w:val="7B7B7B" w:themeColor="accent3" w:themeShade="BF"/>
          <w:sz w:val="22"/>
          <w:szCs w:val="22"/>
          <w:lang w:val="en-GB"/>
        </w:rPr>
        <w:t>:</w:t>
      </w:r>
    </w:p>
    <w:p w14:paraId="5C369B10" w14:textId="22F1DA59" w:rsidR="000366C6" w:rsidRDefault="006868CF" w:rsidP="000366C6">
      <w:pPr>
        <w:pStyle w:val="ListParagraph"/>
        <w:numPr>
          <w:ilvl w:val="1"/>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sums owing in respect of occupational pension scheme (both the employer’s contributions for a period of 12 months prior to the commencement of the winding up and any employee contributions deducted but not paid for a period of 4 months prior to such commencement)</w:t>
      </w:r>
      <w:r w:rsidR="003C2E08">
        <w:rPr>
          <w:rFonts w:ascii="Arial" w:hAnsi="Arial" w:cs="Arial"/>
          <w:color w:val="7B7B7B" w:themeColor="accent3" w:themeShade="BF"/>
          <w:sz w:val="22"/>
          <w:szCs w:val="22"/>
          <w:lang w:val="en-GB"/>
        </w:rPr>
        <w:t xml:space="preserve"> (</w:t>
      </w:r>
      <w:r w:rsidR="003C2E08">
        <w:rPr>
          <w:rFonts w:ascii="Arial" w:hAnsi="Arial" w:cs="Arial"/>
          <w:color w:val="7B7B7B" w:themeColor="accent3" w:themeShade="BF"/>
          <w:sz w:val="22"/>
          <w:szCs w:val="22"/>
          <w:lang w:val="en-GB"/>
        </w:rPr>
        <w:t>ordinary preferential debt</w:t>
      </w:r>
      <w:r w:rsidR="003C2E08">
        <w:rPr>
          <w:rFonts w:ascii="Arial" w:hAnsi="Arial" w:cs="Arial"/>
          <w:color w:val="7B7B7B" w:themeColor="accent3" w:themeShade="BF"/>
          <w:sz w:val="22"/>
          <w:szCs w:val="22"/>
          <w:lang w:val="en-GB"/>
        </w:rPr>
        <w:t>);</w:t>
      </w:r>
    </w:p>
    <w:p w14:paraId="33487DA6" w14:textId="6A2B68B1" w:rsidR="00DC1B26" w:rsidRDefault="00DC1B26" w:rsidP="000366C6">
      <w:pPr>
        <w:pStyle w:val="ListParagraph"/>
        <w:numPr>
          <w:ilvl w:val="1"/>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employee remuneration owed for up to four months prior to commencement and capped at £800</w:t>
      </w:r>
      <w:r w:rsidR="00F73609">
        <w:rPr>
          <w:rFonts w:ascii="Arial" w:hAnsi="Arial" w:cs="Arial"/>
          <w:color w:val="7B7B7B" w:themeColor="accent3" w:themeShade="BF"/>
          <w:sz w:val="22"/>
          <w:szCs w:val="22"/>
          <w:lang w:val="en-GB"/>
        </w:rPr>
        <w:t>, all accrued holiday remuneration</w:t>
      </w:r>
      <w:r w:rsidR="003C2E08">
        <w:rPr>
          <w:rFonts w:ascii="Arial" w:hAnsi="Arial" w:cs="Arial"/>
          <w:color w:val="7B7B7B" w:themeColor="accent3" w:themeShade="BF"/>
          <w:sz w:val="22"/>
          <w:szCs w:val="22"/>
          <w:lang w:val="en-GB"/>
        </w:rPr>
        <w:t xml:space="preserve"> </w:t>
      </w:r>
      <w:r w:rsidR="003C2E08">
        <w:rPr>
          <w:rFonts w:ascii="Arial" w:hAnsi="Arial" w:cs="Arial"/>
          <w:color w:val="7B7B7B" w:themeColor="accent3" w:themeShade="BF"/>
          <w:sz w:val="22"/>
          <w:szCs w:val="22"/>
          <w:lang w:val="en-GB"/>
        </w:rPr>
        <w:t>(ordinary preferential debt);</w:t>
      </w:r>
    </w:p>
    <w:p w14:paraId="6D01C012" w14:textId="1C188E08" w:rsidR="00DC1B26" w:rsidRDefault="00F73609" w:rsidP="000366C6">
      <w:pPr>
        <w:pStyle w:val="ListParagraph"/>
        <w:numPr>
          <w:ilvl w:val="1"/>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loan funds used to pay employee remuneration and holiday remuneration</w:t>
      </w:r>
      <w:r w:rsidR="003B3D86">
        <w:rPr>
          <w:rFonts w:ascii="Arial" w:hAnsi="Arial" w:cs="Arial"/>
          <w:color w:val="7B7B7B" w:themeColor="accent3" w:themeShade="BF"/>
          <w:sz w:val="22"/>
          <w:szCs w:val="22"/>
          <w:lang w:val="en-GB"/>
        </w:rPr>
        <w:t xml:space="preserve"> </w:t>
      </w:r>
      <w:r w:rsidR="003B3D86">
        <w:rPr>
          <w:rFonts w:ascii="Arial" w:hAnsi="Arial" w:cs="Arial"/>
          <w:color w:val="7B7B7B" w:themeColor="accent3" w:themeShade="BF"/>
          <w:sz w:val="22"/>
          <w:szCs w:val="22"/>
          <w:lang w:val="en-GB"/>
        </w:rPr>
        <w:t>(ordinary preferential debt);</w:t>
      </w:r>
    </w:p>
    <w:p w14:paraId="52C073ED" w14:textId="72A1C9EC" w:rsidR="00F73609" w:rsidRDefault="00F73609" w:rsidP="000366C6">
      <w:pPr>
        <w:pStyle w:val="ListParagraph"/>
        <w:numPr>
          <w:ilvl w:val="1"/>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treaty levies owing pursuant to the European Coal and Steel Community Treaty</w:t>
      </w:r>
      <w:r w:rsidR="003B3D86">
        <w:rPr>
          <w:rFonts w:ascii="Arial" w:hAnsi="Arial" w:cs="Arial"/>
          <w:color w:val="7B7B7B" w:themeColor="accent3" w:themeShade="BF"/>
          <w:sz w:val="22"/>
          <w:szCs w:val="22"/>
          <w:lang w:val="en-GB"/>
        </w:rPr>
        <w:t xml:space="preserve"> </w:t>
      </w:r>
      <w:r w:rsidR="003B3D86">
        <w:rPr>
          <w:rFonts w:ascii="Arial" w:hAnsi="Arial" w:cs="Arial"/>
          <w:color w:val="7B7B7B" w:themeColor="accent3" w:themeShade="BF"/>
          <w:sz w:val="22"/>
          <w:szCs w:val="22"/>
          <w:lang w:val="en-GB"/>
        </w:rPr>
        <w:t>(ordinary preferential debt);</w:t>
      </w:r>
    </w:p>
    <w:p w14:paraId="35AB407D" w14:textId="3AA6D878" w:rsidR="00F73609" w:rsidRDefault="00F73609" w:rsidP="000366C6">
      <w:pPr>
        <w:pStyle w:val="ListParagraph"/>
        <w:numPr>
          <w:ilvl w:val="1"/>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statutory payments pursuant to the Reserve Forces (Safeguard of Employment) Act 1985</w:t>
      </w:r>
      <w:r w:rsidR="003B3D86">
        <w:rPr>
          <w:rFonts w:ascii="Arial" w:hAnsi="Arial" w:cs="Arial"/>
          <w:color w:val="7B7B7B" w:themeColor="accent3" w:themeShade="BF"/>
          <w:sz w:val="22"/>
          <w:szCs w:val="22"/>
          <w:lang w:val="en-GB"/>
        </w:rPr>
        <w:t xml:space="preserve"> </w:t>
      </w:r>
      <w:r w:rsidR="003B3D86">
        <w:rPr>
          <w:rFonts w:ascii="Arial" w:hAnsi="Arial" w:cs="Arial"/>
          <w:color w:val="7B7B7B" w:themeColor="accent3" w:themeShade="BF"/>
          <w:sz w:val="22"/>
          <w:szCs w:val="22"/>
          <w:lang w:val="en-GB"/>
        </w:rPr>
        <w:t>(ordinary preferential debt);</w:t>
      </w:r>
    </w:p>
    <w:p w14:paraId="7C9D15A5" w14:textId="228765EB" w:rsidR="003C2E08" w:rsidRDefault="003C2E08" w:rsidP="000366C6">
      <w:pPr>
        <w:pStyle w:val="ListParagraph"/>
        <w:numPr>
          <w:ilvl w:val="1"/>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respect of financial institutions which have become insolvent, payments made to depositors by the Financial Services Compensation Scheme</w:t>
      </w:r>
      <w:r w:rsidR="003B3D86">
        <w:rPr>
          <w:rFonts w:ascii="Arial" w:hAnsi="Arial" w:cs="Arial"/>
          <w:color w:val="7B7B7B" w:themeColor="accent3" w:themeShade="BF"/>
          <w:sz w:val="22"/>
          <w:szCs w:val="22"/>
          <w:lang w:val="en-GB"/>
        </w:rPr>
        <w:t xml:space="preserve"> </w:t>
      </w:r>
      <w:r w:rsidR="003B3D86">
        <w:rPr>
          <w:rFonts w:ascii="Arial" w:hAnsi="Arial" w:cs="Arial"/>
          <w:color w:val="7B7B7B" w:themeColor="accent3" w:themeShade="BF"/>
          <w:sz w:val="22"/>
          <w:szCs w:val="22"/>
          <w:lang w:val="en-GB"/>
        </w:rPr>
        <w:t xml:space="preserve">(ordinary </w:t>
      </w:r>
      <w:r w:rsidR="003B3D86">
        <w:rPr>
          <w:rFonts w:ascii="Arial" w:hAnsi="Arial" w:cs="Arial"/>
          <w:color w:val="7B7B7B" w:themeColor="accent3" w:themeShade="BF"/>
          <w:sz w:val="22"/>
          <w:szCs w:val="22"/>
          <w:lang w:val="en-GB"/>
        </w:rPr>
        <w:t xml:space="preserve">and secondary </w:t>
      </w:r>
      <w:r w:rsidR="003B3D86">
        <w:rPr>
          <w:rFonts w:ascii="Arial" w:hAnsi="Arial" w:cs="Arial"/>
          <w:color w:val="7B7B7B" w:themeColor="accent3" w:themeShade="BF"/>
          <w:sz w:val="22"/>
          <w:szCs w:val="22"/>
          <w:lang w:val="en-GB"/>
        </w:rPr>
        <w:t>preferential debt);</w:t>
      </w:r>
      <w:r w:rsidR="00225DA2">
        <w:rPr>
          <w:rFonts w:ascii="Arial" w:hAnsi="Arial" w:cs="Arial"/>
          <w:color w:val="7B7B7B" w:themeColor="accent3" w:themeShade="BF"/>
          <w:sz w:val="22"/>
          <w:szCs w:val="22"/>
          <w:lang w:val="en-GB"/>
        </w:rPr>
        <w:t xml:space="preserve"> and</w:t>
      </w:r>
    </w:p>
    <w:p w14:paraId="12C9717D" w14:textId="19D6F811" w:rsidR="003C2E08" w:rsidRDefault="003C2E08" w:rsidP="003B3D86">
      <w:pPr>
        <w:pStyle w:val="ListParagraph"/>
        <w:numPr>
          <w:ilvl w:val="1"/>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certain debts owing to Her Majesty’s Revenue and Customs such as income tax deductions, national insurance deductions, VAT payments etc (i.e. the Crown preference</w:t>
      </w:r>
      <w:r w:rsidR="003B3D86">
        <w:rPr>
          <w:rFonts w:ascii="Arial" w:hAnsi="Arial" w:cs="Arial"/>
          <w:color w:val="7B7B7B" w:themeColor="accent3" w:themeShade="BF"/>
          <w:sz w:val="22"/>
          <w:szCs w:val="22"/>
          <w:lang w:val="en-GB"/>
        </w:rPr>
        <w:t xml:space="preserve">, a </w:t>
      </w:r>
      <w:r w:rsidR="003B3D86">
        <w:rPr>
          <w:rFonts w:ascii="Arial" w:hAnsi="Arial" w:cs="Arial"/>
          <w:color w:val="7B7B7B" w:themeColor="accent3" w:themeShade="BF"/>
          <w:sz w:val="22"/>
          <w:szCs w:val="22"/>
          <w:lang w:val="en-GB"/>
        </w:rPr>
        <w:t>secondary preferential debt);</w:t>
      </w:r>
    </w:p>
    <w:p w14:paraId="02930B3D" w14:textId="49A084BB" w:rsidR="00225DA2" w:rsidRPr="00225DA2" w:rsidRDefault="007B7CE9" w:rsidP="00225DA2">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floating charge holders</w:t>
      </w:r>
      <w:r w:rsidR="00225DA2">
        <w:rPr>
          <w:rFonts w:ascii="Arial" w:hAnsi="Arial" w:cs="Arial"/>
          <w:color w:val="7B7B7B" w:themeColor="accent3" w:themeShade="BF"/>
          <w:sz w:val="22"/>
          <w:szCs w:val="22"/>
          <w:lang w:val="en-GB"/>
        </w:rPr>
        <w:t xml:space="preserve">, with priority between them usually determined based on which charge was created first and any floating charge created on or after 15 September 2003 subject to a “prescribed part” of the company’s net property for unsecured creditors pursuant to section 176A of </w:t>
      </w:r>
      <w:r w:rsidR="00225DA2" w:rsidRPr="00FE0810">
        <w:rPr>
          <w:rFonts w:ascii="Arial" w:hAnsi="Arial" w:cs="Arial"/>
          <w:color w:val="767171" w:themeColor="background2" w:themeShade="80"/>
          <w:sz w:val="22"/>
          <w:szCs w:val="22"/>
          <w:lang w:val="en-GB"/>
        </w:rPr>
        <w:t>the Insolvency Act 1986</w:t>
      </w:r>
      <w:r w:rsidR="00225DA2">
        <w:rPr>
          <w:rFonts w:ascii="Arial" w:hAnsi="Arial" w:cs="Arial"/>
          <w:color w:val="767171" w:themeColor="background2" w:themeShade="80"/>
          <w:sz w:val="22"/>
          <w:szCs w:val="22"/>
          <w:lang w:val="en-GB"/>
        </w:rPr>
        <w:t>; and</w:t>
      </w:r>
    </w:p>
    <w:p w14:paraId="3DAA6780" w14:textId="535917E5" w:rsidR="00962045" w:rsidRPr="000070F6" w:rsidRDefault="00225DA2" w:rsidP="000070F6">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67171" w:themeColor="background2" w:themeShade="80"/>
          <w:sz w:val="22"/>
          <w:szCs w:val="22"/>
          <w:lang w:val="en-GB"/>
        </w:rPr>
        <w:t>unsecured creditors.</w:t>
      </w: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proofErr w:type="spellStart"/>
      <w:r w:rsidR="00891690">
        <w:rPr>
          <w:rFonts w:ascii="Arial" w:hAnsi="Arial" w:cs="Arial"/>
        </w:rPr>
        <w:t>Corfee</w:t>
      </w:r>
      <w:proofErr w:type="spellEnd"/>
      <w:r w:rsidR="00891690">
        <w:rPr>
          <w:rFonts w:ascii="Arial" w:hAnsi="Arial" w:cs="Arial"/>
        </w:rPr>
        <w:t xml:space="preserv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w:t>
      </w:r>
      <w:proofErr w:type="spellStart"/>
      <w:r w:rsidR="0070524B">
        <w:rPr>
          <w:rFonts w:ascii="Arial" w:hAnsi="Arial" w:cs="Arial"/>
        </w:rPr>
        <w:t>authorised</w:t>
      </w:r>
      <w:proofErr w:type="spellEnd"/>
      <w:r w:rsidR="0070524B">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0A188A55" w14:textId="75D8CF39" w:rsidR="00FF5098" w:rsidRDefault="00117213"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issue in respect of </w:t>
      </w: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Bank plc is whether the debenture granted by the Company to the Bank containing a floating charge over the whole of the Company’s undertaking was a preference.</w:t>
      </w:r>
    </w:p>
    <w:p w14:paraId="1992C182" w14:textId="2E165F2F" w:rsidR="00117213" w:rsidRDefault="00117213" w:rsidP="00FF5098">
      <w:pPr>
        <w:jc w:val="both"/>
        <w:rPr>
          <w:rFonts w:ascii="Arial" w:hAnsi="Arial" w:cs="Arial"/>
          <w:color w:val="7B7B7B" w:themeColor="accent3" w:themeShade="BF"/>
          <w:sz w:val="22"/>
          <w:szCs w:val="22"/>
          <w:lang w:val="en-GB"/>
        </w:rPr>
      </w:pPr>
    </w:p>
    <w:p w14:paraId="11534D66" w14:textId="1E9AC696" w:rsidR="00117213" w:rsidRDefault="00117213" w:rsidP="00117213">
      <w:pPr>
        <w:jc w:val="both"/>
        <w:rPr>
          <w:rFonts w:ascii="Arial" w:hAnsi="Arial" w:cs="Arial"/>
          <w:color w:val="767171" w:themeColor="background2" w:themeShade="80"/>
          <w:sz w:val="22"/>
          <w:szCs w:val="22"/>
          <w:lang w:val="en-GB"/>
        </w:rPr>
      </w:pPr>
      <w:r w:rsidRPr="00117213">
        <w:rPr>
          <w:rFonts w:ascii="Arial" w:hAnsi="Arial" w:cs="Arial"/>
          <w:color w:val="767171" w:themeColor="background2" w:themeShade="80"/>
          <w:sz w:val="22"/>
          <w:szCs w:val="22"/>
          <w:lang w:val="en-GB"/>
        </w:rPr>
        <w:t xml:space="preserve">Pursuant to section 239(4) of the </w:t>
      </w:r>
      <w:r w:rsidRPr="00117213">
        <w:rPr>
          <w:rFonts w:ascii="Arial" w:hAnsi="Arial" w:cs="Arial"/>
          <w:color w:val="767171" w:themeColor="background2" w:themeShade="80"/>
          <w:sz w:val="22"/>
          <w:szCs w:val="22"/>
          <w:lang w:val="en-GB"/>
        </w:rPr>
        <w:t>Insolvency Act 1986</w:t>
      </w:r>
      <w:r w:rsidRPr="00117213">
        <w:rPr>
          <w:rFonts w:ascii="Arial" w:hAnsi="Arial" w:cs="Arial"/>
          <w:color w:val="767171" w:themeColor="background2" w:themeShade="80"/>
          <w:sz w:val="22"/>
          <w:szCs w:val="22"/>
          <w:lang w:val="en-GB"/>
        </w:rPr>
        <w:t>:</w:t>
      </w:r>
    </w:p>
    <w:p w14:paraId="32C13884" w14:textId="77777777" w:rsidR="00117213" w:rsidRPr="00117213" w:rsidRDefault="00117213" w:rsidP="00117213">
      <w:pPr>
        <w:jc w:val="both"/>
        <w:rPr>
          <w:rFonts w:ascii="Arial" w:hAnsi="Arial" w:cs="Arial"/>
          <w:color w:val="767171" w:themeColor="background2" w:themeShade="80"/>
          <w:sz w:val="22"/>
          <w:szCs w:val="22"/>
          <w:lang w:val="en-GB"/>
        </w:rPr>
      </w:pPr>
    </w:p>
    <w:p w14:paraId="78BE8053" w14:textId="77777777" w:rsidR="00117213" w:rsidRPr="00117213" w:rsidRDefault="00117213" w:rsidP="00117213">
      <w:pPr>
        <w:pStyle w:val="legclearfix"/>
        <w:shd w:val="clear" w:color="auto" w:fill="FFFFFF"/>
        <w:spacing w:before="0" w:beforeAutospacing="0" w:after="120" w:afterAutospacing="0"/>
        <w:ind w:left="720" w:right="720"/>
        <w:rPr>
          <w:rFonts w:ascii="Arial" w:hAnsi="Arial" w:cs="Arial"/>
          <w:i/>
          <w:iCs/>
          <w:color w:val="767171" w:themeColor="background2" w:themeShade="80"/>
          <w:sz w:val="22"/>
          <w:szCs w:val="22"/>
        </w:rPr>
      </w:pPr>
      <w:r w:rsidRPr="00117213">
        <w:rPr>
          <w:rStyle w:val="legds"/>
          <w:rFonts w:ascii="Arial" w:hAnsi="Arial" w:cs="Arial"/>
          <w:i/>
          <w:iCs/>
          <w:color w:val="767171" w:themeColor="background2" w:themeShade="80"/>
          <w:sz w:val="22"/>
          <w:szCs w:val="22"/>
        </w:rPr>
        <w:t>a company gives a preference to a person if—</w:t>
      </w:r>
    </w:p>
    <w:p w14:paraId="60EAB238" w14:textId="26C3F85F" w:rsidR="00117213" w:rsidRPr="00117213" w:rsidRDefault="00117213" w:rsidP="00117213">
      <w:pPr>
        <w:pStyle w:val="legclearfix"/>
        <w:numPr>
          <w:ilvl w:val="0"/>
          <w:numId w:val="24"/>
        </w:numPr>
        <w:shd w:val="clear" w:color="auto" w:fill="FFFFFF"/>
        <w:spacing w:before="0" w:beforeAutospacing="0" w:after="120" w:afterAutospacing="0"/>
        <w:ind w:right="720"/>
        <w:rPr>
          <w:rFonts w:ascii="Arial" w:hAnsi="Arial" w:cs="Arial"/>
          <w:i/>
          <w:iCs/>
          <w:color w:val="767171" w:themeColor="background2" w:themeShade="80"/>
          <w:sz w:val="22"/>
          <w:szCs w:val="22"/>
        </w:rPr>
      </w:pPr>
      <w:r w:rsidRPr="00117213">
        <w:rPr>
          <w:rStyle w:val="legds"/>
          <w:rFonts w:ascii="Arial" w:hAnsi="Arial" w:cs="Arial"/>
          <w:i/>
          <w:iCs/>
          <w:color w:val="767171" w:themeColor="background2" w:themeShade="80"/>
          <w:sz w:val="22"/>
          <w:szCs w:val="22"/>
        </w:rPr>
        <w:t>that person is one of the company’s creditors or a surety or guarantor for any of the company’s debts or other liabilities, and</w:t>
      </w:r>
    </w:p>
    <w:p w14:paraId="2BC887B5" w14:textId="259BB13A" w:rsidR="00117213" w:rsidRPr="00117213" w:rsidRDefault="00117213" w:rsidP="00117213">
      <w:pPr>
        <w:pStyle w:val="legclearfix"/>
        <w:numPr>
          <w:ilvl w:val="0"/>
          <w:numId w:val="24"/>
        </w:numPr>
        <w:shd w:val="clear" w:color="auto" w:fill="FFFFFF"/>
        <w:spacing w:before="0" w:beforeAutospacing="0" w:after="120" w:afterAutospacing="0"/>
        <w:ind w:right="720"/>
        <w:rPr>
          <w:rFonts w:ascii="Arial" w:hAnsi="Arial" w:cs="Arial"/>
          <w:i/>
          <w:iCs/>
          <w:color w:val="767171" w:themeColor="background2" w:themeShade="80"/>
          <w:sz w:val="22"/>
          <w:szCs w:val="22"/>
        </w:rPr>
      </w:pPr>
      <w:r w:rsidRPr="00117213">
        <w:rPr>
          <w:rStyle w:val="legds"/>
          <w:rFonts w:ascii="Arial" w:hAnsi="Arial" w:cs="Arial"/>
          <w:i/>
          <w:iCs/>
          <w:color w:val="767171" w:themeColor="background2" w:themeShade="80"/>
          <w:sz w:val="22"/>
          <w:szCs w:val="22"/>
        </w:rPr>
        <w:t>the company does anything or suffers anything to be done which (in either case) has the effect of putting that person into a position which, in the event of the company going into insolvent liquidation, will be better than the position he would have been in if that thing had not been done.</w:t>
      </w:r>
    </w:p>
    <w:p w14:paraId="27872481" w14:textId="417B62D9" w:rsidR="00117213" w:rsidRDefault="00117213" w:rsidP="00117213">
      <w:pPr>
        <w:jc w:val="both"/>
        <w:rPr>
          <w:rFonts w:ascii="Arial" w:hAnsi="Arial" w:cs="Arial"/>
          <w:color w:val="767171" w:themeColor="background2" w:themeShade="80"/>
          <w:sz w:val="22"/>
          <w:szCs w:val="22"/>
          <w:lang w:val="en-GB"/>
        </w:rPr>
      </w:pPr>
    </w:p>
    <w:p w14:paraId="358BEDF5" w14:textId="1191B1B9" w:rsidR="00A62DC3" w:rsidRDefault="00A62DC3" w:rsidP="00117213">
      <w:pPr>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For the preference to be actionable, it must have occurred within two years prior to the onset of insolvency, which clearly occurred here as the debenture was granted in February 2021 and the winding up order was made in December 2021.</w:t>
      </w:r>
    </w:p>
    <w:p w14:paraId="1D5BB138" w14:textId="61AA6EDC" w:rsidR="00A62DC3" w:rsidRDefault="00A62DC3" w:rsidP="00117213">
      <w:pPr>
        <w:jc w:val="both"/>
        <w:rPr>
          <w:rFonts w:ascii="Arial" w:hAnsi="Arial" w:cs="Arial"/>
          <w:color w:val="767171" w:themeColor="background2" w:themeShade="80"/>
          <w:sz w:val="22"/>
          <w:szCs w:val="22"/>
          <w:lang w:val="en-GB"/>
        </w:rPr>
      </w:pPr>
    </w:p>
    <w:p w14:paraId="74C366AC" w14:textId="38C9C759" w:rsidR="007E2919" w:rsidRPr="00A62DC3" w:rsidRDefault="00A62DC3" w:rsidP="00A62DC3">
      <w:pPr>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 xml:space="preserve">However, the debenture is unlikely to be found to be a preference if, as it appears, the Company was entirely dependent on the Bank for support to continue trading: per Millett J in </w:t>
      </w:r>
      <w:r w:rsidRPr="00A62DC3">
        <w:rPr>
          <w:rFonts w:ascii="Arial" w:hAnsi="Arial" w:cs="Arial"/>
          <w:i/>
          <w:iCs/>
          <w:color w:val="767171" w:themeColor="background2" w:themeShade="80"/>
          <w:sz w:val="22"/>
          <w:szCs w:val="22"/>
          <w:lang w:val="en-GB"/>
        </w:rPr>
        <w:t>MC Bacon Ltd</w:t>
      </w:r>
      <w:r>
        <w:rPr>
          <w:rFonts w:ascii="Arial" w:hAnsi="Arial" w:cs="Arial"/>
          <w:color w:val="767171" w:themeColor="background2" w:themeShade="80"/>
          <w:sz w:val="22"/>
          <w:szCs w:val="22"/>
          <w:lang w:val="en-GB"/>
        </w:rPr>
        <w:t xml:space="preserve"> [1990] BCC 78.</w:t>
      </w: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4B571652" w14:textId="77777777" w:rsidR="00D53017" w:rsidRDefault="007702C2" w:rsidP="007702C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212 of the Insolvency Act 1986 creates a simplified procedure to pursue officers and directors for misfeasance, including actions where they are alleged to have “misapplied, retained or become accountable for money or property of the company</w:t>
      </w:r>
      <w:r w:rsidR="00D53017">
        <w:rPr>
          <w:rFonts w:ascii="Arial" w:hAnsi="Arial" w:cs="Arial"/>
          <w:color w:val="7B7B7B" w:themeColor="accent3" w:themeShade="BF"/>
          <w:sz w:val="22"/>
          <w:szCs w:val="22"/>
          <w:lang w:val="en-GB"/>
        </w:rPr>
        <w:t>” and therefore includes fiduciaries duties to act in the best interest of the company and not to act where the director has a conflict of interest and duty.</w:t>
      </w:r>
    </w:p>
    <w:p w14:paraId="0A4DB837" w14:textId="77777777" w:rsidR="00D53017" w:rsidRDefault="00D53017" w:rsidP="007702C2">
      <w:pPr>
        <w:jc w:val="both"/>
        <w:rPr>
          <w:rFonts w:ascii="Arial" w:hAnsi="Arial" w:cs="Arial"/>
          <w:color w:val="7B7B7B" w:themeColor="accent3" w:themeShade="BF"/>
          <w:sz w:val="22"/>
          <w:szCs w:val="22"/>
          <w:lang w:val="en-GB"/>
        </w:rPr>
      </w:pPr>
    </w:p>
    <w:p w14:paraId="7AEDE530" w14:textId="1E4FCC25" w:rsidR="00311816" w:rsidRDefault="00D53017" w:rsidP="007702C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Likely the sale of the five coffee roasting machines for £10,000 in July 2021, when the Company had already in February 2021 been compelled to grant the Bank a debenture containing a floating charge over the whole of the Company’s undertaking, and the roasting machines had been bought for £25,000 only a year before, raises serious questions about not only the malfeasance of the director who purchase the machines, Ann Young, who appears to have not only breached her fiduciary duties with the sale but also been in a conflict of interest in doing so, but also of the malfeasance by breach of fiduciary duties of the other directors who approved this sale.</w:t>
      </w:r>
    </w:p>
    <w:p w14:paraId="765774FD" w14:textId="14300E0A" w:rsidR="00D53017" w:rsidRDefault="00D53017" w:rsidP="007702C2">
      <w:pPr>
        <w:jc w:val="both"/>
        <w:rPr>
          <w:rFonts w:ascii="Arial" w:hAnsi="Arial" w:cs="Arial"/>
          <w:color w:val="7B7B7B" w:themeColor="accent3" w:themeShade="BF"/>
          <w:sz w:val="22"/>
          <w:szCs w:val="22"/>
          <w:lang w:val="en-GB"/>
        </w:rPr>
      </w:pPr>
    </w:p>
    <w:p w14:paraId="1297607D" w14:textId="729295D5" w:rsidR="00D53017" w:rsidRDefault="00D53017" w:rsidP="007702C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212 proceedings may be brought by the liquidator, the Official Receiver and any creditor, and we would recommend that the </w:t>
      </w:r>
      <w:proofErr w:type="spellStart"/>
      <w:r>
        <w:rPr>
          <w:rFonts w:ascii="Arial" w:hAnsi="Arial" w:cs="Arial"/>
          <w:color w:val="7B7B7B" w:themeColor="accent3" w:themeShade="BF"/>
          <w:sz w:val="22"/>
          <w:szCs w:val="22"/>
          <w:lang w:val="en-GB"/>
        </w:rPr>
        <w:t>lliquidator</w:t>
      </w:r>
      <w:proofErr w:type="spellEnd"/>
      <w:r>
        <w:rPr>
          <w:rFonts w:ascii="Arial" w:hAnsi="Arial" w:cs="Arial"/>
          <w:color w:val="7B7B7B" w:themeColor="accent3" w:themeShade="BF"/>
          <w:sz w:val="22"/>
          <w:szCs w:val="22"/>
          <w:lang w:val="en-GB"/>
        </w:rPr>
        <w:t xml:space="preserve"> do so against both Ms Young and the other directors.</w:t>
      </w: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3944217E" w14:textId="77777777" w:rsidR="008769B2" w:rsidRPr="00FF5098" w:rsidRDefault="008769B2" w:rsidP="008769B2">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1B5E2F08" w14:textId="66B31563" w:rsidR="002D3473" w:rsidRDefault="002D3473" w:rsidP="00087F21">
      <w:pPr>
        <w:autoSpaceDE w:val="0"/>
        <w:autoSpaceDN w:val="0"/>
        <w:adjustRightInd w:val="0"/>
        <w:jc w:val="both"/>
        <w:rPr>
          <w:rFonts w:ascii="Arial" w:hAnsi="Arial" w:cs="Arial"/>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6F49A08F" w:rsidR="00241FA3" w:rsidRPr="005F086A" w:rsidRDefault="005F086A" w:rsidP="005F086A">
    <w:pPr>
      <w:pStyle w:val="Footer"/>
      <w:ind w:right="360" w:firstLine="360"/>
      <w:rPr>
        <w:rFonts w:ascii="Arial" w:hAnsi="Arial" w:cs="Arial"/>
        <w:sz w:val="18"/>
        <w:szCs w:val="18"/>
      </w:rPr>
    </w:pPr>
    <w:r w:rsidRPr="00A0559D">
      <w:rPr>
        <w:rFonts w:ascii="Arial" w:hAnsi="Arial" w:cs="Arial"/>
        <w:sz w:val="18"/>
        <w:szCs w:val="18"/>
      </w:rPr>
      <w:t>202021IFU-314</w:t>
    </w:r>
    <w:r w:rsidRPr="00784B4B">
      <w:rPr>
        <w:rFonts w:ascii="Arial" w:hAnsi="Arial" w:cs="Arial"/>
        <w:sz w:val="18"/>
        <w:szCs w:val="18"/>
      </w:rPr>
      <w:t>.assessment</w:t>
    </w:r>
    <w:r>
      <w:rPr>
        <w:rFonts w:ascii="Arial" w:hAnsi="Arial" w:cs="Arial"/>
        <w:sz w:val="18"/>
        <w:szCs w:val="18"/>
      </w:rPr>
      <w:t>3B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406E8"/>
    <w:multiLevelType w:val="hybridMultilevel"/>
    <w:tmpl w:val="2F24D3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C28E3"/>
    <w:multiLevelType w:val="hybridMultilevel"/>
    <w:tmpl w:val="74741206"/>
    <w:lvl w:ilvl="0" w:tplc="1556040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26A3B"/>
    <w:multiLevelType w:val="hybridMultilevel"/>
    <w:tmpl w:val="40EA9E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AC3FD2"/>
    <w:multiLevelType w:val="hybridMultilevel"/>
    <w:tmpl w:val="CB82CEF6"/>
    <w:lvl w:ilvl="0" w:tplc="B27834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E44475"/>
    <w:multiLevelType w:val="hybridMultilevel"/>
    <w:tmpl w:val="C1D0D41C"/>
    <w:lvl w:ilvl="0" w:tplc="54580C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B198A"/>
    <w:multiLevelType w:val="hybridMultilevel"/>
    <w:tmpl w:val="E432F5F4"/>
    <w:lvl w:ilvl="0" w:tplc="E8EA1F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9" w15:restartNumberingAfterBreak="0">
    <w:nsid w:val="671D1A1F"/>
    <w:multiLevelType w:val="hybridMultilevel"/>
    <w:tmpl w:val="7DC439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3"/>
  </w:num>
  <w:num w:numId="5">
    <w:abstractNumId w:val="16"/>
  </w:num>
  <w:num w:numId="6">
    <w:abstractNumId w:val="3"/>
  </w:num>
  <w:num w:numId="7">
    <w:abstractNumId w:val="17"/>
  </w:num>
  <w:num w:numId="8">
    <w:abstractNumId w:val="22"/>
  </w:num>
  <w:num w:numId="9">
    <w:abstractNumId w:val="14"/>
  </w:num>
  <w:num w:numId="10">
    <w:abstractNumId w:val="23"/>
  </w:num>
  <w:num w:numId="11">
    <w:abstractNumId w:val="8"/>
  </w:num>
  <w:num w:numId="12">
    <w:abstractNumId w:val="20"/>
  </w:num>
  <w:num w:numId="13">
    <w:abstractNumId w:val="15"/>
  </w:num>
  <w:num w:numId="14">
    <w:abstractNumId w:val="6"/>
  </w:num>
  <w:num w:numId="15">
    <w:abstractNumId w:val="18"/>
  </w:num>
  <w:num w:numId="16">
    <w:abstractNumId w:val="21"/>
  </w:num>
  <w:num w:numId="17">
    <w:abstractNumId w:val="12"/>
  </w:num>
  <w:num w:numId="18">
    <w:abstractNumId w:val="4"/>
  </w:num>
  <w:num w:numId="19">
    <w:abstractNumId w:val="19"/>
  </w:num>
  <w:num w:numId="20">
    <w:abstractNumId w:val="7"/>
  </w:num>
  <w:num w:numId="21">
    <w:abstractNumId w:val="1"/>
  </w:num>
  <w:num w:numId="22">
    <w:abstractNumId w:val="9"/>
  </w:num>
  <w:num w:numId="23">
    <w:abstractNumId w:val="10"/>
  </w:num>
  <w:num w:numId="2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0F6"/>
    <w:rsid w:val="00010BA0"/>
    <w:rsid w:val="00020557"/>
    <w:rsid w:val="00021FC2"/>
    <w:rsid w:val="000250C7"/>
    <w:rsid w:val="00026F16"/>
    <w:rsid w:val="000366C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55A8"/>
    <w:rsid w:val="000E4841"/>
    <w:rsid w:val="000F1677"/>
    <w:rsid w:val="000F3D6C"/>
    <w:rsid w:val="00101707"/>
    <w:rsid w:val="00102CC9"/>
    <w:rsid w:val="0010593A"/>
    <w:rsid w:val="0011473D"/>
    <w:rsid w:val="00115C85"/>
    <w:rsid w:val="00117213"/>
    <w:rsid w:val="00123855"/>
    <w:rsid w:val="00126A4D"/>
    <w:rsid w:val="0014171F"/>
    <w:rsid w:val="0014622C"/>
    <w:rsid w:val="00152348"/>
    <w:rsid w:val="0015456D"/>
    <w:rsid w:val="00155FA2"/>
    <w:rsid w:val="00156117"/>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04E"/>
    <w:rsid w:val="00202DFE"/>
    <w:rsid w:val="0020725B"/>
    <w:rsid w:val="002110F1"/>
    <w:rsid w:val="00225DA2"/>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1E6A"/>
    <w:rsid w:val="003A4482"/>
    <w:rsid w:val="003B170F"/>
    <w:rsid w:val="003B3C5F"/>
    <w:rsid w:val="003B3D86"/>
    <w:rsid w:val="003C2E08"/>
    <w:rsid w:val="003C4471"/>
    <w:rsid w:val="003D0A6D"/>
    <w:rsid w:val="003E0B16"/>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082D"/>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94C6A"/>
    <w:rsid w:val="005A0CCA"/>
    <w:rsid w:val="005A1083"/>
    <w:rsid w:val="005A6FF2"/>
    <w:rsid w:val="005A726D"/>
    <w:rsid w:val="005B67AC"/>
    <w:rsid w:val="005B79F4"/>
    <w:rsid w:val="005D16DD"/>
    <w:rsid w:val="005D43E0"/>
    <w:rsid w:val="005D58A3"/>
    <w:rsid w:val="005E1B79"/>
    <w:rsid w:val="005E41C7"/>
    <w:rsid w:val="005E6076"/>
    <w:rsid w:val="005E7008"/>
    <w:rsid w:val="005F026D"/>
    <w:rsid w:val="005F086A"/>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47598"/>
    <w:rsid w:val="00654C2F"/>
    <w:rsid w:val="00657087"/>
    <w:rsid w:val="006624AB"/>
    <w:rsid w:val="006639DB"/>
    <w:rsid w:val="006661EF"/>
    <w:rsid w:val="00677AEB"/>
    <w:rsid w:val="00680EF2"/>
    <w:rsid w:val="006868CF"/>
    <w:rsid w:val="00687028"/>
    <w:rsid w:val="00687A1D"/>
    <w:rsid w:val="00697EA1"/>
    <w:rsid w:val="006A2646"/>
    <w:rsid w:val="006A6530"/>
    <w:rsid w:val="006B435A"/>
    <w:rsid w:val="006B4C64"/>
    <w:rsid w:val="006D282B"/>
    <w:rsid w:val="006D6BD5"/>
    <w:rsid w:val="006E481A"/>
    <w:rsid w:val="006E5298"/>
    <w:rsid w:val="006E7F92"/>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764D"/>
    <w:rsid w:val="007702C2"/>
    <w:rsid w:val="0077498C"/>
    <w:rsid w:val="007809BC"/>
    <w:rsid w:val="00780D90"/>
    <w:rsid w:val="00784128"/>
    <w:rsid w:val="00787BCC"/>
    <w:rsid w:val="00793173"/>
    <w:rsid w:val="007A2A33"/>
    <w:rsid w:val="007A5171"/>
    <w:rsid w:val="007B5C89"/>
    <w:rsid w:val="007B7CE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23F3"/>
    <w:rsid w:val="008769B2"/>
    <w:rsid w:val="00876F56"/>
    <w:rsid w:val="00881DE6"/>
    <w:rsid w:val="008837A6"/>
    <w:rsid w:val="0089145D"/>
    <w:rsid w:val="00891690"/>
    <w:rsid w:val="008A4DF2"/>
    <w:rsid w:val="008A6CFE"/>
    <w:rsid w:val="008B13FC"/>
    <w:rsid w:val="008B5333"/>
    <w:rsid w:val="008B6223"/>
    <w:rsid w:val="008B72B8"/>
    <w:rsid w:val="008C66E0"/>
    <w:rsid w:val="008D1616"/>
    <w:rsid w:val="008E3339"/>
    <w:rsid w:val="008F2015"/>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7A2"/>
    <w:rsid w:val="009A3AB7"/>
    <w:rsid w:val="009B0723"/>
    <w:rsid w:val="009B07AD"/>
    <w:rsid w:val="009B0883"/>
    <w:rsid w:val="009B15E2"/>
    <w:rsid w:val="009B4976"/>
    <w:rsid w:val="009C0B8E"/>
    <w:rsid w:val="009C1BC8"/>
    <w:rsid w:val="009C2442"/>
    <w:rsid w:val="009D0811"/>
    <w:rsid w:val="009D0EE1"/>
    <w:rsid w:val="009D1001"/>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2DC3"/>
    <w:rsid w:val="00A6627C"/>
    <w:rsid w:val="00A71019"/>
    <w:rsid w:val="00A81029"/>
    <w:rsid w:val="00A845F5"/>
    <w:rsid w:val="00A96489"/>
    <w:rsid w:val="00AA7FA2"/>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51B95"/>
    <w:rsid w:val="00B5344E"/>
    <w:rsid w:val="00B56103"/>
    <w:rsid w:val="00B64929"/>
    <w:rsid w:val="00B736DF"/>
    <w:rsid w:val="00B743D6"/>
    <w:rsid w:val="00B74EFE"/>
    <w:rsid w:val="00B74FBD"/>
    <w:rsid w:val="00B77F46"/>
    <w:rsid w:val="00B82586"/>
    <w:rsid w:val="00B829A3"/>
    <w:rsid w:val="00B86DB1"/>
    <w:rsid w:val="00B87869"/>
    <w:rsid w:val="00B9639B"/>
    <w:rsid w:val="00BA1CFD"/>
    <w:rsid w:val="00BB0F2B"/>
    <w:rsid w:val="00BE4FF3"/>
    <w:rsid w:val="00BF2C93"/>
    <w:rsid w:val="00BF50F7"/>
    <w:rsid w:val="00C026F3"/>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1D8C"/>
    <w:rsid w:val="00D53017"/>
    <w:rsid w:val="00D53719"/>
    <w:rsid w:val="00D63EFD"/>
    <w:rsid w:val="00D812C9"/>
    <w:rsid w:val="00D84752"/>
    <w:rsid w:val="00D86B3B"/>
    <w:rsid w:val="00D8748A"/>
    <w:rsid w:val="00D93196"/>
    <w:rsid w:val="00DA0DC0"/>
    <w:rsid w:val="00DB243C"/>
    <w:rsid w:val="00DB482A"/>
    <w:rsid w:val="00DB50FB"/>
    <w:rsid w:val="00DB56F2"/>
    <w:rsid w:val="00DB6EF5"/>
    <w:rsid w:val="00DC1B26"/>
    <w:rsid w:val="00DC3089"/>
    <w:rsid w:val="00DC4420"/>
    <w:rsid w:val="00DD0802"/>
    <w:rsid w:val="00DD2E11"/>
    <w:rsid w:val="00DE03AF"/>
    <w:rsid w:val="00DE121C"/>
    <w:rsid w:val="00DE6633"/>
    <w:rsid w:val="00DF75F8"/>
    <w:rsid w:val="00DF7A3A"/>
    <w:rsid w:val="00E00C00"/>
    <w:rsid w:val="00E07C5A"/>
    <w:rsid w:val="00E15025"/>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3FC1"/>
    <w:rsid w:val="00ED447D"/>
    <w:rsid w:val="00EE4971"/>
    <w:rsid w:val="00EE6CB0"/>
    <w:rsid w:val="00EF090E"/>
    <w:rsid w:val="00EF5572"/>
    <w:rsid w:val="00F01D7D"/>
    <w:rsid w:val="00F033DA"/>
    <w:rsid w:val="00F13691"/>
    <w:rsid w:val="00F13FB1"/>
    <w:rsid w:val="00F27CD8"/>
    <w:rsid w:val="00F30351"/>
    <w:rsid w:val="00F3323E"/>
    <w:rsid w:val="00F341F4"/>
    <w:rsid w:val="00F34F9D"/>
    <w:rsid w:val="00F35CCE"/>
    <w:rsid w:val="00F5524B"/>
    <w:rsid w:val="00F60538"/>
    <w:rsid w:val="00F61DD2"/>
    <w:rsid w:val="00F62E7A"/>
    <w:rsid w:val="00F66AFF"/>
    <w:rsid w:val="00F70126"/>
    <w:rsid w:val="00F71433"/>
    <w:rsid w:val="00F73609"/>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0810"/>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paragraph" w:styleId="Heading4">
    <w:name w:val="heading 4"/>
    <w:basedOn w:val="Normal"/>
    <w:link w:val="Heading4Char"/>
    <w:uiPriority w:val="9"/>
    <w:qFormat/>
    <w:rsid w:val="00ED3FC1"/>
    <w:pPr>
      <w:spacing w:before="100" w:beforeAutospacing="1" w:after="100" w:afterAutospacing="1"/>
      <w:outlineLvl w:val="3"/>
    </w:pPr>
    <w:rPr>
      <w:rFonts w:ascii="Times New Roman" w:hAnsi="Times New Roman" w:cs="Times New Roman"/>
      <w:b/>
      <w:bCs/>
      <w:sz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legclearfix">
    <w:name w:val="legclearfix"/>
    <w:basedOn w:val="Normal"/>
    <w:rsid w:val="008F2015"/>
    <w:pPr>
      <w:spacing w:before="100" w:beforeAutospacing="1" w:after="100" w:afterAutospacing="1"/>
    </w:pPr>
    <w:rPr>
      <w:rFonts w:ascii="Times New Roman" w:hAnsi="Times New Roman" w:cs="Times New Roman"/>
      <w:sz w:val="24"/>
      <w:lang w:eastAsia="zh-CN" w:bidi="he-IL"/>
    </w:rPr>
  </w:style>
  <w:style w:type="character" w:customStyle="1" w:styleId="legds">
    <w:name w:val="legds"/>
    <w:basedOn w:val="DefaultParagraphFont"/>
    <w:rsid w:val="008F2015"/>
  </w:style>
  <w:style w:type="character" w:customStyle="1" w:styleId="legchangedelimiter">
    <w:name w:val="legchangedelimiter"/>
    <w:basedOn w:val="DefaultParagraphFont"/>
    <w:rsid w:val="008F2015"/>
  </w:style>
  <w:style w:type="character" w:customStyle="1" w:styleId="legaddition">
    <w:name w:val="legaddition"/>
    <w:basedOn w:val="DefaultParagraphFont"/>
    <w:rsid w:val="008F2015"/>
  </w:style>
  <w:style w:type="character" w:customStyle="1" w:styleId="Heading4Char">
    <w:name w:val="Heading 4 Char"/>
    <w:basedOn w:val="DefaultParagraphFont"/>
    <w:link w:val="Heading4"/>
    <w:uiPriority w:val="9"/>
    <w:rsid w:val="00ED3FC1"/>
    <w:rPr>
      <w:rFonts w:ascii="Times New Roman" w:eastAsia="Times New Roman" w:hAnsi="Times New Roman" w:cs="Times New Roman"/>
      <w:b/>
      <w:bCs/>
      <w:lang w:eastAsia="zh-CN" w:bidi="he-IL"/>
    </w:rPr>
  </w:style>
  <w:style w:type="paragraph" w:customStyle="1" w:styleId="legp1paratext">
    <w:name w:val="legp1paratext"/>
    <w:basedOn w:val="Normal"/>
    <w:rsid w:val="00ED3FC1"/>
    <w:pPr>
      <w:spacing w:before="100" w:beforeAutospacing="1" w:after="100" w:afterAutospacing="1"/>
    </w:pPr>
    <w:rPr>
      <w:rFonts w:ascii="Times New Roman" w:hAnsi="Times New Roman" w:cs="Times New Roman"/>
      <w:sz w:val="24"/>
      <w:lang w:eastAsia="zh-CN" w:bidi="he-IL"/>
    </w:rPr>
  </w:style>
  <w:style w:type="character" w:customStyle="1" w:styleId="legp1no">
    <w:name w:val="legp1no"/>
    <w:basedOn w:val="DefaultParagraphFont"/>
    <w:rsid w:val="00ED3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7921">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336420262">
      <w:bodyDiv w:val="1"/>
      <w:marLeft w:val="0"/>
      <w:marRight w:val="0"/>
      <w:marTop w:val="0"/>
      <w:marBottom w:val="0"/>
      <w:divBdr>
        <w:top w:val="none" w:sz="0" w:space="0" w:color="auto"/>
        <w:left w:val="none" w:sz="0" w:space="0" w:color="auto"/>
        <w:bottom w:val="none" w:sz="0" w:space="0" w:color="auto"/>
        <w:right w:val="none" w:sz="0" w:space="0" w:color="auto"/>
      </w:divBdr>
    </w:div>
    <w:div w:id="1340082757">
      <w:bodyDiv w:val="1"/>
      <w:marLeft w:val="0"/>
      <w:marRight w:val="0"/>
      <w:marTop w:val="0"/>
      <w:marBottom w:val="0"/>
      <w:divBdr>
        <w:top w:val="none" w:sz="0" w:space="0" w:color="auto"/>
        <w:left w:val="none" w:sz="0" w:space="0" w:color="auto"/>
        <w:bottom w:val="none" w:sz="0" w:space="0" w:color="auto"/>
        <w:right w:val="none" w:sz="0" w:space="0" w:color="auto"/>
      </w:divBdr>
    </w:div>
    <w:div w:id="1364138683">
      <w:bodyDiv w:val="1"/>
      <w:marLeft w:val="0"/>
      <w:marRight w:val="0"/>
      <w:marTop w:val="0"/>
      <w:marBottom w:val="0"/>
      <w:divBdr>
        <w:top w:val="none" w:sz="0" w:space="0" w:color="auto"/>
        <w:left w:val="none" w:sz="0" w:space="0" w:color="auto"/>
        <w:bottom w:val="none" w:sz="0" w:space="0" w:color="auto"/>
        <w:right w:val="none" w:sz="0" w:space="0" w:color="auto"/>
      </w:divBdr>
    </w:div>
    <w:div w:id="1637101790">
      <w:bodyDiv w:val="1"/>
      <w:marLeft w:val="0"/>
      <w:marRight w:val="0"/>
      <w:marTop w:val="0"/>
      <w:marBottom w:val="0"/>
      <w:divBdr>
        <w:top w:val="none" w:sz="0" w:space="0" w:color="auto"/>
        <w:left w:val="none" w:sz="0" w:space="0" w:color="auto"/>
        <w:bottom w:val="none" w:sz="0" w:space="0" w:color="auto"/>
        <w:right w:val="none" w:sz="0" w:space="0" w:color="auto"/>
      </w:divBdr>
    </w:div>
    <w:div w:id="196584401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2871</Words>
  <Characters>16370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Erik Penz</cp:lastModifiedBy>
  <cp:revision>29</cp:revision>
  <cp:lastPrinted>2022-03-01T22:23:00Z</cp:lastPrinted>
  <dcterms:created xsi:type="dcterms:W3CDTF">2022-03-01T19:04:00Z</dcterms:created>
  <dcterms:modified xsi:type="dcterms:W3CDTF">2022-03-01T22:56:00Z</dcterms:modified>
</cp:coreProperties>
</file>