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594C6A">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 xml:space="preserve">The Administration (Restrictions on Disposal </w:t>
      </w:r>
      <w:proofErr w:type="spellStart"/>
      <w:r w:rsidRPr="00C91062">
        <w:rPr>
          <w:rFonts w:ascii="Arial" w:hAnsi="Arial" w:cs="Arial"/>
          <w:sz w:val="22"/>
          <w:szCs w:val="22"/>
          <w:lang w:val="en-GB"/>
        </w:rPr>
        <w:t>etc</w:t>
      </w:r>
      <w:proofErr w:type="spellEnd"/>
      <w:r w:rsidRPr="00C91062">
        <w:rPr>
          <w:rFonts w:ascii="Arial" w:hAnsi="Arial" w:cs="Arial"/>
          <w:sz w:val="22"/>
          <w:szCs w:val="22"/>
          <w:lang w:val="en-GB"/>
        </w:rPr>
        <w:t xml:space="preserve">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306FA9" w:rsidRDefault="00AE5B6F" w:rsidP="00B04033">
      <w:pPr>
        <w:pStyle w:val="ListParagraph"/>
        <w:numPr>
          <w:ilvl w:val="0"/>
          <w:numId w:val="1"/>
        </w:numPr>
        <w:ind w:left="426"/>
        <w:jc w:val="both"/>
        <w:rPr>
          <w:rFonts w:ascii="Arial" w:hAnsi="Arial" w:cs="Arial"/>
          <w:sz w:val="22"/>
          <w:szCs w:val="22"/>
          <w:highlight w:val="yellow"/>
          <w:lang w:val="en-GB"/>
        </w:rPr>
      </w:pPr>
      <w:r w:rsidRPr="00306FA9">
        <w:rPr>
          <w:rFonts w:ascii="Arial" w:hAnsi="Arial" w:cs="Arial"/>
          <w:sz w:val="22"/>
          <w:szCs w:val="22"/>
          <w:highlight w:val="yellow"/>
          <w:lang w:val="en-GB"/>
        </w:rPr>
        <w:t>w</w:t>
      </w:r>
      <w:r w:rsidR="00C91062" w:rsidRPr="00306FA9">
        <w:rPr>
          <w:rFonts w:ascii="Arial" w:hAnsi="Arial" w:cs="Arial"/>
          <w:sz w:val="22"/>
          <w:szCs w:val="22"/>
          <w:highlight w:val="yellow"/>
          <w:lang w:val="en-GB"/>
        </w:rPr>
        <w:t>ithin 8 weeks of the commencement of the administration</w:t>
      </w:r>
      <w:r w:rsidR="00763348" w:rsidRPr="00306FA9">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306FA9" w:rsidRDefault="00E443D7" w:rsidP="00B04033">
      <w:pPr>
        <w:pStyle w:val="ListParagraph"/>
        <w:numPr>
          <w:ilvl w:val="0"/>
          <w:numId w:val="2"/>
        </w:numPr>
        <w:ind w:left="426"/>
        <w:jc w:val="both"/>
        <w:rPr>
          <w:rFonts w:ascii="Arial" w:hAnsi="Arial" w:cs="Arial"/>
          <w:sz w:val="22"/>
          <w:szCs w:val="22"/>
          <w:highlight w:val="yellow"/>
          <w:lang w:val="en-GB"/>
        </w:rPr>
      </w:pPr>
      <w:r w:rsidRPr="00306FA9">
        <w:rPr>
          <w:rFonts w:ascii="Arial" w:hAnsi="Arial" w:cs="Arial"/>
          <w:sz w:val="22"/>
          <w:szCs w:val="22"/>
          <w:highlight w:val="yellow"/>
          <w:lang w:val="en-GB"/>
        </w:rPr>
        <w:t>One year</w:t>
      </w:r>
      <w:r w:rsidR="00763348" w:rsidRPr="00306FA9">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306FA9" w:rsidRDefault="00AE5B6F" w:rsidP="00B04033">
      <w:pPr>
        <w:pStyle w:val="ListParagraph"/>
        <w:numPr>
          <w:ilvl w:val="0"/>
          <w:numId w:val="3"/>
        </w:numPr>
        <w:ind w:left="426"/>
        <w:jc w:val="both"/>
        <w:rPr>
          <w:rFonts w:ascii="Arial" w:hAnsi="Arial" w:cs="Arial"/>
          <w:sz w:val="22"/>
          <w:szCs w:val="22"/>
          <w:highlight w:val="yellow"/>
          <w:lang w:val="en-GB"/>
        </w:rPr>
      </w:pPr>
      <w:r w:rsidRPr="00306FA9">
        <w:rPr>
          <w:rFonts w:ascii="Arial" w:hAnsi="Arial" w:cs="Arial"/>
          <w:sz w:val="22"/>
          <w:szCs w:val="22"/>
          <w:highlight w:val="yellow"/>
          <w:lang w:val="en-GB"/>
        </w:rPr>
        <w:t>T</w:t>
      </w:r>
      <w:r w:rsidR="008D1616" w:rsidRPr="00306FA9">
        <w:rPr>
          <w:rFonts w:ascii="Arial" w:hAnsi="Arial" w:cs="Arial"/>
          <w:sz w:val="22"/>
          <w:szCs w:val="22"/>
          <w:highlight w:val="yellow"/>
          <w:lang w:val="en-GB"/>
        </w:rPr>
        <w:t>he company is, or is likely to become, unable to pay their debts, as defined under s</w:t>
      </w:r>
      <w:r w:rsidR="00E833F4" w:rsidRPr="00306FA9">
        <w:rPr>
          <w:rFonts w:ascii="Arial" w:hAnsi="Arial" w:cs="Arial"/>
          <w:sz w:val="22"/>
          <w:szCs w:val="22"/>
          <w:highlight w:val="yellow"/>
          <w:lang w:val="en-GB"/>
        </w:rPr>
        <w:t>ection</w:t>
      </w:r>
      <w:r w:rsidR="008D1616" w:rsidRPr="00306FA9">
        <w:rPr>
          <w:rFonts w:ascii="Arial" w:hAnsi="Arial" w:cs="Arial"/>
          <w:sz w:val="22"/>
          <w:szCs w:val="22"/>
          <w:highlight w:val="yellow"/>
          <w:lang w:val="en-GB"/>
        </w:rPr>
        <w:t xml:space="preserve"> 123 of the Insolvency Act 1986</w:t>
      </w:r>
      <w:r w:rsidR="00763348" w:rsidRPr="00306FA9">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8C5B95" w:rsidRDefault="00C91062" w:rsidP="00B04033">
      <w:pPr>
        <w:pStyle w:val="ListParagraph"/>
        <w:numPr>
          <w:ilvl w:val="0"/>
          <w:numId w:val="4"/>
        </w:numPr>
        <w:ind w:left="426"/>
        <w:jc w:val="both"/>
        <w:rPr>
          <w:rFonts w:ascii="Arial" w:hAnsi="Arial" w:cs="Arial"/>
          <w:sz w:val="22"/>
          <w:szCs w:val="22"/>
          <w:highlight w:val="yellow"/>
          <w:lang w:val="en-GB"/>
        </w:rPr>
      </w:pPr>
      <w:r w:rsidRPr="008C5B95">
        <w:rPr>
          <w:rFonts w:ascii="Arial" w:hAnsi="Arial" w:cs="Arial"/>
          <w:sz w:val="22"/>
          <w:szCs w:val="22"/>
          <w:highlight w:val="yellow"/>
          <w:lang w:val="en-GB"/>
        </w:rPr>
        <w:t>The purchaser</w:t>
      </w:r>
      <w:r w:rsidR="00763348" w:rsidRPr="008C5B95">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8C5B95" w:rsidRDefault="00BA1CFD" w:rsidP="00B04033">
      <w:pPr>
        <w:pStyle w:val="ListParagraph"/>
        <w:numPr>
          <w:ilvl w:val="0"/>
          <w:numId w:val="5"/>
        </w:numPr>
        <w:ind w:left="426"/>
        <w:jc w:val="both"/>
        <w:rPr>
          <w:rFonts w:ascii="Arial" w:hAnsi="Arial" w:cs="Arial"/>
          <w:sz w:val="22"/>
          <w:szCs w:val="22"/>
          <w:highlight w:val="yellow"/>
          <w:lang w:val="en-GB"/>
        </w:rPr>
      </w:pPr>
      <w:r w:rsidRPr="008C5B95">
        <w:rPr>
          <w:rFonts w:ascii="Arial" w:hAnsi="Arial" w:cs="Arial"/>
          <w:sz w:val="22"/>
          <w:szCs w:val="22"/>
          <w:highlight w:val="yellow"/>
          <w:lang w:val="en-GB"/>
        </w:rPr>
        <w:t>Administration</w:t>
      </w:r>
      <w:r w:rsidR="00763348" w:rsidRPr="008C5B95">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6C7D19" w:rsidRDefault="00BA1CFD" w:rsidP="00B04033">
      <w:pPr>
        <w:pStyle w:val="ListParagraph"/>
        <w:numPr>
          <w:ilvl w:val="0"/>
          <w:numId w:val="6"/>
        </w:numPr>
        <w:ind w:left="426"/>
        <w:jc w:val="both"/>
        <w:rPr>
          <w:rFonts w:ascii="Arial" w:hAnsi="Arial" w:cs="Arial"/>
          <w:sz w:val="22"/>
          <w:szCs w:val="22"/>
          <w:highlight w:val="yellow"/>
          <w:lang w:val="en-GB"/>
        </w:rPr>
      </w:pPr>
      <w:r w:rsidRPr="006C7D19">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6C7D19" w:rsidRDefault="00BA1CFD" w:rsidP="00B04033">
      <w:pPr>
        <w:pStyle w:val="ListParagraph"/>
        <w:numPr>
          <w:ilvl w:val="0"/>
          <w:numId w:val="7"/>
        </w:numPr>
        <w:ind w:left="426"/>
        <w:jc w:val="both"/>
        <w:rPr>
          <w:rFonts w:ascii="Arial" w:hAnsi="Arial" w:cs="Arial"/>
          <w:sz w:val="22"/>
          <w:szCs w:val="22"/>
          <w:highlight w:val="yellow"/>
          <w:lang w:val="en-GB"/>
        </w:rPr>
      </w:pPr>
      <w:r w:rsidRPr="006C7D19">
        <w:rPr>
          <w:rFonts w:ascii="Arial" w:hAnsi="Arial" w:cs="Arial"/>
          <w:sz w:val="22"/>
          <w:szCs w:val="22"/>
          <w:highlight w:val="yellow"/>
          <w:lang w:val="en-GB"/>
        </w:rPr>
        <w:t>Breach of fiduciary duty</w:t>
      </w:r>
      <w:r w:rsidR="00763348" w:rsidRPr="006C7D19">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6C7D19" w:rsidRDefault="00876F56" w:rsidP="00B04033">
      <w:pPr>
        <w:pStyle w:val="ListParagraph"/>
        <w:numPr>
          <w:ilvl w:val="0"/>
          <w:numId w:val="8"/>
        </w:numPr>
        <w:ind w:left="426"/>
        <w:jc w:val="both"/>
        <w:rPr>
          <w:rFonts w:ascii="Arial" w:hAnsi="Arial" w:cs="Arial"/>
          <w:sz w:val="22"/>
          <w:szCs w:val="22"/>
          <w:highlight w:val="yellow"/>
          <w:lang w:val="en-GB"/>
        </w:rPr>
      </w:pPr>
      <w:r w:rsidRPr="006C7D19">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6C7D19" w:rsidRDefault="00E833F4" w:rsidP="00B04033">
      <w:pPr>
        <w:pStyle w:val="ListParagraph"/>
        <w:numPr>
          <w:ilvl w:val="0"/>
          <w:numId w:val="9"/>
        </w:numPr>
        <w:ind w:left="426"/>
        <w:jc w:val="both"/>
        <w:rPr>
          <w:rFonts w:ascii="Arial" w:hAnsi="Arial" w:cs="Arial"/>
          <w:sz w:val="22"/>
          <w:szCs w:val="22"/>
          <w:highlight w:val="yellow"/>
          <w:lang w:val="en-GB"/>
        </w:rPr>
      </w:pPr>
      <w:r w:rsidRPr="006C7D19">
        <w:rPr>
          <w:rFonts w:ascii="Arial" w:hAnsi="Arial" w:cs="Arial"/>
          <w:sz w:val="22"/>
          <w:szCs w:val="22"/>
          <w:highlight w:val="yellow"/>
          <w:lang w:val="en-GB"/>
        </w:rPr>
        <w:t>A</w:t>
      </w:r>
      <w:r w:rsidR="000D10C6" w:rsidRPr="006C7D19">
        <w:rPr>
          <w:rFonts w:ascii="Arial" w:hAnsi="Arial" w:cs="Arial"/>
          <w:sz w:val="22"/>
          <w:szCs w:val="22"/>
          <w:highlight w:val="yellow"/>
          <w:lang w:val="en-GB"/>
        </w:rPr>
        <w:t xml:space="preserve">n insolvency officeholder from an EU Member State will be automatically recognised by the courts in the UK whether the officeholder was appointed before or after </w:t>
      </w:r>
      <w:proofErr w:type="spellStart"/>
      <w:r w:rsidR="000D10C6" w:rsidRPr="006C7D19">
        <w:rPr>
          <w:rFonts w:ascii="Arial" w:hAnsi="Arial" w:cs="Arial"/>
          <w:sz w:val="22"/>
          <w:szCs w:val="22"/>
          <w:highlight w:val="yellow"/>
          <w:lang w:val="en-GB"/>
        </w:rPr>
        <w:t>Brexit</w:t>
      </w:r>
      <w:proofErr w:type="spellEnd"/>
      <w:r w:rsidR="000D10C6" w:rsidRPr="006C7D19">
        <w:rPr>
          <w:rFonts w:ascii="Arial" w:hAnsi="Arial" w:cs="Arial"/>
          <w:sz w:val="22"/>
          <w:szCs w:val="22"/>
          <w:highlight w:val="yellow"/>
          <w:lang w:val="en-GB"/>
        </w:rPr>
        <w: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 xml:space="preserve">n insolvency officeholder from an EU Member State is automatically recognised by the courts in the UK if appointed before </w:t>
      </w:r>
      <w:proofErr w:type="spellStart"/>
      <w:r>
        <w:rPr>
          <w:rFonts w:ascii="Arial" w:hAnsi="Arial" w:cs="Arial"/>
          <w:sz w:val="22"/>
          <w:szCs w:val="22"/>
          <w:lang w:val="en-GB"/>
        </w:rPr>
        <w:t>Brexit</w:t>
      </w:r>
      <w:proofErr w:type="spellEnd"/>
      <w:r>
        <w:rPr>
          <w:rFonts w:ascii="Arial" w:hAnsi="Arial" w:cs="Arial"/>
          <w:sz w:val="22"/>
          <w:szCs w:val="22"/>
          <w:lang w:val="en-GB"/>
        </w:rPr>
        <w: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 xml:space="preserve">appointed after </w:t>
      </w:r>
      <w:proofErr w:type="spellStart"/>
      <w:r w:rsidR="00AC317D">
        <w:rPr>
          <w:rFonts w:ascii="Arial" w:hAnsi="Arial" w:cs="Arial"/>
          <w:sz w:val="22"/>
          <w:szCs w:val="22"/>
          <w:lang w:val="en-GB"/>
        </w:rPr>
        <w:t>Brexit</w:t>
      </w:r>
      <w:proofErr w:type="spellEnd"/>
      <w:r w:rsidR="00AC317D">
        <w:rPr>
          <w:rFonts w:ascii="Arial" w:hAnsi="Arial" w:cs="Arial"/>
          <w:sz w:val="22"/>
          <w:szCs w:val="22"/>
          <w:lang w:val="en-GB"/>
        </w:rPr>
        <w:t xml:space="preserve">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6C7D19" w:rsidRDefault="0020204E" w:rsidP="00B04033">
      <w:pPr>
        <w:pStyle w:val="ListParagraph"/>
        <w:numPr>
          <w:ilvl w:val="0"/>
          <w:numId w:val="10"/>
        </w:numPr>
        <w:ind w:left="426"/>
        <w:jc w:val="both"/>
        <w:rPr>
          <w:rFonts w:ascii="Arial" w:hAnsi="Arial" w:cs="Arial"/>
          <w:sz w:val="22"/>
          <w:szCs w:val="22"/>
          <w:highlight w:val="yellow"/>
          <w:lang w:val="en-GB"/>
        </w:rPr>
      </w:pPr>
      <w:r w:rsidRPr="006C7D19">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0F14E2C9" w14:textId="06E6B1D9" w:rsidR="006C7D19" w:rsidRPr="00130F90" w:rsidRDefault="006C7D19" w:rsidP="00130F90">
      <w:pPr>
        <w:jc w:val="both"/>
        <w:rPr>
          <w:rFonts w:ascii="Arial" w:hAnsi="Arial" w:cs="Arial"/>
          <w:i/>
          <w:color w:val="7B7B7B" w:themeColor="accent3" w:themeShade="BF"/>
          <w:sz w:val="22"/>
          <w:szCs w:val="22"/>
          <w:u w:val="single"/>
          <w:lang w:val="en-GB"/>
        </w:rPr>
      </w:pPr>
      <w:r w:rsidRPr="00130F90">
        <w:rPr>
          <w:rFonts w:ascii="Arial" w:hAnsi="Arial" w:cs="Arial"/>
          <w:i/>
          <w:color w:val="7B7B7B" w:themeColor="accent3" w:themeShade="BF"/>
          <w:sz w:val="22"/>
          <w:szCs w:val="22"/>
          <w:u w:val="single"/>
          <w:lang w:val="en-GB"/>
        </w:rPr>
        <w:t>Standing under section 423 of the Insolvency Act</w:t>
      </w:r>
    </w:p>
    <w:p w14:paraId="2F4CF27E" w14:textId="77777777" w:rsidR="006C7D19" w:rsidRPr="003E5523" w:rsidRDefault="006C7D19" w:rsidP="006C7D19">
      <w:pPr>
        <w:pStyle w:val="ListParagraph"/>
        <w:jc w:val="both"/>
        <w:rPr>
          <w:rFonts w:ascii="Arial" w:hAnsi="Arial" w:cs="Arial"/>
          <w:color w:val="7B7B7B" w:themeColor="accent3" w:themeShade="BF"/>
          <w:sz w:val="22"/>
          <w:szCs w:val="22"/>
          <w:lang w:val="en-GB"/>
        </w:rPr>
      </w:pPr>
    </w:p>
    <w:p w14:paraId="38AC571C" w14:textId="559AB044" w:rsidR="00130F90" w:rsidRDefault="006C7D19" w:rsidP="006C7D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423 of the Insolvency Act 1986, any </w:t>
      </w:r>
      <w:r w:rsidR="00130F90">
        <w:rPr>
          <w:rFonts w:ascii="Arial" w:hAnsi="Arial" w:cs="Arial"/>
          <w:color w:val="7B7B7B" w:themeColor="accent3" w:themeShade="BF"/>
          <w:sz w:val="22"/>
          <w:szCs w:val="22"/>
          <w:lang w:val="en-GB"/>
        </w:rPr>
        <w:t xml:space="preserve">of the following persons may bring an action for attack transactions which are designed to defraud creditors: </w:t>
      </w:r>
    </w:p>
    <w:p w14:paraId="297F5DB0" w14:textId="77777777" w:rsidR="00130F90" w:rsidRDefault="00130F90" w:rsidP="006C7D19">
      <w:pPr>
        <w:jc w:val="both"/>
        <w:rPr>
          <w:rFonts w:ascii="Arial" w:hAnsi="Arial" w:cs="Arial"/>
          <w:color w:val="7B7B7B" w:themeColor="accent3" w:themeShade="BF"/>
          <w:sz w:val="22"/>
          <w:szCs w:val="22"/>
          <w:lang w:val="en-GB"/>
        </w:rPr>
      </w:pPr>
    </w:p>
    <w:p w14:paraId="43F7224D" w14:textId="60AA7E1C" w:rsidR="006C7D19" w:rsidRDefault="006C7D19" w:rsidP="006C7D1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company is being wound up or in administration </w:t>
      </w:r>
      <w:r w:rsidR="00130F90">
        <w:rPr>
          <w:rFonts w:ascii="Arial" w:hAnsi="Arial" w:cs="Arial"/>
          <w:color w:val="7B7B7B" w:themeColor="accent3" w:themeShade="BF"/>
          <w:sz w:val="22"/>
          <w:szCs w:val="22"/>
          <w:lang w:val="en-GB"/>
        </w:rPr>
        <w:t xml:space="preserve">then the action can be brought by </w:t>
      </w:r>
      <w:r>
        <w:rPr>
          <w:rFonts w:ascii="Arial" w:hAnsi="Arial" w:cs="Arial"/>
          <w:color w:val="7B7B7B" w:themeColor="accent3" w:themeShade="BF"/>
          <w:sz w:val="22"/>
          <w:szCs w:val="22"/>
          <w:lang w:val="en-GB"/>
        </w:rPr>
        <w:t>the off</w:t>
      </w:r>
      <w:r w:rsidR="00130F90">
        <w:rPr>
          <w:rFonts w:ascii="Arial" w:hAnsi="Arial" w:cs="Arial"/>
          <w:color w:val="7B7B7B" w:themeColor="accent3" w:themeShade="BF"/>
          <w:sz w:val="22"/>
          <w:szCs w:val="22"/>
          <w:lang w:val="en-GB"/>
        </w:rPr>
        <w:t xml:space="preserve">icial receiver, the liquidator or </w:t>
      </w:r>
      <w:r>
        <w:rPr>
          <w:rFonts w:ascii="Arial" w:hAnsi="Arial" w:cs="Arial"/>
          <w:color w:val="7B7B7B" w:themeColor="accent3" w:themeShade="BF"/>
          <w:sz w:val="22"/>
          <w:szCs w:val="22"/>
          <w:lang w:val="en-GB"/>
        </w:rPr>
        <w:t>the administrator</w:t>
      </w:r>
      <w:r w:rsidR="00130F90">
        <w:rPr>
          <w:rFonts w:ascii="Arial" w:hAnsi="Arial" w:cs="Arial"/>
          <w:color w:val="7B7B7B" w:themeColor="accent3" w:themeShade="BF"/>
          <w:sz w:val="22"/>
          <w:szCs w:val="22"/>
          <w:lang w:val="en-GB"/>
        </w:rPr>
        <w:t xml:space="preserve">. Additionally, the </w:t>
      </w:r>
      <w:r>
        <w:rPr>
          <w:rFonts w:ascii="Arial" w:hAnsi="Arial" w:cs="Arial"/>
          <w:color w:val="7B7B7B" w:themeColor="accent3" w:themeShade="BF"/>
          <w:sz w:val="22"/>
          <w:szCs w:val="22"/>
          <w:lang w:val="en-GB"/>
        </w:rPr>
        <w:t xml:space="preserve">victim of the transaction </w:t>
      </w:r>
      <w:r w:rsidR="00130F9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such as a creditor</w:t>
      </w:r>
      <w:r w:rsidR="00130F90">
        <w:rPr>
          <w:rFonts w:ascii="Arial" w:hAnsi="Arial" w:cs="Arial"/>
          <w:color w:val="7B7B7B" w:themeColor="accent3" w:themeShade="BF"/>
          <w:sz w:val="22"/>
          <w:szCs w:val="22"/>
          <w:lang w:val="en-GB"/>
        </w:rPr>
        <w:t>) may obtain leave of the court to bring an action</w:t>
      </w:r>
      <w:r>
        <w:rPr>
          <w:rFonts w:ascii="Arial" w:hAnsi="Arial" w:cs="Arial"/>
          <w:color w:val="7B7B7B" w:themeColor="accent3" w:themeShade="BF"/>
          <w:sz w:val="22"/>
          <w:szCs w:val="22"/>
          <w:lang w:val="en-GB"/>
        </w:rPr>
        <w:t>;</w:t>
      </w:r>
    </w:p>
    <w:p w14:paraId="7AEBC8E6" w14:textId="52260940" w:rsidR="006C7D19" w:rsidRDefault="006C7D19" w:rsidP="006C7D1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victim is bound by a c</w:t>
      </w:r>
      <w:r w:rsidR="00130F90">
        <w:rPr>
          <w:rFonts w:ascii="Arial" w:hAnsi="Arial" w:cs="Arial"/>
          <w:color w:val="7B7B7B" w:themeColor="accent3" w:themeShade="BF"/>
          <w:sz w:val="22"/>
          <w:szCs w:val="22"/>
          <w:lang w:val="en-GB"/>
        </w:rPr>
        <w:t xml:space="preserve">ompany voluntary agreement, then </w:t>
      </w:r>
      <w:r>
        <w:rPr>
          <w:rFonts w:ascii="Arial" w:hAnsi="Arial" w:cs="Arial"/>
          <w:color w:val="7B7B7B" w:themeColor="accent3" w:themeShade="BF"/>
          <w:sz w:val="22"/>
          <w:szCs w:val="22"/>
          <w:lang w:val="en-GB"/>
        </w:rPr>
        <w:t>the supervisor of the SVA or any victim of the transaction</w:t>
      </w:r>
      <w:r w:rsidR="00130F90">
        <w:rPr>
          <w:rFonts w:ascii="Arial" w:hAnsi="Arial" w:cs="Arial"/>
          <w:color w:val="7B7B7B" w:themeColor="accent3" w:themeShade="BF"/>
          <w:sz w:val="22"/>
          <w:szCs w:val="22"/>
          <w:lang w:val="en-GB"/>
        </w:rPr>
        <w:t xml:space="preserve"> may bring the action</w:t>
      </w:r>
      <w:r>
        <w:rPr>
          <w:rFonts w:ascii="Arial" w:hAnsi="Arial" w:cs="Arial"/>
          <w:color w:val="7B7B7B" w:themeColor="accent3" w:themeShade="BF"/>
          <w:sz w:val="22"/>
          <w:szCs w:val="22"/>
          <w:lang w:val="en-GB"/>
        </w:rPr>
        <w:t>; or</w:t>
      </w:r>
    </w:p>
    <w:p w14:paraId="42871318" w14:textId="40364A88" w:rsidR="006C7D19" w:rsidRDefault="00130F90" w:rsidP="006C7D1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any other case, the </w:t>
      </w:r>
      <w:r w:rsidR="006C7D19">
        <w:rPr>
          <w:rFonts w:ascii="Arial" w:hAnsi="Arial" w:cs="Arial"/>
          <w:color w:val="7B7B7B" w:themeColor="accent3" w:themeShade="BF"/>
          <w:sz w:val="22"/>
          <w:szCs w:val="22"/>
          <w:lang w:val="en-GB"/>
        </w:rPr>
        <w:t>victim of the transaction</w:t>
      </w:r>
      <w:r>
        <w:rPr>
          <w:rFonts w:ascii="Arial" w:hAnsi="Arial" w:cs="Arial"/>
          <w:color w:val="7B7B7B" w:themeColor="accent3" w:themeShade="BF"/>
          <w:sz w:val="22"/>
          <w:szCs w:val="22"/>
          <w:lang w:val="en-GB"/>
        </w:rPr>
        <w:t xml:space="preserve"> may bring the action</w:t>
      </w:r>
      <w:r w:rsidR="006C7D19">
        <w:rPr>
          <w:rFonts w:ascii="Arial" w:hAnsi="Arial" w:cs="Arial"/>
          <w:color w:val="7B7B7B" w:themeColor="accent3" w:themeShade="BF"/>
          <w:sz w:val="22"/>
          <w:szCs w:val="22"/>
          <w:lang w:val="en-GB"/>
        </w:rPr>
        <w:t>.</w:t>
      </w:r>
    </w:p>
    <w:p w14:paraId="52F45D27" w14:textId="77777777" w:rsidR="006C7D19" w:rsidRDefault="006C7D19" w:rsidP="006C7D19">
      <w:pPr>
        <w:jc w:val="both"/>
        <w:rPr>
          <w:rFonts w:ascii="Arial" w:hAnsi="Arial" w:cs="Arial"/>
          <w:color w:val="7B7B7B" w:themeColor="accent3" w:themeShade="BF"/>
          <w:sz w:val="22"/>
          <w:szCs w:val="22"/>
          <w:lang w:val="en-GB"/>
        </w:rPr>
      </w:pPr>
    </w:p>
    <w:p w14:paraId="27B24BE8" w14:textId="77777777" w:rsidR="006C7D19" w:rsidRPr="00130F90" w:rsidRDefault="006C7D19" w:rsidP="006C7D19">
      <w:pPr>
        <w:jc w:val="both"/>
        <w:rPr>
          <w:rFonts w:ascii="Arial" w:hAnsi="Arial" w:cs="Arial"/>
          <w:color w:val="7B7B7B" w:themeColor="accent3" w:themeShade="BF"/>
          <w:sz w:val="22"/>
          <w:szCs w:val="22"/>
          <w:u w:val="single"/>
          <w:lang w:val="en-GB"/>
        </w:rPr>
      </w:pPr>
    </w:p>
    <w:p w14:paraId="7E16BD1F" w14:textId="56C89D1B" w:rsidR="006C7D19" w:rsidRPr="00130F90" w:rsidRDefault="00130F90" w:rsidP="00130F90">
      <w:pPr>
        <w:jc w:val="both"/>
        <w:rPr>
          <w:rFonts w:ascii="Arial" w:hAnsi="Arial" w:cs="Arial"/>
          <w:i/>
          <w:color w:val="7B7B7B" w:themeColor="accent3" w:themeShade="BF"/>
          <w:sz w:val="22"/>
          <w:szCs w:val="22"/>
          <w:u w:val="single"/>
          <w:lang w:val="en-GB"/>
        </w:rPr>
      </w:pPr>
      <w:r w:rsidRPr="00130F90">
        <w:rPr>
          <w:rFonts w:ascii="Arial" w:hAnsi="Arial" w:cs="Arial"/>
          <w:color w:val="7B7B7B" w:themeColor="accent3" w:themeShade="BF"/>
          <w:sz w:val="22"/>
          <w:szCs w:val="22"/>
          <w:u w:val="single"/>
          <w:lang w:val="en-GB"/>
        </w:rPr>
        <w:t>St</w:t>
      </w:r>
      <w:r w:rsidRPr="00130F90">
        <w:rPr>
          <w:rFonts w:ascii="Arial" w:hAnsi="Arial" w:cs="Arial"/>
          <w:i/>
          <w:color w:val="7B7B7B" w:themeColor="accent3" w:themeShade="BF"/>
          <w:sz w:val="22"/>
          <w:szCs w:val="22"/>
          <w:u w:val="single"/>
          <w:lang w:val="en-GB"/>
        </w:rPr>
        <w:t xml:space="preserve">anding under </w:t>
      </w:r>
      <w:r w:rsidR="006C7D19" w:rsidRPr="00130F90">
        <w:rPr>
          <w:rFonts w:ascii="Arial" w:hAnsi="Arial" w:cs="Arial"/>
          <w:i/>
          <w:color w:val="7B7B7B" w:themeColor="accent3" w:themeShade="BF"/>
          <w:sz w:val="22"/>
          <w:szCs w:val="22"/>
          <w:u w:val="single"/>
          <w:lang w:val="en-GB"/>
        </w:rPr>
        <w:t>Section 6 of the Company Directors Disqualification Act 1986</w:t>
      </w:r>
    </w:p>
    <w:p w14:paraId="49625728" w14:textId="77777777" w:rsidR="006C7D19" w:rsidRPr="00130F90" w:rsidRDefault="006C7D19" w:rsidP="006C7D19">
      <w:pPr>
        <w:jc w:val="both"/>
        <w:rPr>
          <w:rFonts w:ascii="Arial" w:hAnsi="Arial" w:cs="Arial"/>
          <w:i/>
          <w:color w:val="7B7B7B" w:themeColor="accent3" w:themeShade="BF"/>
          <w:sz w:val="22"/>
          <w:szCs w:val="22"/>
          <w:lang w:val="en-GB"/>
        </w:rPr>
      </w:pPr>
    </w:p>
    <w:p w14:paraId="5CB66DF9" w14:textId="6FE2912F" w:rsidR="006C7D19" w:rsidRDefault="00130F90" w:rsidP="006C7D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w:t>
      </w:r>
      <w:r w:rsidR="006C7D19">
        <w:rPr>
          <w:rFonts w:ascii="Arial" w:hAnsi="Arial" w:cs="Arial"/>
          <w:color w:val="7B7B7B" w:themeColor="accent3" w:themeShade="BF"/>
          <w:sz w:val="22"/>
          <w:szCs w:val="22"/>
          <w:lang w:val="en-GB"/>
        </w:rPr>
        <w:t xml:space="preserve"> he</w:t>
      </w:r>
      <w:r>
        <w:rPr>
          <w:rFonts w:ascii="Arial" w:hAnsi="Arial" w:cs="Arial"/>
          <w:color w:val="7B7B7B" w:themeColor="accent3" w:themeShade="BF"/>
          <w:sz w:val="22"/>
          <w:szCs w:val="22"/>
          <w:lang w:val="en-GB"/>
        </w:rPr>
        <w:t>/she</w:t>
      </w:r>
      <w:r w:rsidR="006C7D19">
        <w:rPr>
          <w:rFonts w:ascii="Arial" w:hAnsi="Arial" w:cs="Arial"/>
          <w:color w:val="7B7B7B" w:themeColor="accent3" w:themeShade="BF"/>
          <w:sz w:val="22"/>
          <w:szCs w:val="22"/>
          <w:lang w:val="en-GB"/>
        </w:rPr>
        <w:t xml:space="preserve"> considers or has received a report from a liquidator or administrator that a director of an insolvent company was and/or is unfit</w:t>
      </w:r>
      <w:r>
        <w:rPr>
          <w:rFonts w:ascii="Arial" w:hAnsi="Arial" w:cs="Arial"/>
          <w:color w:val="7B7B7B" w:themeColor="accent3" w:themeShade="BF"/>
          <w:sz w:val="22"/>
          <w:szCs w:val="22"/>
          <w:lang w:val="en-GB"/>
        </w:rPr>
        <w:t>, then The Secretary of State may bring an action</w:t>
      </w:r>
      <w:r w:rsidR="006C7D19">
        <w:rPr>
          <w:rFonts w:ascii="Arial" w:hAnsi="Arial" w:cs="Arial"/>
          <w:color w:val="7B7B7B" w:themeColor="accent3" w:themeShade="BF"/>
          <w:sz w:val="22"/>
          <w:szCs w:val="22"/>
          <w:lang w:val="en-GB"/>
        </w:rPr>
        <w:t xml:space="preserve">. </w:t>
      </w:r>
    </w:p>
    <w:p w14:paraId="5DA5DE7E" w14:textId="77777777" w:rsidR="006C7D19" w:rsidRPr="003E5523" w:rsidRDefault="006C7D19" w:rsidP="006C7D19">
      <w:pPr>
        <w:jc w:val="both"/>
        <w:rPr>
          <w:rFonts w:ascii="Arial" w:hAnsi="Arial" w:cs="Arial"/>
          <w:color w:val="7B7B7B" w:themeColor="accent3" w:themeShade="BF"/>
          <w:sz w:val="22"/>
          <w:szCs w:val="22"/>
          <w:lang w:val="en-GB"/>
        </w:rPr>
      </w:pPr>
    </w:p>
    <w:p w14:paraId="3F557D56" w14:textId="5DCD7F80" w:rsidR="006C7D19" w:rsidRPr="00130F90" w:rsidRDefault="00130F90" w:rsidP="00130F90">
      <w:pPr>
        <w:jc w:val="both"/>
        <w:rPr>
          <w:rFonts w:ascii="Arial" w:hAnsi="Arial" w:cs="Arial"/>
          <w:i/>
          <w:color w:val="7B7B7B" w:themeColor="accent3" w:themeShade="BF"/>
          <w:sz w:val="22"/>
          <w:szCs w:val="22"/>
          <w:u w:val="single"/>
          <w:lang w:val="en-GB"/>
        </w:rPr>
      </w:pPr>
      <w:r w:rsidRPr="00130F90">
        <w:rPr>
          <w:rFonts w:ascii="Arial" w:hAnsi="Arial" w:cs="Arial"/>
          <w:i/>
          <w:color w:val="7B7B7B" w:themeColor="accent3" w:themeShade="BF"/>
          <w:sz w:val="22"/>
          <w:szCs w:val="22"/>
          <w:u w:val="single"/>
          <w:lang w:val="en-GB"/>
        </w:rPr>
        <w:t>Standing under s</w:t>
      </w:r>
      <w:r w:rsidR="006C7D19" w:rsidRPr="00130F90">
        <w:rPr>
          <w:rFonts w:ascii="Arial" w:hAnsi="Arial" w:cs="Arial"/>
          <w:i/>
          <w:color w:val="7B7B7B" w:themeColor="accent3" w:themeShade="BF"/>
          <w:sz w:val="22"/>
          <w:szCs w:val="22"/>
          <w:u w:val="single"/>
          <w:lang w:val="en-GB"/>
        </w:rPr>
        <w:t>ection 246ZB of the Insolvency Act 1986</w:t>
      </w:r>
    </w:p>
    <w:p w14:paraId="4DB625DB" w14:textId="77777777" w:rsidR="006C7D19" w:rsidRDefault="006C7D19" w:rsidP="006C7D19">
      <w:pPr>
        <w:jc w:val="both"/>
        <w:rPr>
          <w:rFonts w:ascii="Arial" w:hAnsi="Arial" w:cs="Arial"/>
          <w:color w:val="7B7B7B" w:themeColor="accent3" w:themeShade="BF"/>
          <w:sz w:val="22"/>
          <w:szCs w:val="22"/>
          <w:lang w:val="en-GB"/>
        </w:rPr>
      </w:pPr>
    </w:p>
    <w:p w14:paraId="5FD725B0" w14:textId="6F1EC6E6" w:rsidR="006C7D19" w:rsidRDefault="009719E3" w:rsidP="006C7D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6C7D19">
        <w:rPr>
          <w:rFonts w:ascii="Arial" w:hAnsi="Arial" w:cs="Arial"/>
          <w:color w:val="7B7B7B" w:themeColor="accent3" w:themeShade="BF"/>
          <w:sz w:val="22"/>
          <w:szCs w:val="22"/>
          <w:lang w:val="en-GB"/>
        </w:rPr>
        <w:t xml:space="preserve"> liquidator</w:t>
      </w:r>
      <w:r>
        <w:rPr>
          <w:rFonts w:ascii="Arial" w:hAnsi="Arial" w:cs="Arial"/>
          <w:color w:val="7B7B7B" w:themeColor="accent3" w:themeShade="BF"/>
          <w:sz w:val="22"/>
          <w:szCs w:val="22"/>
          <w:lang w:val="en-GB"/>
        </w:rPr>
        <w:t xml:space="preserve"> has standing to</w:t>
      </w:r>
      <w:r w:rsidR="006C7D19">
        <w:rPr>
          <w:rFonts w:ascii="Arial" w:hAnsi="Arial" w:cs="Arial"/>
          <w:color w:val="7B7B7B" w:themeColor="accent3" w:themeShade="BF"/>
          <w:sz w:val="22"/>
          <w:szCs w:val="22"/>
          <w:lang w:val="en-GB"/>
        </w:rPr>
        <w:t xml:space="preserve"> bring a claim against a director of t</w:t>
      </w:r>
      <w:r>
        <w:rPr>
          <w:rFonts w:ascii="Arial" w:hAnsi="Arial" w:cs="Arial"/>
          <w:color w:val="7B7B7B" w:themeColor="accent3" w:themeShade="BF"/>
          <w:sz w:val="22"/>
          <w:szCs w:val="22"/>
          <w:lang w:val="en-GB"/>
        </w:rPr>
        <w:t>he company for wrongful trading.</w:t>
      </w:r>
      <w:r w:rsidR="004A1752">
        <w:rPr>
          <w:rFonts w:ascii="Arial" w:hAnsi="Arial" w:cs="Arial"/>
          <w:color w:val="7B7B7B" w:themeColor="accent3" w:themeShade="BF"/>
          <w:sz w:val="22"/>
          <w:szCs w:val="22"/>
          <w:lang w:val="en-GB"/>
        </w:rPr>
        <w:t xml:space="preserve"> He/she may </w:t>
      </w:r>
    </w:p>
    <w:p w14:paraId="52FB2DA7" w14:textId="77777777" w:rsidR="006C7D19" w:rsidRDefault="006C7D19" w:rsidP="006C7D19">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35F68B59" w14:textId="484D454D" w:rsidR="009719E3" w:rsidRDefault="004A1752" w:rsidP="009719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w:t>
      </w:r>
      <w:r w:rsidR="00344D5A">
        <w:rPr>
          <w:rFonts w:ascii="Arial" w:hAnsi="Arial" w:cs="Arial"/>
          <w:color w:val="7B7B7B" w:themeColor="accent3" w:themeShade="BF"/>
          <w:sz w:val="22"/>
          <w:szCs w:val="22"/>
          <w:lang w:val="en-GB"/>
        </w:rPr>
        <w:t xml:space="preserve">the deemed consent procedure cannot be used, creditors may make a decision in the context of an insolvent company through any one of the five qualifying decision procedures outlined in Insolvency </w:t>
      </w:r>
      <w:r w:rsidR="009719E3">
        <w:rPr>
          <w:rFonts w:ascii="Arial" w:hAnsi="Arial" w:cs="Arial"/>
          <w:color w:val="7B7B7B" w:themeColor="accent3" w:themeShade="BF"/>
          <w:sz w:val="22"/>
          <w:szCs w:val="22"/>
          <w:lang w:val="en-GB"/>
        </w:rPr>
        <w:t>Rule</w:t>
      </w:r>
      <w:r w:rsidR="00344D5A">
        <w:rPr>
          <w:rFonts w:ascii="Arial" w:hAnsi="Arial" w:cs="Arial"/>
          <w:color w:val="7B7B7B" w:themeColor="accent3" w:themeShade="BF"/>
          <w:sz w:val="22"/>
          <w:szCs w:val="22"/>
          <w:lang w:val="en-GB"/>
        </w:rPr>
        <w:t>s</w:t>
      </w:r>
      <w:r w:rsidR="009719E3">
        <w:rPr>
          <w:rFonts w:ascii="Arial" w:hAnsi="Arial" w:cs="Arial"/>
          <w:color w:val="7B7B7B" w:themeColor="accent3" w:themeShade="BF"/>
          <w:sz w:val="22"/>
          <w:szCs w:val="22"/>
          <w:lang w:val="en-GB"/>
        </w:rPr>
        <w:t xml:space="preserve"> </w:t>
      </w:r>
      <w:r w:rsidR="00344D5A">
        <w:rPr>
          <w:rFonts w:ascii="Arial" w:hAnsi="Arial" w:cs="Arial"/>
          <w:color w:val="7B7B7B" w:themeColor="accent3" w:themeShade="BF"/>
          <w:sz w:val="22"/>
          <w:szCs w:val="22"/>
          <w:lang w:val="en-GB"/>
        </w:rPr>
        <w:t xml:space="preserve">2016, r </w:t>
      </w:r>
      <w:r w:rsidR="009719E3">
        <w:rPr>
          <w:rFonts w:ascii="Arial" w:hAnsi="Arial" w:cs="Arial"/>
          <w:color w:val="7B7B7B" w:themeColor="accent3" w:themeShade="BF"/>
          <w:sz w:val="22"/>
          <w:szCs w:val="22"/>
          <w:lang w:val="en-GB"/>
        </w:rPr>
        <w:t>15.3</w:t>
      </w:r>
      <w:r w:rsidR="00344D5A">
        <w:rPr>
          <w:rFonts w:ascii="Arial" w:hAnsi="Arial" w:cs="Arial"/>
          <w:color w:val="7B7B7B" w:themeColor="accent3" w:themeShade="BF"/>
          <w:sz w:val="22"/>
          <w:szCs w:val="22"/>
          <w:lang w:val="en-GB"/>
        </w:rPr>
        <w:t>. These procedures are:</w:t>
      </w:r>
      <w:r w:rsidR="009719E3">
        <w:rPr>
          <w:rFonts w:ascii="Arial" w:hAnsi="Arial" w:cs="Arial"/>
          <w:color w:val="7B7B7B" w:themeColor="accent3" w:themeShade="BF"/>
          <w:sz w:val="22"/>
          <w:szCs w:val="22"/>
          <w:lang w:val="en-GB"/>
        </w:rPr>
        <w:t xml:space="preserve"> </w:t>
      </w:r>
    </w:p>
    <w:p w14:paraId="4E4CA249" w14:textId="77777777" w:rsidR="009719E3" w:rsidRDefault="009719E3" w:rsidP="009719E3">
      <w:pPr>
        <w:jc w:val="both"/>
        <w:rPr>
          <w:rFonts w:ascii="Arial" w:hAnsi="Arial" w:cs="Arial"/>
          <w:color w:val="7B7B7B" w:themeColor="accent3" w:themeShade="BF"/>
          <w:sz w:val="22"/>
          <w:szCs w:val="22"/>
          <w:lang w:val="en-GB"/>
        </w:rPr>
      </w:pPr>
    </w:p>
    <w:p w14:paraId="6CFAA9E7" w14:textId="77777777" w:rsidR="009719E3" w:rsidRDefault="009719E3" w:rsidP="009719E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Correspondence; </w:t>
      </w:r>
    </w:p>
    <w:p w14:paraId="6754E586" w14:textId="77777777" w:rsidR="009719E3" w:rsidRDefault="009719E3" w:rsidP="009719E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3EF62105" w14:textId="77777777" w:rsidR="009719E3" w:rsidRDefault="009719E3" w:rsidP="009719E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035D8068" w14:textId="77777777" w:rsidR="009719E3" w:rsidRDefault="009719E3" w:rsidP="009719E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 or</w:t>
      </w:r>
    </w:p>
    <w:p w14:paraId="3513C31D" w14:textId="4B561E2F" w:rsidR="009719E3" w:rsidRDefault="009719E3" w:rsidP="009719E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decision making procedure which enables all creditors who are entitled to participate in the making of the decision to participate equally </w:t>
      </w:r>
    </w:p>
    <w:p w14:paraId="41D0C0A6" w14:textId="6095BBBE" w:rsidR="002117C7" w:rsidRDefault="002117C7" w:rsidP="002117C7">
      <w:pPr>
        <w:jc w:val="both"/>
        <w:rPr>
          <w:rFonts w:ascii="Arial" w:hAnsi="Arial" w:cs="Arial"/>
          <w:color w:val="7B7B7B" w:themeColor="accent3" w:themeShade="BF"/>
          <w:sz w:val="22"/>
          <w:szCs w:val="22"/>
          <w:lang w:val="en-GB"/>
        </w:rPr>
      </w:pPr>
    </w:p>
    <w:p w14:paraId="6B5054D1" w14:textId="3758590A" w:rsidR="002117C7" w:rsidRDefault="002117C7" w:rsidP="002117C7">
      <w:pPr>
        <w:jc w:val="both"/>
        <w:rPr>
          <w:rFonts w:ascii="Arial" w:hAnsi="Arial" w:cs="Arial"/>
          <w:color w:val="7B7B7B" w:themeColor="accent3" w:themeShade="BF"/>
          <w:sz w:val="22"/>
          <w:szCs w:val="22"/>
          <w:lang w:val="en-GB"/>
        </w:rPr>
      </w:pPr>
    </w:p>
    <w:p w14:paraId="535C9465" w14:textId="0C2C6966" w:rsidR="002117C7" w:rsidRDefault="002117C7" w:rsidP="002117C7">
      <w:pPr>
        <w:jc w:val="both"/>
        <w:rPr>
          <w:rFonts w:ascii="Arial" w:hAnsi="Arial" w:cs="Arial"/>
          <w:color w:val="7B7B7B" w:themeColor="accent3" w:themeShade="BF"/>
          <w:sz w:val="22"/>
          <w:szCs w:val="22"/>
          <w:lang w:val="en-GB"/>
        </w:rPr>
      </w:pPr>
    </w:p>
    <w:p w14:paraId="1ED41AF0" w14:textId="04EE5017" w:rsidR="002117C7" w:rsidRDefault="002117C7" w:rsidP="002117C7">
      <w:pPr>
        <w:jc w:val="both"/>
        <w:rPr>
          <w:rFonts w:ascii="Arial" w:hAnsi="Arial" w:cs="Arial"/>
          <w:color w:val="7B7B7B" w:themeColor="accent3" w:themeShade="BF"/>
          <w:sz w:val="22"/>
          <w:szCs w:val="22"/>
          <w:lang w:val="en-GB"/>
        </w:rPr>
      </w:pPr>
    </w:p>
    <w:p w14:paraId="45834351" w14:textId="77777777" w:rsidR="002117C7" w:rsidRPr="002117C7" w:rsidRDefault="002117C7" w:rsidP="002117C7">
      <w:pPr>
        <w:jc w:val="both"/>
        <w:rPr>
          <w:rFonts w:ascii="Arial" w:hAnsi="Arial" w:cs="Arial"/>
          <w:color w:val="7B7B7B" w:themeColor="accent3" w:themeShade="BF"/>
          <w:sz w:val="22"/>
          <w:szCs w:val="22"/>
          <w:lang w:val="en-GB"/>
        </w:rPr>
      </w:pPr>
    </w:p>
    <w:p w14:paraId="0089DF92" w14:textId="3ED1F894"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3A2AAB94" w:rsidR="00241FA3" w:rsidRDefault="00241FA3" w:rsidP="002A37BB">
      <w:pPr>
        <w:jc w:val="both"/>
        <w:rPr>
          <w:rFonts w:ascii="Arial" w:hAnsi="Arial" w:cs="Arial"/>
          <w:sz w:val="22"/>
          <w:szCs w:val="22"/>
        </w:rPr>
      </w:pPr>
    </w:p>
    <w:p w14:paraId="12051E5E" w14:textId="77777777" w:rsidR="00DD3FB9" w:rsidRPr="00DD3FB9" w:rsidRDefault="00DD3FB9" w:rsidP="002A37BB">
      <w:pPr>
        <w:jc w:val="both"/>
        <w:rPr>
          <w:rFonts w:ascii="Arial" w:hAnsi="Arial" w:cs="Arial"/>
          <w:color w:val="767171" w:themeColor="background2" w:themeShade="80"/>
          <w:sz w:val="22"/>
          <w:szCs w:val="22"/>
        </w:rPr>
      </w:pPr>
    </w:p>
    <w:p w14:paraId="4183AB04" w14:textId="16E97538" w:rsidR="00344D5A" w:rsidRPr="00DD3FB9" w:rsidRDefault="00344D5A" w:rsidP="009719E3">
      <w:pPr>
        <w:jc w:val="both"/>
        <w:rPr>
          <w:rFonts w:ascii="Arial" w:hAnsi="Arial" w:cs="Arial"/>
          <w:color w:val="767171" w:themeColor="background2" w:themeShade="80"/>
          <w:sz w:val="22"/>
          <w:szCs w:val="22"/>
          <w:lang w:val="en-GB"/>
        </w:rPr>
      </w:pPr>
      <w:r w:rsidRPr="00DD3FB9">
        <w:rPr>
          <w:rFonts w:ascii="Arial" w:hAnsi="Arial" w:cs="Arial"/>
          <w:color w:val="767171" w:themeColor="background2" w:themeShade="80"/>
          <w:sz w:val="22"/>
          <w:szCs w:val="22"/>
          <w:lang w:val="en-GB"/>
        </w:rPr>
        <w:t>A</w:t>
      </w:r>
      <w:r w:rsidR="008E1DFB" w:rsidRPr="00DD3FB9">
        <w:rPr>
          <w:rFonts w:ascii="Arial" w:hAnsi="Arial" w:cs="Arial"/>
          <w:color w:val="767171" w:themeColor="background2" w:themeShade="80"/>
          <w:sz w:val="22"/>
          <w:szCs w:val="22"/>
          <w:lang w:val="en-GB"/>
        </w:rPr>
        <w:t>n administrator can</w:t>
      </w:r>
      <w:r w:rsidR="009719E3" w:rsidRPr="00DD3FB9">
        <w:rPr>
          <w:rFonts w:ascii="Arial" w:hAnsi="Arial" w:cs="Arial"/>
          <w:color w:val="767171" w:themeColor="background2" w:themeShade="80"/>
          <w:sz w:val="22"/>
          <w:szCs w:val="22"/>
          <w:lang w:val="en-GB"/>
        </w:rPr>
        <w:t xml:space="preserve"> </w:t>
      </w:r>
      <w:r w:rsidRPr="00DD3FB9">
        <w:rPr>
          <w:rFonts w:ascii="Arial" w:hAnsi="Arial" w:cs="Arial"/>
          <w:color w:val="767171" w:themeColor="background2" w:themeShade="80"/>
          <w:sz w:val="22"/>
          <w:szCs w:val="22"/>
          <w:lang w:val="en-GB"/>
        </w:rPr>
        <w:t>require suppliers of goods and services pursuant to an executory contract to continue to supply those goods and services during the administration in accordance with s</w:t>
      </w:r>
      <w:r w:rsidR="009719E3" w:rsidRPr="00DD3FB9">
        <w:rPr>
          <w:rFonts w:ascii="Arial" w:hAnsi="Arial" w:cs="Arial"/>
          <w:color w:val="767171" w:themeColor="background2" w:themeShade="80"/>
          <w:sz w:val="22"/>
          <w:szCs w:val="22"/>
          <w:lang w:val="en-GB"/>
        </w:rPr>
        <w:t xml:space="preserve">ection 233 of the </w:t>
      </w:r>
      <w:r w:rsidR="00230936" w:rsidRPr="00DD3FB9">
        <w:rPr>
          <w:rFonts w:ascii="Arial" w:hAnsi="Arial" w:cs="Arial"/>
          <w:color w:val="767171" w:themeColor="background2" w:themeShade="80"/>
          <w:sz w:val="22"/>
          <w:szCs w:val="22"/>
          <w:lang w:val="en-GB"/>
        </w:rPr>
        <w:t xml:space="preserve">Insolvency </w:t>
      </w:r>
      <w:r w:rsidR="009719E3" w:rsidRPr="00DD3FB9">
        <w:rPr>
          <w:rFonts w:ascii="Arial" w:hAnsi="Arial" w:cs="Arial"/>
          <w:color w:val="767171" w:themeColor="background2" w:themeShade="80"/>
          <w:sz w:val="22"/>
          <w:szCs w:val="22"/>
          <w:lang w:val="en-GB"/>
        </w:rPr>
        <w:t>Act</w:t>
      </w:r>
      <w:r w:rsidRPr="00DD3FB9">
        <w:rPr>
          <w:rFonts w:ascii="Arial" w:hAnsi="Arial" w:cs="Arial"/>
          <w:color w:val="767171" w:themeColor="background2" w:themeShade="80"/>
          <w:sz w:val="22"/>
          <w:szCs w:val="22"/>
          <w:lang w:val="en-GB"/>
        </w:rPr>
        <w:t xml:space="preserve">. This is important as the administrator may need to retain certain essential supplies. </w:t>
      </w:r>
    </w:p>
    <w:p w14:paraId="1542936D" w14:textId="1426E22C" w:rsidR="008E1DFB" w:rsidRPr="00DD3FB9" w:rsidRDefault="008E1DFB" w:rsidP="009719E3">
      <w:pPr>
        <w:jc w:val="both"/>
        <w:rPr>
          <w:rFonts w:ascii="Arial" w:hAnsi="Arial" w:cs="Arial"/>
          <w:color w:val="767171" w:themeColor="background2" w:themeShade="80"/>
          <w:sz w:val="22"/>
          <w:szCs w:val="22"/>
          <w:lang w:val="en-GB"/>
        </w:rPr>
      </w:pPr>
    </w:p>
    <w:p w14:paraId="38C62AE8" w14:textId="4F0A1637" w:rsidR="008E1DFB" w:rsidRPr="00DD3FB9" w:rsidRDefault="008E1DFB" w:rsidP="008E1DFB">
      <w:pPr>
        <w:jc w:val="both"/>
        <w:rPr>
          <w:rFonts w:ascii="Arial" w:hAnsi="Arial" w:cs="Arial"/>
          <w:color w:val="767171" w:themeColor="background2" w:themeShade="80"/>
          <w:sz w:val="22"/>
          <w:szCs w:val="22"/>
          <w:lang w:val="en-GB"/>
        </w:rPr>
      </w:pPr>
      <w:r w:rsidRPr="00DD3FB9">
        <w:rPr>
          <w:rFonts w:ascii="Arial" w:hAnsi="Arial" w:cs="Arial"/>
          <w:color w:val="767171" w:themeColor="background2" w:themeShade="80"/>
          <w:sz w:val="22"/>
          <w:szCs w:val="22"/>
          <w:lang w:val="en-GB"/>
        </w:rPr>
        <w:t xml:space="preserve">The relevant section to consider if  the administrator wishes to continue to engage with the suppliers of the company are sections 233, 233A and 233B. however, these provisions only apply where the company has entered CVA, a moratorium or restructuring plan.  </w:t>
      </w:r>
    </w:p>
    <w:p w14:paraId="32BF6F0D" w14:textId="3716ED5C" w:rsidR="008E1DFB" w:rsidRPr="00DD3FB9" w:rsidRDefault="008E1DFB" w:rsidP="009719E3">
      <w:pPr>
        <w:jc w:val="both"/>
        <w:rPr>
          <w:rFonts w:ascii="Arial" w:hAnsi="Arial" w:cs="Arial"/>
          <w:color w:val="767171" w:themeColor="background2" w:themeShade="80"/>
          <w:sz w:val="22"/>
          <w:szCs w:val="22"/>
          <w:lang w:val="en-GB"/>
        </w:rPr>
      </w:pPr>
    </w:p>
    <w:p w14:paraId="39D32DB3" w14:textId="77777777" w:rsidR="00344D5A" w:rsidRPr="00DD3FB9" w:rsidRDefault="00344D5A" w:rsidP="009719E3">
      <w:pPr>
        <w:jc w:val="both"/>
        <w:rPr>
          <w:rFonts w:ascii="Arial" w:hAnsi="Arial" w:cs="Arial"/>
          <w:color w:val="767171" w:themeColor="background2" w:themeShade="80"/>
          <w:sz w:val="22"/>
          <w:szCs w:val="22"/>
          <w:lang w:val="en-GB"/>
        </w:rPr>
      </w:pPr>
    </w:p>
    <w:p w14:paraId="1FA25377" w14:textId="2527C2A6" w:rsidR="00230936" w:rsidRPr="00DD3FB9" w:rsidRDefault="008E1DFB" w:rsidP="009719E3">
      <w:pPr>
        <w:jc w:val="both"/>
        <w:rPr>
          <w:rFonts w:ascii="Arial" w:hAnsi="Arial" w:cs="Arial"/>
          <w:color w:val="767171" w:themeColor="background2" w:themeShade="80"/>
          <w:sz w:val="22"/>
          <w:szCs w:val="22"/>
          <w:lang w:val="en-GB"/>
        </w:rPr>
      </w:pPr>
      <w:r w:rsidRPr="00DD3FB9">
        <w:rPr>
          <w:rFonts w:ascii="Arial" w:hAnsi="Arial" w:cs="Arial"/>
          <w:color w:val="767171" w:themeColor="background2" w:themeShade="80"/>
          <w:sz w:val="22"/>
          <w:szCs w:val="22"/>
          <w:lang w:val="en-GB"/>
        </w:rPr>
        <w:t>S</w:t>
      </w:r>
      <w:r w:rsidR="00230936" w:rsidRPr="00DD3FB9">
        <w:rPr>
          <w:rFonts w:ascii="Arial" w:hAnsi="Arial" w:cs="Arial"/>
          <w:color w:val="767171" w:themeColor="background2" w:themeShade="80"/>
          <w:sz w:val="22"/>
          <w:szCs w:val="22"/>
          <w:lang w:val="en-GB"/>
        </w:rPr>
        <w:t>ection</w:t>
      </w:r>
      <w:r w:rsidR="00344D5A" w:rsidRPr="00DD3FB9">
        <w:rPr>
          <w:rFonts w:ascii="Arial" w:hAnsi="Arial" w:cs="Arial"/>
          <w:color w:val="767171" w:themeColor="background2" w:themeShade="80"/>
          <w:sz w:val="22"/>
          <w:szCs w:val="22"/>
          <w:lang w:val="en-GB"/>
        </w:rPr>
        <w:t xml:space="preserve"> 233</w:t>
      </w:r>
      <w:r w:rsidR="00230936" w:rsidRPr="00DD3FB9">
        <w:rPr>
          <w:rFonts w:ascii="Arial" w:hAnsi="Arial" w:cs="Arial"/>
          <w:color w:val="767171" w:themeColor="background2" w:themeShade="80"/>
          <w:sz w:val="22"/>
          <w:szCs w:val="22"/>
          <w:lang w:val="en-GB"/>
        </w:rPr>
        <w:t>, provides that the administrator</w:t>
      </w:r>
      <w:r w:rsidR="009719E3" w:rsidRPr="00DD3FB9">
        <w:rPr>
          <w:rFonts w:ascii="Arial" w:hAnsi="Arial" w:cs="Arial"/>
          <w:color w:val="767171" w:themeColor="background2" w:themeShade="80"/>
          <w:sz w:val="22"/>
          <w:szCs w:val="22"/>
          <w:lang w:val="en-GB"/>
        </w:rPr>
        <w:t xml:space="preserve"> </w:t>
      </w:r>
      <w:r w:rsidR="00230936" w:rsidRPr="00DD3FB9">
        <w:rPr>
          <w:rFonts w:ascii="Arial" w:hAnsi="Arial" w:cs="Arial"/>
          <w:color w:val="767171" w:themeColor="background2" w:themeShade="80"/>
          <w:sz w:val="22"/>
          <w:szCs w:val="22"/>
          <w:lang w:val="en-GB"/>
        </w:rPr>
        <w:t>may request of a supplier that it continues to supply certain</w:t>
      </w:r>
      <w:r w:rsidRPr="00DD3FB9">
        <w:rPr>
          <w:rFonts w:ascii="Arial" w:hAnsi="Arial" w:cs="Arial"/>
          <w:color w:val="767171" w:themeColor="background2" w:themeShade="80"/>
          <w:sz w:val="22"/>
          <w:szCs w:val="22"/>
          <w:lang w:val="en-GB"/>
        </w:rPr>
        <w:t xml:space="preserve"> goods and services after the company enters administration. T</w:t>
      </w:r>
      <w:r w:rsidR="00230936" w:rsidRPr="00DD3FB9">
        <w:rPr>
          <w:rFonts w:ascii="Arial" w:hAnsi="Arial" w:cs="Arial"/>
          <w:color w:val="767171" w:themeColor="background2" w:themeShade="80"/>
          <w:sz w:val="22"/>
          <w:szCs w:val="22"/>
          <w:lang w:val="en-GB"/>
        </w:rPr>
        <w:t xml:space="preserve">he supplier of those services may make it a condition of the giving of the supply that the administrator personally guarantees the payment of any charges in respect of the supply. However, the supplier shall not make it a condition of the giving of the supply, or do anything which has the effect of making it a condition of the giving of the supply, that any outstanding charges in respect of a supply given to the company before the administration’s effective date are paid. </w:t>
      </w:r>
    </w:p>
    <w:p w14:paraId="28CADAA3" w14:textId="77777777" w:rsidR="00230936" w:rsidRPr="00DD3FB9" w:rsidRDefault="00230936" w:rsidP="009719E3">
      <w:pPr>
        <w:jc w:val="both"/>
        <w:rPr>
          <w:rFonts w:ascii="Arial" w:hAnsi="Arial" w:cs="Arial"/>
          <w:color w:val="767171" w:themeColor="background2" w:themeShade="80"/>
          <w:sz w:val="22"/>
          <w:szCs w:val="22"/>
          <w:lang w:val="en-GB"/>
        </w:rPr>
      </w:pPr>
    </w:p>
    <w:p w14:paraId="2D848B43" w14:textId="3BB71969" w:rsidR="009719E3" w:rsidRPr="00DD3FB9" w:rsidRDefault="008E1DFB" w:rsidP="009719E3">
      <w:pPr>
        <w:jc w:val="both"/>
        <w:rPr>
          <w:rFonts w:ascii="Arial" w:hAnsi="Arial" w:cs="Arial"/>
          <w:color w:val="767171" w:themeColor="background2" w:themeShade="80"/>
          <w:sz w:val="22"/>
          <w:szCs w:val="22"/>
          <w:lang w:val="en-GB"/>
        </w:rPr>
      </w:pPr>
      <w:r w:rsidRPr="00DD3FB9">
        <w:rPr>
          <w:rFonts w:ascii="Arial" w:hAnsi="Arial" w:cs="Arial"/>
          <w:color w:val="767171" w:themeColor="background2" w:themeShade="80"/>
          <w:sz w:val="22"/>
          <w:szCs w:val="22"/>
          <w:lang w:val="en-GB"/>
        </w:rPr>
        <w:t xml:space="preserve">The services covered by section 233 are however limited to </w:t>
      </w:r>
      <w:r w:rsidR="009719E3" w:rsidRPr="00DD3FB9">
        <w:rPr>
          <w:rFonts w:ascii="Arial" w:hAnsi="Arial" w:cs="Arial"/>
          <w:color w:val="767171" w:themeColor="background2" w:themeShade="80"/>
          <w:sz w:val="22"/>
          <w:szCs w:val="22"/>
          <w:lang w:val="en-GB"/>
        </w:rPr>
        <w:t xml:space="preserve">electricity, gas, water and communication services </w:t>
      </w:r>
      <w:r w:rsidR="00230936" w:rsidRPr="00DD3FB9">
        <w:rPr>
          <w:rFonts w:ascii="Arial" w:hAnsi="Arial" w:cs="Arial"/>
          <w:color w:val="767171" w:themeColor="background2" w:themeShade="80"/>
          <w:sz w:val="22"/>
          <w:szCs w:val="22"/>
          <w:lang w:val="en-GB"/>
        </w:rPr>
        <w:t>such as point of sale</w:t>
      </w:r>
      <w:r w:rsidR="009719E3" w:rsidRPr="00DD3FB9">
        <w:rPr>
          <w:rFonts w:ascii="Arial" w:hAnsi="Arial" w:cs="Arial"/>
          <w:color w:val="767171" w:themeColor="background2" w:themeShade="80"/>
          <w:sz w:val="22"/>
          <w:szCs w:val="22"/>
          <w:lang w:val="en-GB"/>
        </w:rPr>
        <w:t xml:space="preserve"> terminal</w:t>
      </w:r>
      <w:r w:rsidR="00230936" w:rsidRPr="00DD3FB9">
        <w:rPr>
          <w:rFonts w:ascii="Arial" w:hAnsi="Arial" w:cs="Arial"/>
          <w:color w:val="767171" w:themeColor="background2" w:themeShade="80"/>
          <w:sz w:val="22"/>
          <w:szCs w:val="22"/>
          <w:lang w:val="en-GB"/>
        </w:rPr>
        <w:t>s</w:t>
      </w:r>
      <w:r w:rsidR="009719E3" w:rsidRPr="00DD3FB9">
        <w:rPr>
          <w:rFonts w:ascii="Arial" w:hAnsi="Arial" w:cs="Arial"/>
          <w:color w:val="767171" w:themeColor="background2" w:themeShade="80"/>
          <w:sz w:val="22"/>
          <w:szCs w:val="22"/>
          <w:lang w:val="en-GB"/>
        </w:rPr>
        <w:t xml:space="preserve">, computer hardware and software, information and advice and technical assistance, data storage and processing and web hosting. </w:t>
      </w:r>
    </w:p>
    <w:p w14:paraId="50DF455B" w14:textId="6303BF89" w:rsidR="009719E3" w:rsidRPr="00DD3FB9" w:rsidRDefault="009719E3" w:rsidP="009719E3">
      <w:pPr>
        <w:jc w:val="both"/>
        <w:rPr>
          <w:rFonts w:ascii="Arial" w:hAnsi="Arial" w:cs="Arial"/>
          <w:color w:val="767171" w:themeColor="background2" w:themeShade="80"/>
          <w:sz w:val="22"/>
          <w:szCs w:val="22"/>
          <w:lang w:val="en-GB"/>
        </w:rPr>
      </w:pPr>
    </w:p>
    <w:p w14:paraId="21D7E08F" w14:textId="6A637968" w:rsidR="00230936" w:rsidRPr="00DD3FB9" w:rsidRDefault="008E1DFB" w:rsidP="009719E3">
      <w:pPr>
        <w:jc w:val="both"/>
        <w:rPr>
          <w:rFonts w:ascii="Arial" w:hAnsi="Arial" w:cs="Arial"/>
          <w:color w:val="767171" w:themeColor="background2" w:themeShade="80"/>
          <w:sz w:val="22"/>
          <w:szCs w:val="22"/>
          <w:lang w:val="en-GB"/>
        </w:rPr>
      </w:pPr>
      <w:r w:rsidRPr="00DD3FB9">
        <w:rPr>
          <w:rFonts w:ascii="Arial" w:hAnsi="Arial" w:cs="Arial"/>
          <w:color w:val="767171" w:themeColor="background2" w:themeShade="80"/>
          <w:sz w:val="22"/>
          <w:szCs w:val="22"/>
          <w:lang w:val="en-GB"/>
        </w:rPr>
        <w:t>As for</w:t>
      </w:r>
      <w:r w:rsidR="00230936" w:rsidRPr="00DD3FB9">
        <w:rPr>
          <w:rFonts w:ascii="Arial" w:hAnsi="Arial" w:cs="Arial"/>
          <w:color w:val="767171" w:themeColor="background2" w:themeShade="80"/>
          <w:sz w:val="22"/>
          <w:szCs w:val="22"/>
          <w:lang w:val="en-GB"/>
        </w:rPr>
        <w:t xml:space="preserve"> section 233A of the Insolvency Act</w:t>
      </w:r>
      <w:r w:rsidRPr="00DD3FB9">
        <w:rPr>
          <w:rFonts w:ascii="Arial" w:hAnsi="Arial" w:cs="Arial"/>
          <w:color w:val="767171" w:themeColor="background2" w:themeShade="80"/>
          <w:sz w:val="22"/>
          <w:szCs w:val="22"/>
          <w:lang w:val="en-GB"/>
        </w:rPr>
        <w:t xml:space="preserve">, the administrator may rely upon this provision if it wishes to continue a supply contract which contains insolvency related terms. Under section 233A, </w:t>
      </w:r>
      <w:r w:rsidR="00230936" w:rsidRPr="00DD3FB9">
        <w:rPr>
          <w:rFonts w:ascii="Arial" w:hAnsi="Arial" w:cs="Arial"/>
          <w:color w:val="767171" w:themeColor="background2" w:themeShade="80"/>
          <w:sz w:val="22"/>
          <w:szCs w:val="22"/>
          <w:lang w:val="en-GB"/>
        </w:rPr>
        <w:t xml:space="preserve">a supplier </w:t>
      </w:r>
      <w:r w:rsidR="004D3ACF" w:rsidRPr="00DD3FB9">
        <w:rPr>
          <w:rFonts w:ascii="Arial" w:hAnsi="Arial" w:cs="Arial"/>
          <w:color w:val="767171" w:themeColor="background2" w:themeShade="80"/>
          <w:sz w:val="22"/>
          <w:szCs w:val="22"/>
          <w:lang w:val="en-GB"/>
        </w:rPr>
        <w:t xml:space="preserve">of </w:t>
      </w:r>
      <w:r w:rsidRPr="00DD3FB9">
        <w:rPr>
          <w:rFonts w:ascii="Arial" w:hAnsi="Arial" w:cs="Arial"/>
          <w:color w:val="767171" w:themeColor="background2" w:themeShade="80"/>
          <w:sz w:val="22"/>
          <w:szCs w:val="22"/>
          <w:lang w:val="en-GB"/>
        </w:rPr>
        <w:t xml:space="preserve">the </w:t>
      </w:r>
      <w:r w:rsidR="004D3ACF" w:rsidRPr="00DD3FB9">
        <w:rPr>
          <w:rFonts w:ascii="Arial" w:hAnsi="Arial" w:cs="Arial"/>
          <w:color w:val="767171" w:themeColor="background2" w:themeShade="80"/>
          <w:sz w:val="22"/>
          <w:szCs w:val="22"/>
          <w:lang w:val="en-GB"/>
        </w:rPr>
        <w:t xml:space="preserve">kinds of services </w:t>
      </w:r>
      <w:r w:rsidRPr="00DD3FB9">
        <w:rPr>
          <w:rFonts w:ascii="Arial" w:hAnsi="Arial" w:cs="Arial"/>
          <w:color w:val="767171" w:themeColor="background2" w:themeShade="80"/>
          <w:sz w:val="22"/>
          <w:szCs w:val="22"/>
          <w:lang w:val="en-GB"/>
        </w:rPr>
        <w:t xml:space="preserve">mentioned under section 233, </w:t>
      </w:r>
      <w:r w:rsidR="004D3ACF" w:rsidRPr="00DD3FB9">
        <w:rPr>
          <w:rFonts w:ascii="Arial" w:hAnsi="Arial" w:cs="Arial"/>
          <w:color w:val="767171" w:themeColor="background2" w:themeShade="80"/>
          <w:sz w:val="22"/>
          <w:szCs w:val="22"/>
          <w:lang w:val="en-GB"/>
        </w:rPr>
        <w:t>is generable unable to rely on “insolvency-related terms” in the supply contract which would entitle the supple to bring the contract to an end or alter the terms on which it supplied its services or require a higher payment for continuing its services. In essence, those terms generally cease to have effect upon the compa</w:t>
      </w:r>
      <w:r w:rsidRPr="00DD3FB9">
        <w:rPr>
          <w:rFonts w:ascii="Arial" w:hAnsi="Arial" w:cs="Arial"/>
          <w:color w:val="767171" w:themeColor="background2" w:themeShade="80"/>
          <w:sz w:val="22"/>
          <w:szCs w:val="22"/>
          <w:lang w:val="en-GB"/>
        </w:rPr>
        <w:t>ny entering into administration and the administrator may therefore continue the contract.</w:t>
      </w:r>
    </w:p>
    <w:p w14:paraId="3B35AFBF" w14:textId="77777777" w:rsidR="004D3ACF" w:rsidRPr="00DD3FB9" w:rsidRDefault="004D3ACF" w:rsidP="009719E3">
      <w:pPr>
        <w:jc w:val="both"/>
        <w:rPr>
          <w:rFonts w:ascii="Arial" w:hAnsi="Arial" w:cs="Arial"/>
          <w:color w:val="767171" w:themeColor="background2" w:themeShade="80"/>
          <w:sz w:val="22"/>
          <w:szCs w:val="22"/>
          <w:lang w:val="en-GB"/>
        </w:rPr>
      </w:pPr>
    </w:p>
    <w:p w14:paraId="47D84F58" w14:textId="7E0F0D5E" w:rsidR="004D3ACF" w:rsidRPr="00DD3FB9" w:rsidRDefault="004D3ACF" w:rsidP="004D3ACF">
      <w:pPr>
        <w:pStyle w:val="legclearfix"/>
        <w:shd w:val="clear" w:color="auto" w:fill="FFFFFF"/>
        <w:spacing w:before="0" w:beforeAutospacing="0" w:after="120" w:afterAutospacing="0" w:line="360" w:lineRule="atLeast"/>
        <w:rPr>
          <w:rFonts w:ascii="Arial" w:hAnsi="Arial" w:cs="Arial"/>
          <w:color w:val="767171" w:themeColor="background2" w:themeShade="80"/>
          <w:sz w:val="22"/>
          <w:szCs w:val="22"/>
        </w:rPr>
      </w:pPr>
      <w:r w:rsidRPr="00DD3FB9">
        <w:rPr>
          <w:rFonts w:ascii="Arial" w:hAnsi="Arial" w:cs="Arial"/>
          <w:color w:val="767171" w:themeColor="background2" w:themeShade="80"/>
          <w:sz w:val="22"/>
          <w:szCs w:val="22"/>
        </w:rPr>
        <w:t>However,</w:t>
      </w:r>
      <w:r w:rsidR="008E1DFB" w:rsidRPr="00DD3FB9">
        <w:rPr>
          <w:rFonts w:ascii="Arial" w:hAnsi="Arial" w:cs="Arial"/>
          <w:color w:val="767171" w:themeColor="background2" w:themeShade="80"/>
          <w:sz w:val="22"/>
          <w:szCs w:val="22"/>
        </w:rPr>
        <w:t xml:space="preserve"> section 233A also provides that</w:t>
      </w:r>
      <w:r w:rsidRPr="00DD3FB9">
        <w:rPr>
          <w:rFonts w:ascii="Arial" w:hAnsi="Arial" w:cs="Arial"/>
          <w:color w:val="767171" w:themeColor="background2" w:themeShade="80"/>
          <w:sz w:val="22"/>
          <w:szCs w:val="22"/>
        </w:rPr>
        <w:t xml:space="preserve"> </w:t>
      </w:r>
      <w:r w:rsidRPr="00DD3FB9">
        <w:rPr>
          <w:rStyle w:val="legaddition"/>
          <w:rFonts w:ascii="Arial" w:hAnsi="Arial" w:cs="Arial"/>
          <w:color w:val="767171" w:themeColor="background2" w:themeShade="80"/>
          <w:sz w:val="22"/>
          <w:szCs w:val="22"/>
        </w:rPr>
        <w:t>an insolvency-related term does not cease to have effect to the extent that—</w:t>
      </w:r>
    </w:p>
    <w:p w14:paraId="5068C31A" w14:textId="77777777" w:rsidR="004D3ACF" w:rsidRPr="00DD3FB9" w:rsidRDefault="004D3ACF" w:rsidP="004D3ACF">
      <w:pPr>
        <w:pStyle w:val="legclearfix"/>
        <w:shd w:val="clear" w:color="auto" w:fill="FFFFFF"/>
        <w:spacing w:before="0" w:beforeAutospacing="0" w:after="120" w:afterAutospacing="0" w:line="360" w:lineRule="atLeast"/>
        <w:rPr>
          <w:rFonts w:ascii="Arial" w:hAnsi="Arial" w:cs="Arial"/>
          <w:color w:val="767171" w:themeColor="background2" w:themeShade="80"/>
          <w:sz w:val="22"/>
          <w:szCs w:val="22"/>
        </w:rPr>
      </w:pPr>
      <w:r w:rsidRPr="00DD3FB9">
        <w:rPr>
          <w:rStyle w:val="legaddition"/>
          <w:rFonts w:ascii="Arial" w:hAnsi="Arial" w:cs="Arial"/>
          <w:color w:val="767171" w:themeColor="background2" w:themeShade="80"/>
          <w:sz w:val="22"/>
          <w:szCs w:val="22"/>
        </w:rPr>
        <w:t>(a)it provides for the contract or the supply to terminate, or any other thing to take place, because the company becomes subject to an insolvency procedure other than administration or a voluntary arrangement;</w:t>
      </w:r>
    </w:p>
    <w:p w14:paraId="5E119802" w14:textId="77777777" w:rsidR="004D3ACF" w:rsidRPr="00DD3FB9" w:rsidRDefault="004D3ACF" w:rsidP="004D3ACF">
      <w:pPr>
        <w:pStyle w:val="legclearfix"/>
        <w:shd w:val="clear" w:color="auto" w:fill="FFFFFF"/>
        <w:spacing w:before="0" w:beforeAutospacing="0" w:after="120" w:afterAutospacing="0" w:line="360" w:lineRule="atLeast"/>
        <w:rPr>
          <w:rFonts w:ascii="Arial" w:hAnsi="Arial" w:cs="Arial"/>
          <w:color w:val="767171" w:themeColor="background2" w:themeShade="80"/>
          <w:sz w:val="22"/>
          <w:szCs w:val="22"/>
        </w:rPr>
      </w:pPr>
      <w:r w:rsidRPr="00DD3FB9">
        <w:rPr>
          <w:rStyle w:val="legaddition"/>
          <w:rFonts w:ascii="Arial" w:hAnsi="Arial" w:cs="Arial"/>
          <w:color w:val="767171" w:themeColor="background2" w:themeShade="80"/>
          <w:sz w:val="22"/>
          <w:szCs w:val="22"/>
        </w:rPr>
        <w:t>(b)it entitles a supplier to terminate the contract or the supply, or do any other thing, because the company becomes subject to an insolvency procedure other than administration or a voluntary arrangement; or</w:t>
      </w:r>
    </w:p>
    <w:p w14:paraId="64015D37" w14:textId="77777777" w:rsidR="004D3ACF" w:rsidRPr="00DD3FB9" w:rsidRDefault="004D3ACF" w:rsidP="004D3ACF">
      <w:pPr>
        <w:pStyle w:val="legclearfix"/>
        <w:shd w:val="clear" w:color="auto" w:fill="FFFFFF"/>
        <w:spacing w:before="0" w:beforeAutospacing="0" w:after="120" w:afterAutospacing="0" w:line="360" w:lineRule="atLeast"/>
        <w:rPr>
          <w:rFonts w:ascii="Arial" w:hAnsi="Arial" w:cs="Arial"/>
          <w:color w:val="767171" w:themeColor="background2" w:themeShade="80"/>
          <w:sz w:val="22"/>
          <w:szCs w:val="22"/>
        </w:rPr>
      </w:pPr>
      <w:r w:rsidRPr="00DD3FB9">
        <w:rPr>
          <w:rStyle w:val="legaddition"/>
          <w:rFonts w:ascii="Arial" w:hAnsi="Arial" w:cs="Arial"/>
          <w:color w:val="767171" w:themeColor="background2" w:themeShade="80"/>
          <w:sz w:val="22"/>
          <w:szCs w:val="22"/>
        </w:rPr>
        <w:lastRenderedPageBreak/>
        <w:t>(c)it entitles a supplier to terminate the contract or the supply because of an event that occurs, or may occur, after the company enters administration or the voluntary arrangement takes effect.</w:t>
      </w:r>
    </w:p>
    <w:p w14:paraId="354BC182" w14:textId="253CD582" w:rsidR="009719E3" w:rsidRPr="00DD3FB9" w:rsidRDefault="009719E3" w:rsidP="009719E3">
      <w:pPr>
        <w:jc w:val="both"/>
        <w:rPr>
          <w:rFonts w:ascii="Arial" w:hAnsi="Arial" w:cs="Arial"/>
          <w:color w:val="767171" w:themeColor="background2" w:themeShade="80"/>
          <w:sz w:val="22"/>
          <w:szCs w:val="22"/>
          <w:lang w:val="en-GB"/>
        </w:rPr>
      </w:pPr>
    </w:p>
    <w:p w14:paraId="2C6ED271" w14:textId="77777777" w:rsidR="004D3ACF" w:rsidRPr="00DD3FB9" w:rsidRDefault="004D3ACF" w:rsidP="009719E3">
      <w:pPr>
        <w:jc w:val="both"/>
        <w:rPr>
          <w:rFonts w:ascii="Arial" w:hAnsi="Arial" w:cs="Arial"/>
          <w:color w:val="767171" w:themeColor="background2" w:themeShade="80"/>
          <w:sz w:val="22"/>
          <w:szCs w:val="22"/>
          <w:lang w:val="en-GB"/>
        </w:rPr>
      </w:pPr>
      <w:r w:rsidRPr="00DD3FB9">
        <w:rPr>
          <w:rFonts w:ascii="Arial" w:hAnsi="Arial" w:cs="Arial"/>
          <w:color w:val="767171" w:themeColor="background2" w:themeShade="80"/>
          <w:sz w:val="22"/>
          <w:szCs w:val="22"/>
          <w:lang w:val="en-GB"/>
        </w:rPr>
        <w:t xml:space="preserve">The 2020 Act also introduced </w:t>
      </w:r>
      <w:r w:rsidR="009719E3" w:rsidRPr="00DD3FB9">
        <w:rPr>
          <w:rFonts w:ascii="Arial" w:hAnsi="Arial" w:cs="Arial"/>
          <w:color w:val="767171" w:themeColor="background2" w:themeShade="80"/>
          <w:sz w:val="22"/>
          <w:szCs w:val="22"/>
          <w:lang w:val="en-GB"/>
        </w:rPr>
        <w:t xml:space="preserve">section 233B </w:t>
      </w:r>
      <w:r w:rsidRPr="00DD3FB9">
        <w:rPr>
          <w:rFonts w:ascii="Arial" w:hAnsi="Arial" w:cs="Arial"/>
          <w:color w:val="767171" w:themeColor="background2" w:themeShade="80"/>
          <w:sz w:val="22"/>
          <w:szCs w:val="22"/>
          <w:lang w:val="en-GB"/>
        </w:rPr>
        <w:t xml:space="preserve">which </w:t>
      </w:r>
      <w:r w:rsidR="009719E3" w:rsidRPr="00DD3FB9">
        <w:rPr>
          <w:rFonts w:ascii="Arial" w:hAnsi="Arial" w:cs="Arial"/>
          <w:color w:val="767171" w:themeColor="background2" w:themeShade="80"/>
          <w:sz w:val="22"/>
          <w:szCs w:val="22"/>
          <w:lang w:val="en-GB"/>
        </w:rPr>
        <w:t xml:space="preserve">provides </w:t>
      </w:r>
      <w:r w:rsidRPr="00DD3FB9">
        <w:rPr>
          <w:rFonts w:ascii="Arial" w:hAnsi="Arial" w:cs="Arial"/>
          <w:color w:val="767171" w:themeColor="background2" w:themeShade="80"/>
          <w:sz w:val="22"/>
          <w:szCs w:val="22"/>
          <w:lang w:val="en-GB"/>
        </w:rPr>
        <w:t xml:space="preserve">that a provision of a supply contract ceases to have effect when the company becomes subject to the relevant insolvency procedure if and to the extent that, under the provision— (a)the contract or the supply would terminate, or any other thing would take place, because the company becomes subject to the relevant insolvency procedure, or (b)the supplier would be entitled to terminate the contract or the supply, or to do any other thing, because the company becomes subject to the relevant insolvency procedure. </w:t>
      </w:r>
    </w:p>
    <w:p w14:paraId="6C4BADDC" w14:textId="77777777" w:rsidR="004D3ACF" w:rsidRPr="00DD3FB9" w:rsidRDefault="004D3ACF" w:rsidP="009719E3">
      <w:pPr>
        <w:jc w:val="both"/>
        <w:rPr>
          <w:rFonts w:ascii="Arial" w:hAnsi="Arial" w:cs="Arial"/>
          <w:color w:val="767171" w:themeColor="background2" w:themeShade="80"/>
          <w:sz w:val="22"/>
          <w:szCs w:val="22"/>
          <w:lang w:val="en-GB"/>
        </w:rPr>
      </w:pPr>
    </w:p>
    <w:p w14:paraId="6B892B7E" w14:textId="012D2DEC" w:rsidR="004D3ACF" w:rsidRPr="00DD3FB9" w:rsidRDefault="008E1DFB" w:rsidP="009719E3">
      <w:pPr>
        <w:jc w:val="both"/>
        <w:rPr>
          <w:rFonts w:ascii="Arial" w:hAnsi="Arial" w:cs="Arial"/>
          <w:color w:val="767171" w:themeColor="background2" w:themeShade="80"/>
          <w:sz w:val="22"/>
          <w:szCs w:val="22"/>
          <w:lang w:val="en-GB"/>
        </w:rPr>
      </w:pPr>
      <w:r w:rsidRPr="00DD3FB9">
        <w:rPr>
          <w:rFonts w:ascii="Arial" w:hAnsi="Arial" w:cs="Arial"/>
          <w:color w:val="767171" w:themeColor="background2" w:themeShade="80"/>
          <w:sz w:val="22"/>
          <w:szCs w:val="22"/>
          <w:lang w:val="en-GB"/>
        </w:rPr>
        <w:t>Additionally</w:t>
      </w:r>
      <w:r w:rsidR="004D3ACF" w:rsidRPr="00DD3FB9">
        <w:rPr>
          <w:rFonts w:ascii="Arial" w:hAnsi="Arial" w:cs="Arial"/>
          <w:color w:val="767171" w:themeColor="background2" w:themeShade="80"/>
          <w:sz w:val="22"/>
          <w:szCs w:val="22"/>
          <w:lang w:val="en-GB"/>
        </w:rPr>
        <w:t>, section 233B also provides that where a provision of a contract entitles the supplier to terminate the contract or the supply because of an event occurring before the start of the insolvency period, and the entitlement arises before the start of that period, the entitlement may not be exercised during that period.</w:t>
      </w:r>
    </w:p>
    <w:p w14:paraId="0CEF5302" w14:textId="77777777" w:rsidR="004D3ACF" w:rsidRPr="00DD3FB9" w:rsidRDefault="004D3ACF" w:rsidP="009719E3">
      <w:pPr>
        <w:jc w:val="both"/>
        <w:rPr>
          <w:rFonts w:ascii="Arial" w:hAnsi="Arial" w:cs="Arial"/>
          <w:color w:val="767171" w:themeColor="background2" w:themeShade="80"/>
          <w:sz w:val="22"/>
          <w:szCs w:val="22"/>
          <w:lang w:val="en-GB"/>
        </w:rPr>
      </w:pPr>
    </w:p>
    <w:p w14:paraId="364B6ACC" w14:textId="4777EECA" w:rsidR="009719E3" w:rsidRPr="00DD3FB9" w:rsidRDefault="008E1DFB" w:rsidP="009719E3">
      <w:pPr>
        <w:jc w:val="both"/>
        <w:rPr>
          <w:rFonts w:ascii="Arial" w:hAnsi="Arial" w:cs="Arial"/>
          <w:color w:val="767171" w:themeColor="background2" w:themeShade="80"/>
          <w:sz w:val="22"/>
          <w:szCs w:val="22"/>
          <w:lang w:val="en-GB"/>
        </w:rPr>
      </w:pPr>
      <w:r w:rsidRPr="00DD3FB9">
        <w:rPr>
          <w:rFonts w:ascii="Arial" w:hAnsi="Arial" w:cs="Arial"/>
          <w:color w:val="767171" w:themeColor="background2" w:themeShade="80"/>
          <w:sz w:val="22"/>
          <w:szCs w:val="22"/>
          <w:lang w:val="en-GB"/>
        </w:rPr>
        <w:t>The language of s</w:t>
      </w:r>
      <w:r w:rsidR="009719E3" w:rsidRPr="00DD3FB9">
        <w:rPr>
          <w:rFonts w:ascii="Arial" w:hAnsi="Arial" w:cs="Arial"/>
          <w:color w:val="767171" w:themeColor="background2" w:themeShade="80"/>
          <w:sz w:val="22"/>
          <w:szCs w:val="22"/>
          <w:lang w:val="en-GB"/>
        </w:rPr>
        <w:t>ection 233B</w:t>
      </w:r>
      <w:r w:rsidRPr="00DD3FB9">
        <w:rPr>
          <w:rFonts w:ascii="Arial" w:hAnsi="Arial" w:cs="Arial"/>
          <w:color w:val="767171" w:themeColor="background2" w:themeShade="80"/>
          <w:sz w:val="22"/>
          <w:szCs w:val="22"/>
          <w:lang w:val="en-GB"/>
        </w:rPr>
        <w:t xml:space="preserve"> opens up the restriction on terminating</w:t>
      </w:r>
      <w:r w:rsidR="009719E3" w:rsidRPr="00DD3FB9">
        <w:rPr>
          <w:rFonts w:ascii="Arial" w:hAnsi="Arial" w:cs="Arial"/>
          <w:color w:val="767171" w:themeColor="background2" w:themeShade="80"/>
          <w:sz w:val="22"/>
          <w:szCs w:val="22"/>
          <w:lang w:val="en-GB"/>
        </w:rPr>
        <w:t xml:space="preserve"> suppl</w:t>
      </w:r>
      <w:r w:rsidRPr="00DD3FB9">
        <w:rPr>
          <w:rFonts w:ascii="Arial" w:hAnsi="Arial" w:cs="Arial"/>
          <w:color w:val="767171" w:themeColor="background2" w:themeShade="80"/>
          <w:sz w:val="22"/>
          <w:szCs w:val="22"/>
          <w:lang w:val="en-GB"/>
        </w:rPr>
        <w:t>y contracts not just those in section 233A. However, the section does provide for a</w:t>
      </w:r>
      <w:r w:rsidR="009719E3" w:rsidRPr="00DD3FB9">
        <w:rPr>
          <w:rFonts w:ascii="Arial" w:hAnsi="Arial" w:cs="Arial"/>
          <w:color w:val="767171" w:themeColor="background2" w:themeShade="80"/>
          <w:sz w:val="22"/>
          <w:szCs w:val="22"/>
          <w:lang w:val="en-GB"/>
        </w:rPr>
        <w:t xml:space="preserve"> limited number of exceptions </w:t>
      </w:r>
      <w:r w:rsidRPr="00DD3FB9">
        <w:rPr>
          <w:rFonts w:ascii="Arial" w:hAnsi="Arial" w:cs="Arial"/>
          <w:color w:val="767171" w:themeColor="background2" w:themeShade="80"/>
          <w:sz w:val="22"/>
          <w:szCs w:val="22"/>
          <w:lang w:val="en-GB"/>
        </w:rPr>
        <w:t xml:space="preserve">such as </w:t>
      </w:r>
      <w:r w:rsidR="009719E3" w:rsidRPr="00DD3FB9">
        <w:rPr>
          <w:rFonts w:ascii="Arial" w:hAnsi="Arial" w:cs="Arial"/>
          <w:color w:val="767171" w:themeColor="background2" w:themeShade="80"/>
          <w:sz w:val="22"/>
          <w:szCs w:val="22"/>
          <w:lang w:val="en-GB"/>
        </w:rPr>
        <w:t>insurers, banks, electronic money institutions, recognised investment exchanges and clearing houses, securitisation of companies; overseas and corresponding funds.</w:t>
      </w:r>
    </w:p>
    <w:p w14:paraId="064CF465" w14:textId="77777777" w:rsidR="009719E3" w:rsidRPr="00DD3FB9" w:rsidRDefault="009719E3" w:rsidP="009719E3">
      <w:pPr>
        <w:jc w:val="both"/>
        <w:rPr>
          <w:rFonts w:ascii="Arial" w:hAnsi="Arial" w:cs="Arial"/>
          <w:color w:val="767171" w:themeColor="background2" w:themeShade="80"/>
          <w:sz w:val="22"/>
          <w:szCs w:val="22"/>
          <w:lang w:val="en-GB"/>
        </w:rPr>
      </w:pPr>
    </w:p>
    <w:p w14:paraId="3F8119E0" w14:textId="6CF56861" w:rsidR="009719E3" w:rsidRPr="00DD3FB9" w:rsidRDefault="00F94391" w:rsidP="009719E3">
      <w:pPr>
        <w:jc w:val="both"/>
        <w:rPr>
          <w:rFonts w:ascii="Arial" w:hAnsi="Arial" w:cs="Arial"/>
          <w:color w:val="767171" w:themeColor="background2" w:themeShade="80"/>
          <w:sz w:val="22"/>
          <w:szCs w:val="22"/>
          <w:lang w:val="en-GB"/>
        </w:rPr>
      </w:pPr>
      <w:r w:rsidRPr="00DD3FB9">
        <w:rPr>
          <w:rFonts w:ascii="Arial" w:hAnsi="Arial" w:cs="Arial"/>
          <w:color w:val="767171" w:themeColor="background2" w:themeShade="80"/>
          <w:sz w:val="22"/>
          <w:szCs w:val="22"/>
          <w:lang w:val="en-GB"/>
        </w:rPr>
        <w:t xml:space="preserve">Having regard to sections 233, 233A and 233B, it is therefore clear that </w:t>
      </w:r>
      <w:r w:rsidR="009719E3" w:rsidRPr="00DD3FB9">
        <w:rPr>
          <w:rFonts w:ascii="Arial" w:hAnsi="Arial" w:cs="Arial"/>
          <w:color w:val="767171" w:themeColor="background2" w:themeShade="80"/>
          <w:sz w:val="22"/>
          <w:szCs w:val="22"/>
          <w:lang w:val="en-GB"/>
        </w:rPr>
        <w:t xml:space="preserve">an administrator can require suppliers of </w:t>
      </w:r>
      <w:r w:rsidRPr="00DD3FB9">
        <w:rPr>
          <w:rFonts w:ascii="Arial" w:hAnsi="Arial" w:cs="Arial"/>
          <w:color w:val="767171" w:themeColor="background2" w:themeShade="80"/>
          <w:sz w:val="22"/>
          <w:szCs w:val="22"/>
          <w:lang w:val="en-GB"/>
        </w:rPr>
        <w:t xml:space="preserve">certain </w:t>
      </w:r>
      <w:r w:rsidR="009719E3" w:rsidRPr="00DD3FB9">
        <w:rPr>
          <w:rFonts w:ascii="Arial" w:hAnsi="Arial" w:cs="Arial"/>
          <w:color w:val="767171" w:themeColor="background2" w:themeShade="80"/>
          <w:sz w:val="22"/>
          <w:szCs w:val="22"/>
          <w:lang w:val="en-GB"/>
        </w:rPr>
        <w:t>goods and services to continue their supply during administration</w:t>
      </w:r>
      <w:r w:rsidRPr="00DD3FB9">
        <w:rPr>
          <w:rFonts w:ascii="Arial" w:hAnsi="Arial" w:cs="Arial"/>
          <w:color w:val="767171" w:themeColor="background2" w:themeShade="80"/>
          <w:sz w:val="22"/>
          <w:szCs w:val="22"/>
          <w:lang w:val="en-GB"/>
        </w:rPr>
        <w:t>, but this is subject to the kind of service to be supplied, the terms of the contract, among other things.</w:t>
      </w:r>
      <w:r w:rsidR="009719E3" w:rsidRPr="00DD3FB9">
        <w:rPr>
          <w:rFonts w:ascii="Arial" w:hAnsi="Arial" w:cs="Arial"/>
          <w:color w:val="767171" w:themeColor="background2" w:themeShade="80"/>
          <w:sz w:val="22"/>
          <w:szCs w:val="22"/>
          <w:lang w:val="en-GB"/>
        </w:rPr>
        <w:t>.</w:t>
      </w:r>
    </w:p>
    <w:p w14:paraId="2E7FAAC9" w14:textId="77777777" w:rsidR="009719E3" w:rsidRPr="002117C7" w:rsidRDefault="009719E3" w:rsidP="009719E3">
      <w:pPr>
        <w:jc w:val="both"/>
        <w:rPr>
          <w:rFonts w:ascii="Arial" w:hAnsi="Arial" w:cs="Arial"/>
          <w:color w:val="7B7B7B" w:themeColor="accent3" w:themeShade="BF"/>
          <w:sz w:val="22"/>
          <w:szCs w:val="22"/>
          <w:lang w:val="en-GB"/>
        </w:rPr>
      </w:pPr>
    </w:p>
    <w:p w14:paraId="2E450CAD" w14:textId="77777777" w:rsidR="00FF5098" w:rsidRPr="009719E3" w:rsidRDefault="00FF5098" w:rsidP="002A37BB">
      <w:pPr>
        <w:ind w:left="720" w:hanging="720"/>
        <w:jc w:val="both"/>
        <w:rPr>
          <w:rFonts w:ascii="Arial" w:hAnsi="Arial" w:cs="Arial"/>
          <w:sz w:val="22"/>
          <w:szCs w:val="22"/>
          <w:lang w:val="en-GB"/>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59D21E9A" w:rsidR="00807119" w:rsidRDefault="00087F21" w:rsidP="002A37BB">
      <w:pPr>
        <w:jc w:val="both"/>
        <w:rPr>
          <w:rFonts w:ascii="Arial" w:hAnsi="Arial" w:cs="Arial"/>
          <w:sz w:val="22"/>
          <w:szCs w:val="22"/>
          <w:lang w:val="en-GB"/>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6CECE6BD" w14:textId="6B1CBC58" w:rsidR="00F94391" w:rsidRDefault="00F94391" w:rsidP="002A37BB">
      <w:pPr>
        <w:jc w:val="both"/>
        <w:rPr>
          <w:rFonts w:ascii="Arial" w:hAnsi="Arial" w:cs="Arial"/>
          <w:sz w:val="22"/>
          <w:szCs w:val="22"/>
          <w:lang w:val="en-GB"/>
        </w:rPr>
      </w:pPr>
    </w:p>
    <w:p w14:paraId="487268D7" w14:textId="7D690E75" w:rsidR="00F94391" w:rsidRDefault="00F94391" w:rsidP="002A37BB">
      <w:pPr>
        <w:jc w:val="both"/>
        <w:rPr>
          <w:rFonts w:ascii="Arial" w:hAnsi="Arial" w:cs="Arial"/>
          <w:sz w:val="22"/>
          <w:szCs w:val="22"/>
          <w:lang w:val="en-GB"/>
        </w:rPr>
      </w:pPr>
    </w:p>
    <w:p w14:paraId="425CA945" w14:textId="3820F7FA" w:rsidR="008F1EC1" w:rsidRDefault="008F1EC1" w:rsidP="002A37BB">
      <w:pPr>
        <w:jc w:val="both"/>
        <w:rPr>
          <w:rFonts w:ascii="Arial" w:hAnsi="Arial" w:cs="Arial"/>
          <w:sz w:val="22"/>
          <w:szCs w:val="22"/>
          <w:lang w:val="en-GB"/>
        </w:rPr>
      </w:pPr>
      <w:r>
        <w:rPr>
          <w:rFonts w:ascii="Arial" w:hAnsi="Arial" w:cs="Arial"/>
          <w:sz w:val="22"/>
          <w:szCs w:val="22"/>
          <w:lang w:val="en-GB"/>
        </w:rPr>
        <w:t>The order of priority is as follows:</w:t>
      </w:r>
    </w:p>
    <w:p w14:paraId="63D5FA0D" w14:textId="52DAF1FA" w:rsidR="008F1EC1" w:rsidRDefault="008F1EC1" w:rsidP="002A37BB">
      <w:pPr>
        <w:jc w:val="both"/>
        <w:rPr>
          <w:rFonts w:ascii="Arial" w:hAnsi="Arial" w:cs="Arial"/>
          <w:sz w:val="22"/>
          <w:szCs w:val="22"/>
          <w:lang w:val="en-GB"/>
        </w:rPr>
      </w:pPr>
    </w:p>
    <w:p w14:paraId="3481E93D" w14:textId="23326F0A" w:rsidR="008F1EC1" w:rsidRDefault="008F1EC1" w:rsidP="008F1EC1">
      <w:pPr>
        <w:pStyle w:val="ListParagraph"/>
        <w:numPr>
          <w:ilvl w:val="0"/>
          <w:numId w:val="28"/>
        </w:numPr>
        <w:jc w:val="both"/>
        <w:rPr>
          <w:rFonts w:ascii="Arial" w:hAnsi="Arial" w:cs="Arial"/>
          <w:sz w:val="22"/>
          <w:szCs w:val="22"/>
        </w:rPr>
      </w:pPr>
      <w:r>
        <w:rPr>
          <w:rFonts w:ascii="Arial" w:hAnsi="Arial" w:cs="Arial"/>
          <w:sz w:val="22"/>
          <w:szCs w:val="22"/>
        </w:rPr>
        <w:t>The expenses of the winding up of the company, including the liquidator’s expenses;</w:t>
      </w:r>
    </w:p>
    <w:p w14:paraId="60DAA055" w14:textId="12975596" w:rsidR="008F1EC1" w:rsidRDefault="008F1EC1" w:rsidP="008F1EC1">
      <w:pPr>
        <w:pStyle w:val="ListParagraph"/>
        <w:numPr>
          <w:ilvl w:val="0"/>
          <w:numId w:val="28"/>
        </w:numPr>
        <w:jc w:val="both"/>
        <w:rPr>
          <w:rFonts w:ascii="Arial" w:hAnsi="Arial" w:cs="Arial"/>
          <w:sz w:val="22"/>
          <w:szCs w:val="22"/>
        </w:rPr>
      </w:pPr>
      <w:r>
        <w:rPr>
          <w:rFonts w:ascii="Arial" w:hAnsi="Arial" w:cs="Arial"/>
          <w:sz w:val="22"/>
          <w:szCs w:val="22"/>
        </w:rPr>
        <w:t>Preferential creditors;</w:t>
      </w:r>
    </w:p>
    <w:p w14:paraId="41BFFE42" w14:textId="48BCD31F" w:rsidR="008F1EC1" w:rsidRDefault="008F1EC1" w:rsidP="008F1EC1">
      <w:pPr>
        <w:pStyle w:val="ListParagraph"/>
        <w:numPr>
          <w:ilvl w:val="0"/>
          <w:numId w:val="28"/>
        </w:numPr>
        <w:jc w:val="both"/>
        <w:rPr>
          <w:rFonts w:ascii="Arial" w:hAnsi="Arial" w:cs="Arial"/>
          <w:sz w:val="22"/>
          <w:szCs w:val="22"/>
        </w:rPr>
      </w:pPr>
      <w:r>
        <w:rPr>
          <w:rFonts w:ascii="Arial" w:hAnsi="Arial" w:cs="Arial"/>
          <w:sz w:val="22"/>
          <w:szCs w:val="22"/>
        </w:rPr>
        <w:t>Floating charge holders and the “prescribed part”</w:t>
      </w:r>
    </w:p>
    <w:p w14:paraId="0EFC3132" w14:textId="57411C93" w:rsidR="008F1EC1" w:rsidRDefault="008F1EC1" w:rsidP="008F1EC1">
      <w:pPr>
        <w:pStyle w:val="ListParagraph"/>
        <w:numPr>
          <w:ilvl w:val="0"/>
          <w:numId w:val="28"/>
        </w:numPr>
        <w:jc w:val="both"/>
        <w:rPr>
          <w:rFonts w:ascii="Arial" w:hAnsi="Arial" w:cs="Arial"/>
          <w:sz w:val="22"/>
          <w:szCs w:val="22"/>
        </w:rPr>
      </w:pPr>
      <w:r>
        <w:rPr>
          <w:rFonts w:ascii="Arial" w:hAnsi="Arial" w:cs="Arial"/>
          <w:sz w:val="22"/>
          <w:szCs w:val="22"/>
        </w:rPr>
        <w:t>Unsecured creditors;</w:t>
      </w:r>
    </w:p>
    <w:p w14:paraId="77F22990" w14:textId="0F5EC8C6" w:rsidR="008F1EC1" w:rsidRDefault="008F1EC1" w:rsidP="008F1EC1">
      <w:pPr>
        <w:pStyle w:val="ListParagraph"/>
        <w:numPr>
          <w:ilvl w:val="0"/>
          <w:numId w:val="28"/>
        </w:numPr>
        <w:jc w:val="both"/>
        <w:rPr>
          <w:rFonts w:ascii="Arial" w:hAnsi="Arial" w:cs="Arial"/>
          <w:sz w:val="22"/>
          <w:szCs w:val="22"/>
        </w:rPr>
      </w:pPr>
      <w:r>
        <w:rPr>
          <w:rFonts w:ascii="Arial" w:hAnsi="Arial" w:cs="Arial"/>
          <w:sz w:val="22"/>
          <w:szCs w:val="22"/>
        </w:rPr>
        <w:t xml:space="preserve">Shareholders. </w:t>
      </w:r>
    </w:p>
    <w:p w14:paraId="42491AF6" w14:textId="21CDB2D6" w:rsidR="008F1EC1" w:rsidRDefault="008F1EC1" w:rsidP="008F1EC1">
      <w:pPr>
        <w:jc w:val="both"/>
        <w:rPr>
          <w:rFonts w:ascii="Arial" w:hAnsi="Arial" w:cs="Arial"/>
          <w:sz w:val="22"/>
          <w:szCs w:val="22"/>
        </w:rPr>
      </w:pPr>
    </w:p>
    <w:p w14:paraId="6B5291FB" w14:textId="44936232" w:rsidR="008F1EC1" w:rsidRDefault="008F1EC1" w:rsidP="008F1EC1">
      <w:pPr>
        <w:jc w:val="both"/>
        <w:rPr>
          <w:rFonts w:ascii="Arial" w:hAnsi="Arial" w:cs="Arial"/>
          <w:sz w:val="22"/>
          <w:szCs w:val="22"/>
        </w:rPr>
      </w:pPr>
      <w:r>
        <w:rPr>
          <w:rFonts w:ascii="Arial" w:hAnsi="Arial" w:cs="Arial"/>
          <w:sz w:val="22"/>
          <w:szCs w:val="22"/>
        </w:rPr>
        <w:t>In respect of the nature of the rights enjoyed by each of the classes above:</w:t>
      </w:r>
    </w:p>
    <w:p w14:paraId="168D57F9" w14:textId="372B6931" w:rsidR="008F1EC1" w:rsidRDefault="008F1EC1" w:rsidP="008F1EC1">
      <w:pPr>
        <w:jc w:val="both"/>
        <w:rPr>
          <w:rFonts w:ascii="Arial" w:hAnsi="Arial" w:cs="Arial"/>
          <w:sz w:val="22"/>
          <w:szCs w:val="22"/>
        </w:rPr>
      </w:pPr>
    </w:p>
    <w:p w14:paraId="140449F7" w14:textId="339B84CE" w:rsidR="009719E3" w:rsidRPr="008F1EC1" w:rsidRDefault="008F1EC1" w:rsidP="008F1EC1">
      <w:pPr>
        <w:jc w:val="both"/>
        <w:rPr>
          <w:rFonts w:ascii="Arial" w:hAnsi="Arial" w:cs="Arial"/>
          <w:color w:val="7B7B7B" w:themeColor="accent3" w:themeShade="BF"/>
          <w:sz w:val="22"/>
          <w:szCs w:val="22"/>
          <w:lang w:val="en-GB"/>
        </w:rPr>
      </w:pPr>
      <w:r w:rsidRPr="008F1EC1">
        <w:rPr>
          <w:rFonts w:ascii="Arial" w:hAnsi="Arial" w:cs="Arial"/>
          <w:sz w:val="22"/>
          <w:szCs w:val="22"/>
        </w:rPr>
        <w:t xml:space="preserve">The expenses associated with the winding up takes top priority. This is governed by section 115. However, even within this top priority, there is an order of priority of payments. </w:t>
      </w:r>
      <w:r w:rsidR="009719E3" w:rsidRPr="008F1EC1">
        <w:rPr>
          <w:rFonts w:ascii="Arial" w:hAnsi="Arial" w:cs="Arial"/>
          <w:color w:val="7B7B7B" w:themeColor="accent3" w:themeShade="BF"/>
          <w:sz w:val="22"/>
          <w:szCs w:val="22"/>
          <w:lang w:val="en-GB"/>
        </w:rPr>
        <w:t xml:space="preserve">The order of priority of payments </w:t>
      </w:r>
      <w:r w:rsidRPr="008F1EC1">
        <w:rPr>
          <w:rFonts w:ascii="Arial" w:hAnsi="Arial" w:cs="Arial"/>
          <w:color w:val="7B7B7B" w:themeColor="accent3" w:themeShade="BF"/>
          <w:sz w:val="22"/>
          <w:szCs w:val="22"/>
          <w:lang w:val="en-GB"/>
        </w:rPr>
        <w:t>is as follow:</w:t>
      </w:r>
    </w:p>
    <w:p w14:paraId="03963CCF" w14:textId="77777777" w:rsidR="009719E3" w:rsidRDefault="009719E3" w:rsidP="009719E3">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Expenses properly incurred by the liquidator in preserving, realising or getting any of the assets including legal proceedings; </w:t>
      </w:r>
    </w:p>
    <w:p w14:paraId="35A78DE4" w14:textId="77777777" w:rsidR="009719E3" w:rsidRDefault="009719E3" w:rsidP="009719E3">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cost of any security provided by the liquidator;</w:t>
      </w:r>
    </w:p>
    <w:p w14:paraId="77FB429C" w14:textId="77777777" w:rsidR="009719E3" w:rsidRDefault="009719E3" w:rsidP="009719E3">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Any amount payable to a person to assist in the preparation of a statement of affairs or accounts; </w:t>
      </w:r>
    </w:p>
    <w:p w14:paraId="7D375241" w14:textId="77777777" w:rsidR="009719E3" w:rsidRDefault="009719E3" w:rsidP="009719E3">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Any necessary disbursements by the liquidator in the course of winding up </w:t>
      </w:r>
    </w:p>
    <w:p w14:paraId="4E5B83EB" w14:textId="77777777" w:rsidR="009719E3" w:rsidRDefault="009719E3" w:rsidP="009719E3">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remuneration of any person employed by the liquidator to perform any services for the company;</w:t>
      </w:r>
    </w:p>
    <w:p w14:paraId="27E0B566" w14:textId="77777777" w:rsidR="009719E3" w:rsidRDefault="009719E3" w:rsidP="009719E3">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remuneration of the liquidator;</w:t>
      </w:r>
    </w:p>
    <w:p w14:paraId="729BDA86" w14:textId="77777777" w:rsidR="009719E3" w:rsidRDefault="009719E3" w:rsidP="009719E3">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amount of corporation tax on chargeable gains accruing on the realising of any assets of the company;</w:t>
      </w:r>
    </w:p>
    <w:p w14:paraId="601B4A07" w14:textId="7ACF2DA3" w:rsidR="009719E3" w:rsidRDefault="009719E3" w:rsidP="009719E3">
      <w:pPr>
        <w:pStyle w:val="ListParagraph"/>
        <w:numPr>
          <w:ilvl w:val="1"/>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expenses properly chargeable by the liquidator in carrying out the functions in the winding up</w:t>
      </w:r>
      <w:r w:rsidR="008F1EC1">
        <w:rPr>
          <w:rFonts w:ascii="Arial" w:hAnsi="Arial" w:cs="Arial"/>
          <w:color w:val="7B7B7B" w:themeColor="accent3" w:themeShade="BF"/>
          <w:sz w:val="22"/>
          <w:szCs w:val="22"/>
          <w:lang w:val="en-GB"/>
        </w:rPr>
        <w:t xml:space="preserve">. </w:t>
      </w:r>
    </w:p>
    <w:p w14:paraId="7916D134" w14:textId="77777777" w:rsidR="002117C7" w:rsidRDefault="002117C7" w:rsidP="002117C7">
      <w:pPr>
        <w:pStyle w:val="ListParagraph"/>
        <w:ind w:left="1440"/>
        <w:jc w:val="both"/>
        <w:rPr>
          <w:rFonts w:ascii="Arial" w:hAnsi="Arial" w:cs="Arial"/>
          <w:color w:val="7B7B7B" w:themeColor="accent3" w:themeShade="BF"/>
          <w:sz w:val="22"/>
          <w:szCs w:val="22"/>
          <w:lang w:val="en-GB"/>
        </w:rPr>
      </w:pPr>
    </w:p>
    <w:p w14:paraId="2256A980" w14:textId="6B538054" w:rsidR="008F1EC1" w:rsidRPr="008F1EC1" w:rsidRDefault="008F1EC1" w:rsidP="008F1EC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clear </w:t>
      </w:r>
      <w:r w:rsidR="00A56C38">
        <w:rPr>
          <w:rFonts w:ascii="Arial" w:hAnsi="Arial" w:cs="Arial"/>
          <w:color w:val="7B7B7B" w:themeColor="accent3" w:themeShade="BF"/>
          <w:sz w:val="22"/>
          <w:szCs w:val="22"/>
          <w:lang w:val="en-GB"/>
        </w:rPr>
        <w:t xml:space="preserve">from the priority of payment of the main expenses of the winding up of the company, that the costs/expenses associated with recovering or preserving assets take precedence over the liquidator’s own remuneration. </w:t>
      </w:r>
    </w:p>
    <w:p w14:paraId="48002F1B" w14:textId="77777777" w:rsidR="00A56C38" w:rsidRDefault="00A56C38" w:rsidP="00A56C38">
      <w:pPr>
        <w:jc w:val="both"/>
        <w:rPr>
          <w:rFonts w:ascii="Arial" w:hAnsi="Arial" w:cs="Arial"/>
          <w:color w:val="7B7B7B" w:themeColor="accent3" w:themeShade="BF"/>
          <w:sz w:val="22"/>
          <w:szCs w:val="22"/>
          <w:lang w:val="en-GB"/>
        </w:rPr>
      </w:pPr>
    </w:p>
    <w:p w14:paraId="11F3D86B" w14:textId="030561DE" w:rsidR="009719E3" w:rsidRDefault="009719E3" w:rsidP="00A56C38">
      <w:pPr>
        <w:jc w:val="both"/>
        <w:rPr>
          <w:rFonts w:ascii="Arial" w:hAnsi="Arial" w:cs="Arial"/>
          <w:sz w:val="22"/>
          <w:szCs w:val="22"/>
          <w:shd w:val="clear" w:color="auto" w:fill="FFFFFF"/>
        </w:rPr>
      </w:pPr>
      <w:r w:rsidRPr="00A56C38">
        <w:rPr>
          <w:rFonts w:ascii="Arial" w:hAnsi="Arial" w:cs="Arial"/>
          <w:sz w:val="22"/>
          <w:szCs w:val="22"/>
          <w:shd w:val="clear" w:color="auto" w:fill="FFFFFF"/>
        </w:rPr>
        <w:t xml:space="preserve">Preferential creditors </w:t>
      </w:r>
      <w:r w:rsidR="00A56C38">
        <w:rPr>
          <w:rFonts w:ascii="Arial" w:hAnsi="Arial" w:cs="Arial"/>
          <w:sz w:val="22"/>
          <w:szCs w:val="22"/>
          <w:shd w:val="clear" w:color="auto" w:fill="FFFFFF"/>
        </w:rPr>
        <w:t>are second in general in terms of priority, and will be entitled to payment once the expenses of the liquidation have been paid in full. The preferential creditor class  will include for example, claims of employees of the company</w:t>
      </w:r>
      <w:r w:rsidR="006C2E3E">
        <w:rPr>
          <w:rFonts w:ascii="Arial" w:hAnsi="Arial" w:cs="Arial"/>
          <w:sz w:val="22"/>
          <w:szCs w:val="22"/>
          <w:shd w:val="clear" w:color="auto" w:fill="FFFFFF"/>
        </w:rPr>
        <w:t xml:space="preserve"> for remuneration and sums owed on account of an employee/employer’s contribution to a pension scheme. </w:t>
      </w:r>
      <w:r w:rsidR="00A56C38">
        <w:rPr>
          <w:rFonts w:ascii="Arial" w:hAnsi="Arial" w:cs="Arial"/>
          <w:sz w:val="22"/>
          <w:szCs w:val="22"/>
          <w:shd w:val="clear" w:color="auto" w:fill="FFFFFF"/>
        </w:rPr>
        <w:t xml:space="preserve">The statutory debt regime will offer some priority to remuneration of employees and contribution to their pension schemes. The statutory protection offered to employees pursuant to the Employment Rights Act of 1996 provides extensive protection for employees. The preferential creditors class may also include and some taxation liabilities for outstanding taxes due to the Crown. </w:t>
      </w:r>
      <w:r w:rsidR="006C2E3E">
        <w:rPr>
          <w:rFonts w:ascii="Arial" w:hAnsi="Arial" w:cs="Arial"/>
          <w:sz w:val="22"/>
          <w:szCs w:val="22"/>
          <w:shd w:val="clear" w:color="auto" w:fill="FFFFFF"/>
        </w:rPr>
        <w:t xml:space="preserve">Despite the Enterprise Act 2002 abolishing the Crown’s preference, it was largely reintroduced by the Finance Act 2020 through section 95. </w:t>
      </w:r>
    </w:p>
    <w:p w14:paraId="0EA416C2" w14:textId="40F3F966" w:rsidR="006C2E3E" w:rsidRDefault="006C2E3E" w:rsidP="00A56C38">
      <w:pPr>
        <w:jc w:val="both"/>
        <w:rPr>
          <w:rFonts w:ascii="Arial" w:hAnsi="Arial" w:cs="Arial"/>
          <w:sz w:val="22"/>
          <w:szCs w:val="22"/>
          <w:shd w:val="clear" w:color="auto" w:fill="FFFFFF"/>
        </w:rPr>
      </w:pPr>
    </w:p>
    <w:p w14:paraId="0327C06D" w14:textId="1CA47001" w:rsidR="009719E3" w:rsidRPr="006C2E3E" w:rsidRDefault="006C2E3E" w:rsidP="006C2E3E">
      <w:pPr>
        <w:jc w:val="both"/>
        <w:rPr>
          <w:rFonts w:ascii="Arial" w:hAnsi="Arial" w:cs="Arial"/>
          <w:sz w:val="22"/>
          <w:szCs w:val="22"/>
          <w:shd w:val="clear" w:color="auto" w:fill="FFFFFF"/>
        </w:rPr>
      </w:pPr>
      <w:r>
        <w:rPr>
          <w:rFonts w:ascii="Arial" w:hAnsi="Arial" w:cs="Arial"/>
          <w:sz w:val="22"/>
          <w:szCs w:val="22"/>
          <w:shd w:val="clear" w:color="auto" w:fill="FFFFFF"/>
        </w:rPr>
        <w:t xml:space="preserve">The preferential class may be split into two categories: ordinary or secondary. The former category is paid before the latter. Pursuant to Schedule 6 of the Insolvency Act, ordinary preferential debts include: </w:t>
      </w:r>
    </w:p>
    <w:p w14:paraId="199B4182" w14:textId="77777777" w:rsidR="006C2E3E" w:rsidRDefault="006C2E3E" w:rsidP="006C2E3E">
      <w:pPr>
        <w:jc w:val="both"/>
        <w:rPr>
          <w:rFonts w:ascii="Arial" w:hAnsi="Arial" w:cs="Arial"/>
          <w:sz w:val="22"/>
          <w:szCs w:val="22"/>
          <w:shd w:val="clear" w:color="auto" w:fill="FFFFFF"/>
        </w:rPr>
      </w:pPr>
    </w:p>
    <w:p w14:paraId="270DC0E8" w14:textId="46FA723D" w:rsidR="009719E3" w:rsidRPr="006C2E3E" w:rsidRDefault="009719E3" w:rsidP="006C2E3E">
      <w:pPr>
        <w:pStyle w:val="ListParagraph"/>
        <w:numPr>
          <w:ilvl w:val="2"/>
          <w:numId w:val="23"/>
        </w:numPr>
        <w:jc w:val="both"/>
        <w:rPr>
          <w:rFonts w:ascii="Arial" w:hAnsi="Arial" w:cs="Arial"/>
          <w:sz w:val="22"/>
          <w:szCs w:val="22"/>
          <w:shd w:val="clear" w:color="auto" w:fill="FFFFFF"/>
        </w:rPr>
      </w:pPr>
      <w:r w:rsidRPr="006C2E3E">
        <w:rPr>
          <w:rFonts w:ascii="Arial" w:hAnsi="Arial" w:cs="Arial"/>
          <w:sz w:val="22"/>
          <w:szCs w:val="22"/>
          <w:shd w:val="clear" w:color="auto" w:fill="FFFFFF"/>
        </w:rPr>
        <w:t>Any sum owed on account on an employee’s contribution to an occupational pension scheme in the period of 12 months before the relevant date;</w:t>
      </w:r>
    </w:p>
    <w:p w14:paraId="55AE5DAC" w14:textId="77777777" w:rsidR="009719E3" w:rsidRDefault="009719E3" w:rsidP="009719E3">
      <w:pPr>
        <w:pStyle w:val="ListParagraph"/>
        <w:numPr>
          <w:ilvl w:val="2"/>
          <w:numId w:val="23"/>
        </w:numPr>
        <w:jc w:val="both"/>
        <w:rPr>
          <w:rFonts w:ascii="Arial" w:hAnsi="Arial" w:cs="Arial"/>
          <w:sz w:val="22"/>
          <w:szCs w:val="22"/>
          <w:shd w:val="clear" w:color="auto" w:fill="FFFFFF"/>
        </w:rPr>
      </w:pPr>
      <w:r>
        <w:rPr>
          <w:rFonts w:ascii="Arial" w:hAnsi="Arial" w:cs="Arial"/>
          <w:sz w:val="22"/>
          <w:szCs w:val="22"/>
          <w:shd w:val="clear" w:color="auto" w:fill="FFFFFF"/>
        </w:rPr>
        <w:t xml:space="preserve">Any sum owed by the company on account of an employer’s contribution to an occupational pension scheme in the period of 12 months before the relevant date; </w:t>
      </w:r>
    </w:p>
    <w:p w14:paraId="1D4C74B7" w14:textId="77777777" w:rsidR="009719E3" w:rsidRDefault="009719E3" w:rsidP="009719E3">
      <w:pPr>
        <w:pStyle w:val="ListParagraph"/>
        <w:numPr>
          <w:ilvl w:val="2"/>
          <w:numId w:val="23"/>
        </w:numPr>
        <w:jc w:val="both"/>
        <w:rPr>
          <w:rFonts w:ascii="Arial" w:hAnsi="Arial" w:cs="Arial"/>
          <w:sz w:val="22"/>
          <w:szCs w:val="22"/>
          <w:shd w:val="clear" w:color="auto" w:fill="FFFFFF"/>
        </w:rPr>
      </w:pPr>
      <w:r>
        <w:rPr>
          <w:rFonts w:ascii="Arial" w:hAnsi="Arial" w:cs="Arial"/>
          <w:sz w:val="22"/>
          <w:szCs w:val="22"/>
          <w:shd w:val="clear" w:color="auto" w:fill="FFFFFF"/>
        </w:rPr>
        <w:t xml:space="preserve">Remuneration owed by the company to a person who is or has been an employee of the debtor and is payable in respect of the whole or any part of the period of four months prior to the commencement of the winding up to a maximum total figure which is currently </w:t>
      </w:r>
      <w:r w:rsidRPr="00396686">
        <w:rPr>
          <w:rFonts w:ascii="Arial" w:hAnsi="Arial" w:cs="Arial"/>
          <w:sz w:val="22"/>
          <w:szCs w:val="22"/>
          <w:shd w:val="clear" w:color="auto" w:fill="FFFFFF"/>
        </w:rPr>
        <w:t>€</w:t>
      </w:r>
      <w:r>
        <w:rPr>
          <w:rFonts w:ascii="Arial" w:hAnsi="Arial" w:cs="Arial"/>
          <w:sz w:val="22"/>
          <w:szCs w:val="22"/>
          <w:shd w:val="clear" w:color="auto" w:fill="FFFFFF"/>
        </w:rPr>
        <w:t>800</w:t>
      </w:r>
    </w:p>
    <w:p w14:paraId="1926532B" w14:textId="77777777" w:rsidR="009719E3" w:rsidRDefault="009719E3" w:rsidP="009719E3">
      <w:pPr>
        <w:pStyle w:val="ListParagraph"/>
        <w:numPr>
          <w:ilvl w:val="2"/>
          <w:numId w:val="23"/>
        </w:numPr>
        <w:jc w:val="both"/>
        <w:rPr>
          <w:rFonts w:ascii="Arial" w:hAnsi="Arial" w:cs="Arial"/>
          <w:sz w:val="22"/>
          <w:szCs w:val="22"/>
          <w:shd w:val="clear" w:color="auto" w:fill="FFFFFF"/>
        </w:rPr>
      </w:pPr>
      <w:r>
        <w:rPr>
          <w:rFonts w:ascii="Arial" w:hAnsi="Arial" w:cs="Arial"/>
          <w:sz w:val="22"/>
          <w:szCs w:val="22"/>
          <w:shd w:val="clear" w:color="auto" w:fill="FFFFFF"/>
        </w:rPr>
        <w:t>Any amounts owed by the company by way of accrued holiday remuneration in respect of any period of employment before winding up</w:t>
      </w:r>
    </w:p>
    <w:p w14:paraId="6E51656C" w14:textId="77777777" w:rsidR="009719E3" w:rsidRDefault="009719E3" w:rsidP="009719E3">
      <w:pPr>
        <w:pStyle w:val="ListParagraph"/>
        <w:numPr>
          <w:ilvl w:val="2"/>
          <w:numId w:val="23"/>
        </w:numPr>
        <w:jc w:val="both"/>
        <w:rPr>
          <w:rFonts w:ascii="Arial" w:hAnsi="Arial" w:cs="Arial"/>
          <w:sz w:val="22"/>
          <w:szCs w:val="22"/>
          <w:shd w:val="clear" w:color="auto" w:fill="FFFFFF"/>
        </w:rPr>
      </w:pPr>
      <w:r>
        <w:rPr>
          <w:rFonts w:ascii="Arial" w:hAnsi="Arial" w:cs="Arial"/>
          <w:sz w:val="22"/>
          <w:szCs w:val="22"/>
          <w:shd w:val="clear" w:color="auto" w:fill="FFFFFF"/>
        </w:rPr>
        <w:t xml:space="preserve">Claims for monies advanced to pay wages or holiday remuneration; </w:t>
      </w:r>
    </w:p>
    <w:p w14:paraId="43ACC10B" w14:textId="77777777" w:rsidR="009719E3" w:rsidRDefault="009719E3" w:rsidP="009719E3">
      <w:pPr>
        <w:pStyle w:val="ListParagraph"/>
        <w:numPr>
          <w:ilvl w:val="2"/>
          <w:numId w:val="23"/>
        </w:numPr>
        <w:jc w:val="both"/>
        <w:rPr>
          <w:rFonts w:ascii="Arial" w:hAnsi="Arial" w:cs="Arial"/>
          <w:sz w:val="22"/>
          <w:szCs w:val="22"/>
          <w:shd w:val="clear" w:color="auto" w:fill="FFFFFF"/>
        </w:rPr>
      </w:pPr>
      <w:r>
        <w:rPr>
          <w:rFonts w:ascii="Arial" w:hAnsi="Arial" w:cs="Arial"/>
          <w:sz w:val="22"/>
          <w:szCs w:val="22"/>
          <w:shd w:val="clear" w:color="auto" w:fill="FFFFFF"/>
        </w:rPr>
        <w:t>Levies on the production of coal and steel referred to in article 49 and article 50</w:t>
      </w:r>
    </w:p>
    <w:p w14:paraId="65EB0F98" w14:textId="43E89535" w:rsidR="006C2E3E" w:rsidRDefault="009719E3" w:rsidP="006C2E3E">
      <w:pPr>
        <w:pStyle w:val="ListParagraph"/>
        <w:numPr>
          <w:ilvl w:val="2"/>
          <w:numId w:val="23"/>
        </w:numPr>
        <w:jc w:val="both"/>
        <w:rPr>
          <w:rFonts w:ascii="Arial" w:hAnsi="Arial" w:cs="Arial"/>
          <w:sz w:val="22"/>
          <w:szCs w:val="22"/>
          <w:shd w:val="clear" w:color="auto" w:fill="FFFFFF"/>
        </w:rPr>
      </w:pPr>
      <w:r>
        <w:rPr>
          <w:rFonts w:ascii="Arial" w:hAnsi="Arial" w:cs="Arial"/>
          <w:sz w:val="22"/>
          <w:szCs w:val="22"/>
          <w:shd w:val="clear" w:color="auto" w:fill="FFFFFF"/>
        </w:rPr>
        <w:t xml:space="preserve">Claims for so much of any amount which is ordered to the paid by the company under the Reserve Forces (Safeguard of Employment) Act; </w:t>
      </w:r>
    </w:p>
    <w:p w14:paraId="4CB0EC2B" w14:textId="77777777" w:rsidR="006C2E3E" w:rsidRPr="006C2E3E" w:rsidRDefault="006C2E3E" w:rsidP="006C2E3E">
      <w:pPr>
        <w:pStyle w:val="ListParagraph"/>
        <w:ind w:left="2160"/>
        <w:jc w:val="both"/>
        <w:rPr>
          <w:rFonts w:ascii="Arial" w:hAnsi="Arial" w:cs="Arial"/>
          <w:sz w:val="22"/>
          <w:szCs w:val="22"/>
          <w:shd w:val="clear" w:color="auto" w:fill="FFFFFF"/>
        </w:rPr>
      </w:pPr>
    </w:p>
    <w:p w14:paraId="2BD5B3EF" w14:textId="77777777" w:rsidR="006C2E3E" w:rsidRDefault="006C2E3E" w:rsidP="006C2E3E">
      <w:pPr>
        <w:jc w:val="both"/>
        <w:rPr>
          <w:rFonts w:ascii="Arial" w:hAnsi="Arial" w:cs="Arial"/>
          <w:sz w:val="22"/>
          <w:szCs w:val="22"/>
          <w:shd w:val="clear" w:color="auto" w:fill="FFFFFF"/>
        </w:rPr>
      </w:pPr>
      <w:r>
        <w:rPr>
          <w:rFonts w:ascii="Arial" w:hAnsi="Arial" w:cs="Arial"/>
          <w:sz w:val="22"/>
          <w:szCs w:val="22"/>
          <w:shd w:val="clear" w:color="auto" w:fill="FFFFFF"/>
        </w:rPr>
        <w:t xml:space="preserve">Pursuant to section 386 (and Schedule 6) the following are secondary preferential debts.  </w:t>
      </w:r>
    </w:p>
    <w:p w14:paraId="2C719409" w14:textId="77777777" w:rsidR="006C2E3E" w:rsidRDefault="006C2E3E" w:rsidP="006C2E3E">
      <w:pPr>
        <w:jc w:val="both"/>
        <w:rPr>
          <w:rFonts w:ascii="Arial" w:hAnsi="Arial" w:cs="Arial"/>
          <w:sz w:val="22"/>
          <w:szCs w:val="22"/>
          <w:shd w:val="clear" w:color="auto" w:fill="FFFFFF"/>
        </w:rPr>
      </w:pPr>
    </w:p>
    <w:p w14:paraId="16D723BC" w14:textId="77777777" w:rsidR="00A507CF" w:rsidRDefault="006C2E3E" w:rsidP="00A507CF">
      <w:pPr>
        <w:pStyle w:val="ListParagraph"/>
        <w:numPr>
          <w:ilvl w:val="3"/>
          <w:numId w:val="23"/>
        </w:numPr>
        <w:jc w:val="both"/>
        <w:rPr>
          <w:rFonts w:ascii="Arial" w:hAnsi="Arial" w:cs="Arial"/>
          <w:sz w:val="22"/>
          <w:szCs w:val="22"/>
          <w:shd w:val="clear" w:color="auto" w:fill="FFFFFF"/>
        </w:rPr>
      </w:pPr>
      <w:r w:rsidRPr="006C2E3E">
        <w:rPr>
          <w:rFonts w:ascii="Arial" w:hAnsi="Arial" w:cs="Arial"/>
          <w:sz w:val="22"/>
          <w:szCs w:val="22"/>
          <w:shd w:val="clear" w:color="auto" w:fill="FFFFFF"/>
        </w:rPr>
        <w:t xml:space="preserve"> </w:t>
      </w:r>
      <w:r w:rsidR="009719E3" w:rsidRPr="006C2E3E">
        <w:rPr>
          <w:rFonts w:ascii="Arial" w:hAnsi="Arial" w:cs="Arial"/>
          <w:sz w:val="22"/>
          <w:szCs w:val="22"/>
          <w:shd w:val="clear" w:color="auto" w:fill="FFFFFF"/>
        </w:rPr>
        <w:t>So much of any amount by the company in respect of an eligible deposit as does not exceed the compensation that would be payable in respect of the deposit under the Financial Services Compensation Scheme  to the person or persons to whom it is owed.</w:t>
      </w:r>
    </w:p>
    <w:p w14:paraId="534D33F1" w14:textId="77777777" w:rsidR="00A507CF" w:rsidRDefault="00A507CF" w:rsidP="00A507CF">
      <w:pPr>
        <w:pStyle w:val="ListParagraph"/>
        <w:ind w:left="644"/>
        <w:jc w:val="both"/>
        <w:rPr>
          <w:rFonts w:ascii="Arial" w:hAnsi="Arial" w:cs="Arial"/>
          <w:sz w:val="22"/>
          <w:szCs w:val="22"/>
          <w:shd w:val="clear" w:color="auto" w:fill="FFFFFF"/>
        </w:rPr>
      </w:pPr>
    </w:p>
    <w:p w14:paraId="406DAAF7" w14:textId="77777777" w:rsidR="00A507CF" w:rsidRDefault="009719E3" w:rsidP="00A507CF">
      <w:pPr>
        <w:pStyle w:val="ListParagraph"/>
        <w:numPr>
          <w:ilvl w:val="3"/>
          <w:numId w:val="23"/>
        </w:numPr>
        <w:jc w:val="both"/>
        <w:rPr>
          <w:rFonts w:ascii="Arial" w:hAnsi="Arial" w:cs="Arial"/>
          <w:sz w:val="22"/>
          <w:szCs w:val="22"/>
          <w:shd w:val="clear" w:color="auto" w:fill="FFFFFF"/>
        </w:rPr>
      </w:pPr>
      <w:r w:rsidRPr="00A507CF">
        <w:rPr>
          <w:rFonts w:ascii="Arial" w:hAnsi="Arial" w:cs="Arial"/>
          <w:sz w:val="22"/>
          <w:szCs w:val="22"/>
          <w:shd w:val="clear" w:color="auto" w:fill="FFFFFF"/>
        </w:rPr>
        <w:t>So much any amount owed by the company to one or more eligible persons in  respect of an eligible deposit as exceeds any compensation that would be payable in respect of the deposit under the Financial Services Compensation Scheme to that person or to those persons</w:t>
      </w:r>
    </w:p>
    <w:p w14:paraId="107408FB" w14:textId="77777777" w:rsidR="00A507CF" w:rsidRPr="00A507CF" w:rsidRDefault="00A507CF" w:rsidP="00A507CF">
      <w:pPr>
        <w:pStyle w:val="ListParagraph"/>
        <w:rPr>
          <w:rFonts w:ascii="Arial" w:hAnsi="Arial" w:cs="Arial"/>
          <w:sz w:val="22"/>
          <w:szCs w:val="22"/>
          <w:shd w:val="clear" w:color="auto" w:fill="FFFFFF"/>
        </w:rPr>
      </w:pPr>
    </w:p>
    <w:p w14:paraId="25497278" w14:textId="31EBD048" w:rsidR="009719E3" w:rsidRPr="00A507CF" w:rsidRDefault="009719E3" w:rsidP="00A507CF">
      <w:pPr>
        <w:pStyle w:val="ListParagraph"/>
        <w:numPr>
          <w:ilvl w:val="3"/>
          <w:numId w:val="23"/>
        </w:numPr>
        <w:jc w:val="both"/>
        <w:rPr>
          <w:rFonts w:ascii="Arial" w:hAnsi="Arial" w:cs="Arial"/>
          <w:sz w:val="22"/>
          <w:szCs w:val="22"/>
          <w:shd w:val="clear" w:color="auto" w:fill="FFFFFF"/>
        </w:rPr>
      </w:pPr>
      <w:r w:rsidRPr="00A507CF">
        <w:rPr>
          <w:rFonts w:ascii="Arial" w:hAnsi="Arial" w:cs="Arial"/>
          <w:sz w:val="22"/>
          <w:szCs w:val="22"/>
          <w:shd w:val="clear" w:color="auto" w:fill="FFFFFF"/>
        </w:rPr>
        <w:lastRenderedPageBreak/>
        <w:t xml:space="preserve">An amount owed by the company to one or more eligible person in respect of a deposit that- </w:t>
      </w:r>
      <w:r w:rsidR="00A507CF">
        <w:rPr>
          <w:rFonts w:ascii="Arial" w:hAnsi="Arial" w:cs="Arial"/>
          <w:sz w:val="22"/>
          <w:szCs w:val="22"/>
          <w:shd w:val="clear" w:color="auto" w:fill="FFFFFF"/>
        </w:rPr>
        <w:t>(</w:t>
      </w:r>
      <w:proofErr w:type="spellStart"/>
      <w:r w:rsidR="00A507CF">
        <w:rPr>
          <w:rFonts w:ascii="Arial" w:hAnsi="Arial" w:cs="Arial"/>
          <w:sz w:val="22"/>
          <w:szCs w:val="22"/>
          <w:shd w:val="clear" w:color="auto" w:fill="FFFFFF"/>
        </w:rPr>
        <w:t>i</w:t>
      </w:r>
      <w:proofErr w:type="spellEnd"/>
      <w:r w:rsidR="00A507CF">
        <w:rPr>
          <w:rFonts w:ascii="Arial" w:hAnsi="Arial" w:cs="Arial"/>
          <w:sz w:val="22"/>
          <w:szCs w:val="22"/>
          <w:shd w:val="clear" w:color="auto" w:fill="FFFFFF"/>
        </w:rPr>
        <w:t xml:space="preserve">) </w:t>
      </w:r>
      <w:r w:rsidRPr="00A507CF">
        <w:rPr>
          <w:rFonts w:ascii="Arial" w:hAnsi="Arial" w:cs="Arial"/>
          <w:sz w:val="22"/>
          <w:szCs w:val="22"/>
          <w:shd w:val="clear" w:color="auto" w:fill="FFFFFF"/>
        </w:rPr>
        <w:t xml:space="preserve">Was made through a non-UK branch of a credit institution authorized by the competent authority of the UK, and </w:t>
      </w:r>
      <w:r w:rsidR="00A507CF">
        <w:rPr>
          <w:rFonts w:ascii="Arial" w:hAnsi="Arial" w:cs="Arial"/>
          <w:sz w:val="22"/>
          <w:szCs w:val="22"/>
          <w:shd w:val="clear" w:color="auto" w:fill="FFFFFF"/>
        </w:rPr>
        <w:t xml:space="preserve">(ii) </w:t>
      </w:r>
      <w:r w:rsidRPr="00A507CF">
        <w:rPr>
          <w:rFonts w:ascii="Arial" w:hAnsi="Arial" w:cs="Arial"/>
          <w:sz w:val="22"/>
          <w:szCs w:val="22"/>
          <w:shd w:val="clear" w:color="auto" w:fill="FFFFFF"/>
        </w:rPr>
        <w:t>Would have been eligible deposit if it had been made through a UK branch of that credit union.</w:t>
      </w:r>
      <w:r w:rsidR="00A507CF">
        <w:rPr>
          <w:rFonts w:ascii="Arial" w:hAnsi="Arial" w:cs="Arial"/>
          <w:sz w:val="22"/>
          <w:szCs w:val="22"/>
          <w:shd w:val="clear" w:color="auto" w:fill="FFFFFF"/>
        </w:rPr>
        <w:t xml:space="preserve"> and</w:t>
      </w:r>
    </w:p>
    <w:p w14:paraId="6A081002" w14:textId="77777777" w:rsidR="00A507CF" w:rsidRDefault="009719E3" w:rsidP="00A507CF">
      <w:pPr>
        <w:pStyle w:val="ListParagraph"/>
        <w:numPr>
          <w:ilvl w:val="2"/>
          <w:numId w:val="23"/>
        </w:numPr>
        <w:jc w:val="both"/>
        <w:rPr>
          <w:rFonts w:ascii="Arial" w:hAnsi="Arial" w:cs="Arial"/>
          <w:sz w:val="22"/>
          <w:szCs w:val="22"/>
          <w:shd w:val="clear" w:color="auto" w:fill="FFFFFF"/>
        </w:rPr>
      </w:pPr>
      <w:r>
        <w:rPr>
          <w:rFonts w:ascii="Arial" w:hAnsi="Arial" w:cs="Arial"/>
          <w:sz w:val="22"/>
          <w:szCs w:val="22"/>
          <w:shd w:val="clear" w:color="auto" w:fill="FFFFFF"/>
        </w:rPr>
        <w:t>PAYE income tax deductions, national insurance deductions, VAT payments, Construction Industry Scheme deductions and student loan payments.</w:t>
      </w:r>
    </w:p>
    <w:p w14:paraId="31F7D287" w14:textId="77777777" w:rsidR="00A507CF" w:rsidRDefault="00A507CF" w:rsidP="00A507CF">
      <w:pPr>
        <w:jc w:val="both"/>
        <w:rPr>
          <w:rFonts w:ascii="Arial" w:hAnsi="Arial" w:cs="Arial"/>
          <w:sz w:val="22"/>
          <w:szCs w:val="22"/>
          <w:shd w:val="clear" w:color="auto" w:fill="FFFFFF"/>
        </w:rPr>
      </w:pPr>
    </w:p>
    <w:p w14:paraId="13249E52" w14:textId="77777777" w:rsidR="00A507CF" w:rsidRDefault="00A507CF" w:rsidP="00A507CF">
      <w:pPr>
        <w:jc w:val="both"/>
        <w:rPr>
          <w:rFonts w:ascii="Arial" w:hAnsi="Arial" w:cs="Arial"/>
          <w:sz w:val="22"/>
          <w:szCs w:val="22"/>
          <w:shd w:val="clear" w:color="auto" w:fill="FFFFFF"/>
        </w:rPr>
      </w:pPr>
    </w:p>
    <w:p w14:paraId="14E1C81F" w14:textId="64716FFC" w:rsidR="00A507CF" w:rsidRDefault="00A507CF" w:rsidP="00A507CF">
      <w:pPr>
        <w:jc w:val="both"/>
        <w:rPr>
          <w:rFonts w:ascii="Arial" w:hAnsi="Arial" w:cs="Arial"/>
          <w:sz w:val="22"/>
          <w:szCs w:val="22"/>
          <w:shd w:val="clear" w:color="auto" w:fill="FFFFFF"/>
        </w:rPr>
      </w:pPr>
      <w:r>
        <w:rPr>
          <w:rFonts w:ascii="Arial" w:hAnsi="Arial" w:cs="Arial"/>
          <w:sz w:val="22"/>
          <w:szCs w:val="22"/>
          <w:shd w:val="clear" w:color="auto" w:fill="FFFFFF"/>
        </w:rPr>
        <w:t>The next creditor in terms of priority will be f</w:t>
      </w:r>
      <w:r w:rsidR="009719E3" w:rsidRPr="00A507CF">
        <w:rPr>
          <w:rFonts w:ascii="Arial" w:hAnsi="Arial" w:cs="Arial"/>
          <w:sz w:val="22"/>
          <w:szCs w:val="22"/>
          <w:shd w:val="clear" w:color="auto" w:fill="FFFFFF"/>
        </w:rPr>
        <w:t>loating charge holder</w:t>
      </w:r>
      <w:r>
        <w:rPr>
          <w:rFonts w:ascii="Arial" w:hAnsi="Arial" w:cs="Arial"/>
          <w:sz w:val="22"/>
          <w:szCs w:val="22"/>
          <w:shd w:val="clear" w:color="auto" w:fill="FFFFFF"/>
        </w:rPr>
        <w:t>s</w:t>
      </w:r>
      <w:r w:rsidR="009719E3" w:rsidRPr="00A507CF">
        <w:rPr>
          <w:rFonts w:ascii="Arial" w:hAnsi="Arial" w:cs="Arial"/>
          <w:sz w:val="22"/>
          <w:szCs w:val="22"/>
          <w:shd w:val="clear" w:color="auto" w:fill="FFFFFF"/>
        </w:rPr>
        <w:t xml:space="preserve">. </w:t>
      </w:r>
      <w:r>
        <w:rPr>
          <w:rFonts w:ascii="Arial" w:hAnsi="Arial" w:cs="Arial"/>
          <w:sz w:val="22"/>
          <w:szCs w:val="22"/>
          <w:shd w:val="clear" w:color="auto" w:fill="FFFFFF"/>
        </w:rPr>
        <w:t xml:space="preserve">Where there are more than one floating charge holder, priority will </w:t>
      </w:r>
      <w:r w:rsidR="00121547">
        <w:rPr>
          <w:rFonts w:ascii="Arial" w:hAnsi="Arial" w:cs="Arial"/>
          <w:sz w:val="22"/>
          <w:szCs w:val="22"/>
          <w:shd w:val="clear" w:color="auto" w:fill="FFFFFF"/>
        </w:rPr>
        <w:t xml:space="preserve">be </w:t>
      </w:r>
      <w:r>
        <w:rPr>
          <w:rFonts w:ascii="Arial" w:hAnsi="Arial" w:cs="Arial"/>
          <w:sz w:val="22"/>
          <w:szCs w:val="22"/>
          <w:shd w:val="clear" w:color="auto" w:fill="FFFFFF"/>
        </w:rPr>
        <w:t xml:space="preserve">given to the one created first in time. </w:t>
      </w:r>
    </w:p>
    <w:p w14:paraId="2A4FEC5A" w14:textId="77777777" w:rsidR="00A507CF" w:rsidRDefault="00A507CF" w:rsidP="00A507CF">
      <w:pPr>
        <w:jc w:val="both"/>
        <w:rPr>
          <w:rFonts w:ascii="Arial" w:hAnsi="Arial" w:cs="Arial"/>
          <w:sz w:val="22"/>
          <w:szCs w:val="22"/>
          <w:shd w:val="clear" w:color="auto" w:fill="FFFFFF"/>
        </w:rPr>
      </w:pPr>
    </w:p>
    <w:p w14:paraId="388A3B16" w14:textId="51025129" w:rsidR="00121547" w:rsidRDefault="00A507CF" w:rsidP="00A507CF">
      <w:pPr>
        <w:jc w:val="both"/>
        <w:rPr>
          <w:rFonts w:ascii="Arial" w:hAnsi="Arial" w:cs="Arial"/>
          <w:sz w:val="22"/>
          <w:szCs w:val="22"/>
          <w:shd w:val="clear" w:color="auto" w:fill="FFFFFF"/>
        </w:rPr>
      </w:pPr>
      <w:r>
        <w:rPr>
          <w:rFonts w:ascii="Arial" w:hAnsi="Arial" w:cs="Arial"/>
          <w:sz w:val="22"/>
          <w:szCs w:val="22"/>
          <w:shd w:val="clear" w:color="auto" w:fill="FFFFFF"/>
        </w:rPr>
        <w:t>Section 176A of the Insolvency Act is applicable to companies in liquidation with a floating charge created on or after 15 September 2003. The liquidator must make a prescribed par</w:t>
      </w:r>
      <w:r w:rsidR="00E02B5F">
        <w:rPr>
          <w:rFonts w:ascii="Arial" w:hAnsi="Arial" w:cs="Arial"/>
          <w:sz w:val="22"/>
          <w:szCs w:val="22"/>
          <w:shd w:val="clear" w:color="auto" w:fill="FFFFFF"/>
        </w:rPr>
        <w:t>t of the company’s net property</w:t>
      </w:r>
      <w:r>
        <w:rPr>
          <w:rFonts w:ascii="Arial" w:hAnsi="Arial" w:cs="Arial"/>
          <w:sz w:val="22"/>
          <w:szCs w:val="22"/>
          <w:shd w:val="clear" w:color="auto" w:fill="FFFFFF"/>
        </w:rPr>
        <w:t xml:space="preserve"> available for satisfying unsecured debts and cannot distribute any of this prescribed part to a floating charge holder except where it exceeds the value of all unsecured debts. </w:t>
      </w:r>
      <w:r w:rsidR="00121547">
        <w:rPr>
          <w:rFonts w:ascii="Arial" w:hAnsi="Arial" w:cs="Arial"/>
          <w:sz w:val="22"/>
          <w:szCs w:val="22"/>
          <w:shd w:val="clear" w:color="auto" w:fill="FFFFFF"/>
        </w:rPr>
        <w:t xml:space="preserve">If the net property is less of 10,000 pound sterling then the prescribed part will be 50%, however, where the liquidator is of the opinion that the distribution to unsecured creditors would be disproportionate, then the prescribed part will not apply. Where the net property is in excess of 10,000 pounds, the prescribed part is 50% of the first 10K plus 20% of the excess, subject to a maximum prescribed part of 80,000 pounds. </w:t>
      </w:r>
    </w:p>
    <w:p w14:paraId="0A956A58" w14:textId="6B7893FC" w:rsidR="009719E3" w:rsidRDefault="009719E3" w:rsidP="009719E3">
      <w:pPr>
        <w:jc w:val="both"/>
        <w:rPr>
          <w:rFonts w:ascii="Arial" w:hAnsi="Arial" w:cs="Arial"/>
          <w:sz w:val="22"/>
          <w:szCs w:val="22"/>
          <w:shd w:val="clear" w:color="auto" w:fill="FFFFFF"/>
        </w:rPr>
      </w:pPr>
    </w:p>
    <w:p w14:paraId="0BD22582" w14:textId="363D87F0" w:rsidR="00121547" w:rsidRDefault="00121547" w:rsidP="009719E3">
      <w:pPr>
        <w:jc w:val="both"/>
        <w:rPr>
          <w:rFonts w:ascii="Arial" w:hAnsi="Arial" w:cs="Arial"/>
          <w:sz w:val="22"/>
          <w:szCs w:val="22"/>
          <w:shd w:val="clear" w:color="auto" w:fill="FFFFFF"/>
        </w:rPr>
      </w:pPr>
      <w:r>
        <w:rPr>
          <w:rFonts w:ascii="Arial" w:hAnsi="Arial" w:cs="Arial"/>
          <w:sz w:val="22"/>
          <w:szCs w:val="22"/>
          <w:shd w:val="clear" w:color="auto" w:fill="FFFFFF"/>
        </w:rPr>
        <w:t xml:space="preserve">The </w:t>
      </w:r>
      <w:r w:rsidR="00E02B5F">
        <w:rPr>
          <w:rFonts w:ascii="Arial" w:hAnsi="Arial" w:cs="Arial"/>
          <w:sz w:val="22"/>
          <w:szCs w:val="22"/>
          <w:shd w:val="clear" w:color="auto" w:fill="FFFFFF"/>
        </w:rPr>
        <w:t xml:space="preserve">next in priority is unsecured creditors. In most cases, there is little or no money left to pay these persons. The same is true in terms of shareholders. Shareholders will be paid according to the company’s constitution, which in most cases is based on a pro rata basis. </w:t>
      </w:r>
    </w:p>
    <w:p w14:paraId="5BF985E0" w14:textId="0921F482" w:rsidR="00E02B5F" w:rsidRDefault="00E02B5F" w:rsidP="009719E3">
      <w:pPr>
        <w:jc w:val="both"/>
        <w:rPr>
          <w:rFonts w:ascii="Arial" w:hAnsi="Arial" w:cs="Arial"/>
          <w:sz w:val="22"/>
          <w:szCs w:val="22"/>
          <w:shd w:val="clear" w:color="auto" w:fill="FFFFFF"/>
        </w:rPr>
      </w:pPr>
    </w:p>
    <w:p w14:paraId="76ADD339" w14:textId="77777777" w:rsidR="00E02B5F" w:rsidRDefault="00E02B5F" w:rsidP="009719E3">
      <w:pPr>
        <w:jc w:val="both"/>
        <w:rPr>
          <w:rFonts w:ascii="Arial" w:hAnsi="Arial" w:cs="Arial"/>
          <w:sz w:val="22"/>
          <w:szCs w:val="22"/>
          <w:shd w:val="clear" w:color="auto" w:fill="FFFFFF"/>
        </w:rPr>
      </w:pP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2117C7" w:rsidRDefault="007E2919" w:rsidP="002117C7">
      <w:pPr>
        <w:pStyle w:val="NormalWeb"/>
        <w:spacing w:before="0" w:beforeAutospacing="0" w:after="0" w:afterAutospacing="0"/>
        <w:jc w:val="both"/>
        <w:rPr>
          <w:rFonts w:ascii="Arial" w:hAnsi="Arial" w:cs="Arial"/>
          <w:sz w:val="22"/>
          <w:szCs w:val="22"/>
        </w:rPr>
      </w:pPr>
      <w:bookmarkStart w:id="0" w:name="_Hlk17745211"/>
      <w:r w:rsidRPr="002117C7">
        <w:rPr>
          <w:rFonts w:ascii="Arial" w:hAnsi="Arial" w:cs="Arial"/>
          <w:sz w:val="22"/>
          <w:szCs w:val="22"/>
        </w:rPr>
        <w:t xml:space="preserve">Prior to going into </w:t>
      </w:r>
      <w:r w:rsidR="00891690" w:rsidRPr="002117C7">
        <w:rPr>
          <w:rFonts w:ascii="Arial" w:hAnsi="Arial" w:cs="Arial"/>
          <w:sz w:val="22"/>
          <w:szCs w:val="22"/>
        </w:rPr>
        <w:t xml:space="preserve">compulsory </w:t>
      </w:r>
      <w:r w:rsidRPr="002117C7">
        <w:rPr>
          <w:rFonts w:ascii="Arial" w:hAnsi="Arial" w:cs="Arial"/>
          <w:sz w:val="22"/>
          <w:szCs w:val="22"/>
        </w:rPr>
        <w:t xml:space="preserve">liquidation </w:t>
      </w:r>
      <w:r w:rsidR="00314F32" w:rsidRPr="002117C7">
        <w:rPr>
          <w:rFonts w:ascii="Arial" w:hAnsi="Arial" w:cs="Arial"/>
          <w:sz w:val="22"/>
          <w:szCs w:val="22"/>
        </w:rPr>
        <w:t>on 23</w:t>
      </w:r>
      <w:r w:rsidR="00314F32" w:rsidRPr="002117C7">
        <w:rPr>
          <w:rFonts w:ascii="Arial" w:hAnsi="Arial" w:cs="Arial"/>
          <w:sz w:val="22"/>
          <w:szCs w:val="22"/>
          <w:vertAlign w:val="superscript"/>
        </w:rPr>
        <w:t>rd</w:t>
      </w:r>
      <w:r w:rsidR="00314F32" w:rsidRPr="002117C7">
        <w:rPr>
          <w:rFonts w:ascii="Arial" w:hAnsi="Arial" w:cs="Arial"/>
          <w:sz w:val="22"/>
          <w:szCs w:val="22"/>
        </w:rPr>
        <w:t xml:space="preserve"> </w:t>
      </w:r>
      <w:r w:rsidR="00891690" w:rsidRPr="002117C7">
        <w:rPr>
          <w:rFonts w:ascii="Arial" w:hAnsi="Arial" w:cs="Arial"/>
          <w:sz w:val="22"/>
          <w:szCs w:val="22"/>
        </w:rPr>
        <w:t>December</w:t>
      </w:r>
      <w:r w:rsidRPr="002117C7">
        <w:rPr>
          <w:rFonts w:ascii="Arial" w:hAnsi="Arial" w:cs="Arial"/>
          <w:sz w:val="22"/>
          <w:szCs w:val="22"/>
        </w:rPr>
        <w:t xml:space="preserve"> 202</w:t>
      </w:r>
      <w:r w:rsidR="003A4482" w:rsidRPr="002117C7">
        <w:rPr>
          <w:rFonts w:ascii="Arial" w:hAnsi="Arial" w:cs="Arial"/>
          <w:sz w:val="22"/>
          <w:szCs w:val="22"/>
        </w:rPr>
        <w:t>1</w:t>
      </w:r>
      <w:r w:rsidRPr="002117C7">
        <w:rPr>
          <w:rFonts w:ascii="Arial" w:hAnsi="Arial" w:cs="Arial"/>
          <w:sz w:val="22"/>
          <w:szCs w:val="22"/>
        </w:rPr>
        <w:t xml:space="preserve">, under pressure from its bank, </w:t>
      </w:r>
      <w:proofErr w:type="spellStart"/>
      <w:r w:rsidRPr="002117C7">
        <w:rPr>
          <w:rFonts w:ascii="Arial" w:hAnsi="Arial" w:cs="Arial"/>
          <w:sz w:val="22"/>
          <w:szCs w:val="22"/>
        </w:rPr>
        <w:t>Stercus</w:t>
      </w:r>
      <w:proofErr w:type="spellEnd"/>
      <w:r w:rsidRPr="002117C7">
        <w:rPr>
          <w:rFonts w:ascii="Arial" w:hAnsi="Arial" w:cs="Arial"/>
          <w:sz w:val="22"/>
          <w:szCs w:val="22"/>
        </w:rPr>
        <w:t xml:space="preserve"> Bank plc, and in order to prevent it from demanding repayment of the company’s loans, </w:t>
      </w:r>
      <w:proofErr w:type="spellStart"/>
      <w:r w:rsidR="00891690" w:rsidRPr="002117C7">
        <w:rPr>
          <w:rFonts w:ascii="Arial" w:hAnsi="Arial" w:cs="Arial"/>
          <w:sz w:val="22"/>
          <w:szCs w:val="22"/>
        </w:rPr>
        <w:t>Corfee</w:t>
      </w:r>
      <w:proofErr w:type="spellEnd"/>
      <w:r w:rsidR="00891690" w:rsidRPr="002117C7">
        <w:rPr>
          <w:rFonts w:ascii="Arial" w:hAnsi="Arial" w:cs="Arial"/>
          <w:sz w:val="22"/>
          <w:szCs w:val="22"/>
        </w:rPr>
        <w:t xml:space="preserve"> Zero </w:t>
      </w:r>
      <w:r w:rsidRPr="002117C7">
        <w:rPr>
          <w:rFonts w:ascii="Arial" w:hAnsi="Arial" w:cs="Arial"/>
          <w:sz w:val="22"/>
          <w:szCs w:val="22"/>
        </w:rPr>
        <w:t xml:space="preserve">Limited </w:t>
      </w:r>
      <w:r w:rsidR="00891690" w:rsidRPr="002117C7">
        <w:rPr>
          <w:rFonts w:ascii="Arial" w:hAnsi="Arial" w:cs="Arial"/>
          <w:sz w:val="22"/>
          <w:szCs w:val="22"/>
        </w:rPr>
        <w:t>(“the Company”)</w:t>
      </w:r>
      <w:r w:rsidR="0070524B" w:rsidRPr="002117C7">
        <w:rPr>
          <w:rFonts w:ascii="Arial" w:hAnsi="Arial" w:cs="Arial"/>
          <w:sz w:val="22"/>
          <w:szCs w:val="22"/>
        </w:rPr>
        <w:t>,</w:t>
      </w:r>
      <w:r w:rsidR="00891690" w:rsidRPr="002117C7">
        <w:rPr>
          <w:rFonts w:ascii="Arial" w:hAnsi="Arial" w:cs="Arial"/>
          <w:sz w:val="22"/>
          <w:szCs w:val="22"/>
        </w:rPr>
        <w:t xml:space="preserve"> </w:t>
      </w:r>
      <w:r w:rsidRPr="002117C7">
        <w:rPr>
          <w:rFonts w:ascii="Arial" w:hAnsi="Arial" w:cs="Arial"/>
          <w:sz w:val="22"/>
          <w:szCs w:val="22"/>
        </w:rPr>
        <w:t xml:space="preserve">granted a debenture in </w:t>
      </w:r>
      <w:proofErr w:type="spellStart"/>
      <w:r w:rsidRPr="002117C7">
        <w:rPr>
          <w:rFonts w:ascii="Arial" w:hAnsi="Arial" w:cs="Arial"/>
          <w:sz w:val="22"/>
          <w:szCs w:val="22"/>
        </w:rPr>
        <w:t>favour</w:t>
      </w:r>
      <w:proofErr w:type="spellEnd"/>
      <w:r w:rsidRPr="002117C7">
        <w:rPr>
          <w:rFonts w:ascii="Arial" w:hAnsi="Arial" w:cs="Arial"/>
          <w:sz w:val="22"/>
          <w:szCs w:val="22"/>
        </w:rPr>
        <w:t xml:space="preserve"> of </w:t>
      </w:r>
      <w:proofErr w:type="spellStart"/>
      <w:r w:rsidRPr="002117C7">
        <w:rPr>
          <w:rFonts w:ascii="Arial" w:hAnsi="Arial" w:cs="Arial"/>
          <w:sz w:val="22"/>
          <w:szCs w:val="22"/>
        </w:rPr>
        <w:t>Stercus</w:t>
      </w:r>
      <w:proofErr w:type="spellEnd"/>
      <w:r w:rsidRPr="002117C7">
        <w:rPr>
          <w:rFonts w:ascii="Arial" w:hAnsi="Arial" w:cs="Arial"/>
          <w:sz w:val="22"/>
          <w:szCs w:val="22"/>
        </w:rPr>
        <w:t xml:space="preserve"> Bank plc in </w:t>
      </w:r>
      <w:r w:rsidR="00891690" w:rsidRPr="002117C7">
        <w:rPr>
          <w:rFonts w:ascii="Arial" w:hAnsi="Arial" w:cs="Arial"/>
          <w:sz w:val="22"/>
          <w:szCs w:val="22"/>
        </w:rPr>
        <w:t>February</w:t>
      </w:r>
      <w:r w:rsidRPr="002117C7">
        <w:rPr>
          <w:rFonts w:ascii="Arial" w:hAnsi="Arial" w:cs="Arial"/>
          <w:sz w:val="22"/>
          <w:szCs w:val="22"/>
        </w:rPr>
        <w:t xml:space="preserve"> 202</w:t>
      </w:r>
      <w:r w:rsidR="003A4482" w:rsidRPr="002117C7">
        <w:rPr>
          <w:rFonts w:ascii="Arial" w:hAnsi="Arial" w:cs="Arial"/>
          <w:sz w:val="22"/>
          <w:szCs w:val="22"/>
        </w:rPr>
        <w:t>1</w:t>
      </w:r>
      <w:r w:rsidRPr="002117C7">
        <w:rPr>
          <w:rFonts w:ascii="Arial" w:hAnsi="Arial" w:cs="Arial"/>
          <w:sz w:val="22"/>
          <w:szCs w:val="22"/>
        </w:rPr>
        <w:t xml:space="preserve">. The debenture contained a floating charge over the whole of the </w:t>
      </w:r>
      <w:r w:rsidR="00891690" w:rsidRPr="002117C7">
        <w:rPr>
          <w:rFonts w:ascii="Arial" w:hAnsi="Arial" w:cs="Arial"/>
          <w:sz w:val="22"/>
          <w:szCs w:val="22"/>
        </w:rPr>
        <w:t>C</w:t>
      </w:r>
      <w:r w:rsidRPr="002117C7">
        <w:rPr>
          <w:rFonts w:ascii="Arial" w:hAnsi="Arial" w:cs="Arial"/>
          <w:sz w:val="22"/>
          <w:szCs w:val="22"/>
        </w:rPr>
        <w:t>ompany’s undertaking.</w:t>
      </w:r>
    </w:p>
    <w:p w14:paraId="446FD66A" w14:textId="65DEFBAC" w:rsidR="007E2919" w:rsidRPr="002117C7" w:rsidRDefault="007E2919" w:rsidP="002117C7">
      <w:pPr>
        <w:pStyle w:val="NormalWeb"/>
        <w:spacing w:before="0" w:beforeAutospacing="0" w:after="0" w:afterAutospacing="0"/>
        <w:jc w:val="both"/>
        <w:rPr>
          <w:rFonts w:ascii="Arial" w:hAnsi="Arial" w:cs="Arial"/>
          <w:sz w:val="22"/>
          <w:szCs w:val="22"/>
        </w:rPr>
      </w:pPr>
    </w:p>
    <w:p w14:paraId="3669DFCF" w14:textId="3DDC0B11" w:rsidR="00314F32" w:rsidRPr="002117C7" w:rsidRDefault="00314F32" w:rsidP="002117C7">
      <w:pPr>
        <w:pStyle w:val="NormalWeb"/>
        <w:spacing w:before="0" w:beforeAutospacing="0" w:after="0" w:afterAutospacing="0"/>
        <w:jc w:val="both"/>
        <w:rPr>
          <w:rFonts w:ascii="Arial" w:hAnsi="Arial" w:cs="Arial"/>
          <w:sz w:val="22"/>
          <w:szCs w:val="22"/>
        </w:rPr>
      </w:pPr>
      <w:r w:rsidRPr="002117C7">
        <w:rPr>
          <w:rFonts w:ascii="Arial" w:hAnsi="Arial" w:cs="Arial"/>
          <w:sz w:val="22"/>
          <w:szCs w:val="22"/>
        </w:rPr>
        <w:t>The winding up order followed a creditor’s winding up petition issued on 14</w:t>
      </w:r>
      <w:r w:rsidRPr="002117C7">
        <w:rPr>
          <w:rFonts w:ascii="Arial" w:hAnsi="Arial" w:cs="Arial"/>
          <w:sz w:val="22"/>
          <w:szCs w:val="22"/>
          <w:vertAlign w:val="superscript"/>
        </w:rPr>
        <w:t>th</w:t>
      </w:r>
      <w:r w:rsidRPr="002117C7">
        <w:rPr>
          <w:rFonts w:ascii="Arial" w:hAnsi="Arial" w:cs="Arial"/>
          <w:sz w:val="22"/>
          <w:szCs w:val="22"/>
        </w:rPr>
        <w:t xml:space="preserve"> October 2021.</w:t>
      </w:r>
    </w:p>
    <w:p w14:paraId="148D7C3C" w14:textId="77777777" w:rsidR="00314F32" w:rsidRPr="002117C7" w:rsidRDefault="00314F32" w:rsidP="002117C7">
      <w:pPr>
        <w:pStyle w:val="NormalWeb"/>
        <w:spacing w:before="0" w:beforeAutospacing="0" w:after="0" w:afterAutospacing="0"/>
        <w:jc w:val="both"/>
        <w:rPr>
          <w:rFonts w:ascii="Arial" w:hAnsi="Arial" w:cs="Arial"/>
          <w:sz w:val="22"/>
          <w:szCs w:val="22"/>
        </w:rPr>
      </w:pPr>
    </w:p>
    <w:p w14:paraId="0C3B98CB" w14:textId="0513C8E8" w:rsidR="007E2919" w:rsidRPr="002117C7" w:rsidRDefault="007E2919" w:rsidP="002117C7">
      <w:pPr>
        <w:pStyle w:val="NormalWeb"/>
        <w:spacing w:before="0" w:beforeAutospacing="0" w:after="0" w:afterAutospacing="0"/>
        <w:jc w:val="both"/>
        <w:rPr>
          <w:rFonts w:ascii="Arial" w:hAnsi="Arial" w:cs="Arial"/>
          <w:sz w:val="22"/>
          <w:szCs w:val="22"/>
        </w:rPr>
      </w:pPr>
      <w:r w:rsidRPr="002117C7">
        <w:rPr>
          <w:rFonts w:ascii="Arial" w:hAnsi="Arial" w:cs="Arial"/>
          <w:sz w:val="22"/>
          <w:szCs w:val="22"/>
        </w:rPr>
        <w:t xml:space="preserve">In </w:t>
      </w:r>
      <w:r w:rsidR="00891690" w:rsidRPr="002117C7">
        <w:rPr>
          <w:rFonts w:ascii="Arial" w:hAnsi="Arial" w:cs="Arial"/>
          <w:sz w:val="22"/>
          <w:szCs w:val="22"/>
        </w:rPr>
        <w:t>July</w:t>
      </w:r>
      <w:r w:rsidRPr="002117C7">
        <w:rPr>
          <w:rFonts w:ascii="Arial" w:hAnsi="Arial" w:cs="Arial"/>
          <w:sz w:val="22"/>
          <w:szCs w:val="22"/>
        </w:rPr>
        <w:t xml:space="preserve"> 202</w:t>
      </w:r>
      <w:r w:rsidR="003A4482" w:rsidRPr="002117C7">
        <w:rPr>
          <w:rFonts w:ascii="Arial" w:hAnsi="Arial" w:cs="Arial"/>
          <w:sz w:val="22"/>
          <w:szCs w:val="22"/>
        </w:rPr>
        <w:t>1</w:t>
      </w:r>
      <w:r w:rsidRPr="002117C7">
        <w:rPr>
          <w:rFonts w:ascii="Arial" w:hAnsi="Arial" w:cs="Arial"/>
          <w:sz w:val="22"/>
          <w:szCs w:val="22"/>
        </w:rPr>
        <w:t xml:space="preserve">, as the </w:t>
      </w:r>
      <w:r w:rsidR="00891690" w:rsidRPr="002117C7">
        <w:rPr>
          <w:rFonts w:ascii="Arial" w:hAnsi="Arial" w:cs="Arial"/>
          <w:sz w:val="22"/>
          <w:szCs w:val="22"/>
        </w:rPr>
        <w:t>C</w:t>
      </w:r>
      <w:r w:rsidRPr="002117C7">
        <w:rPr>
          <w:rFonts w:ascii="Arial" w:hAnsi="Arial" w:cs="Arial"/>
          <w:sz w:val="22"/>
          <w:szCs w:val="22"/>
        </w:rPr>
        <w:t>ompany continued to s</w:t>
      </w:r>
      <w:r w:rsidR="00314F32" w:rsidRPr="002117C7">
        <w:rPr>
          <w:rFonts w:ascii="Arial" w:hAnsi="Arial" w:cs="Arial"/>
          <w:sz w:val="22"/>
          <w:szCs w:val="22"/>
        </w:rPr>
        <w:t xml:space="preserve">uffer cash flow problems, </w:t>
      </w:r>
      <w:r w:rsidRPr="002117C7">
        <w:rPr>
          <w:rFonts w:ascii="Arial" w:hAnsi="Arial" w:cs="Arial"/>
          <w:sz w:val="22"/>
          <w:szCs w:val="22"/>
        </w:rPr>
        <w:t xml:space="preserve">the directors approved the sale of </w:t>
      </w:r>
      <w:r w:rsidR="00891690" w:rsidRPr="002117C7">
        <w:rPr>
          <w:rFonts w:ascii="Arial" w:hAnsi="Arial" w:cs="Arial"/>
          <w:sz w:val="22"/>
          <w:szCs w:val="22"/>
        </w:rPr>
        <w:t>5</w:t>
      </w:r>
      <w:r w:rsidRPr="002117C7">
        <w:rPr>
          <w:rFonts w:ascii="Arial" w:hAnsi="Arial" w:cs="Arial"/>
          <w:sz w:val="22"/>
          <w:szCs w:val="22"/>
        </w:rPr>
        <w:t xml:space="preserve"> </w:t>
      </w:r>
      <w:r w:rsidR="00891690" w:rsidRPr="002117C7">
        <w:rPr>
          <w:rFonts w:ascii="Arial" w:hAnsi="Arial" w:cs="Arial"/>
          <w:sz w:val="22"/>
          <w:szCs w:val="22"/>
        </w:rPr>
        <w:t xml:space="preserve">coffee roasting machines </w:t>
      </w:r>
      <w:r w:rsidRPr="002117C7">
        <w:rPr>
          <w:rFonts w:ascii="Arial" w:hAnsi="Arial" w:cs="Arial"/>
          <w:sz w:val="22"/>
          <w:szCs w:val="22"/>
        </w:rPr>
        <w:t xml:space="preserve">to </w:t>
      </w:r>
      <w:r w:rsidR="00891690" w:rsidRPr="002117C7">
        <w:rPr>
          <w:rFonts w:ascii="Arial" w:hAnsi="Arial" w:cs="Arial"/>
          <w:sz w:val="22"/>
          <w:szCs w:val="22"/>
        </w:rPr>
        <w:t>Ann Young</w:t>
      </w:r>
      <w:r w:rsidRPr="002117C7">
        <w:rPr>
          <w:rFonts w:ascii="Arial" w:hAnsi="Arial" w:cs="Arial"/>
          <w:sz w:val="22"/>
          <w:szCs w:val="22"/>
        </w:rPr>
        <w:t xml:space="preserve"> (a director) for £</w:t>
      </w:r>
      <w:r w:rsidR="00891690" w:rsidRPr="002117C7">
        <w:rPr>
          <w:rFonts w:ascii="Arial" w:hAnsi="Arial" w:cs="Arial"/>
          <w:sz w:val="22"/>
          <w:szCs w:val="22"/>
        </w:rPr>
        <w:t>10</w:t>
      </w:r>
      <w:r w:rsidRPr="002117C7">
        <w:rPr>
          <w:rFonts w:ascii="Arial" w:hAnsi="Arial" w:cs="Arial"/>
          <w:sz w:val="22"/>
          <w:szCs w:val="22"/>
        </w:rPr>
        <w:t xml:space="preserve">,000 in cash. The </w:t>
      </w:r>
      <w:r w:rsidR="00891690" w:rsidRPr="002117C7">
        <w:rPr>
          <w:rFonts w:ascii="Arial" w:hAnsi="Arial" w:cs="Arial"/>
          <w:sz w:val="22"/>
          <w:szCs w:val="22"/>
        </w:rPr>
        <w:t xml:space="preserve">machines </w:t>
      </w:r>
      <w:r w:rsidRPr="002117C7">
        <w:rPr>
          <w:rFonts w:ascii="Arial" w:hAnsi="Arial" w:cs="Arial"/>
          <w:sz w:val="22"/>
          <w:szCs w:val="22"/>
        </w:rPr>
        <w:t>had been bought for £</w:t>
      </w:r>
      <w:r w:rsidR="00891690" w:rsidRPr="002117C7">
        <w:rPr>
          <w:rFonts w:ascii="Arial" w:hAnsi="Arial" w:cs="Arial"/>
          <w:sz w:val="22"/>
          <w:szCs w:val="22"/>
        </w:rPr>
        <w:t>25</w:t>
      </w:r>
      <w:r w:rsidRPr="002117C7">
        <w:rPr>
          <w:rFonts w:ascii="Arial" w:hAnsi="Arial" w:cs="Arial"/>
          <w:sz w:val="22"/>
          <w:szCs w:val="22"/>
        </w:rPr>
        <w:t>,000 a year before.</w:t>
      </w:r>
    </w:p>
    <w:p w14:paraId="656168E7" w14:textId="77777777" w:rsidR="007E2919" w:rsidRPr="002117C7" w:rsidRDefault="007E2919" w:rsidP="002117C7">
      <w:pPr>
        <w:pStyle w:val="NormalWeb"/>
        <w:spacing w:before="0" w:beforeAutospacing="0" w:after="0" w:afterAutospacing="0"/>
        <w:jc w:val="both"/>
        <w:rPr>
          <w:rFonts w:ascii="Arial" w:hAnsi="Arial" w:cs="Arial"/>
          <w:sz w:val="22"/>
          <w:szCs w:val="22"/>
        </w:rPr>
      </w:pPr>
    </w:p>
    <w:p w14:paraId="650258DB" w14:textId="6C9D65B3" w:rsidR="007E2919" w:rsidRPr="002117C7" w:rsidRDefault="007E2919" w:rsidP="002117C7">
      <w:pPr>
        <w:pStyle w:val="NormalWeb"/>
        <w:spacing w:before="0" w:beforeAutospacing="0" w:after="0" w:afterAutospacing="0"/>
        <w:jc w:val="both"/>
        <w:rPr>
          <w:rFonts w:ascii="Arial" w:hAnsi="Arial" w:cs="Arial"/>
          <w:sz w:val="22"/>
          <w:szCs w:val="22"/>
        </w:rPr>
      </w:pPr>
      <w:r w:rsidRPr="002117C7">
        <w:rPr>
          <w:rFonts w:ascii="Arial" w:hAnsi="Arial" w:cs="Arial"/>
          <w:sz w:val="22"/>
          <w:szCs w:val="22"/>
        </w:rPr>
        <w:t xml:space="preserve">A month before the </w:t>
      </w:r>
      <w:r w:rsidR="00314F32" w:rsidRPr="002117C7">
        <w:rPr>
          <w:rFonts w:ascii="Arial" w:hAnsi="Arial" w:cs="Arial"/>
          <w:sz w:val="22"/>
          <w:szCs w:val="22"/>
        </w:rPr>
        <w:t xml:space="preserve">winding up </w:t>
      </w:r>
      <w:r w:rsidR="0070524B" w:rsidRPr="002117C7">
        <w:rPr>
          <w:rFonts w:ascii="Arial" w:hAnsi="Arial" w:cs="Arial"/>
          <w:sz w:val="22"/>
          <w:szCs w:val="22"/>
        </w:rPr>
        <w:t>order was made</w:t>
      </w:r>
      <w:r w:rsidRPr="002117C7">
        <w:rPr>
          <w:rFonts w:ascii="Arial" w:hAnsi="Arial" w:cs="Arial"/>
          <w:sz w:val="22"/>
          <w:szCs w:val="22"/>
        </w:rPr>
        <w:t xml:space="preserve">, </w:t>
      </w:r>
      <w:r w:rsidR="00891690" w:rsidRPr="002117C7">
        <w:rPr>
          <w:rFonts w:ascii="Arial" w:hAnsi="Arial" w:cs="Arial"/>
          <w:sz w:val="22"/>
          <w:szCs w:val="22"/>
        </w:rPr>
        <w:t>Ann Young</w:t>
      </w:r>
      <w:r w:rsidRPr="002117C7">
        <w:rPr>
          <w:rFonts w:ascii="Arial" w:hAnsi="Arial" w:cs="Arial"/>
          <w:sz w:val="22"/>
          <w:szCs w:val="22"/>
        </w:rPr>
        <w:t xml:space="preserve"> received an </w:t>
      </w:r>
      <w:r w:rsidR="0070524B" w:rsidRPr="002117C7">
        <w:rPr>
          <w:rFonts w:ascii="Arial" w:hAnsi="Arial" w:cs="Arial"/>
          <w:sz w:val="22"/>
          <w:szCs w:val="22"/>
        </w:rPr>
        <w:t xml:space="preserve">email from Beans and Leaves Ltd, one of </w:t>
      </w:r>
      <w:r w:rsidRPr="002117C7">
        <w:rPr>
          <w:rFonts w:ascii="Arial" w:hAnsi="Arial" w:cs="Arial"/>
          <w:sz w:val="22"/>
          <w:szCs w:val="22"/>
        </w:rPr>
        <w:t xml:space="preserve">the </w:t>
      </w:r>
      <w:r w:rsidR="0070524B" w:rsidRPr="002117C7">
        <w:rPr>
          <w:rFonts w:ascii="Arial" w:hAnsi="Arial" w:cs="Arial"/>
          <w:sz w:val="22"/>
          <w:szCs w:val="22"/>
        </w:rPr>
        <w:t>C</w:t>
      </w:r>
      <w:r w:rsidRPr="002117C7">
        <w:rPr>
          <w:rFonts w:ascii="Arial" w:hAnsi="Arial" w:cs="Arial"/>
          <w:sz w:val="22"/>
          <w:szCs w:val="22"/>
        </w:rPr>
        <w:t>ompany’s key suppliers. The supplier demanded immediate payment of all sums owing to it</w:t>
      </w:r>
      <w:r w:rsidR="0070524B" w:rsidRPr="002117C7">
        <w:rPr>
          <w:rFonts w:ascii="Arial" w:hAnsi="Arial" w:cs="Arial"/>
          <w:sz w:val="22"/>
          <w:szCs w:val="22"/>
        </w:rPr>
        <w:t xml:space="preserve"> and informed the Company that further supplies would only be made on a cash on delivery basis. As the continued supply of coffee beans was seen as essential by the Company, the board </w:t>
      </w:r>
      <w:proofErr w:type="spellStart"/>
      <w:r w:rsidR="0070524B" w:rsidRPr="002117C7">
        <w:rPr>
          <w:rFonts w:ascii="Arial" w:hAnsi="Arial" w:cs="Arial"/>
          <w:sz w:val="22"/>
          <w:szCs w:val="22"/>
        </w:rPr>
        <w:t>authorised</w:t>
      </w:r>
      <w:proofErr w:type="spellEnd"/>
      <w:r w:rsidR="0070524B" w:rsidRPr="002117C7">
        <w:rPr>
          <w:rFonts w:ascii="Arial" w:hAnsi="Arial" w:cs="Arial"/>
          <w:sz w:val="22"/>
          <w:szCs w:val="22"/>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2117C7" w:rsidRDefault="007E2919" w:rsidP="002117C7">
      <w:pPr>
        <w:pStyle w:val="NormalWeb"/>
        <w:spacing w:before="0" w:beforeAutospacing="0" w:after="0" w:afterAutospacing="0"/>
        <w:jc w:val="both"/>
        <w:rPr>
          <w:rFonts w:ascii="Arial" w:hAnsi="Arial" w:cs="Arial"/>
          <w:sz w:val="22"/>
          <w:szCs w:val="22"/>
        </w:rPr>
      </w:pPr>
    </w:p>
    <w:p w14:paraId="778D6790" w14:textId="77777777" w:rsidR="007E2919" w:rsidRPr="002117C7" w:rsidRDefault="007E2919" w:rsidP="002117C7">
      <w:pPr>
        <w:pStyle w:val="NormalWeb"/>
        <w:spacing w:before="0" w:beforeAutospacing="0" w:after="0" w:afterAutospacing="0"/>
        <w:jc w:val="both"/>
        <w:rPr>
          <w:rFonts w:ascii="Arial" w:hAnsi="Arial" w:cs="Arial"/>
          <w:sz w:val="22"/>
          <w:szCs w:val="22"/>
        </w:rPr>
      </w:pPr>
      <w:r w:rsidRPr="002117C7">
        <w:rPr>
          <w:rFonts w:ascii="Arial" w:hAnsi="Arial" w:cs="Arial"/>
          <w:sz w:val="22"/>
          <w:szCs w:val="22"/>
        </w:rPr>
        <w:t xml:space="preserve">The liquidator has asked for advice whether any action may be taken in respect of the floating charge in </w:t>
      </w:r>
      <w:proofErr w:type="spellStart"/>
      <w:r w:rsidRPr="002117C7">
        <w:rPr>
          <w:rFonts w:ascii="Arial" w:hAnsi="Arial" w:cs="Arial"/>
          <w:sz w:val="22"/>
          <w:szCs w:val="22"/>
        </w:rPr>
        <w:t>favour</w:t>
      </w:r>
      <w:proofErr w:type="spellEnd"/>
      <w:r w:rsidRPr="002117C7">
        <w:rPr>
          <w:rFonts w:ascii="Arial" w:hAnsi="Arial" w:cs="Arial"/>
          <w:sz w:val="22"/>
          <w:szCs w:val="22"/>
        </w:rPr>
        <w:t xml:space="preserve"> of </w:t>
      </w:r>
      <w:proofErr w:type="spellStart"/>
      <w:r w:rsidRPr="002117C7">
        <w:rPr>
          <w:rFonts w:ascii="Arial" w:hAnsi="Arial" w:cs="Arial"/>
          <w:sz w:val="22"/>
          <w:szCs w:val="22"/>
        </w:rPr>
        <w:t>Stercus</w:t>
      </w:r>
      <w:proofErr w:type="spellEnd"/>
      <w:r w:rsidRPr="002117C7">
        <w:rPr>
          <w:rFonts w:ascii="Arial" w:hAnsi="Arial" w:cs="Arial"/>
          <w:sz w:val="22"/>
          <w:szCs w:val="22"/>
        </w:rPr>
        <w:t xml:space="preserve"> Bank plc and the two subsequent transactions.</w:t>
      </w:r>
    </w:p>
    <w:p w14:paraId="52970EAB" w14:textId="77777777" w:rsidR="007E2919" w:rsidRPr="002117C7" w:rsidRDefault="007E2919" w:rsidP="002117C7">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lastRenderedPageBreak/>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w:t>
      </w:r>
      <w:proofErr w:type="spellStart"/>
      <w:r w:rsidRPr="007E2919">
        <w:rPr>
          <w:rFonts w:ascii="Arial" w:hAnsi="Arial" w:cs="Arial"/>
          <w:sz w:val="24"/>
        </w:rPr>
        <w:t>favour</w:t>
      </w:r>
      <w:proofErr w:type="spellEnd"/>
      <w:r w:rsidRPr="007E2919">
        <w:rPr>
          <w:rFonts w:ascii="Arial" w:hAnsi="Arial" w:cs="Arial"/>
          <w:sz w:val="24"/>
        </w:rPr>
        <w:t xml:space="preserve"> of </w:t>
      </w:r>
      <w:proofErr w:type="spellStart"/>
      <w:r w:rsidRPr="007E2919">
        <w:rPr>
          <w:rFonts w:ascii="Arial" w:hAnsi="Arial" w:cs="Arial"/>
          <w:sz w:val="24"/>
        </w:rPr>
        <w:t>Stercus</w:t>
      </w:r>
      <w:proofErr w:type="spellEnd"/>
      <w:r w:rsidRPr="007E2919">
        <w:rPr>
          <w:rFonts w:ascii="Arial" w:hAnsi="Arial" w:cs="Arial"/>
          <w:sz w:val="24"/>
        </w:rPr>
        <w:t xml:space="preserve"> Bank plc;</w:t>
      </w:r>
    </w:p>
    <w:p w14:paraId="451B70BA" w14:textId="61081683" w:rsidR="007E2919" w:rsidRDefault="007E2919" w:rsidP="007E2919">
      <w:pPr>
        <w:rPr>
          <w:rFonts w:ascii="Arial" w:hAnsi="Arial" w:cs="Arial"/>
          <w:b/>
          <w:sz w:val="24"/>
        </w:rPr>
      </w:pPr>
    </w:p>
    <w:p w14:paraId="713FF8B3" w14:textId="67E8CCA0" w:rsidR="00603ACA" w:rsidRDefault="00603ACA" w:rsidP="009719E3">
      <w:pPr>
        <w:jc w:val="both"/>
        <w:rPr>
          <w:rFonts w:ascii="Arial" w:hAnsi="Arial" w:cs="Arial"/>
          <w:color w:val="7B7B7B" w:themeColor="accent3" w:themeShade="BF"/>
          <w:sz w:val="22"/>
          <w:szCs w:val="22"/>
          <w:lang w:val="en-GB"/>
        </w:rPr>
      </w:pPr>
    </w:p>
    <w:p w14:paraId="68FEFDF9" w14:textId="4E6B5DDB" w:rsidR="004C1F04" w:rsidRDefault="004C1F04" w:rsidP="004C1F04">
      <w:pPr>
        <w:jc w:val="center"/>
        <w:rPr>
          <w:rFonts w:ascii="Arial" w:hAnsi="Arial" w:cs="Arial"/>
          <w:b/>
          <w:color w:val="7B7B7B" w:themeColor="accent3" w:themeShade="BF"/>
          <w:sz w:val="22"/>
          <w:szCs w:val="22"/>
          <w:u w:val="single"/>
          <w:lang w:val="en-GB"/>
        </w:rPr>
      </w:pPr>
      <w:r>
        <w:rPr>
          <w:rFonts w:ascii="Arial" w:hAnsi="Arial" w:cs="Arial"/>
          <w:b/>
          <w:color w:val="7B7B7B" w:themeColor="accent3" w:themeShade="BF"/>
          <w:sz w:val="22"/>
          <w:szCs w:val="22"/>
          <w:u w:val="single"/>
          <w:lang w:val="en-GB"/>
        </w:rPr>
        <w:t>Answer</w:t>
      </w:r>
    </w:p>
    <w:p w14:paraId="07FC6D49" w14:textId="77777777" w:rsidR="004C1F04" w:rsidRPr="004C1F04" w:rsidRDefault="004C1F04" w:rsidP="004C1F04">
      <w:pPr>
        <w:jc w:val="center"/>
        <w:rPr>
          <w:rFonts w:ascii="Arial" w:hAnsi="Arial" w:cs="Arial"/>
          <w:b/>
          <w:color w:val="7B7B7B" w:themeColor="accent3" w:themeShade="BF"/>
          <w:sz w:val="22"/>
          <w:szCs w:val="22"/>
          <w:u w:val="single"/>
          <w:lang w:val="en-GB"/>
        </w:rPr>
      </w:pPr>
    </w:p>
    <w:p w14:paraId="6ACE6043" w14:textId="460FB93E" w:rsidR="00603ACA" w:rsidRPr="002117C7" w:rsidRDefault="00603ACA" w:rsidP="002117C7">
      <w:pPr>
        <w:pStyle w:val="NormalWeb"/>
        <w:spacing w:before="0" w:beforeAutospacing="0" w:after="0" w:afterAutospacing="0"/>
        <w:jc w:val="both"/>
        <w:rPr>
          <w:rFonts w:ascii="Arial" w:hAnsi="Arial" w:cs="Arial"/>
          <w:sz w:val="22"/>
          <w:szCs w:val="22"/>
        </w:rPr>
      </w:pPr>
      <w:r w:rsidRPr="002117C7">
        <w:rPr>
          <w:rFonts w:ascii="Arial" w:hAnsi="Arial" w:cs="Arial"/>
          <w:color w:val="7B7B7B" w:themeColor="accent3" w:themeShade="BF"/>
          <w:sz w:val="22"/>
          <w:szCs w:val="22"/>
          <w:lang w:val="en-GB"/>
        </w:rPr>
        <w:t xml:space="preserve">The issue in relation to the floating charge is whether </w:t>
      </w:r>
      <w:r w:rsidR="00506771" w:rsidRPr="002117C7">
        <w:rPr>
          <w:rFonts w:ascii="Arial" w:hAnsi="Arial" w:cs="Arial"/>
          <w:color w:val="7B7B7B" w:themeColor="accent3" w:themeShade="BF"/>
          <w:sz w:val="22"/>
          <w:szCs w:val="22"/>
          <w:lang w:val="en-GB"/>
        </w:rPr>
        <w:t xml:space="preserve">the floating charge granted to </w:t>
      </w:r>
      <w:r w:rsidR="00506771" w:rsidRPr="002117C7">
        <w:rPr>
          <w:rFonts w:ascii="Arial" w:hAnsi="Arial" w:cs="Arial"/>
          <w:sz w:val="22"/>
          <w:szCs w:val="22"/>
        </w:rPr>
        <w:t xml:space="preserve">in </w:t>
      </w:r>
      <w:proofErr w:type="spellStart"/>
      <w:r w:rsidR="00506771" w:rsidRPr="002117C7">
        <w:rPr>
          <w:rFonts w:ascii="Arial" w:hAnsi="Arial" w:cs="Arial"/>
          <w:sz w:val="22"/>
          <w:szCs w:val="22"/>
        </w:rPr>
        <w:t>favour</w:t>
      </w:r>
      <w:proofErr w:type="spellEnd"/>
      <w:r w:rsidR="00506771" w:rsidRPr="002117C7">
        <w:rPr>
          <w:rFonts w:ascii="Arial" w:hAnsi="Arial" w:cs="Arial"/>
          <w:sz w:val="22"/>
          <w:szCs w:val="22"/>
        </w:rPr>
        <w:t xml:space="preserve"> of </w:t>
      </w:r>
      <w:proofErr w:type="spellStart"/>
      <w:r w:rsidR="00506771" w:rsidRPr="002117C7">
        <w:rPr>
          <w:rFonts w:ascii="Arial" w:hAnsi="Arial" w:cs="Arial"/>
          <w:sz w:val="22"/>
          <w:szCs w:val="22"/>
        </w:rPr>
        <w:t>Stercus</w:t>
      </w:r>
      <w:proofErr w:type="spellEnd"/>
      <w:r w:rsidR="00506771" w:rsidRPr="002117C7">
        <w:rPr>
          <w:rFonts w:ascii="Arial" w:hAnsi="Arial" w:cs="Arial"/>
          <w:sz w:val="22"/>
          <w:szCs w:val="22"/>
        </w:rPr>
        <w:t xml:space="preserve"> Bank plc in February 2021, a few months before the Company entered formal insolvency proceedings, can be avoided?</w:t>
      </w:r>
    </w:p>
    <w:p w14:paraId="64425790" w14:textId="16FCFEF5" w:rsidR="00506771" w:rsidRPr="002117C7" w:rsidRDefault="00506771" w:rsidP="002117C7">
      <w:pPr>
        <w:pStyle w:val="NormalWeb"/>
        <w:spacing w:before="0" w:beforeAutospacing="0" w:after="0" w:afterAutospacing="0"/>
        <w:jc w:val="both"/>
        <w:rPr>
          <w:rFonts w:ascii="Arial" w:hAnsi="Arial" w:cs="Arial"/>
          <w:sz w:val="22"/>
          <w:szCs w:val="22"/>
        </w:rPr>
      </w:pPr>
    </w:p>
    <w:p w14:paraId="5E4B1396" w14:textId="77777777" w:rsidR="00506771" w:rsidRPr="002117C7" w:rsidRDefault="00506771" w:rsidP="002117C7">
      <w:pPr>
        <w:pStyle w:val="NormalWeb"/>
        <w:spacing w:before="0" w:beforeAutospacing="0" w:after="0" w:afterAutospacing="0"/>
        <w:jc w:val="both"/>
        <w:rPr>
          <w:rFonts w:ascii="Arial" w:hAnsi="Arial" w:cs="Arial"/>
          <w:color w:val="7B7B7B" w:themeColor="accent3" w:themeShade="BF"/>
          <w:sz w:val="22"/>
          <w:szCs w:val="22"/>
          <w:lang w:val="en-GB"/>
        </w:rPr>
      </w:pPr>
      <w:r w:rsidRPr="002117C7">
        <w:rPr>
          <w:rFonts w:ascii="Arial" w:hAnsi="Arial" w:cs="Arial"/>
          <w:sz w:val="22"/>
          <w:szCs w:val="22"/>
        </w:rPr>
        <w:t xml:space="preserve">The applicable law to this issue is section 245 of the Insolvency Act. This provision applies where the company (in liquidation or administration) enters into a floating charge at or close to the company being put in liquidation. The provision is intended to </w:t>
      </w:r>
      <w:r w:rsidRPr="002117C7">
        <w:rPr>
          <w:rFonts w:ascii="Arial" w:hAnsi="Arial" w:cs="Arial"/>
          <w:color w:val="7B7B7B" w:themeColor="accent3" w:themeShade="BF"/>
          <w:sz w:val="22"/>
          <w:szCs w:val="22"/>
          <w:lang w:val="en-GB"/>
        </w:rPr>
        <w:t>prevent</w:t>
      </w:r>
      <w:r w:rsidR="00603ACA" w:rsidRPr="002117C7">
        <w:rPr>
          <w:rFonts w:ascii="Arial" w:hAnsi="Arial" w:cs="Arial"/>
          <w:color w:val="7B7B7B" w:themeColor="accent3" w:themeShade="BF"/>
          <w:sz w:val="22"/>
          <w:szCs w:val="22"/>
          <w:lang w:val="en-GB"/>
        </w:rPr>
        <w:t xml:space="preserve"> a pre-existing creditor unsecured creditor from obtaining a flo</w:t>
      </w:r>
      <w:r w:rsidRPr="002117C7">
        <w:rPr>
          <w:rFonts w:ascii="Arial" w:hAnsi="Arial" w:cs="Arial"/>
          <w:color w:val="7B7B7B" w:themeColor="accent3" w:themeShade="BF"/>
          <w:sz w:val="22"/>
          <w:szCs w:val="22"/>
          <w:lang w:val="en-GB"/>
        </w:rPr>
        <w:t xml:space="preserve">ating charge shortly before an insolvent company </w:t>
      </w:r>
      <w:r w:rsidR="00603ACA" w:rsidRPr="002117C7">
        <w:rPr>
          <w:rFonts w:ascii="Arial" w:hAnsi="Arial" w:cs="Arial"/>
          <w:color w:val="7B7B7B" w:themeColor="accent3" w:themeShade="BF"/>
          <w:sz w:val="22"/>
          <w:szCs w:val="22"/>
          <w:lang w:val="en-GB"/>
        </w:rPr>
        <w:t xml:space="preserve">enters formal liquidation procedures. </w:t>
      </w:r>
    </w:p>
    <w:p w14:paraId="596AEF29" w14:textId="77777777" w:rsidR="00506771" w:rsidRPr="002117C7" w:rsidRDefault="00506771" w:rsidP="002117C7">
      <w:pPr>
        <w:pStyle w:val="NormalWeb"/>
        <w:spacing w:before="0" w:beforeAutospacing="0" w:after="0" w:afterAutospacing="0"/>
        <w:jc w:val="both"/>
        <w:rPr>
          <w:rFonts w:ascii="Arial" w:hAnsi="Arial" w:cs="Arial"/>
          <w:color w:val="7B7B7B" w:themeColor="accent3" w:themeShade="BF"/>
          <w:sz w:val="22"/>
          <w:szCs w:val="22"/>
          <w:lang w:val="en-GB"/>
        </w:rPr>
      </w:pPr>
    </w:p>
    <w:p w14:paraId="2106EFD6" w14:textId="77777777" w:rsidR="005320E3" w:rsidRPr="002117C7" w:rsidRDefault="005320E3" w:rsidP="002117C7">
      <w:pPr>
        <w:pStyle w:val="NormalWeb"/>
        <w:spacing w:before="0" w:beforeAutospacing="0" w:after="0" w:afterAutospacing="0"/>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According to section 245(3), w</w:t>
      </w:r>
      <w:r w:rsidR="00506771" w:rsidRPr="002117C7">
        <w:rPr>
          <w:rFonts w:ascii="Arial" w:hAnsi="Arial" w:cs="Arial"/>
          <w:color w:val="7B7B7B" w:themeColor="accent3" w:themeShade="BF"/>
          <w:sz w:val="22"/>
          <w:szCs w:val="22"/>
          <w:lang w:val="en-GB"/>
        </w:rPr>
        <w:t xml:space="preserve">here the person or entity in whose favour the company granted the floating charge is connected to the company, the relevant time to be considered by the court is 2 years prior to the commencement of the insolvency procedure. </w:t>
      </w:r>
    </w:p>
    <w:p w14:paraId="339B93EC" w14:textId="77777777" w:rsidR="005320E3" w:rsidRPr="002117C7" w:rsidRDefault="005320E3" w:rsidP="002117C7">
      <w:pPr>
        <w:pStyle w:val="NormalWeb"/>
        <w:spacing w:before="0" w:beforeAutospacing="0" w:after="0" w:afterAutospacing="0"/>
        <w:jc w:val="both"/>
        <w:rPr>
          <w:rFonts w:ascii="Arial" w:hAnsi="Arial" w:cs="Arial"/>
          <w:color w:val="7B7B7B" w:themeColor="accent3" w:themeShade="BF"/>
          <w:sz w:val="22"/>
          <w:szCs w:val="22"/>
          <w:lang w:val="en-GB"/>
        </w:rPr>
      </w:pPr>
    </w:p>
    <w:p w14:paraId="51D9F211" w14:textId="71F72CEF" w:rsidR="00506771" w:rsidRPr="002117C7" w:rsidRDefault="005320E3" w:rsidP="002117C7">
      <w:pPr>
        <w:pStyle w:val="NormalWeb"/>
        <w:spacing w:before="0" w:beforeAutospacing="0" w:after="0" w:afterAutospacing="0"/>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Additionally</w:t>
      </w:r>
      <w:r w:rsidR="00506771" w:rsidRPr="002117C7">
        <w:rPr>
          <w:rFonts w:ascii="Arial" w:hAnsi="Arial" w:cs="Arial"/>
          <w:color w:val="7B7B7B" w:themeColor="accent3" w:themeShade="BF"/>
          <w:sz w:val="22"/>
          <w:szCs w:val="22"/>
          <w:lang w:val="en-GB"/>
        </w:rPr>
        <w:t xml:space="preserve">, </w:t>
      </w:r>
      <w:r w:rsidRPr="002117C7">
        <w:rPr>
          <w:rFonts w:ascii="Arial" w:hAnsi="Arial" w:cs="Arial"/>
          <w:color w:val="7B7B7B" w:themeColor="accent3" w:themeShade="BF"/>
          <w:sz w:val="22"/>
          <w:szCs w:val="22"/>
          <w:lang w:val="en-GB"/>
        </w:rPr>
        <w:t xml:space="preserve">section 245(3) also provides that </w:t>
      </w:r>
      <w:r w:rsidR="00506771" w:rsidRPr="002117C7">
        <w:rPr>
          <w:rFonts w:ascii="Arial" w:hAnsi="Arial" w:cs="Arial"/>
          <w:color w:val="7B7B7B" w:themeColor="accent3" w:themeShade="BF"/>
          <w:sz w:val="22"/>
          <w:szCs w:val="22"/>
          <w:lang w:val="en-GB"/>
        </w:rPr>
        <w:t xml:space="preserve">where the person is not connected to the company, the relevant period is 12 months prior to the insolvency procedure. </w:t>
      </w:r>
      <w:r w:rsidRPr="002117C7">
        <w:rPr>
          <w:rFonts w:ascii="Arial" w:hAnsi="Arial" w:cs="Arial"/>
          <w:color w:val="7B7B7B" w:themeColor="accent3" w:themeShade="BF"/>
          <w:sz w:val="22"/>
          <w:szCs w:val="22"/>
          <w:lang w:val="en-GB"/>
        </w:rPr>
        <w:t>However, section 245(4) provides that this 12 months period only applies if at the time of the creation of the floating charge, the company was unable to pay its debts (within the definition of section 123) or became unable to pay its debts as a consequence of the transaction.</w:t>
      </w:r>
    </w:p>
    <w:p w14:paraId="3283BEA4" w14:textId="75839FDC" w:rsidR="005320E3" w:rsidRPr="002117C7" w:rsidRDefault="005320E3" w:rsidP="002117C7">
      <w:pPr>
        <w:pStyle w:val="NormalWeb"/>
        <w:spacing w:before="0" w:beforeAutospacing="0" w:after="0" w:afterAutospacing="0"/>
        <w:jc w:val="both"/>
        <w:rPr>
          <w:rFonts w:ascii="Arial" w:hAnsi="Arial" w:cs="Arial"/>
          <w:color w:val="7B7B7B" w:themeColor="accent3" w:themeShade="BF"/>
          <w:sz w:val="22"/>
          <w:szCs w:val="22"/>
          <w:lang w:val="en-GB"/>
        </w:rPr>
      </w:pPr>
    </w:p>
    <w:p w14:paraId="55989ECD" w14:textId="75FF1FAD" w:rsidR="005320E3" w:rsidRPr="002117C7" w:rsidRDefault="005320E3" w:rsidP="002117C7">
      <w:pPr>
        <w:pStyle w:val="NormalWeb"/>
        <w:spacing w:before="0" w:beforeAutospacing="0" w:after="0" w:afterAutospacing="0"/>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 xml:space="preserve">The floating charge will be invalid under section 245, unless and to the extent that “new” consideration was provided. When </w:t>
      </w:r>
      <w:r w:rsidR="004C1F04" w:rsidRPr="002117C7">
        <w:rPr>
          <w:rFonts w:ascii="Arial" w:hAnsi="Arial" w:cs="Arial"/>
          <w:color w:val="7B7B7B" w:themeColor="accent3" w:themeShade="BF"/>
          <w:sz w:val="22"/>
          <w:szCs w:val="22"/>
          <w:lang w:val="en-GB"/>
        </w:rPr>
        <w:t>assessing</w:t>
      </w:r>
      <w:r w:rsidRPr="002117C7">
        <w:rPr>
          <w:rFonts w:ascii="Arial" w:hAnsi="Arial" w:cs="Arial"/>
          <w:color w:val="7B7B7B" w:themeColor="accent3" w:themeShade="BF"/>
          <w:sz w:val="22"/>
          <w:szCs w:val="22"/>
          <w:lang w:val="en-GB"/>
        </w:rPr>
        <w:t xml:space="preserve"> this new consideration, one may look at factors such as:</w:t>
      </w:r>
    </w:p>
    <w:p w14:paraId="6EFEA9D4" w14:textId="77777777" w:rsidR="005320E3" w:rsidRPr="002117C7" w:rsidRDefault="005320E3" w:rsidP="002117C7">
      <w:pPr>
        <w:pStyle w:val="NormalWeb"/>
        <w:spacing w:before="0" w:beforeAutospacing="0" w:after="0" w:afterAutospacing="0"/>
        <w:jc w:val="both"/>
        <w:rPr>
          <w:rFonts w:ascii="Arial" w:hAnsi="Arial" w:cs="Arial"/>
          <w:color w:val="7B7B7B" w:themeColor="accent3" w:themeShade="BF"/>
          <w:sz w:val="22"/>
          <w:szCs w:val="22"/>
          <w:lang w:val="en-GB"/>
        </w:rPr>
      </w:pPr>
    </w:p>
    <w:p w14:paraId="43BD2EB1" w14:textId="0E2CBA55" w:rsidR="005320E3" w:rsidRPr="002117C7" w:rsidRDefault="005320E3" w:rsidP="002117C7">
      <w:pPr>
        <w:pStyle w:val="NormalWeb"/>
        <w:numPr>
          <w:ilvl w:val="0"/>
          <w:numId w:val="32"/>
        </w:numPr>
        <w:spacing w:before="0" w:beforeAutospacing="0" w:after="0" w:afterAutospacing="0"/>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 xml:space="preserve">The value of so much of the consideration for the creation of the charge as consists of money, or goods or services to the company at the time or after the creation of the floating charge; and </w:t>
      </w:r>
    </w:p>
    <w:p w14:paraId="64F507F9" w14:textId="79CB423B" w:rsidR="005320E3" w:rsidRPr="002117C7" w:rsidRDefault="004C1F04" w:rsidP="002117C7">
      <w:pPr>
        <w:pStyle w:val="NormalWeb"/>
        <w:numPr>
          <w:ilvl w:val="0"/>
          <w:numId w:val="32"/>
        </w:numPr>
        <w:spacing w:before="0" w:beforeAutospacing="0" w:after="0" w:afterAutospacing="0"/>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The value of so much of that consideration as consists of the discharge or reduction, at the same time or after the creation of the floating charge, of any debt of the company. In the leading authority of Re Fairway Magazines, however, it was said that the floating charge will not be invalidated, however, to the extent the consideration was for a discharge or reduction of a debt of the company.</w:t>
      </w:r>
    </w:p>
    <w:p w14:paraId="762B7285" w14:textId="77777777" w:rsidR="00506771" w:rsidRPr="002117C7" w:rsidRDefault="00506771" w:rsidP="002117C7">
      <w:pPr>
        <w:pStyle w:val="NormalWeb"/>
        <w:spacing w:before="0" w:beforeAutospacing="0" w:after="0" w:afterAutospacing="0"/>
        <w:jc w:val="both"/>
        <w:rPr>
          <w:rFonts w:ascii="Arial" w:hAnsi="Arial" w:cs="Arial"/>
          <w:color w:val="7B7B7B" w:themeColor="accent3" w:themeShade="BF"/>
          <w:sz w:val="22"/>
          <w:szCs w:val="22"/>
          <w:lang w:val="en-GB"/>
        </w:rPr>
      </w:pPr>
    </w:p>
    <w:p w14:paraId="4C33FA55" w14:textId="1C9DB44B" w:rsidR="004C1F04" w:rsidRPr="002117C7" w:rsidRDefault="004C1F04" w:rsidP="002117C7">
      <w:pPr>
        <w:pStyle w:val="NormalWeb"/>
        <w:spacing w:before="0" w:beforeAutospacing="0" w:after="0" w:afterAutospacing="0"/>
        <w:jc w:val="both"/>
        <w:rPr>
          <w:rFonts w:ascii="Arial" w:hAnsi="Arial" w:cs="Arial"/>
          <w:sz w:val="22"/>
          <w:szCs w:val="22"/>
        </w:rPr>
      </w:pPr>
      <w:r w:rsidRPr="002117C7">
        <w:rPr>
          <w:rFonts w:ascii="Arial" w:hAnsi="Arial" w:cs="Arial"/>
          <w:color w:val="7B7B7B" w:themeColor="accent3" w:themeShade="BF"/>
          <w:sz w:val="22"/>
          <w:szCs w:val="22"/>
          <w:lang w:val="en-GB"/>
        </w:rPr>
        <w:t xml:space="preserve">There is nothing in the facts to suggest that </w:t>
      </w:r>
      <w:proofErr w:type="spellStart"/>
      <w:r w:rsidRPr="002117C7">
        <w:rPr>
          <w:rFonts w:ascii="Arial" w:hAnsi="Arial" w:cs="Arial"/>
          <w:sz w:val="22"/>
          <w:szCs w:val="22"/>
        </w:rPr>
        <w:t>Stercus</w:t>
      </w:r>
      <w:proofErr w:type="spellEnd"/>
      <w:r w:rsidRPr="002117C7">
        <w:rPr>
          <w:rFonts w:ascii="Arial" w:hAnsi="Arial" w:cs="Arial"/>
          <w:sz w:val="22"/>
          <w:szCs w:val="22"/>
        </w:rPr>
        <w:t xml:space="preserve"> Bank plc is connected to the company. The floating charge was created in February 2021, less than 12 months after the Company was put in compulsory liquidation (on 23 December 2021). Therefore the floating charge may be deemed invalid if there was no new consideration for it. </w:t>
      </w:r>
    </w:p>
    <w:p w14:paraId="691A6774" w14:textId="1434BB6A" w:rsidR="004C1F04" w:rsidRPr="002117C7" w:rsidRDefault="004C1F04" w:rsidP="002117C7">
      <w:pPr>
        <w:pStyle w:val="NormalWeb"/>
        <w:spacing w:before="0" w:beforeAutospacing="0" w:after="0" w:afterAutospacing="0"/>
        <w:jc w:val="both"/>
        <w:rPr>
          <w:rFonts w:ascii="Arial" w:hAnsi="Arial" w:cs="Arial"/>
          <w:sz w:val="22"/>
          <w:szCs w:val="22"/>
        </w:rPr>
      </w:pPr>
      <w:bookmarkStart w:id="1" w:name="_GoBack"/>
      <w:bookmarkEnd w:id="1"/>
    </w:p>
    <w:p w14:paraId="6898E877" w14:textId="7C623D32" w:rsidR="00C1450D" w:rsidRPr="002117C7" w:rsidRDefault="00C1450D" w:rsidP="002117C7">
      <w:pPr>
        <w:pStyle w:val="NormalWeb"/>
        <w:spacing w:before="0" w:beforeAutospacing="0" w:after="0" w:afterAutospacing="0"/>
        <w:jc w:val="both"/>
        <w:rPr>
          <w:rFonts w:ascii="Arial" w:hAnsi="Arial" w:cs="Arial"/>
          <w:sz w:val="22"/>
          <w:szCs w:val="22"/>
        </w:rPr>
      </w:pPr>
      <w:r w:rsidRPr="002117C7">
        <w:rPr>
          <w:rFonts w:ascii="Arial" w:hAnsi="Arial" w:cs="Arial"/>
          <w:sz w:val="22"/>
          <w:szCs w:val="22"/>
        </w:rPr>
        <w:t xml:space="preserve">On the facts, the Company granted the debenture with a floating charge </w:t>
      </w:r>
      <w:r w:rsidR="004C1F04" w:rsidRPr="002117C7">
        <w:rPr>
          <w:rFonts w:ascii="Arial" w:hAnsi="Arial" w:cs="Arial"/>
          <w:sz w:val="22"/>
          <w:szCs w:val="22"/>
        </w:rPr>
        <w:t>in order t</w:t>
      </w:r>
      <w:r w:rsidRPr="002117C7">
        <w:rPr>
          <w:rFonts w:ascii="Arial" w:hAnsi="Arial" w:cs="Arial"/>
          <w:sz w:val="22"/>
          <w:szCs w:val="22"/>
        </w:rPr>
        <w:t xml:space="preserve">he bank </w:t>
      </w:r>
      <w:r w:rsidR="004C1F04" w:rsidRPr="002117C7">
        <w:rPr>
          <w:rFonts w:ascii="Arial" w:hAnsi="Arial" w:cs="Arial"/>
          <w:sz w:val="22"/>
          <w:szCs w:val="22"/>
        </w:rPr>
        <w:t>from demanding repa</w:t>
      </w:r>
      <w:r w:rsidRPr="002117C7">
        <w:rPr>
          <w:rFonts w:ascii="Arial" w:hAnsi="Arial" w:cs="Arial"/>
          <w:sz w:val="22"/>
          <w:szCs w:val="22"/>
        </w:rPr>
        <w:t>yment of the C</w:t>
      </w:r>
      <w:r w:rsidR="004C1F04" w:rsidRPr="002117C7">
        <w:rPr>
          <w:rFonts w:ascii="Arial" w:hAnsi="Arial" w:cs="Arial"/>
          <w:sz w:val="22"/>
          <w:szCs w:val="22"/>
        </w:rPr>
        <w:t>ompany’s loans</w:t>
      </w:r>
      <w:r w:rsidRPr="002117C7">
        <w:rPr>
          <w:rFonts w:ascii="Arial" w:hAnsi="Arial" w:cs="Arial"/>
          <w:sz w:val="22"/>
          <w:szCs w:val="22"/>
        </w:rPr>
        <w:t>. Based upon the authority of Re Fairway Magazine, one has to consider whether this is new consideration – that is</w:t>
      </w:r>
      <w:r w:rsidR="004C1F04" w:rsidRPr="002117C7">
        <w:rPr>
          <w:rFonts w:ascii="Arial" w:hAnsi="Arial" w:cs="Arial"/>
          <w:sz w:val="22"/>
          <w:szCs w:val="22"/>
        </w:rPr>
        <w:t>,</w:t>
      </w:r>
      <w:r w:rsidRPr="002117C7">
        <w:rPr>
          <w:rFonts w:ascii="Arial" w:hAnsi="Arial" w:cs="Arial"/>
          <w:sz w:val="22"/>
          <w:szCs w:val="22"/>
        </w:rPr>
        <w:t xml:space="preserve"> whether</w:t>
      </w:r>
      <w:r w:rsidR="004C1F04" w:rsidRPr="002117C7">
        <w:rPr>
          <w:rFonts w:ascii="Arial" w:hAnsi="Arial" w:cs="Arial"/>
          <w:sz w:val="22"/>
          <w:szCs w:val="22"/>
        </w:rPr>
        <w:t xml:space="preserve"> </w:t>
      </w:r>
      <w:r w:rsidRPr="002117C7">
        <w:rPr>
          <w:rFonts w:ascii="Arial" w:hAnsi="Arial" w:cs="Arial"/>
          <w:sz w:val="22"/>
          <w:szCs w:val="22"/>
        </w:rPr>
        <w:t xml:space="preserve">the floating </w:t>
      </w:r>
      <w:r w:rsidR="00DD3FB9">
        <w:rPr>
          <w:rFonts w:ascii="Arial" w:hAnsi="Arial" w:cs="Arial"/>
          <w:sz w:val="22"/>
          <w:szCs w:val="22"/>
        </w:rPr>
        <w:t>charge was granted to discharge</w:t>
      </w:r>
      <w:r w:rsidRPr="002117C7">
        <w:rPr>
          <w:rFonts w:ascii="Arial" w:hAnsi="Arial" w:cs="Arial"/>
          <w:sz w:val="22"/>
          <w:szCs w:val="22"/>
        </w:rPr>
        <w:t xml:space="preserve"> the company from the loan. </w:t>
      </w:r>
    </w:p>
    <w:p w14:paraId="04360F4C" w14:textId="77777777" w:rsidR="00C1450D" w:rsidRPr="002117C7" w:rsidRDefault="00C1450D" w:rsidP="002117C7">
      <w:pPr>
        <w:pStyle w:val="NormalWeb"/>
        <w:spacing w:before="0" w:beforeAutospacing="0" w:after="0" w:afterAutospacing="0"/>
        <w:jc w:val="both"/>
        <w:rPr>
          <w:rFonts w:ascii="Arial" w:hAnsi="Arial" w:cs="Arial"/>
          <w:sz w:val="22"/>
          <w:szCs w:val="22"/>
        </w:rPr>
      </w:pPr>
    </w:p>
    <w:p w14:paraId="266294C4" w14:textId="6011D5D9" w:rsidR="00C1450D" w:rsidRPr="002117C7" w:rsidRDefault="00C1450D" w:rsidP="002117C7">
      <w:pPr>
        <w:pStyle w:val="NormalWeb"/>
        <w:spacing w:before="0" w:beforeAutospacing="0" w:after="0" w:afterAutospacing="0"/>
        <w:jc w:val="both"/>
        <w:rPr>
          <w:rFonts w:ascii="Arial" w:hAnsi="Arial" w:cs="Arial"/>
          <w:color w:val="7B7B7B" w:themeColor="accent3" w:themeShade="BF"/>
          <w:sz w:val="22"/>
          <w:szCs w:val="22"/>
          <w:lang w:val="en-GB"/>
        </w:rPr>
      </w:pPr>
      <w:r w:rsidRPr="002117C7">
        <w:rPr>
          <w:rFonts w:ascii="Arial" w:hAnsi="Arial" w:cs="Arial"/>
          <w:sz w:val="22"/>
          <w:szCs w:val="22"/>
        </w:rPr>
        <w:lastRenderedPageBreak/>
        <w:t xml:space="preserve">The floating charge did not discharge the debt to the bank. Nor did it reduce it. Therefore, there was no new consideration. There is also no evidence of </w:t>
      </w:r>
      <w:r w:rsidRPr="002117C7">
        <w:rPr>
          <w:rFonts w:ascii="Arial" w:hAnsi="Arial" w:cs="Arial"/>
          <w:color w:val="7B7B7B" w:themeColor="accent3" w:themeShade="BF"/>
          <w:sz w:val="22"/>
          <w:szCs w:val="22"/>
          <w:lang w:val="en-GB"/>
        </w:rPr>
        <w:t xml:space="preserve">value of so much of the consideration for the creation of the charge (money, or goods or services to the company) at the time or after the creation of the floating charge. The floating charge was only granted as a comfort to the Bank (a prior creditor) in circumstances where the company had been experiencing problems paying its debts (the loan to the bank). No new consideration was provided. The floating charge simply came about based on pressures from the bank. </w:t>
      </w:r>
    </w:p>
    <w:p w14:paraId="2745DED8" w14:textId="0D1B73F1" w:rsidR="00C1450D" w:rsidRPr="002117C7" w:rsidRDefault="00C1450D" w:rsidP="002117C7">
      <w:pPr>
        <w:pStyle w:val="NormalWeb"/>
        <w:spacing w:before="0" w:beforeAutospacing="0" w:after="0" w:afterAutospacing="0"/>
        <w:jc w:val="both"/>
        <w:rPr>
          <w:rFonts w:ascii="Arial" w:hAnsi="Arial" w:cs="Arial"/>
          <w:color w:val="7B7B7B" w:themeColor="accent3" w:themeShade="BF"/>
          <w:sz w:val="22"/>
          <w:szCs w:val="22"/>
          <w:lang w:val="en-GB"/>
        </w:rPr>
      </w:pPr>
    </w:p>
    <w:p w14:paraId="713B9E18" w14:textId="166F4F15" w:rsidR="00C1450D" w:rsidRPr="002117C7" w:rsidRDefault="00C1450D" w:rsidP="002117C7">
      <w:pPr>
        <w:pStyle w:val="NormalWeb"/>
        <w:spacing w:before="0" w:beforeAutospacing="0" w:after="0" w:afterAutospacing="0"/>
        <w:jc w:val="both"/>
        <w:rPr>
          <w:rFonts w:ascii="Arial" w:hAnsi="Arial" w:cs="Arial"/>
          <w:sz w:val="22"/>
          <w:szCs w:val="22"/>
        </w:rPr>
      </w:pPr>
      <w:r w:rsidRPr="002117C7">
        <w:rPr>
          <w:rFonts w:ascii="Arial" w:hAnsi="Arial" w:cs="Arial"/>
          <w:color w:val="7B7B7B" w:themeColor="accent3" w:themeShade="BF"/>
          <w:sz w:val="22"/>
          <w:szCs w:val="22"/>
          <w:lang w:val="en-GB"/>
        </w:rPr>
        <w:t xml:space="preserve">On this basis, the liquidation may consider to avoid the floating charge under section 245. </w:t>
      </w:r>
    </w:p>
    <w:p w14:paraId="0F04CA3B" w14:textId="77777777" w:rsidR="00C1450D" w:rsidRPr="002117C7" w:rsidRDefault="00C1450D" w:rsidP="002117C7">
      <w:pPr>
        <w:pStyle w:val="NormalWeb"/>
        <w:spacing w:before="0" w:beforeAutospacing="0" w:after="0" w:afterAutospacing="0"/>
        <w:jc w:val="both"/>
        <w:rPr>
          <w:rFonts w:ascii="Arial" w:hAnsi="Arial" w:cs="Arial"/>
          <w:sz w:val="22"/>
          <w:szCs w:val="22"/>
        </w:rPr>
      </w:pPr>
    </w:p>
    <w:p w14:paraId="6DA3D7DE" w14:textId="214FE880" w:rsidR="006455E1" w:rsidRPr="002117C7" w:rsidRDefault="00BA218F" w:rsidP="002117C7">
      <w:pPr>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 xml:space="preserve"> The transaction may also be avoided under section 239. That section deals with preferences granted to a creditor shortly before the formal insolvency procedure begins. </w:t>
      </w:r>
      <w:r w:rsidR="006455E1" w:rsidRPr="002117C7">
        <w:rPr>
          <w:rFonts w:ascii="Arial" w:hAnsi="Arial" w:cs="Arial"/>
          <w:color w:val="7B7B7B" w:themeColor="accent3" w:themeShade="BF"/>
          <w:sz w:val="22"/>
          <w:szCs w:val="22"/>
          <w:lang w:val="en-GB"/>
        </w:rPr>
        <w:t>For example, it can be used to invalidate a security given to a previously unsecured creditor. To succeed, the liquidator will need to show that (</w:t>
      </w:r>
      <w:proofErr w:type="spellStart"/>
      <w:r w:rsidR="006455E1" w:rsidRPr="002117C7">
        <w:rPr>
          <w:rFonts w:ascii="Arial" w:hAnsi="Arial" w:cs="Arial"/>
          <w:color w:val="7B7B7B" w:themeColor="accent3" w:themeShade="BF"/>
          <w:sz w:val="22"/>
          <w:szCs w:val="22"/>
          <w:lang w:val="en-GB"/>
        </w:rPr>
        <w:t>i</w:t>
      </w:r>
      <w:proofErr w:type="spellEnd"/>
      <w:r w:rsidR="006455E1" w:rsidRPr="002117C7">
        <w:rPr>
          <w:rFonts w:ascii="Arial" w:hAnsi="Arial" w:cs="Arial"/>
          <w:color w:val="7B7B7B" w:themeColor="accent3" w:themeShade="BF"/>
          <w:sz w:val="22"/>
          <w:szCs w:val="22"/>
          <w:lang w:val="en-GB"/>
        </w:rPr>
        <w:t>) the bank was a creditor of the Company prior to entering into the charge (ii) something was done by the Company which had the effect of putting the bank in a better position in event the company went into liquidation and (iii) the Company was, in giving the preference, influenced by the desire to produce the preference in relation to the bank</w:t>
      </w:r>
      <w:r w:rsidR="00F505C1" w:rsidRPr="002117C7">
        <w:rPr>
          <w:rFonts w:ascii="Arial" w:hAnsi="Arial" w:cs="Arial"/>
          <w:color w:val="7B7B7B" w:themeColor="accent3" w:themeShade="BF"/>
          <w:sz w:val="22"/>
          <w:szCs w:val="22"/>
          <w:lang w:val="en-GB"/>
        </w:rPr>
        <w:t xml:space="preserve"> (Re MC Bacon Ltd case per Millet J)</w:t>
      </w:r>
      <w:r w:rsidR="006455E1" w:rsidRPr="002117C7">
        <w:rPr>
          <w:rFonts w:ascii="Arial" w:hAnsi="Arial" w:cs="Arial"/>
          <w:color w:val="7B7B7B" w:themeColor="accent3" w:themeShade="BF"/>
          <w:sz w:val="22"/>
          <w:szCs w:val="22"/>
          <w:lang w:val="en-GB"/>
        </w:rPr>
        <w:t xml:space="preserve">. These elements are satisfied here. The bank was (presumably) an unsecured creditor, having loaned money to the Company, and the Company created a floating charge giving the bank a preference above other unsecured creditors. The preference was the desired effect of the charge – as this was needed in order or the bank not to require the Company (which had been facing financial difficulties) to repay the loan. </w:t>
      </w:r>
    </w:p>
    <w:p w14:paraId="1B5322E9" w14:textId="77777777" w:rsidR="006455E1" w:rsidRPr="002117C7" w:rsidRDefault="006455E1" w:rsidP="002117C7">
      <w:pPr>
        <w:jc w:val="both"/>
        <w:rPr>
          <w:rFonts w:ascii="Arial" w:hAnsi="Arial" w:cs="Arial"/>
          <w:color w:val="7B7B7B" w:themeColor="accent3" w:themeShade="BF"/>
          <w:sz w:val="22"/>
          <w:szCs w:val="22"/>
          <w:lang w:val="en-GB"/>
        </w:rPr>
      </w:pPr>
    </w:p>
    <w:p w14:paraId="0AD9BF3F" w14:textId="5F164EEF" w:rsidR="009719E3" w:rsidRPr="002117C7" w:rsidRDefault="006455E1" w:rsidP="002117C7">
      <w:pPr>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 xml:space="preserve">Therefore, while the pressure applied by the bank to the Company for it to do something in relation to the loan may not be relevant by itself, the fact is that the liquidator may be able to make out a section 239 action for the floating charge to be set aside. </w:t>
      </w:r>
    </w:p>
    <w:p w14:paraId="0F03DC62" w14:textId="77777777" w:rsidR="009719E3" w:rsidRDefault="009719E3" w:rsidP="009719E3">
      <w:pPr>
        <w:jc w:val="both"/>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4F0880FC" w14:textId="77777777" w:rsidR="00660DAC" w:rsidRPr="002117C7" w:rsidRDefault="00660DAC" w:rsidP="009719E3">
      <w:pPr>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 xml:space="preserve">The issue is whether the transaction was undervalued? </w:t>
      </w:r>
    </w:p>
    <w:p w14:paraId="7A7EE0E0" w14:textId="77777777" w:rsidR="00660DAC" w:rsidRPr="002117C7" w:rsidRDefault="00660DAC" w:rsidP="009719E3">
      <w:pPr>
        <w:jc w:val="both"/>
        <w:rPr>
          <w:rFonts w:ascii="Arial" w:hAnsi="Arial" w:cs="Arial"/>
          <w:color w:val="7B7B7B" w:themeColor="accent3" w:themeShade="BF"/>
          <w:sz w:val="22"/>
          <w:szCs w:val="22"/>
          <w:lang w:val="en-GB"/>
        </w:rPr>
      </w:pPr>
    </w:p>
    <w:p w14:paraId="0D9277BE" w14:textId="5ABF1F08" w:rsidR="00660DAC" w:rsidRPr="002117C7" w:rsidRDefault="00660DAC" w:rsidP="009719E3">
      <w:pPr>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 xml:space="preserve">Section 238 allows for undervalued transactions to be set aside. Transactions is broadly defined by the provision and includes a gift, agreement or arrangement. </w:t>
      </w:r>
    </w:p>
    <w:p w14:paraId="71164DB8" w14:textId="06140796" w:rsidR="00660DAC" w:rsidRPr="002117C7" w:rsidRDefault="00660DAC" w:rsidP="009719E3">
      <w:pPr>
        <w:jc w:val="both"/>
        <w:rPr>
          <w:rFonts w:ascii="Arial" w:hAnsi="Arial" w:cs="Arial"/>
          <w:color w:val="7B7B7B" w:themeColor="accent3" w:themeShade="BF"/>
          <w:sz w:val="22"/>
          <w:szCs w:val="22"/>
          <w:lang w:val="en-GB"/>
        </w:rPr>
      </w:pPr>
    </w:p>
    <w:p w14:paraId="4973AE7A" w14:textId="1003C45F" w:rsidR="00660DAC" w:rsidRPr="002117C7" w:rsidRDefault="00660DAC" w:rsidP="009719E3">
      <w:pPr>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Section 238 requires that at the time the transaction was entered into, the Company was unable to pay its debts as they fall due within the meanin</w:t>
      </w:r>
      <w:r w:rsidR="003D7A76" w:rsidRPr="002117C7">
        <w:rPr>
          <w:rFonts w:ascii="Arial" w:hAnsi="Arial" w:cs="Arial"/>
          <w:color w:val="7B7B7B" w:themeColor="accent3" w:themeShade="BF"/>
          <w:sz w:val="22"/>
          <w:szCs w:val="22"/>
          <w:lang w:val="en-GB"/>
        </w:rPr>
        <w:t xml:space="preserve">g of section 123 or became unable to pay its debts in consequence of the transaction. Where the transaction was with a connected person, it is presumed, unless proven otherwise, that the Company was insolvent. </w:t>
      </w:r>
    </w:p>
    <w:p w14:paraId="7B913059" w14:textId="156910F8" w:rsidR="003D7A76" w:rsidRPr="002117C7" w:rsidRDefault="003D7A76" w:rsidP="009719E3">
      <w:pPr>
        <w:jc w:val="both"/>
        <w:rPr>
          <w:rFonts w:ascii="Arial" w:hAnsi="Arial" w:cs="Arial"/>
          <w:color w:val="7B7B7B" w:themeColor="accent3" w:themeShade="BF"/>
          <w:sz w:val="22"/>
          <w:szCs w:val="22"/>
          <w:lang w:val="en-GB"/>
        </w:rPr>
      </w:pPr>
    </w:p>
    <w:p w14:paraId="70C1B026" w14:textId="77777777" w:rsidR="003D7A76" w:rsidRPr="002117C7" w:rsidRDefault="003D7A76" w:rsidP="009719E3">
      <w:pPr>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T</w:t>
      </w:r>
      <w:r w:rsidR="009719E3" w:rsidRPr="002117C7">
        <w:rPr>
          <w:rFonts w:ascii="Arial" w:hAnsi="Arial" w:cs="Arial"/>
          <w:color w:val="7B7B7B" w:themeColor="accent3" w:themeShade="BF"/>
          <w:sz w:val="22"/>
          <w:szCs w:val="22"/>
          <w:lang w:val="en-GB"/>
        </w:rPr>
        <w:t xml:space="preserve">he five </w:t>
      </w:r>
      <w:r w:rsidRPr="002117C7">
        <w:rPr>
          <w:rFonts w:ascii="Arial" w:hAnsi="Arial" w:cs="Arial"/>
          <w:color w:val="7B7B7B" w:themeColor="accent3" w:themeShade="BF"/>
          <w:sz w:val="22"/>
          <w:szCs w:val="22"/>
          <w:lang w:val="en-GB"/>
        </w:rPr>
        <w:t xml:space="preserve">coffee roasting machines </w:t>
      </w:r>
      <w:r w:rsidR="009719E3" w:rsidRPr="002117C7">
        <w:rPr>
          <w:rFonts w:ascii="Arial" w:hAnsi="Arial" w:cs="Arial"/>
          <w:color w:val="7B7B7B" w:themeColor="accent3" w:themeShade="BF"/>
          <w:sz w:val="22"/>
          <w:szCs w:val="22"/>
          <w:lang w:val="en-GB"/>
        </w:rPr>
        <w:t xml:space="preserve">were sold at an undervalue </w:t>
      </w:r>
      <w:r w:rsidRPr="002117C7">
        <w:rPr>
          <w:rFonts w:ascii="Arial" w:hAnsi="Arial" w:cs="Arial"/>
          <w:color w:val="7B7B7B" w:themeColor="accent3" w:themeShade="BF"/>
          <w:sz w:val="22"/>
          <w:szCs w:val="22"/>
          <w:lang w:val="en-GB"/>
        </w:rPr>
        <w:t xml:space="preserve">price to </w:t>
      </w:r>
      <w:r w:rsidR="009719E3" w:rsidRPr="002117C7">
        <w:rPr>
          <w:rFonts w:ascii="Arial" w:hAnsi="Arial" w:cs="Arial"/>
          <w:color w:val="7B7B7B" w:themeColor="accent3" w:themeShade="BF"/>
          <w:sz w:val="22"/>
          <w:szCs w:val="22"/>
          <w:lang w:val="en-GB"/>
        </w:rPr>
        <w:t>Ann Young</w:t>
      </w:r>
      <w:r w:rsidRPr="002117C7">
        <w:rPr>
          <w:rFonts w:ascii="Arial" w:hAnsi="Arial" w:cs="Arial"/>
          <w:color w:val="7B7B7B" w:themeColor="accent3" w:themeShade="BF"/>
          <w:sz w:val="22"/>
          <w:szCs w:val="22"/>
          <w:lang w:val="en-GB"/>
        </w:rPr>
        <w:t xml:space="preserve">, who was at all material times  a director, and was thus connected to the Company. The Company is therefore presumed insolvent. There is likely no evidence to the contrary, as it seems the Company had been having financial problems even before the transaction. </w:t>
      </w:r>
    </w:p>
    <w:p w14:paraId="5BD60A59" w14:textId="77777777" w:rsidR="003D7A76" w:rsidRPr="002117C7" w:rsidRDefault="003D7A76" w:rsidP="009719E3">
      <w:pPr>
        <w:jc w:val="both"/>
        <w:rPr>
          <w:rFonts w:ascii="Arial" w:hAnsi="Arial" w:cs="Arial"/>
          <w:color w:val="7B7B7B" w:themeColor="accent3" w:themeShade="BF"/>
          <w:sz w:val="22"/>
          <w:szCs w:val="22"/>
          <w:lang w:val="en-GB"/>
        </w:rPr>
      </w:pPr>
    </w:p>
    <w:p w14:paraId="0575F789" w14:textId="77777777" w:rsidR="00405A14" w:rsidRPr="002117C7" w:rsidRDefault="003D7A76" w:rsidP="009719E3">
      <w:pPr>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 xml:space="preserve">However, Ann may argue that the transaction was entered into by the Company in good faith and for the purpose of carrying on its business, and that at the time of the sale of the coffee roasting machines, she entered into the transaction reasonably on the grounds that the transaction would benefit the Company. </w:t>
      </w:r>
    </w:p>
    <w:p w14:paraId="2851E032" w14:textId="77777777" w:rsidR="00405A14" w:rsidRPr="002117C7" w:rsidRDefault="00405A14" w:rsidP="009719E3">
      <w:pPr>
        <w:jc w:val="both"/>
        <w:rPr>
          <w:rFonts w:ascii="Arial" w:hAnsi="Arial" w:cs="Arial"/>
          <w:color w:val="7B7B7B" w:themeColor="accent3" w:themeShade="BF"/>
          <w:sz w:val="22"/>
          <w:szCs w:val="22"/>
          <w:lang w:val="en-GB"/>
        </w:rPr>
      </w:pPr>
    </w:p>
    <w:p w14:paraId="33FCEEB9" w14:textId="5415CF52" w:rsidR="003D7A76" w:rsidRPr="002117C7" w:rsidRDefault="00405A14" w:rsidP="009719E3">
      <w:pPr>
        <w:jc w:val="both"/>
        <w:rPr>
          <w:rFonts w:ascii="Arial" w:hAnsi="Arial" w:cs="Arial"/>
          <w:sz w:val="22"/>
          <w:szCs w:val="22"/>
        </w:rPr>
      </w:pPr>
      <w:r w:rsidRPr="002117C7">
        <w:rPr>
          <w:rFonts w:ascii="Arial" w:hAnsi="Arial" w:cs="Arial"/>
          <w:color w:val="7B7B7B" w:themeColor="accent3" w:themeShade="BF"/>
          <w:sz w:val="22"/>
          <w:szCs w:val="22"/>
          <w:lang w:val="en-GB"/>
        </w:rPr>
        <w:t>While she may argue that she was acting on the grounds that the sale would benefit the financially struggling Company, this</w:t>
      </w:r>
      <w:r w:rsidR="003D7A76" w:rsidRPr="002117C7">
        <w:rPr>
          <w:rFonts w:ascii="Arial" w:hAnsi="Arial" w:cs="Arial"/>
          <w:color w:val="7B7B7B" w:themeColor="accent3" w:themeShade="BF"/>
          <w:sz w:val="22"/>
          <w:szCs w:val="22"/>
          <w:lang w:val="en-GB"/>
        </w:rPr>
        <w:t xml:space="preserve"> may, however, be an unsuccessful defence. Ann would </w:t>
      </w:r>
      <w:r w:rsidR="003D7A76" w:rsidRPr="002117C7">
        <w:rPr>
          <w:rFonts w:ascii="Arial" w:hAnsi="Arial" w:cs="Arial"/>
          <w:color w:val="7B7B7B" w:themeColor="accent3" w:themeShade="BF"/>
          <w:sz w:val="22"/>
          <w:szCs w:val="22"/>
          <w:lang w:val="en-GB"/>
        </w:rPr>
        <w:lastRenderedPageBreak/>
        <w:t xml:space="preserve">have </w:t>
      </w:r>
      <w:r w:rsidRPr="002117C7">
        <w:rPr>
          <w:rFonts w:ascii="Arial" w:hAnsi="Arial" w:cs="Arial"/>
          <w:color w:val="7B7B7B" w:themeColor="accent3" w:themeShade="BF"/>
          <w:sz w:val="22"/>
          <w:szCs w:val="22"/>
          <w:lang w:val="en-GB"/>
        </w:rPr>
        <w:t xml:space="preserve">known that the </w:t>
      </w:r>
      <w:r w:rsidRPr="002117C7">
        <w:rPr>
          <w:rFonts w:ascii="Arial" w:hAnsi="Arial" w:cs="Arial"/>
          <w:sz w:val="22"/>
          <w:szCs w:val="22"/>
        </w:rPr>
        <w:t xml:space="preserve">machines had been bought for £25,000 a year before and that the sale for £10,000 was grossly undervalued. Additionally, Ann would have been aware that the creditors had made an application for winding up on 14 October 2021. Yet, only one month later (and one month before the winding up order was granted) she entered into the grossly undervalued contract with the Company. This suggests she was not acting in the best interest of the Company – but instead she wanted to acquire the machines at a significantly reduced price. </w:t>
      </w:r>
    </w:p>
    <w:p w14:paraId="63BF6F0E" w14:textId="43D42C8B" w:rsidR="00405A14" w:rsidRPr="002117C7" w:rsidRDefault="00405A14" w:rsidP="009719E3">
      <w:pPr>
        <w:jc w:val="both"/>
        <w:rPr>
          <w:rFonts w:ascii="Arial" w:hAnsi="Arial" w:cs="Arial"/>
          <w:sz w:val="22"/>
          <w:szCs w:val="22"/>
        </w:rPr>
      </w:pPr>
    </w:p>
    <w:p w14:paraId="12EE6ACB" w14:textId="5B522178" w:rsidR="008769B2" w:rsidRPr="002117C7" w:rsidRDefault="00405A14" w:rsidP="00405A14">
      <w:pPr>
        <w:jc w:val="both"/>
        <w:rPr>
          <w:rFonts w:ascii="Arial" w:hAnsi="Arial" w:cs="Arial"/>
          <w:color w:val="7B7B7B" w:themeColor="accent3" w:themeShade="BF"/>
          <w:sz w:val="22"/>
          <w:szCs w:val="22"/>
          <w:lang w:val="en-GB"/>
        </w:rPr>
      </w:pPr>
      <w:r w:rsidRPr="002117C7">
        <w:rPr>
          <w:rFonts w:ascii="Arial" w:hAnsi="Arial" w:cs="Arial"/>
          <w:sz w:val="22"/>
          <w:szCs w:val="22"/>
        </w:rPr>
        <w:t xml:space="preserve">The liquidation may therefore apply to set aside the transaction under section 238. </w:t>
      </w:r>
    </w:p>
    <w:p w14:paraId="78DAEAA2" w14:textId="262CD88B" w:rsidR="00405A14" w:rsidRPr="002117C7" w:rsidRDefault="00405A14" w:rsidP="00405A14">
      <w:pPr>
        <w:jc w:val="both"/>
        <w:rPr>
          <w:rFonts w:ascii="Arial" w:hAnsi="Arial" w:cs="Arial"/>
          <w:color w:val="7B7B7B" w:themeColor="accent3" w:themeShade="BF"/>
          <w:sz w:val="22"/>
          <w:szCs w:val="22"/>
          <w:lang w:val="en-GB"/>
        </w:rPr>
      </w:pPr>
    </w:p>
    <w:p w14:paraId="217C109C" w14:textId="77777777" w:rsidR="00405A14" w:rsidRPr="00311816" w:rsidRDefault="00405A14" w:rsidP="00405A14">
      <w:pPr>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2117C7" w:rsidRDefault="007E2919" w:rsidP="007E2919">
      <w:pPr>
        <w:rPr>
          <w:rFonts w:ascii="Arial" w:hAnsi="Arial" w:cs="Arial"/>
          <w:sz w:val="22"/>
          <w:szCs w:val="22"/>
        </w:rPr>
      </w:pPr>
      <w:r w:rsidRPr="002117C7">
        <w:rPr>
          <w:rFonts w:ascii="Arial" w:hAnsi="Arial" w:cs="Arial"/>
          <w:sz w:val="22"/>
          <w:szCs w:val="22"/>
        </w:rPr>
        <w:t>The payment</w:t>
      </w:r>
      <w:r w:rsidR="0070524B" w:rsidRPr="002117C7">
        <w:rPr>
          <w:rFonts w:ascii="Arial" w:hAnsi="Arial" w:cs="Arial"/>
          <w:sz w:val="22"/>
          <w:szCs w:val="22"/>
        </w:rPr>
        <w:t>s</w:t>
      </w:r>
      <w:r w:rsidRPr="002117C7">
        <w:rPr>
          <w:rFonts w:ascii="Arial" w:hAnsi="Arial" w:cs="Arial"/>
          <w:sz w:val="22"/>
          <w:szCs w:val="22"/>
        </w:rPr>
        <w:t xml:space="preserve"> to </w:t>
      </w:r>
      <w:r w:rsidR="0070524B" w:rsidRPr="002117C7">
        <w:rPr>
          <w:rFonts w:ascii="Arial" w:hAnsi="Arial" w:cs="Arial"/>
          <w:sz w:val="22"/>
          <w:szCs w:val="22"/>
        </w:rPr>
        <w:t>Beans and Leaves Ltd</w:t>
      </w:r>
      <w:r w:rsidR="00B04033" w:rsidRPr="002117C7">
        <w:rPr>
          <w:rFonts w:ascii="Arial" w:hAnsi="Arial" w:cs="Arial"/>
          <w:sz w:val="22"/>
          <w:szCs w:val="22"/>
        </w:rPr>
        <w:t>.</w:t>
      </w:r>
    </w:p>
    <w:p w14:paraId="72C79D7A" w14:textId="77777777" w:rsidR="00B04033" w:rsidRPr="002117C7" w:rsidRDefault="007E2919" w:rsidP="00B04033">
      <w:pPr>
        <w:rPr>
          <w:rFonts w:ascii="Arial" w:hAnsi="Arial" w:cs="Arial"/>
          <w:b/>
          <w:sz w:val="22"/>
          <w:szCs w:val="22"/>
        </w:rPr>
      </w:pPr>
      <w:r w:rsidRPr="002117C7">
        <w:rPr>
          <w:rFonts w:ascii="Arial" w:hAnsi="Arial" w:cs="Arial"/>
          <w:b/>
          <w:sz w:val="22"/>
          <w:szCs w:val="22"/>
        </w:rPr>
        <w:t xml:space="preserve"> </w:t>
      </w:r>
    </w:p>
    <w:p w14:paraId="12B88291" w14:textId="77777777" w:rsidR="000D7D63" w:rsidRPr="002117C7" w:rsidRDefault="000D7D63" w:rsidP="000D7D63">
      <w:pPr>
        <w:rPr>
          <w:rFonts w:ascii="Arial" w:hAnsi="Arial" w:cs="Arial"/>
          <w:b/>
          <w:sz w:val="22"/>
          <w:szCs w:val="22"/>
        </w:rPr>
      </w:pPr>
    </w:p>
    <w:p w14:paraId="4B75C12D" w14:textId="77777777" w:rsidR="000D7D63" w:rsidRPr="002117C7" w:rsidRDefault="000D7D63" w:rsidP="000D7D63">
      <w:pPr>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The issue here is whether Beans and Leaves Ltd could vary the terms of the supply contract?</w:t>
      </w:r>
    </w:p>
    <w:p w14:paraId="7F80C6A4" w14:textId="77777777" w:rsidR="000D7D63" w:rsidRPr="002117C7" w:rsidRDefault="000D7D63" w:rsidP="000D7D63">
      <w:pPr>
        <w:jc w:val="both"/>
        <w:rPr>
          <w:rFonts w:ascii="Arial" w:hAnsi="Arial" w:cs="Arial"/>
          <w:color w:val="7B7B7B" w:themeColor="accent3" w:themeShade="BF"/>
          <w:sz w:val="22"/>
          <w:szCs w:val="22"/>
          <w:lang w:val="en-GB"/>
        </w:rPr>
      </w:pPr>
    </w:p>
    <w:p w14:paraId="294EC284" w14:textId="77777777" w:rsidR="000D7D63" w:rsidRPr="002117C7" w:rsidRDefault="000D7D63" w:rsidP="000D7D63">
      <w:pPr>
        <w:jc w:val="both"/>
        <w:rPr>
          <w:rFonts w:ascii="Arial" w:hAnsi="Arial" w:cs="Arial"/>
          <w:color w:val="7B7B7B" w:themeColor="accent3" w:themeShade="BF"/>
          <w:sz w:val="22"/>
          <w:szCs w:val="22"/>
          <w:lang w:val="en-GB"/>
        </w:rPr>
      </w:pPr>
    </w:p>
    <w:p w14:paraId="6C080C4D" w14:textId="77777777" w:rsidR="000D7D63" w:rsidRPr="002117C7" w:rsidRDefault="000D7D63" w:rsidP="000D7D63">
      <w:pPr>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 xml:space="preserve">The 2020 Act introduced section 233B which deals with contracts that supply goods and services. Subsection (7) of section 233B provides that the supplier shall not make it a condition of any supply of goods and services </w:t>
      </w:r>
      <w:r w:rsidRPr="002117C7">
        <w:rPr>
          <w:rFonts w:ascii="Arial" w:hAnsi="Arial" w:cs="Arial"/>
          <w:color w:val="7B7B7B" w:themeColor="accent3" w:themeShade="BF"/>
          <w:sz w:val="22"/>
          <w:szCs w:val="22"/>
          <w:u w:val="single"/>
          <w:lang w:val="en-GB"/>
        </w:rPr>
        <w:t>after the time when the company becomes subject to the relevant insolvency procedure</w:t>
      </w:r>
      <w:r w:rsidRPr="002117C7">
        <w:rPr>
          <w:rFonts w:ascii="Arial" w:hAnsi="Arial" w:cs="Arial"/>
          <w:color w:val="7B7B7B" w:themeColor="accent3" w:themeShade="BF"/>
          <w:sz w:val="22"/>
          <w:szCs w:val="22"/>
          <w:lang w:val="en-GB"/>
        </w:rPr>
        <w:t xml:space="preserve">, or do anything which has the effect of making it a condition of such a supply, that any outstanding charges in respect of a supply made to the company before that time are paid. </w:t>
      </w:r>
    </w:p>
    <w:p w14:paraId="34D4FF44" w14:textId="77777777" w:rsidR="000D7D63" w:rsidRPr="002117C7" w:rsidRDefault="000D7D63" w:rsidP="000D7D63">
      <w:pPr>
        <w:jc w:val="both"/>
        <w:rPr>
          <w:rFonts w:ascii="Arial" w:hAnsi="Arial" w:cs="Arial"/>
          <w:color w:val="7B7B7B" w:themeColor="accent3" w:themeShade="BF"/>
          <w:sz w:val="22"/>
          <w:szCs w:val="22"/>
          <w:lang w:val="en-GB"/>
        </w:rPr>
      </w:pPr>
    </w:p>
    <w:p w14:paraId="39674E69" w14:textId="6BE70A7F" w:rsidR="000D7D63" w:rsidRPr="002117C7" w:rsidRDefault="000D7D63" w:rsidP="000D7D63">
      <w:pPr>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 xml:space="preserve">Subsection (8) further provides that “the insolvency period”, in relation to a relevant insolvency procedure, means the period beginning when the company becomes subject to the relevant insolvency procedure. </w:t>
      </w:r>
    </w:p>
    <w:p w14:paraId="497B4611" w14:textId="77777777" w:rsidR="000D7D63" w:rsidRPr="002117C7" w:rsidRDefault="000D7D63" w:rsidP="000D7D63">
      <w:pPr>
        <w:jc w:val="both"/>
        <w:rPr>
          <w:rFonts w:ascii="Arial" w:hAnsi="Arial" w:cs="Arial"/>
          <w:color w:val="7B7B7B" w:themeColor="accent3" w:themeShade="BF"/>
          <w:sz w:val="22"/>
          <w:szCs w:val="22"/>
          <w:lang w:val="en-GB"/>
        </w:rPr>
      </w:pPr>
    </w:p>
    <w:p w14:paraId="4BAC49C6" w14:textId="77777777" w:rsidR="00A940DE" w:rsidRPr="002117C7" w:rsidRDefault="000D7D63" w:rsidP="000D7D63">
      <w:pPr>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 xml:space="preserve">Section 129(2) provides that </w:t>
      </w:r>
      <w:r w:rsidR="00A940DE" w:rsidRPr="002117C7">
        <w:rPr>
          <w:rFonts w:ascii="Arial" w:hAnsi="Arial" w:cs="Arial"/>
          <w:color w:val="7B7B7B" w:themeColor="accent3" w:themeShade="BF"/>
          <w:sz w:val="22"/>
          <w:szCs w:val="22"/>
          <w:lang w:val="en-GB"/>
        </w:rPr>
        <w:t xml:space="preserve">upon the </w:t>
      </w:r>
      <w:r w:rsidRPr="002117C7">
        <w:rPr>
          <w:rFonts w:ascii="Arial" w:hAnsi="Arial" w:cs="Arial"/>
          <w:color w:val="7B7B7B" w:themeColor="accent3" w:themeShade="BF"/>
          <w:sz w:val="22"/>
          <w:szCs w:val="22"/>
          <w:lang w:val="en-GB"/>
        </w:rPr>
        <w:t xml:space="preserve">winding up </w:t>
      </w:r>
      <w:r w:rsidR="00A940DE" w:rsidRPr="002117C7">
        <w:rPr>
          <w:rFonts w:ascii="Arial" w:hAnsi="Arial" w:cs="Arial"/>
          <w:color w:val="7B7B7B" w:themeColor="accent3" w:themeShade="BF"/>
          <w:sz w:val="22"/>
          <w:szCs w:val="22"/>
          <w:lang w:val="en-GB"/>
        </w:rPr>
        <w:t xml:space="preserve">order being granted, the liquidation of the company is deemed to commence at the date of the petition, and not the date of the winding up order. </w:t>
      </w:r>
    </w:p>
    <w:p w14:paraId="2E8683AE" w14:textId="77777777" w:rsidR="00A940DE" w:rsidRPr="002117C7" w:rsidRDefault="00A940DE" w:rsidP="000D7D63">
      <w:pPr>
        <w:jc w:val="both"/>
        <w:rPr>
          <w:rFonts w:ascii="Arial" w:hAnsi="Arial" w:cs="Arial"/>
          <w:color w:val="7B7B7B" w:themeColor="accent3" w:themeShade="BF"/>
          <w:sz w:val="22"/>
          <w:szCs w:val="22"/>
          <w:lang w:val="en-GB"/>
        </w:rPr>
      </w:pPr>
    </w:p>
    <w:p w14:paraId="066DB840" w14:textId="77777777" w:rsidR="00A940DE" w:rsidRPr="002117C7" w:rsidRDefault="00A940DE" w:rsidP="000D7D63">
      <w:pPr>
        <w:jc w:val="both"/>
        <w:rPr>
          <w:rFonts w:ascii="Arial" w:hAnsi="Arial" w:cs="Arial"/>
          <w:color w:val="7B7B7B" w:themeColor="accent3" w:themeShade="BF"/>
          <w:sz w:val="22"/>
          <w:szCs w:val="22"/>
          <w:lang w:val="en-GB"/>
        </w:rPr>
      </w:pPr>
      <w:r w:rsidRPr="002117C7">
        <w:rPr>
          <w:rFonts w:ascii="Arial" w:hAnsi="Arial" w:cs="Arial"/>
          <w:color w:val="7B7B7B" w:themeColor="accent3" w:themeShade="BF"/>
          <w:sz w:val="22"/>
          <w:szCs w:val="22"/>
          <w:lang w:val="en-GB"/>
        </w:rPr>
        <w:t xml:space="preserve">Since the creditors’ winding up petition was made on </w:t>
      </w:r>
      <w:r w:rsidR="000D7D63" w:rsidRPr="002117C7">
        <w:rPr>
          <w:rFonts w:ascii="Arial" w:hAnsi="Arial" w:cs="Arial"/>
          <w:color w:val="7B7B7B" w:themeColor="accent3" w:themeShade="BF"/>
          <w:sz w:val="22"/>
          <w:szCs w:val="22"/>
          <w:lang w:val="en-GB"/>
        </w:rPr>
        <w:t>14 October 2021</w:t>
      </w:r>
      <w:r w:rsidRPr="002117C7">
        <w:rPr>
          <w:rFonts w:ascii="Arial" w:hAnsi="Arial" w:cs="Arial"/>
          <w:color w:val="7B7B7B" w:themeColor="accent3" w:themeShade="BF"/>
          <w:sz w:val="22"/>
          <w:szCs w:val="22"/>
          <w:lang w:val="en-GB"/>
        </w:rPr>
        <w:t xml:space="preserve">, that is the relevant period for the purposes of section 233B. </w:t>
      </w:r>
    </w:p>
    <w:p w14:paraId="3A26C0CC" w14:textId="7702130A" w:rsidR="00A940DE" w:rsidRPr="002117C7" w:rsidRDefault="00A940DE" w:rsidP="000D7D63">
      <w:pPr>
        <w:jc w:val="both"/>
        <w:rPr>
          <w:rFonts w:ascii="Arial" w:hAnsi="Arial" w:cs="Arial"/>
          <w:color w:val="7B7B7B" w:themeColor="accent3" w:themeShade="BF"/>
          <w:sz w:val="22"/>
          <w:szCs w:val="22"/>
          <w:lang w:val="en-GB"/>
        </w:rPr>
      </w:pPr>
    </w:p>
    <w:p w14:paraId="73710885" w14:textId="43D3873D" w:rsidR="00A940DE" w:rsidRPr="002117C7" w:rsidRDefault="00A940DE" w:rsidP="00A940DE">
      <w:pPr>
        <w:pStyle w:val="NormalWeb"/>
        <w:spacing w:before="0" w:beforeAutospacing="0" w:after="0" w:afterAutospacing="0"/>
        <w:rPr>
          <w:rFonts w:ascii="Arial" w:hAnsi="Arial" w:cs="Arial"/>
          <w:sz w:val="22"/>
          <w:szCs w:val="22"/>
        </w:rPr>
      </w:pPr>
      <w:r w:rsidRPr="002117C7">
        <w:rPr>
          <w:rFonts w:ascii="Arial" w:hAnsi="Arial" w:cs="Arial"/>
          <w:color w:val="7B7B7B" w:themeColor="accent3" w:themeShade="BF"/>
          <w:sz w:val="22"/>
          <w:szCs w:val="22"/>
          <w:lang w:val="en-GB"/>
        </w:rPr>
        <w:t xml:space="preserve">A month before the winding up order Beans and Leaves </w:t>
      </w:r>
      <w:r w:rsidRPr="002117C7">
        <w:rPr>
          <w:rFonts w:ascii="Arial" w:hAnsi="Arial" w:cs="Arial"/>
          <w:sz w:val="22"/>
          <w:szCs w:val="22"/>
        </w:rPr>
        <w:t xml:space="preserve">demanded immediate payment of all sums owing to it and informed the Company that further supplies would only be made on a cash on delivery basis. This was essentially the imposition of a condition for the supply of services to the company, requiring that any </w:t>
      </w:r>
      <w:r w:rsidRPr="002117C7">
        <w:rPr>
          <w:rFonts w:ascii="Arial" w:hAnsi="Arial" w:cs="Arial"/>
          <w:color w:val="7B7B7B" w:themeColor="accent3" w:themeShade="BF"/>
          <w:sz w:val="22"/>
          <w:szCs w:val="22"/>
          <w:lang w:val="en-GB"/>
        </w:rPr>
        <w:t xml:space="preserve">outstanding charges in respect of the supply of beans to the Company before that time are paid in full. </w:t>
      </w:r>
    </w:p>
    <w:p w14:paraId="25A1547B" w14:textId="640522E5" w:rsidR="00A940DE" w:rsidRPr="002117C7" w:rsidRDefault="00A940DE" w:rsidP="000D7D63">
      <w:pPr>
        <w:jc w:val="both"/>
        <w:rPr>
          <w:rFonts w:ascii="Arial" w:hAnsi="Arial" w:cs="Arial"/>
          <w:color w:val="7B7B7B" w:themeColor="accent3" w:themeShade="BF"/>
          <w:sz w:val="22"/>
          <w:szCs w:val="22"/>
        </w:rPr>
      </w:pPr>
    </w:p>
    <w:p w14:paraId="2781FEF4" w14:textId="4167E2CA" w:rsidR="009719E3" w:rsidRPr="002117C7" w:rsidRDefault="00A940DE" w:rsidP="002117C7">
      <w:pPr>
        <w:jc w:val="both"/>
        <w:rPr>
          <w:rFonts w:ascii="Arial" w:hAnsi="Arial" w:cs="Arial"/>
          <w:sz w:val="22"/>
          <w:szCs w:val="22"/>
        </w:rPr>
      </w:pPr>
      <w:r w:rsidRPr="002117C7">
        <w:rPr>
          <w:rFonts w:ascii="Arial" w:hAnsi="Arial" w:cs="Arial"/>
          <w:color w:val="7B7B7B" w:themeColor="accent3" w:themeShade="BF"/>
          <w:sz w:val="22"/>
          <w:szCs w:val="22"/>
          <w:lang w:val="en-GB"/>
        </w:rPr>
        <w:t>Although this condition was implemented before the winding up order, the effect of section 129 is that the liquidation procedure commenced on 14 October 2021, prior to the introduction of the condition. The</w:t>
      </w:r>
      <w:r w:rsidR="002117C7" w:rsidRPr="002117C7">
        <w:rPr>
          <w:rFonts w:ascii="Arial" w:hAnsi="Arial" w:cs="Arial"/>
          <w:color w:val="7B7B7B" w:themeColor="accent3" w:themeShade="BF"/>
          <w:sz w:val="22"/>
          <w:szCs w:val="22"/>
          <w:lang w:val="en-GB"/>
        </w:rPr>
        <w:t xml:space="preserve"> condition is therefore invalid and the liquidation may take action in this respect. </w:t>
      </w:r>
    </w:p>
    <w:p w14:paraId="7F4867F4" w14:textId="77777777" w:rsidR="008769B2" w:rsidRPr="002117C7" w:rsidRDefault="008769B2" w:rsidP="00087F21">
      <w:pPr>
        <w:autoSpaceDE w:val="0"/>
        <w:autoSpaceDN w:val="0"/>
        <w:adjustRightInd w:val="0"/>
        <w:jc w:val="both"/>
        <w:rPr>
          <w:rFonts w:ascii="Arial" w:hAnsi="Arial" w:cs="Arial"/>
          <w:sz w:val="22"/>
          <w:szCs w:val="22"/>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A507CF" w:rsidRDefault="00A507CF" w:rsidP="00241B44">
      <w:r>
        <w:separator/>
      </w:r>
    </w:p>
  </w:endnote>
  <w:endnote w:type="continuationSeparator" w:id="0">
    <w:p w14:paraId="58D3AFD8" w14:textId="77777777" w:rsidR="00A507CF" w:rsidRDefault="00A507C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10102FF" w:usb1="38CF7CFA" w:usb2="00010016" w:usb3="00000000" w:csb0="0004000F" w:csb1="00000000"/>
  </w:font>
  <w:font w:name="DengXian Light">
    <w:altName w:val="等线 Light"/>
    <w:charset w:val="86"/>
    <w:family w:val="auto"/>
    <w:pitch w:val="variable"/>
    <w:sig w:usb0="00000000"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A507CF" w:rsidRPr="00FC7B47" w:rsidRDefault="00A507C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A507CF" w:rsidRPr="00FC7B47" w:rsidRDefault="00A507C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20D638" w:rsidR="00A507CF" w:rsidRPr="009B4976" w:rsidRDefault="00A507CF" w:rsidP="00A507CF">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D3FB9">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30F05E79" w14:textId="5A26E548" w:rsidR="00A507CF" w:rsidRPr="009B4976" w:rsidRDefault="00603C48" w:rsidP="009B4976">
    <w:pPr>
      <w:pStyle w:val="Footer"/>
      <w:ind w:right="360"/>
      <w:rPr>
        <w:rFonts w:ascii="Arial" w:hAnsi="Arial" w:cs="Arial"/>
        <w:sz w:val="18"/>
        <w:szCs w:val="18"/>
        <w:lang w:val="en-GB"/>
      </w:rPr>
    </w:pPr>
    <w:r w:rsidRPr="00603C48">
      <w:rPr>
        <w:rFonts w:ascii="Arial" w:hAnsi="Arial" w:cs="Arial"/>
        <w:sz w:val="18"/>
        <w:szCs w:val="18"/>
        <w:lang w:val="en-GB"/>
      </w:rPr>
      <w:t>202122-604</w:t>
    </w:r>
    <w:r w:rsidR="00A507CF" w:rsidRPr="009B4976">
      <w:rPr>
        <w:rFonts w:ascii="Arial" w:hAnsi="Arial" w:cs="Arial"/>
        <w:sz w:val="18"/>
        <w:szCs w:val="18"/>
        <w:lang w:val="en-GB"/>
      </w:rPr>
      <w:t>.assessment</w:t>
    </w:r>
    <w:r w:rsidR="00A507CF">
      <w:rPr>
        <w:rFonts w:ascii="Arial" w:hAnsi="Arial" w:cs="Arial"/>
        <w:sz w:val="18"/>
        <w:szCs w:val="18"/>
        <w:lang w:val="en-GB"/>
      </w:rPr>
      <w:t>3B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A507CF" w:rsidRDefault="00A507CF" w:rsidP="00241B44">
      <w:r>
        <w:separator/>
      </w:r>
    </w:p>
  </w:footnote>
  <w:footnote w:type="continuationSeparator" w:id="0">
    <w:p w14:paraId="4A2A4F3D" w14:textId="77777777" w:rsidR="00A507CF" w:rsidRDefault="00A507C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A4C85"/>
    <w:multiLevelType w:val="hybridMultilevel"/>
    <w:tmpl w:val="84706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13CB4"/>
    <w:multiLevelType w:val="hybridMultilevel"/>
    <w:tmpl w:val="4874EF86"/>
    <w:lvl w:ilvl="0" w:tplc="EDF440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06DC6"/>
    <w:multiLevelType w:val="hybridMultilevel"/>
    <w:tmpl w:val="D8747E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761CFA"/>
    <w:multiLevelType w:val="hybridMultilevel"/>
    <w:tmpl w:val="4EEC21A0"/>
    <w:lvl w:ilvl="0" w:tplc="9118BF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D1B51"/>
    <w:multiLevelType w:val="hybridMultilevel"/>
    <w:tmpl w:val="ED346E26"/>
    <w:lvl w:ilvl="0" w:tplc="0D82B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5D2AF2"/>
    <w:multiLevelType w:val="hybridMultilevel"/>
    <w:tmpl w:val="5FFA6F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616AA8"/>
    <w:multiLevelType w:val="hybridMultilevel"/>
    <w:tmpl w:val="DA74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9F15E0"/>
    <w:multiLevelType w:val="hybridMultilevel"/>
    <w:tmpl w:val="E774F2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9508C0"/>
    <w:multiLevelType w:val="hybridMultilevel"/>
    <w:tmpl w:val="B416460A"/>
    <w:lvl w:ilvl="0" w:tplc="1624B5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44721"/>
    <w:multiLevelType w:val="hybridMultilevel"/>
    <w:tmpl w:val="A4643CB6"/>
    <w:lvl w:ilvl="0" w:tplc="6E4A8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ED7CB7"/>
    <w:multiLevelType w:val="hybridMultilevel"/>
    <w:tmpl w:val="21FAC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88861BE">
      <w:start w:val="1"/>
      <w:numFmt w:val="lowerLetter"/>
      <w:lvlText w:val="(%3)"/>
      <w:lvlJc w:val="right"/>
      <w:pPr>
        <w:ind w:left="890" w:hanging="180"/>
      </w:pPr>
      <w:rPr>
        <w:rFonts w:ascii="Arial" w:eastAsia="Times New Roman" w:hAnsi="Arial" w:cs="Arial"/>
      </w:rPr>
    </w:lvl>
    <w:lvl w:ilvl="3" w:tplc="DDC6A722">
      <w:start w:val="1"/>
      <w:numFmt w:val="lowerLetter"/>
      <w:lvlText w:val="(%4)"/>
      <w:lvlJc w:val="left"/>
      <w:pPr>
        <w:ind w:left="644"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C490A"/>
    <w:multiLevelType w:val="hybridMultilevel"/>
    <w:tmpl w:val="26B41F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5" w15:restartNumberingAfterBreak="0">
    <w:nsid w:val="664F4314"/>
    <w:multiLevelType w:val="hybridMultilevel"/>
    <w:tmpl w:val="308A8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866121"/>
    <w:multiLevelType w:val="hybridMultilevel"/>
    <w:tmpl w:val="61D23B4E"/>
    <w:lvl w:ilvl="0" w:tplc="D57EB9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B2624F"/>
    <w:multiLevelType w:val="hybridMultilevel"/>
    <w:tmpl w:val="F21014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5"/>
  </w:num>
  <w:num w:numId="5">
    <w:abstractNumId w:val="18"/>
  </w:num>
  <w:num w:numId="6">
    <w:abstractNumId w:val="3"/>
  </w:num>
  <w:num w:numId="7">
    <w:abstractNumId w:val="20"/>
  </w:num>
  <w:num w:numId="8">
    <w:abstractNumId w:val="29"/>
  </w:num>
  <w:num w:numId="9">
    <w:abstractNumId w:val="16"/>
  </w:num>
  <w:num w:numId="10">
    <w:abstractNumId w:val="30"/>
  </w:num>
  <w:num w:numId="11">
    <w:abstractNumId w:val="9"/>
  </w:num>
  <w:num w:numId="12">
    <w:abstractNumId w:val="26"/>
  </w:num>
  <w:num w:numId="13">
    <w:abstractNumId w:val="17"/>
  </w:num>
  <w:num w:numId="14">
    <w:abstractNumId w:val="8"/>
  </w:num>
  <w:num w:numId="15">
    <w:abstractNumId w:val="24"/>
  </w:num>
  <w:num w:numId="16">
    <w:abstractNumId w:val="27"/>
  </w:num>
  <w:num w:numId="17">
    <w:abstractNumId w:val="13"/>
  </w:num>
  <w:num w:numId="18">
    <w:abstractNumId w:val="31"/>
  </w:num>
  <w:num w:numId="19">
    <w:abstractNumId w:val="28"/>
  </w:num>
  <w:num w:numId="20">
    <w:abstractNumId w:val="14"/>
  </w:num>
  <w:num w:numId="21">
    <w:abstractNumId w:val="12"/>
  </w:num>
  <w:num w:numId="22">
    <w:abstractNumId w:val="23"/>
  </w:num>
  <w:num w:numId="23">
    <w:abstractNumId w:val="22"/>
  </w:num>
  <w:num w:numId="24">
    <w:abstractNumId w:val="1"/>
  </w:num>
  <w:num w:numId="25">
    <w:abstractNumId w:val="10"/>
  </w:num>
  <w:num w:numId="26">
    <w:abstractNumId w:val="11"/>
  </w:num>
  <w:num w:numId="27">
    <w:abstractNumId w:val="5"/>
  </w:num>
  <w:num w:numId="28">
    <w:abstractNumId w:val="25"/>
  </w:num>
  <w:num w:numId="29">
    <w:abstractNumId w:val="7"/>
  </w:num>
  <w:num w:numId="30">
    <w:abstractNumId w:val="4"/>
  </w:num>
  <w:num w:numId="31">
    <w:abstractNumId w:val="19"/>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D7D63"/>
    <w:rsid w:val="000E4841"/>
    <w:rsid w:val="000F1677"/>
    <w:rsid w:val="000F3D6C"/>
    <w:rsid w:val="00101707"/>
    <w:rsid w:val="00102CC9"/>
    <w:rsid w:val="0010593A"/>
    <w:rsid w:val="0011473D"/>
    <w:rsid w:val="00115C85"/>
    <w:rsid w:val="00121547"/>
    <w:rsid w:val="00123855"/>
    <w:rsid w:val="00126A4D"/>
    <w:rsid w:val="00130F90"/>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117C7"/>
    <w:rsid w:val="00230936"/>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06FA9"/>
    <w:rsid w:val="00311816"/>
    <w:rsid w:val="003144EF"/>
    <w:rsid w:val="00314F32"/>
    <w:rsid w:val="00326292"/>
    <w:rsid w:val="00326415"/>
    <w:rsid w:val="00330937"/>
    <w:rsid w:val="00330F31"/>
    <w:rsid w:val="00334648"/>
    <w:rsid w:val="0033768C"/>
    <w:rsid w:val="00337938"/>
    <w:rsid w:val="00340769"/>
    <w:rsid w:val="00341AA6"/>
    <w:rsid w:val="00344D5A"/>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D7A76"/>
    <w:rsid w:val="003E0B16"/>
    <w:rsid w:val="003E67D1"/>
    <w:rsid w:val="00404329"/>
    <w:rsid w:val="00405A14"/>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1752"/>
    <w:rsid w:val="004A2D83"/>
    <w:rsid w:val="004A57DD"/>
    <w:rsid w:val="004A7B51"/>
    <w:rsid w:val="004A7D71"/>
    <w:rsid w:val="004A7EF3"/>
    <w:rsid w:val="004B11FD"/>
    <w:rsid w:val="004B23A2"/>
    <w:rsid w:val="004C1F04"/>
    <w:rsid w:val="004D1A5A"/>
    <w:rsid w:val="004D2FFF"/>
    <w:rsid w:val="004D3721"/>
    <w:rsid w:val="004D3ACF"/>
    <w:rsid w:val="004D64F9"/>
    <w:rsid w:val="004E3A6B"/>
    <w:rsid w:val="004E622C"/>
    <w:rsid w:val="004F5FDF"/>
    <w:rsid w:val="00506771"/>
    <w:rsid w:val="005177FE"/>
    <w:rsid w:val="0052263B"/>
    <w:rsid w:val="00524728"/>
    <w:rsid w:val="005320E3"/>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03ACA"/>
    <w:rsid w:val="00603C48"/>
    <w:rsid w:val="00610388"/>
    <w:rsid w:val="00610AC7"/>
    <w:rsid w:val="00612CA5"/>
    <w:rsid w:val="006153EC"/>
    <w:rsid w:val="00621A17"/>
    <w:rsid w:val="00627CC9"/>
    <w:rsid w:val="00627E7B"/>
    <w:rsid w:val="00630542"/>
    <w:rsid w:val="00632E44"/>
    <w:rsid w:val="00634622"/>
    <w:rsid w:val="00636808"/>
    <w:rsid w:val="00641515"/>
    <w:rsid w:val="006455E1"/>
    <w:rsid w:val="00654C2F"/>
    <w:rsid w:val="00657087"/>
    <w:rsid w:val="00660DAC"/>
    <w:rsid w:val="006624AB"/>
    <w:rsid w:val="006639DB"/>
    <w:rsid w:val="006661EF"/>
    <w:rsid w:val="00677AEB"/>
    <w:rsid w:val="00680EF2"/>
    <w:rsid w:val="00687A1D"/>
    <w:rsid w:val="00697EA1"/>
    <w:rsid w:val="006A2646"/>
    <w:rsid w:val="006A6530"/>
    <w:rsid w:val="006B435A"/>
    <w:rsid w:val="006B4C64"/>
    <w:rsid w:val="006C2E3E"/>
    <w:rsid w:val="006C7D19"/>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A4DF2"/>
    <w:rsid w:val="008A6CFE"/>
    <w:rsid w:val="008B5333"/>
    <w:rsid w:val="008B6223"/>
    <w:rsid w:val="008B72B8"/>
    <w:rsid w:val="008C5B95"/>
    <w:rsid w:val="008C66E0"/>
    <w:rsid w:val="008D1616"/>
    <w:rsid w:val="008E1DFB"/>
    <w:rsid w:val="008E3339"/>
    <w:rsid w:val="008F1EC1"/>
    <w:rsid w:val="008F20FC"/>
    <w:rsid w:val="008F5FFE"/>
    <w:rsid w:val="00905A43"/>
    <w:rsid w:val="00912C79"/>
    <w:rsid w:val="00921B8C"/>
    <w:rsid w:val="00924DAF"/>
    <w:rsid w:val="00931D14"/>
    <w:rsid w:val="00942123"/>
    <w:rsid w:val="00951AA8"/>
    <w:rsid w:val="0095207B"/>
    <w:rsid w:val="00962045"/>
    <w:rsid w:val="009719E3"/>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07CF"/>
    <w:rsid w:val="00A5117B"/>
    <w:rsid w:val="00A56C38"/>
    <w:rsid w:val="00A56D34"/>
    <w:rsid w:val="00A60074"/>
    <w:rsid w:val="00A6627C"/>
    <w:rsid w:val="00A71019"/>
    <w:rsid w:val="00A81029"/>
    <w:rsid w:val="00A845F5"/>
    <w:rsid w:val="00A940DE"/>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A218F"/>
    <w:rsid w:val="00BB0F2B"/>
    <w:rsid w:val="00BE4FF3"/>
    <w:rsid w:val="00BF2C93"/>
    <w:rsid w:val="00BF50F7"/>
    <w:rsid w:val="00C02F29"/>
    <w:rsid w:val="00C1450D"/>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D3FB9"/>
    <w:rsid w:val="00DE03AF"/>
    <w:rsid w:val="00DE121C"/>
    <w:rsid w:val="00DE6633"/>
    <w:rsid w:val="00DF75F8"/>
    <w:rsid w:val="00DF7A3A"/>
    <w:rsid w:val="00E00C00"/>
    <w:rsid w:val="00E02B5F"/>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05C1"/>
    <w:rsid w:val="00F5524B"/>
    <w:rsid w:val="00F60538"/>
    <w:rsid w:val="00F61DD2"/>
    <w:rsid w:val="00F62E7A"/>
    <w:rsid w:val="00F66AFF"/>
    <w:rsid w:val="00F70126"/>
    <w:rsid w:val="00F71433"/>
    <w:rsid w:val="00F87B04"/>
    <w:rsid w:val="00F94391"/>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legclearfix">
    <w:name w:val="legclearfix"/>
    <w:basedOn w:val="Normal"/>
    <w:rsid w:val="004D3ACF"/>
    <w:pPr>
      <w:spacing w:before="100" w:beforeAutospacing="1" w:after="100" w:afterAutospacing="1"/>
    </w:pPr>
    <w:rPr>
      <w:rFonts w:ascii="Times New Roman" w:hAnsi="Times New Roman" w:cs="Times New Roman"/>
      <w:sz w:val="24"/>
      <w:lang w:val="en-GB" w:eastAsia="zh-CN"/>
    </w:rPr>
  </w:style>
  <w:style w:type="character" w:customStyle="1" w:styleId="legaddition">
    <w:name w:val="legaddition"/>
    <w:basedOn w:val="DefaultParagraphFont"/>
    <w:rsid w:val="004D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112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293CA-A6F5-44C6-BA0C-269FFD38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13</Pages>
  <Words>4819</Words>
  <Characters>27473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Bailey, Tyrone</cp:lastModifiedBy>
  <cp:revision>10</cp:revision>
  <cp:lastPrinted>2019-08-27T05:42:00Z</cp:lastPrinted>
  <dcterms:created xsi:type="dcterms:W3CDTF">2021-08-17T11:41:00Z</dcterms:created>
  <dcterms:modified xsi:type="dcterms:W3CDTF">2022-03-01T22:34:00Z</dcterms:modified>
</cp:coreProperties>
</file>