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bookmarkStart w:id="0" w:name="_Hlk97053303"/>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bookmarkEnd w:id="0"/>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1"/>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AF20A0" w:rsidRDefault="0050157D" w:rsidP="00D45AEA">
      <w:pPr>
        <w:pStyle w:val="ListParagraph"/>
        <w:numPr>
          <w:ilvl w:val="0"/>
          <w:numId w:val="12"/>
        </w:numPr>
        <w:ind w:left="426"/>
        <w:jc w:val="both"/>
        <w:rPr>
          <w:rFonts w:ascii="Arial" w:hAnsi="Arial" w:cs="Arial"/>
          <w:sz w:val="22"/>
          <w:szCs w:val="22"/>
          <w:highlight w:val="yellow"/>
          <w:lang w:val="en-GB"/>
        </w:rPr>
      </w:pPr>
      <w:bookmarkStart w:id="2" w:name="_Hlk47080379"/>
      <w:r w:rsidRPr="00AF20A0">
        <w:rPr>
          <w:rFonts w:ascii="Arial" w:hAnsi="Arial" w:cs="Arial"/>
          <w:sz w:val="22"/>
          <w:szCs w:val="22"/>
          <w:highlight w:val="yellow"/>
          <w:lang w:val="en-GB"/>
        </w:rPr>
        <w:t xml:space="preserve">All of the above. </w:t>
      </w:r>
      <w:bookmarkEnd w:id="2"/>
      <w:r w:rsidRPr="00AF20A0">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584CC8" w:rsidRDefault="005F21F4" w:rsidP="005F21F4">
      <w:pPr>
        <w:pStyle w:val="ListParagraph"/>
        <w:numPr>
          <w:ilvl w:val="0"/>
          <w:numId w:val="14"/>
        </w:numPr>
        <w:ind w:left="426"/>
        <w:jc w:val="both"/>
        <w:rPr>
          <w:rFonts w:ascii="Arial" w:hAnsi="Arial" w:cs="Arial"/>
          <w:sz w:val="22"/>
          <w:szCs w:val="22"/>
          <w:highlight w:val="yellow"/>
          <w:lang w:val="en-GB"/>
        </w:rPr>
      </w:pPr>
      <w:bookmarkStart w:id="3" w:name="_Hlk47080588"/>
      <w:r w:rsidRPr="00584CC8">
        <w:rPr>
          <w:rFonts w:ascii="Arial" w:hAnsi="Arial" w:cs="Arial"/>
          <w:sz w:val="22"/>
          <w:szCs w:val="22"/>
          <w:highlight w:val="yellow"/>
          <w:lang w:val="en-GB"/>
        </w:rPr>
        <w:t xml:space="preserve">None of the above. </w:t>
      </w:r>
      <w:bookmarkEnd w:id="3"/>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56482AE3"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9A21ECF" w14:textId="77777777" w:rsidR="001D3DDC" w:rsidRPr="009B5832" w:rsidRDefault="001D3DDC" w:rsidP="001D3DDC">
      <w:pPr>
        <w:pStyle w:val="ListParagraph"/>
        <w:ind w:left="426"/>
        <w:jc w:val="both"/>
        <w:rPr>
          <w:rFonts w:ascii="Arial" w:hAnsi="Arial" w:cs="Arial"/>
          <w:sz w:val="22"/>
          <w:szCs w:val="22"/>
          <w:lang w:val="en-GB"/>
        </w:rPr>
      </w:pPr>
    </w:p>
    <w:p w14:paraId="750FEB33" w14:textId="4AD80F87" w:rsidR="00853A74" w:rsidRPr="0018029C" w:rsidRDefault="00853A74" w:rsidP="00853A74">
      <w:pPr>
        <w:pStyle w:val="ListParagraph"/>
        <w:numPr>
          <w:ilvl w:val="0"/>
          <w:numId w:val="16"/>
        </w:numPr>
        <w:ind w:left="426"/>
        <w:jc w:val="both"/>
        <w:rPr>
          <w:rFonts w:ascii="Arial" w:hAnsi="Arial" w:cs="Arial"/>
          <w:sz w:val="22"/>
          <w:szCs w:val="22"/>
          <w:highlight w:val="yellow"/>
          <w:lang w:val="en-GB"/>
        </w:rPr>
      </w:pPr>
      <w:r w:rsidRPr="0018029C">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30476" w:rsidRDefault="00E57410" w:rsidP="00322F3B">
      <w:pPr>
        <w:pStyle w:val="ListParagraph"/>
        <w:numPr>
          <w:ilvl w:val="0"/>
          <w:numId w:val="18"/>
        </w:numPr>
        <w:ind w:left="426"/>
        <w:jc w:val="both"/>
        <w:rPr>
          <w:rFonts w:ascii="Arial" w:hAnsi="Arial" w:cs="Arial"/>
          <w:sz w:val="22"/>
          <w:szCs w:val="22"/>
          <w:highlight w:val="yellow"/>
          <w:lang w:val="en-GB"/>
        </w:rPr>
      </w:pPr>
      <w:r w:rsidRPr="00430476">
        <w:rPr>
          <w:rFonts w:ascii="Arial" w:hAnsi="Arial" w:cs="Arial"/>
          <w:sz w:val="22"/>
          <w:szCs w:val="22"/>
          <w:highlight w:val="yellow"/>
          <w:lang w:val="en-GB"/>
        </w:rPr>
        <w:t xml:space="preserve">The </w:t>
      </w:r>
      <w:r w:rsidRPr="00430476">
        <w:rPr>
          <w:rFonts w:ascii="Arial" w:hAnsi="Arial" w:cs="Arial"/>
          <w:i/>
          <w:iCs/>
          <w:sz w:val="22"/>
          <w:szCs w:val="22"/>
          <w:highlight w:val="yellow"/>
          <w:lang w:val="en-GB"/>
        </w:rPr>
        <w:t>locus standi</w:t>
      </w:r>
      <w:r w:rsidRPr="0043047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9B5832">
        <w:rPr>
          <w:rFonts w:ascii="Arial" w:hAnsi="Arial" w:cs="Arial"/>
          <w:sz w:val="22"/>
          <w:szCs w:val="22"/>
          <w:lang w:val="en-GB"/>
        </w:rPr>
        <w:t>without any so-called principle of reciprocity</w:t>
      </w:r>
      <w:bookmarkEnd w:id="4"/>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423DFD" w:rsidRDefault="00C504E5" w:rsidP="00C504E5">
      <w:pPr>
        <w:pStyle w:val="ListParagraph"/>
        <w:numPr>
          <w:ilvl w:val="0"/>
          <w:numId w:val="20"/>
        </w:numPr>
        <w:ind w:left="426"/>
        <w:jc w:val="both"/>
        <w:rPr>
          <w:rFonts w:ascii="Arial" w:hAnsi="Arial" w:cs="Arial"/>
          <w:sz w:val="22"/>
          <w:szCs w:val="22"/>
          <w:highlight w:val="yellow"/>
          <w:lang w:val="en-GB"/>
        </w:rPr>
      </w:pPr>
      <w:r w:rsidRPr="00423DFD">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6245BA1A" w:rsidR="00C504E5"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58D6E9D1" w14:textId="77777777" w:rsidR="0018029C" w:rsidRPr="0018029C" w:rsidRDefault="0018029C" w:rsidP="0018029C">
      <w:pPr>
        <w:pStyle w:val="ListParagraph"/>
        <w:rPr>
          <w:rFonts w:ascii="Arial" w:hAnsi="Arial" w:cs="Arial"/>
          <w:sz w:val="22"/>
          <w:szCs w:val="22"/>
          <w:lang w:val="en-GB"/>
        </w:rPr>
      </w:pPr>
    </w:p>
    <w:p w14:paraId="6CA8811C" w14:textId="77777777" w:rsidR="0018029C" w:rsidRDefault="0018029C" w:rsidP="00707FC8">
      <w:pPr>
        <w:autoSpaceDE w:val="0"/>
        <w:autoSpaceDN w:val="0"/>
        <w:adjustRightInd w:val="0"/>
        <w:spacing w:line="276" w:lineRule="auto"/>
        <w:jc w:val="both"/>
        <w:rPr>
          <w:rFonts w:ascii="Arial" w:hAnsi="Arial" w:cs="Arial"/>
          <w:b/>
          <w:bCs/>
          <w:sz w:val="22"/>
          <w:szCs w:val="22"/>
          <w:lang w:val="en-GB"/>
        </w:rPr>
      </w:pPr>
    </w:p>
    <w:p w14:paraId="74116A77" w14:textId="77777777" w:rsidR="0018029C" w:rsidRDefault="0018029C" w:rsidP="00707FC8">
      <w:pPr>
        <w:autoSpaceDE w:val="0"/>
        <w:autoSpaceDN w:val="0"/>
        <w:adjustRightInd w:val="0"/>
        <w:spacing w:line="276" w:lineRule="auto"/>
        <w:jc w:val="both"/>
        <w:rPr>
          <w:rFonts w:ascii="Arial" w:hAnsi="Arial" w:cs="Arial"/>
          <w:b/>
          <w:bCs/>
          <w:sz w:val="22"/>
          <w:szCs w:val="22"/>
          <w:lang w:val="en-GB"/>
        </w:rPr>
      </w:pPr>
    </w:p>
    <w:p w14:paraId="462DBC77" w14:textId="176E0DBB"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22190C" w:rsidRDefault="00B72F5F" w:rsidP="00114082">
      <w:pPr>
        <w:pStyle w:val="ListParagraph"/>
        <w:numPr>
          <w:ilvl w:val="0"/>
          <w:numId w:val="26"/>
        </w:numPr>
        <w:ind w:left="426"/>
        <w:jc w:val="both"/>
        <w:rPr>
          <w:rFonts w:ascii="Arial" w:hAnsi="Arial" w:cs="Arial"/>
          <w:sz w:val="22"/>
          <w:szCs w:val="22"/>
          <w:highlight w:val="yellow"/>
          <w:lang w:val="en-GB"/>
        </w:rPr>
      </w:pPr>
      <w:r w:rsidRPr="0022190C">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E0226" w:rsidRDefault="0067294B" w:rsidP="00114082">
      <w:pPr>
        <w:pStyle w:val="ListParagraph"/>
        <w:numPr>
          <w:ilvl w:val="0"/>
          <w:numId w:val="27"/>
        </w:numPr>
        <w:ind w:left="426"/>
        <w:jc w:val="both"/>
        <w:rPr>
          <w:rFonts w:ascii="Arial" w:hAnsi="Arial" w:cs="Arial"/>
          <w:sz w:val="22"/>
          <w:szCs w:val="22"/>
          <w:highlight w:val="yellow"/>
          <w:lang w:val="en-GB"/>
        </w:rPr>
      </w:pPr>
      <w:r w:rsidRPr="009E022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FD3946" w:rsidRDefault="004E0549" w:rsidP="00114082">
      <w:pPr>
        <w:pStyle w:val="ListParagraph"/>
        <w:numPr>
          <w:ilvl w:val="0"/>
          <w:numId w:val="28"/>
        </w:numPr>
        <w:ind w:left="426"/>
        <w:jc w:val="both"/>
        <w:rPr>
          <w:rFonts w:ascii="Arial" w:hAnsi="Arial" w:cs="Arial"/>
          <w:sz w:val="22"/>
          <w:szCs w:val="22"/>
          <w:highlight w:val="yellow"/>
          <w:lang w:val="en-GB"/>
        </w:rPr>
      </w:pPr>
      <w:r w:rsidRPr="00FD3946">
        <w:rPr>
          <w:rFonts w:ascii="Arial" w:hAnsi="Arial" w:cs="Arial"/>
          <w:sz w:val="22"/>
          <w:szCs w:val="22"/>
          <w:highlight w:val="yellow"/>
          <w:lang w:val="en-GB"/>
        </w:rPr>
        <w:lastRenderedPageBreak/>
        <w:t xml:space="preserve">While </w:t>
      </w:r>
      <w:r w:rsidR="000C147F" w:rsidRPr="00FD3946">
        <w:rPr>
          <w:rFonts w:ascii="Arial" w:hAnsi="Arial" w:cs="Arial"/>
          <w:sz w:val="22"/>
          <w:szCs w:val="22"/>
          <w:highlight w:val="yellow"/>
          <w:lang w:val="en-GB"/>
        </w:rPr>
        <w:t>(</w:t>
      </w:r>
      <w:r w:rsidRPr="00FD3946">
        <w:rPr>
          <w:rFonts w:ascii="Arial" w:hAnsi="Arial" w:cs="Arial"/>
          <w:sz w:val="22"/>
          <w:szCs w:val="22"/>
          <w:highlight w:val="yellow"/>
          <w:lang w:val="en-GB"/>
        </w:rPr>
        <w:t>for purposes of the Model Law</w:t>
      </w:r>
      <w:r w:rsidR="000C147F" w:rsidRPr="00FD3946">
        <w:rPr>
          <w:rFonts w:ascii="Arial" w:hAnsi="Arial" w:cs="Arial"/>
          <w:sz w:val="22"/>
          <w:szCs w:val="22"/>
          <w:highlight w:val="yellow"/>
          <w:lang w:val="en-GB"/>
        </w:rPr>
        <w:t>)</w:t>
      </w:r>
      <w:r w:rsidRPr="00FD3946">
        <w:rPr>
          <w:rFonts w:ascii="Arial" w:hAnsi="Arial" w:cs="Arial"/>
          <w:sz w:val="22"/>
          <w:szCs w:val="22"/>
          <w:highlight w:val="yellow"/>
          <w:lang w:val="en-GB"/>
        </w:rPr>
        <w:t xml:space="preserve"> the COMI </w:t>
      </w:r>
      <w:r w:rsidR="000C147F" w:rsidRPr="00FD3946">
        <w:rPr>
          <w:rFonts w:ascii="Arial" w:hAnsi="Arial" w:cs="Arial"/>
          <w:sz w:val="22"/>
          <w:szCs w:val="22"/>
          <w:highlight w:val="yellow"/>
          <w:lang w:val="en-GB"/>
        </w:rPr>
        <w:t xml:space="preserve">of a debtor </w:t>
      </w:r>
      <w:r w:rsidRPr="00FD3946">
        <w:rPr>
          <w:rFonts w:ascii="Arial" w:hAnsi="Arial" w:cs="Arial"/>
          <w:sz w:val="22"/>
          <w:szCs w:val="22"/>
          <w:highlight w:val="yellow"/>
          <w:lang w:val="en-GB"/>
        </w:rPr>
        <w:t xml:space="preserve">can move, the closer such COMI shift is to the commencement of foreign proceedings, the harder it will be to establish that the move was </w:t>
      </w:r>
      <w:r w:rsidR="001747C2" w:rsidRPr="00FD3946">
        <w:rPr>
          <w:rFonts w:ascii="Arial" w:hAnsi="Arial" w:cs="Arial"/>
          <w:sz w:val="22"/>
          <w:szCs w:val="22"/>
          <w:highlight w:val="yellow"/>
          <w:lang w:val="en-GB"/>
        </w:rPr>
        <w:t>“</w:t>
      </w:r>
      <w:r w:rsidRPr="00FD3946">
        <w:rPr>
          <w:rFonts w:ascii="Arial" w:hAnsi="Arial" w:cs="Arial"/>
          <w:sz w:val="22"/>
          <w:szCs w:val="22"/>
          <w:highlight w:val="yellow"/>
          <w:lang w:val="en-GB"/>
        </w:rPr>
        <w:t>ascertainable by third parties</w:t>
      </w:r>
      <w:r w:rsidR="001747C2" w:rsidRPr="00FD3946">
        <w:rPr>
          <w:rFonts w:ascii="Arial" w:hAnsi="Arial" w:cs="Arial"/>
          <w:sz w:val="22"/>
          <w:szCs w:val="22"/>
          <w:highlight w:val="yellow"/>
          <w:lang w:val="en-GB"/>
        </w:rPr>
        <w:t>”</w:t>
      </w:r>
      <w:r w:rsidRPr="00FD3946">
        <w:rPr>
          <w:rFonts w:ascii="Arial" w:hAnsi="Arial" w:cs="Arial"/>
          <w:sz w:val="22"/>
          <w:szCs w:val="22"/>
          <w:highlight w:val="yellow"/>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C6465E" w:rsidRDefault="00573E73" w:rsidP="00114082">
      <w:pPr>
        <w:pStyle w:val="ListParagraph"/>
        <w:numPr>
          <w:ilvl w:val="0"/>
          <w:numId w:val="29"/>
        </w:numPr>
        <w:ind w:left="426"/>
        <w:jc w:val="both"/>
        <w:rPr>
          <w:rFonts w:ascii="Arial" w:hAnsi="Arial" w:cs="Arial"/>
          <w:sz w:val="22"/>
          <w:szCs w:val="22"/>
          <w:highlight w:val="yellow"/>
          <w:lang w:val="en-GB"/>
        </w:rPr>
      </w:pPr>
      <w:r w:rsidRPr="00C6465E">
        <w:rPr>
          <w:rFonts w:ascii="Arial" w:hAnsi="Arial" w:cs="Arial"/>
          <w:sz w:val="22"/>
          <w:szCs w:val="22"/>
          <w:highlight w:val="yellow"/>
          <w:lang w:val="en-GB"/>
        </w:rPr>
        <w:t xml:space="preserve">Neither </w:t>
      </w:r>
      <w:r w:rsidR="00114082" w:rsidRPr="00C6465E">
        <w:rPr>
          <w:rFonts w:ascii="Arial" w:hAnsi="Arial" w:cs="Arial"/>
          <w:sz w:val="22"/>
          <w:szCs w:val="22"/>
          <w:highlight w:val="yellow"/>
          <w:lang w:val="en-GB"/>
        </w:rPr>
        <w:t>(</w:t>
      </w:r>
      <w:r w:rsidRPr="00C6465E">
        <w:rPr>
          <w:rFonts w:ascii="Arial" w:hAnsi="Arial" w:cs="Arial"/>
          <w:sz w:val="22"/>
          <w:szCs w:val="22"/>
          <w:highlight w:val="yellow"/>
          <w:lang w:val="en-GB"/>
        </w:rPr>
        <w:t>a</w:t>
      </w:r>
      <w:r w:rsidR="00114082" w:rsidRPr="00C6465E">
        <w:rPr>
          <w:rFonts w:ascii="Arial" w:hAnsi="Arial" w:cs="Arial"/>
          <w:sz w:val="22"/>
          <w:szCs w:val="22"/>
          <w:highlight w:val="yellow"/>
          <w:lang w:val="en-GB"/>
        </w:rPr>
        <w:t>)</w:t>
      </w:r>
      <w:r w:rsidRPr="00C6465E">
        <w:rPr>
          <w:rFonts w:ascii="Arial" w:hAnsi="Arial" w:cs="Arial"/>
          <w:sz w:val="22"/>
          <w:szCs w:val="22"/>
          <w:highlight w:val="yellow"/>
          <w:lang w:val="en-GB"/>
        </w:rPr>
        <w:t xml:space="preserve"> nor </w:t>
      </w:r>
      <w:r w:rsidR="00114082" w:rsidRPr="00C6465E">
        <w:rPr>
          <w:rFonts w:ascii="Arial" w:hAnsi="Arial" w:cs="Arial"/>
          <w:sz w:val="22"/>
          <w:szCs w:val="22"/>
          <w:highlight w:val="yellow"/>
          <w:lang w:val="en-GB"/>
        </w:rPr>
        <w:t>(</w:t>
      </w:r>
      <w:r w:rsidRPr="00C6465E">
        <w:rPr>
          <w:rFonts w:ascii="Arial" w:hAnsi="Arial" w:cs="Arial"/>
          <w:sz w:val="22"/>
          <w:szCs w:val="22"/>
          <w:highlight w:val="yellow"/>
          <w:lang w:val="en-GB"/>
        </w:rPr>
        <w:t>b</w:t>
      </w:r>
      <w:r w:rsidR="00114082" w:rsidRPr="00C6465E">
        <w:rPr>
          <w:rFonts w:ascii="Arial" w:hAnsi="Arial" w:cs="Arial"/>
          <w:sz w:val="22"/>
          <w:szCs w:val="22"/>
          <w:highlight w:val="yellow"/>
          <w:lang w:val="en-GB"/>
        </w:rPr>
        <w:t>)</w:t>
      </w:r>
      <w:r w:rsidRPr="00C6465E">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67C17"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E67C17">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A69DC28"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7704B5" w:rsidRPr="007704B5">
        <w:rPr>
          <w:rFonts w:ascii="Arial" w:hAnsi="Arial" w:cs="Arial"/>
          <w:color w:val="7B7B7B" w:themeColor="accent3" w:themeShade="BF"/>
          <w:sz w:val="22"/>
          <w:szCs w:val="22"/>
          <w:lang w:val="en-GB"/>
        </w:rPr>
        <w:t>Under the MLCBI, the date of commencement of a foreign insolvency proceeding is ideal for determining the COMI of the debtor likewise ascertaining whether a clear establishment does exist. “COMI of a debtor can move, if such a move is in close proximity (timing-wise) to the commencement of the foreign proceedings, the appropriate evidence for this will be harder to establish, in particular the requirement that the COMI must be readily ascertainable by third parties, such as creditors of the debtor.”</w:t>
      </w:r>
      <w:r w:rsidR="007704B5">
        <w:rPr>
          <w:rStyle w:val="FootnoteReference"/>
          <w:rFonts w:ascii="Arial" w:hAnsi="Arial" w:cs="Arial"/>
          <w:color w:val="7B7B7B" w:themeColor="accent3" w:themeShade="BF"/>
          <w:sz w:val="22"/>
          <w:szCs w:val="22"/>
          <w:lang w:val="en-GB"/>
        </w:rPr>
        <w:footnoteReference w:id="1"/>
      </w:r>
      <w:r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6058B00B"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w:t>
      </w:r>
      <w:r w:rsidR="00B30E5C">
        <w:rPr>
          <w:rFonts w:ascii="Arial" w:hAnsi="Arial" w:cs="Arial"/>
          <w:sz w:val="22"/>
          <w:szCs w:val="22"/>
          <w:lang w:val="en-GB"/>
        </w:rPr>
        <w:t>provision/concept</w:t>
      </w:r>
      <w:r w:rsidRPr="009B5832">
        <w:rPr>
          <w:rFonts w:ascii="Arial" w:hAnsi="Arial" w:cs="Arial"/>
          <w:sz w:val="22"/>
          <w:szCs w:val="22"/>
          <w:lang w:val="en-GB"/>
        </w:rPr>
        <w:t xml:space="preserve">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bookmarkStart w:id="5" w:name="_Hlk97055339"/>
      <w:r w:rsidRPr="009B5832">
        <w:rPr>
          <w:rFonts w:ascii="Arial" w:hAnsi="Arial" w:cs="Arial"/>
          <w:b/>
          <w:bCs/>
          <w:sz w:val="22"/>
          <w:szCs w:val="22"/>
          <w:u w:val="single"/>
          <w:lang w:val="en-GB"/>
        </w:rPr>
        <w:t>Statement 3</w:t>
      </w:r>
      <w:bookmarkEnd w:id="5"/>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F06D026"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705E90E"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77777777" w:rsidR="0041139B" w:rsidRPr="009B5832" w:rsidRDefault="0041139B" w:rsidP="0041139B">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6"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 xml:space="preserve">Prior to making a </w:t>
      </w:r>
      <w:bookmarkStart w:id="7" w:name="_Hlk97060874"/>
      <w:r w:rsidRPr="009B5832">
        <w:rPr>
          <w:rFonts w:ascii="Arial" w:hAnsi="Arial" w:cs="Arial"/>
          <w:sz w:val="22"/>
          <w:szCs w:val="22"/>
          <w:lang w:val="en-GB"/>
        </w:rPr>
        <w:t xml:space="preserve">recognition application </w:t>
      </w:r>
      <w:bookmarkEnd w:id="7"/>
      <w:r w:rsidRPr="009B5832">
        <w:rPr>
          <w:rFonts w:ascii="Arial" w:hAnsi="Arial" w:cs="Arial"/>
          <w:sz w:val="22"/>
          <w:szCs w:val="22"/>
          <w:lang w:val="en-GB"/>
        </w:rPr>
        <w:t>in State A, explain how access and co</w:t>
      </w:r>
      <w:r w:rsidRPr="009B5832">
        <w:rPr>
          <w:rFonts w:ascii="Arial" w:hAnsi="Arial" w:cs="Arial"/>
          <w:sz w:val="22"/>
          <w:szCs w:val="22"/>
          <w:lang w:val="en-GB"/>
        </w:rPr>
        <w:softHyphen/>
        <w:t>-ordination rights in State A can benefit the foreign representative?</w:t>
      </w:r>
    </w:p>
    <w:bookmarkEnd w:id="6"/>
    <w:p w14:paraId="318A14AF" w14:textId="77777777" w:rsidR="00C550C8" w:rsidRPr="009B5832" w:rsidRDefault="00C550C8" w:rsidP="00707FC8">
      <w:pPr>
        <w:jc w:val="both"/>
        <w:rPr>
          <w:rFonts w:ascii="Arial" w:hAnsi="Arial" w:cs="Arial"/>
          <w:sz w:val="22"/>
          <w:szCs w:val="22"/>
          <w:lang w:val="en-GB"/>
        </w:rPr>
      </w:pPr>
    </w:p>
    <w:p w14:paraId="4024A332" w14:textId="1A7A98E7" w:rsidR="00544127" w:rsidRPr="009B5832" w:rsidRDefault="00DF75F8" w:rsidP="00707FC8">
      <w:pPr>
        <w:jc w:val="both"/>
        <w:rPr>
          <w:rFonts w:ascii="Arial" w:hAnsi="Arial" w:cs="Arial"/>
          <w:sz w:val="24"/>
          <w:lang w:val="en-GB"/>
        </w:rPr>
      </w:pPr>
      <w:r w:rsidRPr="009B5832">
        <w:rPr>
          <w:rFonts w:ascii="Arial" w:hAnsi="Arial" w:cs="Arial"/>
          <w:color w:val="7B7B7B" w:themeColor="accent3" w:themeShade="BF"/>
          <w:sz w:val="22"/>
          <w:szCs w:val="22"/>
          <w:lang w:val="en-GB"/>
        </w:rPr>
        <w:t>[</w:t>
      </w:r>
      <w:r w:rsidR="002132BB" w:rsidRPr="002132BB">
        <w:rPr>
          <w:rFonts w:ascii="Arial" w:hAnsi="Arial" w:cs="Arial"/>
          <w:color w:val="7B7B7B" w:themeColor="accent3" w:themeShade="BF"/>
          <w:sz w:val="22"/>
          <w:szCs w:val="22"/>
          <w:lang w:val="en-GB"/>
        </w:rPr>
        <w:t xml:space="preserve">Evidently, the MLCBI an opportunity for parties to obtain access to the courts of the enacting state where the proceedings thereof having sets forth seeking a temporary “breathing space” </w:t>
      </w:r>
      <w:r w:rsidR="002132BB" w:rsidRPr="002132BB">
        <w:rPr>
          <w:rFonts w:ascii="Arial" w:hAnsi="Arial" w:cs="Arial"/>
          <w:color w:val="7B7B7B" w:themeColor="accent3" w:themeShade="BF"/>
          <w:sz w:val="22"/>
          <w:szCs w:val="22"/>
          <w:lang w:val="en-GB"/>
        </w:rPr>
        <w:lastRenderedPageBreak/>
        <w:t xml:space="preserve">and allowing the courts in the enacting state to determine what co-ordination among jurisdictions or other relief is warranted for optimal disposition of the insolvency. This is to allow the courts from these two jurisdictions to be efficient. In Article 23, in so as any exception out of public policy </w:t>
      </w:r>
      <w:r w:rsidR="002132BB">
        <w:rPr>
          <w:rFonts w:ascii="Arial" w:hAnsi="Arial" w:cs="Arial"/>
          <w:color w:val="7B7B7B" w:themeColor="accent3" w:themeShade="BF"/>
          <w:sz w:val="22"/>
          <w:szCs w:val="22"/>
          <w:lang w:val="en-GB"/>
        </w:rPr>
        <w:t>viewpoint</w:t>
      </w:r>
      <w:r w:rsidR="002132BB" w:rsidRPr="002132BB">
        <w:rPr>
          <w:rFonts w:ascii="Arial" w:hAnsi="Arial" w:cs="Arial"/>
          <w:color w:val="7B7B7B" w:themeColor="accent3" w:themeShade="BF"/>
          <w:sz w:val="22"/>
          <w:szCs w:val="22"/>
          <w:lang w:val="en-GB"/>
        </w:rPr>
        <w:t>, the recognition application must be made early to allow for the courts to made any further determination thereof.</w:t>
      </w:r>
      <w:r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CA94EAA" w14:textId="77777777" w:rsidR="00604473" w:rsidRDefault="00604473" w:rsidP="00707FC8">
      <w:pPr>
        <w:jc w:val="both"/>
        <w:rPr>
          <w:rFonts w:ascii="Arial" w:hAnsi="Arial" w:cs="Arial"/>
          <w:color w:val="7B7B7B" w:themeColor="accent3" w:themeShade="BF"/>
          <w:sz w:val="22"/>
          <w:szCs w:val="22"/>
          <w:lang w:val="en-GB"/>
        </w:rPr>
      </w:pPr>
    </w:p>
    <w:p w14:paraId="7940D274" w14:textId="642CF8BD" w:rsidR="00DF75F8" w:rsidRPr="009B5832" w:rsidRDefault="002132BB"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 B has opened the proceeding and therefore the COMI. Under </w:t>
      </w:r>
      <w:r w:rsidRPr="002132BB">
        <w:rPr>
          <w:rFonts w:ascii="Arial" w:hAnsi="Arial" w:cs="Arial"/>
          <w:color w:val="7B7B7B" w:themeColor="accent3" w:themeShade="BF"/>
          <w:sz w:val="22"/>
          <w:szCs w:val="22"/>
          <w:lang w:val="en-GB"/>
        </w:rPr>
        <w:t>article 2(a) of the MLCBI</w:t>
      </w:r>
      <w:r>
        <w:rPr>
          <w:rFonts w:ascii="Arial" w:hAnsi="Arial" w:cs="Arial"/>
          <w:color w:val="7B7B7B" w:themeColor="accent3" w:themeShade="BF"/>
          <w:sz w:val="22"/>
          <w:szCs w:val="22"/>
          <w:lang w:val="en-GB"/>
        </w:rPr>
        <w:t>, “foreign proceeding”</w:t>
      </w:r>
      <w:r w:rsidR="008402E3">
        <w:rPr>
          <w:rFonts w:ascii="Arial" w:hAnsi="Arial" w:cs="Arial"/>
          <w:color w:val="7B7B7B" w:themeColor="accent3" w:themeShade="BF"/>
          <w:sz w:val="22"/>
          <w:szCs w:val="22"/>
          <w:lang w:val="en-GB"/>
        </w:rPr>
        <w:t xml:space="preserve"> which involves </w:t>
      </w:r>
      <w:r w:rsidR="00A16AC7">
        <w:rPr>
          <w:rFonts w:ascii="Arial" w:hAnsi="Arial" w:cs="Arial"/>
          <w:color w:val="7B7B7B" w:themeColor="accent3" w:themeShade="BF"/>
          <w:sz w:val="22"/>
          <w:szCs w:val="22"/>
          <w:lang w:val="en-GB"/>
        </w:rPr>
        <w:t>interim proceedings, the courts is not embarked on a consideration to whether the foreign proceeding for which recognition is requested was correctly under the applicable law of the foreign state.</w:t>
      </w:r>
      <w:r w:rsidR="00DF75F8"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FE0E123" w:rsidR="00DF75F8" w:rsidRPr="00DF3443" w:rsidRDefault="00DF75F8" w:rsidP="00707FC8">
      <w:pPr>
        <w:jc w:val="both"/>
        <w:rPr>
          <w:rFonts w:ascii="Arial" w:hAnsi="Arial" w:cs="Arial"/>
          <w:sz w:val="22"/>
          <w:szCs w:val="22"/>
          <w:lang w:val="en-GB"/>
        </w:rPr>
      </w:pPr>
      <w:r w:rsidRPr="006A0525">
        <w:rPr>
          <w:rFonts w:ascii="Arial" w:hAnsi="Arial" w:cs="Arial"/>
          <w:i/>
          <w:iCs/>
          <w:color w:val="7B7B7B" w:themeColor="accent3" w:themeShade="BF"/>
          <w:sz w:val="22"/>
          <w:szCs w:val="22"/>
          <w:lang w:val="en-GB"/>
        </w:rPr>
        <w:t>[</w:t>
      </w:r>
      <w:r w:rsidR="006A0525" w:rsidRPr="006A0525">
        <w:rPr>
          <w:rFonts w:ascii="Arial" w:hAnsi="Arial" w:cs="Arial"/>
          <w:i/>
          <w:iCs/>
          <w:color w:val="7B7B7B" w:themeColor="accent3" w:themeShade="BF"/>
          <w:sz w:val="22"/>
          <w:szCs w:val="22"/>
          <w:lang w:val="en-GB"/>
        </w:rPr>
        <w:t>“</w:t>
      </w:r>
      <w:r w:rsidR="00403D51" w:rsidRPr="006A0525">
        <w:rPr>
          <w:rFonts w:ascii="Arial" w:hAnsi="Arial" w:cs="Arial"/>
          <w:i/>
          <w:iCs/>
          <w:color w:val="7B7B7B" w:themeColor="accent3" w:themeShade="BF"/>
          <w:sz w:val="22"/>
          <w:szCs w:val="22"/>
          <w:lang w:val="en-GB"/>
        </w:rPr>
        <w:t xml:space="preserve">MLCBI makes alludes to comity which the Courts held that the </w:t>
      </w:r>
      <w:r w:rsidR="006A0525" w:rsidRPr="006A0525">
        <w:rPr>
          <w:rFonts w:ascii="Arial" w:hAnsi="Arial" w:cs="Arial"/>
          <w:i/>
          <w:iCs/>
          <w:color w:val="7B7B7B" w:themeColor="accent3" w:themeShade="BF"/>
          <w:sz w:val="22"/>
          <w:szCs w:val="22"/>
          <w:lang w:val="en-GB"/>
        </w:rPr>
        <w:t>once</w:t>
      </w:r>
      <w:r w:rsidR="00403D51" w:rsidRPr="006A0525">
        <w:rPr>
          <w:rFonts w:ascii="Arial" w:hAnsi="Arial" w:cs="Arial"/>
          <w:i/>
          <w:iCs/>
          <w:color w:val="7B7B7B" w:themeColor="accent3" w:themeShade="BF"/>
          <w:sz w:val="22"/>
          <w:szCs w:val="22"/>
          <w:lang w:val="en-GB"/>
        </w:rPr>
        <w:t xml:space="preserve"> a foreign main proceeding has been </w:t>
      </w:r>
      <w:r w:rsidR="006A0525" w:rsidRPr="006A0525">
        <w:rPr>
          <w:rFonts w:ascii="Arial" w:hAnsi="Arial" w:cs="Arial"/>
          <w:i/>
          <w:iCs/>
          <w:color w:val="7B7B7B" w:themeColor="accent3" w:themeShade="BF"/>
          <w:sz w:val="22"/>
          <w:szCs w:val="22"/>
          <w:lang w:val="en-GB"/>
        </w:rPr>
        <w:t>recognised</w:t>
      </w:r>
      <w:r w:rsidR="00403D51" w:rsidRPr="006A0525">
        <w:rPr>
          <w:rFonts w:ascii="Arial" w:hAnsi="Arial" w:cs="Arial"/>
          <w:i/>
          <w:iCs/>
          <w:color w:val="7B7B7B" w:themeColor="accent3" w:themeShade="BF"/>
          <w:sz w:val="22"/>
          <w:szCs w:val="22"/>
          <w:lang w:val="en-GB"/>
        </w:rPr>
        <w:t xml:space="preserve">, the enacting legislation </w:t>
      </w:r>
      <w:r w:rsidR="006A0525" w:rsidRPr="006A0525">
        <w:rPr>
          <w:rFonts w:ascii="Arial" w:hAnsi="Arial" w:cs="Arial"/>
          <w:i/>
          <w:iCs/>
          <w:color w:val="7B7B7B" w:themeColor="accent3" w:themeShade="BF"/>
          <w:sz w:val="22"/>
          <w:szCs w:val="22"/>
          <w:lang w:val="en-GB"/>
        </w:rPr>
        <w:t>specifically</w:t>
      </w:r>
      <w:r w:rsidR="00403D51" w:rsidRPr="006A0525">
        <w:rPr>
          <w:rFonts w:ascii="Arial" w:hAnsi="Arial" w:cs="Arial"/>
          <w:i/>
          <w:iCs/>
          <w:color w:val="7B7B7B" w:themeColor="accent3" w:themeShade="BF"/>
          <w:sz w:val="22"/>
          <w:szCs w:val="22"/>
          <w:lang w:val="en-GB"/>
        </w:rPr>
        <w:t xml:space="preserve"> </w:t>
      </w:r>
      <w:r w:rsidR="006A0525" w:rsidRPr="006A0525">
        <w:rPr>
          <w:rFonts w:ascii="Arial" w:hAnsi="Arial" w:cs="Arial"/>
          <w:i/>
          <w:iCs/>
          <w:color w:val="7B7B7B" w:themeColor="accent3" w:themeShade="BF"/>
          <w:sz w:val="22"/>
          <w:szCs w:val="22"/>
          <w:lang w:val="en-GB"/>
        </w:rPr>
        <w:t>contemplates</w:t>
      </w:r>
      <w:r w:rsidR="00403D51" w:rsidRPr="006A0525">
        <w:rPr>
          <w:rFonts w:ascii="Arial" w:hAnsi="Arial" w:cs="Arial"/>
          <w:i/>
          <w:iCs/>
          <w:color w:val="7B7B7B" w:themeColor="accent3" w:themeShade="BF"/>
          <w:sz w:val="22"/>
          <w:szCs w:val="22"/>
          <w:lang w:val="en-GB"/>
        </w:rPr>
        <w:t xml:space="preserve"> that the courts will exercise its discretion to fashion appropriate post-recognition relief </w:t>
      </w:r>
      <w:r w:rsidR="006A0525" w:rsidRPr="006A0525">
        <w:rPr>
          <w:rFonts w:ascii="Arial" w:hAnsi="Arial" w:cs="Arial"/>
          <w:i/>
          <w:iCs/>
          <w:color w:val="7B7B7B" w:themeColor="accent3" w:themeShade="BF"/>
          <w:sz w:val="22"/>
          <w:szCs w:val="22"/>
          <w:lang w:val="en-GB"/>
        </w:rPr>
        <w:t>consistent with the principles of comity”.</w:t>
      </w:r>
      <w:r w:rsidR="006A0525">
        <w:rPr>
          <w:rStyle w:val="FootnoteReference"/>
          <w:rFonts w:ascii="Arial" w:hAnsi="Arial" w:cs="Arial"/>
          <w:i/>
          <w:iCs/>
          <w:color w:val="7B7B7B" w:themeColor="accent3" w:themeShade="BF"/>
          <w:sz w:val="22"/>
          <w:szCs w:val="22"/>
          <w:lang w:val="en-GB"/>
        </w:rPr>
        <w:footnoteReference w:id="2"/>
      </w:r>
      <w:r w:rsidR="00DF3443">
        <w:rPr>
          <w:rFonts w:ascii="Arial" w:hAnsi="Arial" w:cs="Arial"/>
          <w:i/>
          <w:iCs/>
          <w:color w:val="7B7B7B" w:themeColor="accent3" w:themeShade="BF"/>
          <w:sz w:val="22"/>
          <w:szCs w:val="22"/>
          <w:lang w:val="en-GB"/>
        </w:rPr>
        <w:t xml:space="preserve">  </w:t>
      </w:r>
      <w:r w:rsidR="00DF3443" w:rsidRPr="00DF3443">
        <w:rPr>
          <w:rFonts w:ascii="Arial" w:hAnsi="Arial" w:cs="Arial"/>
          <w:color w:val="7B7B7B" w:themeColor="accent3" w:themeShade="BF"/>
          <w:sz w:val="22"/>
          <w:szCs w:val="22"/>
          <w:lang w:val="en-GB"/>
        </w:rPr>
        <w:t xml:space="preserve">Article 20 of MLCBI gives room for automatic </w:t>
      </w:r>
      <w:r w:rsidR="00DF3443">
        <w:rPr>
          <w:rFonts w:ascii="Arial" w:hAnsi="Arial" w:cs="Arial"/>
          <w:color w:val="7B7B7B" w:themeColor="accent3" w:themeShade="BF"/>
          <w:sz w:val="22"/>
          <w:szCs w:val="22"/>
          <w:lang w:val="en-GB"/>
        </w:rPr>
        <w:t>mandatory</w:t>
      </w:r>
      <w:r w:rsidR="00DF3443" w:rsidRPr="00DF3443">
        <w:rPr>
          <w:rFonts w:ascii="Arial" w:hAnsi="Arial" w:cs="Arial"/>
          <w:color w:val="7B7B7B" w:themeColor="accent3" w:themeShade="BF"/>
          <w:sz w:val="22"/>
          <w:szCs w:val="22"/>
          <w:lang w:val="en-GB"/>
        </w:rPr>
        <w:t xml:space="preserve"> relief in the case of fo</w:t>
      </w:r>
      <w:r w:rsidR="00DF3443">
        <w:rPr>
          <w:rFonts w:ascii="Arial" w:hAnsi="Arial" w:cs="Arial"/>
          <w:color w:val="7B7B7B" w:themeColor="accent3" w:themeShade="BF"/>
          <w:sz w:val="22"/>
          <w:szCs w:val="22"/>
          <w:lang w:val="en-GB"/>
        </w:rPr>
        <w:t>reign proceedings and Article 21 sets us clearly the utmost discretionary power to provide for post-recognition.</w:t>
      </w:r>
      <w:r w:rsidR="00DF3443">
        <w:rPr>
          <w:rStyle w:val="FootnoteReference"/>
          <w:rFonts w:ascii="Arial" w:hAnsi="Arial" w:cs="Arial"/>
          <w:color w:val="7B7B7B" w:themeColor="accent3" w:themeShade="BF"/>
          <w:sz w:val="22"/>
          <w:szCs w:val="22"/>
          <w:lang w:val="en-GB"/>
        </w:rPr>
        <w:footnoteReference w:id="3"/>
      </w:r>
      <w:r w:rsidR="00DF3443">
        <w:rPr>
          <w:rFonts w:ascii="Arial" w:hAnsi="Arial" w:cs="Arial"/>
          <w:color w:val="7B7B7B" w:themeColor="accent3" w:themeShade="BF"/>
          <w:sz w:val="22"/>
          <w:szCs w:val="22"/>
          <w:lang w:val="en-GB"/>
        </w:rPr>
        <w:t xml:space="preserve"> Here, balancing of interest must be considered, Article 22, where the courts considering granting interim relief must balance the rights of the parties.  </w:t>
      </w:r>
      <w:r w:rsidRPr="00DF3443">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7777777"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lastRenderedPageBreak/>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8"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9" w:name="para17"/>
      <w:r w:rsidRPr="009B5832">
        <w:rPr>
          <w:rFonts w:ascii="Arial" w:hAnsi="Arial" w:cs="Arial"/>
          <w:color w:val="000000"/>
          <w:sz w:val="22"/>
          <w:szCs w:val="22"/>
          <w:lang w:val="en-GB" w:eastAsia="en-GB"/>
        </w:rPr>
        <w:t xml:space="preserve">The Commercial Bank for Business Corporation (the Bank) has operated since 1991. </w:t>
      </w:r>
      <w:bookmarkStart w:id="10" w:name="para20"/>
      <w:bookmarkEnd w:id="9"/>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11" w:name="para21"/>
      <w:bookmarkEnd w:id="10"/>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2" w:name="para22"/>
      <w:bookmarkEnd w:id="11"/>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3" w:name="para23"/>
      <w:bookmarkEnd w:id="12"/>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4" w:name="para24"/>
      <w:bookmarkEnd w:id="13"/>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5" w:name="para25"/>
      <w:bookmarkEnd w:id="14"/>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5"/>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6"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7" w:name="para27"/>
      <w:bookmarkEnd w:id="16"/>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7"/>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8"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8"/>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9"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9"/>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20"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21" w:name="para31"/>
      <w:bookmarkEnd w:id="20"/>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1"/>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2"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3" w:name="para33"/>
      <w:bookmarkEnd w:id="22"/>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4" w:name="para34"/>
      <w:bookmarkEnd w:id="23"/>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5" w:name="para35"/>
      <w:bookmarkEnd w:id="24"/>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5"/>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6"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6"/>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7"/>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8"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8"/>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9"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9"/>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0"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2" w:name="para41"/>
      <w:bookmarkEnd w:id="31"/>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2"/>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bookmarkStart w:id="33" w:name="_Hlk97061752"/>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bookmarkEnd w:id="33"/>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lastRenderedPageBreak/>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F5678E1" w14:textId="0EF84C78" w:rsidR="005B2167" w:rsidRDefault="005B2167" w:rsidP="005B2167">
      <w:pPr>
        <w:jc w:val="both"/>
        <w:rPr>
          <w:rFonts w:ascii="Arial" w:hAnsi="Arial" w:cs="Arial"/>
          <w:color w:val="7B7B7B" w:themeColor="accent3" w:themeShade="BF"/>
          <w:sz w:val="22"/>
          <w:szCs w:val="22"/>
          <w:lang w:val="en-GB"/>
        </w:rPr>
      </w:pPr>
      <w:r w:rsidRPr="009B5832">
        <w:rPr>
          <w:rFonts w:ascii="Arial" w:hAnsi="Arial" w:cs="Arial"/>
          <w:color w:val="000000"/>
          <w:sz w:val="22"/>
          <w:szCs w:val="22"/>
          <w:lang w:val="en-GB" w:eastAsia="en-GB"/>
        </w:rPr>
        <w:t>4.1.1</w:t>
      </w:r>
      <w:r w:rsidRPr="009B583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387106" w:rsidRPr="009B5832">
        <w:rPr>
          <w:rFonts w:ascii="Arial" w:hAnsi="Arial" w:cs="Arial"/>
          <w:color w:val="7B7B7B" w:themeColor="accent3" w:themeShade="BF"/>
          <w:sz w:val="22"/>
          <w:szCs w:val="22"/>
          <w:lang w:val="en-GB"/>
        </w:rPr>
        <w:t>[</w:t>
      </w:r>
      <w:r w:rsidRPr="005B2167">
        <w:rPr>
          <w:rFonts w:ascii="Arial" w:hAnsi="Arial" w:cs="Arial"/>
          <w:color w:val="7B7B7B" w:themeColor="accent3" w:themeShade="BF"/>
          <w:sz w:val="22"/>
          <w:szCs w:val="22"/>
          <w:lang w:val="en-GB"/>
        </w:rPr>
        <w:t xml:space="preserve">First of all, the proceeding must meet certain qualities or thresholds to be classified as a “foreign proceeding”. Banks that are administered under a specialised regulatory framework must be considered whether </w:t>
      </w:r>
      <w:r>
        <w:rPr>
          <w:rFonts w:ascii="Arial" w:hAnsi="Arial" w:cs="Arial"/>
          <w:color w:val="7B7B7B" w:themeColor="accent3" w:themeShade="BF"/>
          <w:sz w:val="22"/>
          <w:szCs w:val="22"/>
          <w:lang w:val="en-GB"/>
        </w:rPr>
        <w:t>they</w:t>
      </w:r>
      <w:r w:rsidRPr="005B2167">
        <w:rPr>
          <w:rFonts w:ascii="Arial" w:hAnsi="Arial" w:cs="Arial"/>
          <w:color w:val="7B7B7B" w:themeColor="accent3" w:themeShade="BF"/>
          <w:sz w:val="22"/>
          <w:szCs w:val="22"/>
          <w:lang w:val="en-GB"/>
        </w:rPr>
        <w:t xml:space="preserve"> must be excluded.</w:t>
      </w:r>
      <w:r>
        <w:rPr>
          <w:rStyle w:val="FootnoteReference"/>
          <w:rFonts w:ascii="Arial" w:hAnsi="Arial" w:cs="Arial"/>
          <w:color w:val="7B7B7B" w:themeColor="accent3" w:themeShade="BF"/>
          <w:sz w:val="22"/>
          <w:szCs w:val="22"/>
          <w:lang w:val="en-GB"/>
        </w:rPr>
        <w:footnoteReference w:id="4"/>
      </w:r>
      <w:r w:rsidRPr="005B2167">
        <w:rPr>
          <w:rFonts w:ascii="Arial" w:hAnsi="Arial" w:cs="Arial"/>
          <w:color w:val="7B7B7B" w:themeColor="accent3" w:themeShade="BF"/>
          <w:sz w:val="22"/>
          <w:szCs w:val="22"/>
          <w:lang w:val="en-GB"/>
        </w:rPr>
        <w:t xml:space="preserve"> Article (2a) of the Model Law further advisedly caution not to limit the right of the insolvency represent or court to seek the assistance of recognition oversee. Is this just and equitable whether the company in question is insolvent? </w:t>
      </w:r>
      <w:r>
        <w:rPr>
          <w:rStyle w:val="FootnoteReference"/>
          <w:rFonts w:ascii="Arial" w:hAnsi="Arial" w:cs="Arial"/>
          <w:color w:val="7B7B7B" w:themeColor="accent3" w:themeShade="BF"/>
          <w:sz w:val="22"/>
          <w:szCs w:val="22"/>
          <w:lang w:val="en-GB"/>
        </w:rPr>
        <w:footnoteReference w:id="5"/>
      </w:r>
    </w:p>
    <w:p w14:paraId="22B73787" w14:textId="77777777" w:rsidR="005B2167" w:rsidRPr="005B2167" w:rsidRDefault="005B2167" w:rsidP="005B2167">
      <w:pPr>
        <w:jc w:val="both"/>
        <w:rPr>
          <w:rFonts w:ascii="Arial" w:hAnsi="Arial" w:cs="Arial"/>
          <w:color w:val="7B7B7B" w:themeColor="accent3" w:themeShade="BF"/>
          <w:sz w:val="22"/>
          <w:szCs w:val="22"/>
          <w:lang w:val="en-GB"/>
        </w:rPr>
      </w:pPr>
    </w:p>
    <w:p w14:paraId="036804A4" w14:textId="4256121A" w:rsidR="005B2167" w:rsidRDefault="005B2167" w:rsidP="005B2167">
      <w:pPr>
        <w:jc w:val="both"/>
        <w:rPr>
          <w:rFonts w:ascii="Arial" w:hAnsi="Arial" w:cs="Arial"/>
          <w:i/>
          <w:iCs/>
          <w:color w:val="7B7B7B" w:themeColor="accent3" w:themeShade="BF"/>
          <w:sz w:val="22"/>
          <w:szCs w:val="22"/>
          <w:lang w:val="en-GB"/>
        </w:rPr>
      </w:pPr>
      <w:r w:rsidRPr="005B2167">
        <w:rPr>
          <w:rFonts w:ascii="Arial" w:hAnsi="Arial" w:cs="Arial"/>
          <w:i/>
          <w:iCs/>
          <w:color w:val="7B7B7B" w:themeColor="accent3" w:themeShade="BF"/>
          <w:sz w:val="22"/>
          <w:szCs w:val="22"/>
          <w:lang w:val="en-GB"/>
        </w:rPr>
        <w:t>“In the matter of Sturgeon Central Asia Balanced Fund Ltd [2019] EWHC 1215  (Ch) the English Court had decided whether the solvent winding-up proceeding on just and equitable grounds of Studrgeon under the Bermuda Companies Act qualified as a “foreign proceeding” within the meeting of article 2(a) of the MLCBI. In that decision of 17 May 2019, the English Court held it did. However, following a review application, the English Court in the matter of Sturgeon Central Asia held that “it would have contrary to the stated purpose and object of the MLCBI to interpret “foreign proceedings” to include solvent debtors and more particularly actions that are subject to a law relating to insolvency which have the purpose of producing a return to members, not creditors”</w:t>
      </w:r>
      <w:r>
        <w:rPr>
          <w:rStyle w:val="FootnoteReference"/>
          <w:rFonts w:ascii="Arial" w:hAnsi="Arial" w:cs="Arial"/>
          <w:i/>
          <w:iCs/>
          <w:color w:val="7B7B7B" w:themeColor="accent3" w:themeShade="BF"/>
          <w:sz w:val="22"/>
          <w:szCs w:val="22"/>
          <w:lang w:val="en-GB"/>
        </w:rPr>
        <w:footnoteReference w:id="6"/>
      </w:r>
    </w:p>
    <w:p w14:paraId="3A6C8FBC" w14:textId="77777777" w:rsidR="005B2167" w:rsidRPr="005B2167" w:rsidRDefault="005B2167" w:rsidP="005B2167">
      <w:pPr>
        <w:jc w:val="both"/>
        <w:rPr>
          <w:rFonts w:ascii="Arial" w:hAnsi="Arial" w:cs="Arial"/>
          <w:i/>
          <w:iCs/>
          <w:color w:val="7B7B7B" w:themeColor="accent3" w:themeShade="BF"/>
          <w:sz w:val="22"/>
          <w:szCs w:val="22"/>
          <w:lang w:val="en-GB"/>
        </w:rPr>
      </w:pPr>
    </w:p>
    <w:p w14:paraId="6E6B9AA4" w14:textId="4886C432" w:rsidR="00387106" w:rsidRPr="009B5832" w:rsidRDefault="005B2167" w:rsidP="005B2167">
      <w:pPr>
        <w:jc w:val="both"/>
        <w:rPr>
          <w:rFonts w:ascii="Arial" w:hAnsi="Arial" w:cs="Arial"/>
          <w:sz w:val="22"/>
          <w:szCs w:val="22"/>
          <w:lang w:val="en-GB"/>
        </w:rPr>
      </w:pPr>
      <w:r w:rsidRPr="005B2167">
        <w:rPr>
          <w:rFonts w:ascii="Arial" w:hAnsi="Arial" w:cs="Arial"/>
          <w:color w:val="7B7B7B" w:themeColor="accent3" w:themeShade="BF"/>
          <w:sz w:val="22"/>
          <w:szCs w:val="22"/>
          <w:lang w:val="en-GB"/>
        </w:rPr>
        <w:t>Article 15 and 16 should be considered in a whole. The Bank must meet the recognition requirement as well and pursuant to this claim above, was the proceedings appropriately commenced under the right law of State A? From the facts above, the Bank satisfy the criteria.</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6D8F5E51" w14:textId="0A80A113" w:rsidR="0077498C" w:rsidRDefault="005B2167" w:rsidP="005B2167">
      <w:pPr>
        <w:autoSpaceDE w:val="0"/>
        <w:autoSpaceDN w:val="0"/>
        <w:adjustRightInd w:val="0"/>
        <w:spacing w:line="276" w:lineRule="auto"/>
        <w:jc w:val="both"/>
        <w:rPr>
          <w:rFonts w:ascii="Arial" w:hAnsi="Arial" w:cs="Arial"/>
          <w:color w:val="7B7B7B" w:themeColor="accent3" w:themeShade="BF"/>
          <w:sz w:val="22"/>
          <w:szCs w:val="22"/>
          <w:lang w:val="en-GB"/>
        </w:rPr>
      </w:pPr>
      <w:r w:rsidRPr="009B5832">
        <w:rPr>
          <w:rFonts w:ascii="Arial" w:hAnsi="Arial" w:cs="Arial"/>
          <w:color w:val="000000"/>
          <w:sz w:val="22"/>
          <w:szCs w:val="22"/>
          <w:lang w:val="en-GB" w:eastAsia="en-GB"/>
        </w:rPr>
        <w:t>4.1.2</w:t>
      </w:r>
      <w:r>
        <w:rPr>
          <w:rFonts w:ascii="Arial" w:hAnsi="Arial" w:cs="Arial"/>
          <w:color w:val="000000"/>
          <w:sz w:val="22"/>
          <w:szCs w:val="22"/>
          <w:lang w:val="en-GB" w:eastAsia="en-GB"/>
        </w:rPr>
        <w:t xml:space="preserve"> </w:t>
      </w:r>
      <w:r w:rsidRPr="009B583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Yes. The </w:t>
      </w:r>
      <w:bookmarkEnd w:id="8"/>
      <w:r>
        <w:rPr>
          <w:rFonts w:ascii="Arial" w:hAnsi="Arial" w:cs="Arial"/>
          <w:color w:val="7B7B7B" w:themeColor="accent3" w:themeShade="BF"/>
          <w:sz w:val="22"/>
          <w:szCs w:val="22"/>
          <w:lang w:val="en-GB"/>
        </w:rPr>
        <w:t xml:space="preserve">application </w:t>
      </w:r>
      <w:r w:rsidR="00F32531">
        <w:rPr>
          <w:rFonts w:ascii="Arial" w:hAnsi="Arial" w:cs="Arial"/>
          <w:color w:val="7B7B7B" w:themeColor="accent3" w:themeShade="BF"/>
          <w:sz w:val="22"/>
          <w:szCs w:val="22"/>
          <w:lang w:val="en-GB"/>
        </w:rPr>
        <w:t>falls</w:t>
      </w:r>
      <w:r w:rsidRPr="005B2167">
        <w:rPr>
          <w:rFonts w:ascii="Arial" w:hAnsi="Arial" w:cs="Arial"/>
          <w:color w:val="7B7B7B" w:themeColor="accent3" w:themeShade="BF"/>
          <w:sz w:val="22"/>
          <w:szCs w:val="22"/>
          <w:lang w:val="en-GB"/>
        </w:rPr>
        <w:t xml:space="preserve"> within the description of “foreign representatives” as defined by article 2(d) of the MLCBI</w:t>
      </w:r>
      <w:r>
        <w:rPr>
          <w:rFonts w:ascii="Arial" w:hAnsi="Arial" w:cs="Arial"/>
          <w:color w:val="7B7B7B" w:themeColor="accent3" w:themeShade="BF"/>
          <w:sz w:val="22"/>
          <w:szCs w:val="22"/>
          <w:lang w:val="en-GB"/>
        </w:rPr>
        <w:t xml:space="preserve"> since </w:t>
      </w:r>
      <w:r w:rsidR="00F32531" w:rsidRPr="009B5832">
        <w:rPr>
          <w:rFonts w:ascii="Arial" w:hAnsi="Arial" w:cs="Arial"/>
          <w:color w:val="000000"/>
          <w:sz w:val="22"/>
          <w:szCs w:val="22"/>
          <w:lang w:val="en-GB" w:eastAsia="en-GB"/>
        </w:rPr>
        <w:t>DGF</w:t>
      </w:r>
      <w:r w:rsidR="00F32531">
        <w:rPr>
          <w:rFonts w:ascii="Arial" w:hAnsi="Arial" w:cs="Arial"/>
          <w:color w:val="7B7B7B" w:themeColor="accent3" w:themeShade="BF"/>
          <w:sz w:val="22"/>
          <w:szCs w:val="22"/>
          <w:lang w:val="en-GB"/>
        </w:rPr>
        <w:t>, and delegated to Ms G the</w:t>
      </w:r>
      <w:r>
        <w:rPr>
          <w:rFonts w:ascii="Arial" w:hAnsi="Arial" w:cs="Arial"/>
          <w:color w:val="7B7B7B" w:themeColor="accent3" w:themeShade="BF"/>
          <w:sz w:val="22"/>
          <w:szCs w:val="22"/>
          <w:lang w:val="en-GB"/>
        </w:rPr>
        <w:t xml:space="preserve"> </w:t>
      </w:r>
      <w:r w:rsidR="00F32531">
        <w:rPr>
          <w:rFonts w:ascii="Arial" w:hAnsi="Arial" w:cs="Arial"/>
          <w:color w:val="7B7B7B" w:themeColor="accent3" w:themeShade="BF"/>
          <w:sz w:val="22"/>
          <w:szCs w:val="22"/>
          <w:lang w:val="en-GB"/>
        </w:rPr>
        <w:t>re</w:t>
      </w:r>
      <w:r>
        <w:rPr>
          <w:rFonts w:ascii="Arial" w:hAnsi="Arial" w:cs="Arial"/>
          <w:color w:val="7B7B7B" w:themeColor="accent3" w:themeShade="BF"/>
          <w:sz w:val="22"/>
          <w:szCs w:val="22"/>
          <w:lang w:val="en-GB"/>
        </w:rPr>
        <w:t xml:space="preserve">presentative </w:t>
      </w:r>
      <w:r w:rsidR="00F32531">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been appointed by a resolution to represent the company in these proceedings. Under Article 2(b)</w:t>
      </w:r>
      <w:r w:rsidR="00F32531">
        <w:rPr>
          <w:rFonts w:ascii="Arial" w:hAnsi="Arial" w:cs="Arial"/>
          <w:color w:val="7B7B7B" w:themeColor="accent3" w:themeShade="BF"/>
          <w:sz w:val="22"/>
          <w:szCs w:val="22"/>
          <w:lang w:val="en-GB"/>
        </w:rPr>
        <w:t xml:space="preserve"> the “foreign representative is a person or body with having qualified in accordance to the provision there of provided.  Also, the COMI has been established from Country A. </w:t>
      </w:r>
    </w:p>
    <w:p w14:paraId="2B370A4B" w14:textId="495630CE" w:rsidR="00F32531" w:rsidRDefault="00F32531" w:rsidP="005B2167">
      <w:pPr>
        <w:autoSpaceDE w:val="0"/>
        <w:autoSpaceDN w:val="0"/>
        <w:adjustRightInd w:val="0"/>
        <w:spacing w:line="276" w:lineRule="auto"/>
        <w:jc w:val="both"/>
        <w:rPr>
          <w:rFonts w:ascii="Arial" w:hAnsi="Arial" w:cs="Arial"/>
          <w:color w:val="7B7B7B" w:themeColor="accent3" w:themeShade="BF"/>
          <w:sz w:val="22"/>
          <w:szCs w:val="22"/>
          <w:lang w:val="en-GB"/>
        </w:rPr>
      </w:pPr>
    </w:p>
    <w:p w14:paraId="0A9B2754" w14:textId="77777777" w:rsidR="00F32531" w:rsidRPr="009B5832" w:rsidRDefault="00F32531" w:rsidP="005B2167">
      <w:pPr>
        <w:autoSpaceDE w:val="0"/>
        <w:autoSpaceDN w:val="0"/>
        <w:adjustRightInd w:val="0"/>
        <w:spacing w:line="276" w:lineRule="auto"/>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0E5B" w14:textId="77777777" w:rsidR="003349CD" w:rsidRDefault="003349CD" w:rsidP="00241B44">
      <w:r>
        <w:separator/>
      </w:r>
    </w:p>
  </w:endnote>
  <w:endnote w:type="continuationSeparator" w:id="0">
    <w:p w14:paraId="2D22D19F" w14:textId="77777777" w:rsidR="003349CD" w:rsidRDefault="003349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33A3A6F" w:rsidR="0036760B" w:rsidRPr="00784B4B" w:rsidRDefault="00813265" w:rsidP="0036760B">
    <w:pPr>
      <w:pStyle w:val="Footer"/>
      <w:ind w:right="360" w:firstLine="360"/>
      <w:rPr>
        <w:rFonts w:ascii="Arial" w:hAnsi="Arial" w:cs="Arial"/>
        <w:sz w:val="18"/>
        <w:szCs w:val="18"/>
      </w:rPr>
    </w:pPr>
    <w:r>
      <w:rPr>
        <w:rFonts w:ascii="Arial" w:hAnsi="Arial" w:cs="Arial"/>
        <w:sz w:val="18"/>
        <w:szCs w:val="18"/>
      </w:rPr>
      <w:t>202122-510</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6358" w14:textId="77777777" w:rsidR="003349CD" w:rsidRDefault="003349CD" w:rsidP="00241B44">
      <w:r>
        <w:separator/>
      </w:r>
    </w:p>
  </w:footnote>
  <w:footnote w:type="continuationSeparator" w:id="0">
    <w:p w14:paraId="74247140" w14:textId="77777777" w:rsidR="003349CD" w:rsidRDefault="003349CD" w:rsidP="00241B44">
      <w:r>
        <w:continuationSeparator/>
      </w:r>
    </w:p>
  </w:footnote>
  <w:footnote w:id="1">
    <w:p w14:paraId="49FD8E6D" w14:textId="32B025D6" w:rsidR="007704B5" w:rsidRDefault="007704B5">
      <w:pPr>
        <w:pStyle w:val="FootnoteText"/>
      </w:pPr>
      <w:r>
        <w:rPr>
          <w:rStyle w:val="FootnoteReference"/>
        </w:rPr>
        <w:footnoteRef/>
      </w:r>
      <w:r>
        <w:t xml:space="preserve"> </w:t>
      </w:r>
      <w:r w:rsidRPr="004848C6">
        <w:rPr>
          <w:sz w:val="18"/>
          <w:szCs w:val="22"/>
        </w:rPr>
        <w:t xml:space="preserve">Foundation Certificate in International Insolvency Law, </w:t>
      </w:r>
      <w:r w:rsidRPr="009C6862">
        <w:rPr>
          <w:i/>
          <w:iCs/>
          <w:sz w:val="18"/>
          <w:szCs w:val="22"/>
        </w:rPr>
        <w:t>“</w:t>
      </w:r>
      <w:r w:rsidRPr="007704B5">
        <w:rPr>
          <w:i/>
          <w:iCs/>
          <w:sz w:val="18"/>
          <w:szCs w:val="22"/>
        </w:rPr>
        <w:t>The UNCITRAL Model Laws Relating to Insolvency</w:t>
      </w:r>
      <w:r w:rsidRPr="009C6862">
        <w:rPr>
          <w:i/>
          <w:iCs/>
          <w:sz w:val="18"/>
          <w:szCs w:val="22"/>
        </w:rPr>
        <w:t>”,</w:t>
      </w:r>
      <w:r w:rsidRPr="004848C6">
        <w:rPr>
          <w:sz w:val="18"/>
          <w:szCs w:val="22"/>
        </w:rPr>
        <w:t xml:space="preserve">  </w:t>
      </w:r>
      <w:r>
        <w:rPr>
          <w:sz w:val="18"/>
          <w:szCs w:val="22"/>
        </w:rPr>
        <w:t>INSOL p</w:t>
      </w:r>
      <w:r w:rsidRPr="004848C6">
        <w:rPr>
          <w:sz w:val="18"/>
          <w:szCs w:val="22"/>
        </w:rPr>
        <w:t xml:space="preserve">p </w:t>
      </w:r>
      <w:r>
        <w:rPr>
          <w:sz w:val="18"/>
          <w:szCs w:val="22"/>
        </w:rPr>
        <w:t>27</w:t>
      </w:r>
    </w:p>
  </w:footnote>
  <w:footnote w:id="2">
    <w:p w14:paraId="5D14E6F6" w14:textId="7389028B" w:rsidR="006A0525" w:rsidRDefault="006A0525">
      <w:pPr>
        <w:pStyle w:val="FootnoteText"/>
      </w:pPr>
      <w:r>
        <w:rPr>
          <w:rStyle w:val="FootnoteReference"/>
        </w:rPr>
        <w:footnoteRef/>
      </w:r>
      <w:r>
        <w:t xml:space="preserve"> Digest of Case Law on UNCITRAL Model Law on Cross-Border Insolvency, </w:t>
      </w:r>
      <w:r w:rsidRPr="006A0525">
        <w:rPr>
          <w:i/>
          <w:iCs/>
        </w:rPr>
        <w:t>“post-recognition relief”,</w:t>
      </w:r>
      <w:r>
        <w:t xml:space="preserve"> Article 21, pg 66, para 7</w:t>
      </w:r>
    </w:p>
  </w:footnote>
  <w:footnote w:id="3">
    <w:p w14:paraId="3129E2AB" w14:textId="5F0AE7B2" w:rsidR="00DF3443" w:rsidRDefault="00DF3443">
      <w:pPr>
        <w:pStyle w:val="FootnoteText"/>
      </w:pPr>
      <w:r>
        <w:rPr>
          <w:rStyle w:val="FootnoteReference"/>
        </w:rPr>
        <w:footnoteRef/>
      </w:r>
      <w:r>
        <w:t xml:space="preserve"> MLCBI Article 19 - 22</w:t>
      </w:r>
    </w:p>
  </w:footnote>
  <w:footnote w:id="4">
    <w:p w14:paraId="77A4BF1A" w14:textId="027E8CFF" w:rsidR="005B2167" w:rsidRDefault="005B2167">
      <w:pPr>
        <w:pStyle w:val="FootnoteText"/>
      </w:pPr>
      <w:r>
        <w:rPr>
          <w:rStyle w:val="FootnoteReference"/>
        </w:rPr>
        <w:footnoteRef/>
      </w:r>
      <w:r>
        <w:t xml:space="preserve"> Ibid, pg 13, para 2</w:t>
      </w:r>
    </w:p>
  </w:footnote>
  <w:footnote w:id="5">
    <w:p w14:paraId="278656F8" w14:textId="1AB58FB0" w:rsidR="005B2167" w:rsidRDefault="005B2167">
      <w:pPr>
        <w:pStyle w:val="FootnoteText"/>
      </w:pPr>
      <w:r>
        <w:rPr>
          <w:rStyle w:val="FootnoteReference"/>
        </w:rPr>
        <w:footnoteRef/>
      </w:r>
      <w:r>
        <w:t xml:space="preserve"> Ibid , pg 24 , para 3</w:t>
      </w:r>
    </w:p>
  </w:footnote>
  <w:footnote w:id="6">
    <w:p w14:paraId="7B014E00" w14:textId="4D5F30EB" w:rsidR="005B2167" w:rsidRDefault="005B2167">
      <w:pPr>
        <w:pStyle w:val="FootnoteText"/>
      </w:pPr>
      <w:r>
        <w:rPr>
          <w:rStyle w:val="FootnoteReference"/>
        </w:rPr>
        <w:footnoteRef/>
      </w:r>
      <w:r>
        <w:t xml:space="preserve"> </w:t>
      </w:r>
      <w:r w:rsidRPr="005B2167">
        <w:t>Sturgeon Central Asia Balanced Fund Ltd [2019] EWHC 1215  (Ch)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29C"/>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3DDC"/>
    <w:rsid w:val="001D4862"/>
    <w:rsid w:val="001E25B9"/>
    <w:rsid w:val="001E49E0"/>
    <w:rsid w:val="001E7B5A"/>
    <w:rsid w:val="001F7395"/>
    <w:rsid w:val="001F7412"/>
    <w:rsid w:val="00201874"/>
    <w:rsid w:val="00202133"/>
    <w:rsid w:val="0020264E"/>
    <w:rsid w:val="0020725B"/>
    <w:rsid w:val="002132BB"/>
    <w:rsid w:val="002175BA"/>
    <w:rsid w:val="0022184F"/>
    <w:rsid w:val="0022190C"/>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49CD"/>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568"/>
    <w:rsid w:val="003C66B1"/>
    <w:rsid w:val="003D0A6D"/>
    <w:rsid w:val="003E0B16"/>
    <w:rsid w:val="003E67D1"/>
    <w:rsid w:val="00403D51"/>
    <w:rsid w:val="00405DC1"/>
    <w:rsid w:val="0040710D"/>
    <w:rsid w:val="0041139B"/>
    <w:rsid w:val="00413D3A"/>
    <w:rsid w:val="00415F1F"/>
    <w:rsid w:val="0042108F"/>
    <w:rsid w:val="00422242"/>
    <w:rsid w:val="00423DFD"/>
    <w:rsid w:val="00423F66"/>
    <w:rsid w:val="00424D07"/>
    <w:rsid w:val="00430476"/>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4CC8"/>
    <w:rsid w:val="0058622F"/>
    <w:rsid w:val="00587461"/>
    <w:rsid w:val="00592F82"/>
    <w:rsid w:val="005A0CCA"/>
    <w:rsid w:val="005A726D"/>
    <w:rsid w:val="005B2167"/>
    <w:rsid w:val="005B67AC"/>
    <w:rsid w:val="005C2C94"/>
    <w:rsid w:val="005C4865"/>
    <w:rsid w:val="005D43E0"/>
    <w:rsid w:val="005D58A3"/>
    <w:rsid w:val="005E1B79"/>
    <w:rsid w:val="005E5C28"/>
    <w:rsid w:val="005F026D"/>
    <w:rsid w:val="005F21F4"/>
    <w:rsid w:val="005F2D0B"/>
    <w:rsid w:val="005F4B31"/>
    <w:rsid w:val="00604473"/>
    <w:rsid w:val="00610388"/>
    <w:rsid w:val="00612CA5"/>
    <w:rsid w:val="006153EC"/>
    <w:rsid w:val="00621A17"/>
    <w:rsid w:val="00622586"/>
    <w:rsid w:val="00622C2B"/>
    <w:rsid w:val="00622DCB"/>
    <w:rsid w:val="00627CC9"/>
    <w:rsid w:val="00627E7B"/>
    <w:rsid w:val="00630542"/>
    <w:rsid w:val="00630857"/>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0525"/>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04B5"/>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3265"/>
    <w:rsid w:val="00817D57"/>
    <w:rsid w:val="00822764"/>
    <w:rsid w:val="0082483F"/>
    <w:rsid w:val="008264CB"/>
    <w:rsid w:val="008279C0"/>
    <w:rsid w:val="00835FD1"/>
    <w:rsid w:val="008402E3"/>
    <w:rsid w:val="0084683C"/>
    <w:rsid w:val="00853A74"/>
    <w:rsid w:val="00860E61"/>
    <w:rsid w:val="0087116A"/>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0226"/>
    <w:rsid w:val="009E2AEB"/>
    <w:rsid w:val="009E2E27"/>
    <w:rsid w:val="009E4DE3"/>
    <w:rsid w:val="00A047EE"/>
    <w:rsid w:val="00A114EA"/>
    <w:rsid w:val="00A153F7"/>
    <w:rsid w:val="00A16AC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0A0"/>
    <w:rsid w:val="00AF228E"/>
    <w:rsid w:val="00B04137"/>
    <w:rsid w:val="00B11D19"/>
    <w:rsid w:val="00B12936"/>
    <w:rsid w:val="00B14819"/>
    <w:rsid w:val="00B17AA9"/>
    <w:rsid w:val="00B30E5C"/>
    <w:rsid w:val="00B32DE4"/>
    <w:rsid w:val="00B33578"/>
    <w:rsid w:val="00B370C3"/>
    <w:rsid w:val="00B411AE"/>
    <w:rsid w:val="00B573AC"/>
    <w:rsid w:val="00B60190"/>
    <w:rsid w:val="00B61419"/>
    <w:rsid w:val="00B670C8"/>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465E"/>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E16B1"/>
    <w:rsid w:val="00CF2819"/>
    <w:rsid w:val="00CF4F9D"/>
    <w:rsid w:val="00CF70DC"/>
    <w:rsid w:val="00D10A2D"/>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344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67C17"/>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253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3946"/>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13</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 Ghana</cp:lastModifiedBy>
  <cp:revision>51</cp:revision>
  <cp:lastPrinted>2019-08-27T05:42:00Z</cp:lastPrinted>
  <dcterms:created xsi:type="dcterms:W3CDTF">2021-08-31T13:05:00Z</dcterms:created>
  <dcterms:modified xsi:type="dcterms:W3CDTF">2022-03-01T22:33:00Z</dcterms:modified>
</cp:coreProperties>
</file>