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45409F" w:rsidRDefault="00AE5B6F" w:rsidP="00B04033">
      <w:pPr>
        <w:pStyle w:val="ListParagraph"/>
        <w:numPr>
          <w:ilvl w:val="0"/>
          <w:numId w:val="1"/>
        </w:numPr>
        <w:ind w:left="426"/>
        <w:jc w:val="both"/>
        <w:rPr>
          <w:rFonts w:ascii="Arial" w:hAnsi="Arial" w:cs="Arial"/>
          <w:sz w:val="22"/>
          <w:szCs w:val="22"/>
          <w:highlight w:val="yellow"/>
          <w:lang w:val="en-GB"/>
        </w:rPr>
      </w:pPr>
      <w:r w:rsidRPr="0045409F">
        <w:rPr>
          <w:rFonts w:ascii="Arial" w:hAnsi="Arial" w:cs="Arial"/>
          <w:sz w:val="22"/>
          <w:szCs w:val="22"/>
          <w:highlight w:val="yellow"/>
          <w:lang w:val="en-GB"/>
        </w:rPr>
        <w:t>w</w:t>
      </w:r>
      <w:r w:rsidR="00C91062" w:rsidRPr="0045409F">
        <w:rPr>
          <w:rFonts w:ascii="Arial" w:hAnsi="Arial" w:cs="Arial"/>
          <w:sz w:val="22"/>
          <w:szCs w:val="22"/>
          <w:highlight w:val="yellow"/>
          <w:lang w:val="en-GB"/>
        </w:rPr>
        <w:t>ithin 8 weeks of the commencement of the administration</w:t>
      </w:r>
      <w:r w:rsidR="00763348" w:rsidRPr="0045409F">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0766B5" w:rsidRDefault="00E443D7" w:rsidP="00B04033">
      <w:pPr>
        <w:pStyle w:val="ListParagraph"/>
        <w:numPr>
          <w:ilvl w:val="0"/>
          <w:numId w:val="2"/>
        </w:numPr>
        <w:ind w:left="426"/>
        <w:jc w:val="both"/>
        <w:rPr>
          <w:rFonts w:ascii="Arial" w:hAnsi="Arial" w:cs="Arial"/>
          <w:sz w:val="22"/>
          <w:szCs w:val="22"/>
          <w:highlight w:val="yellow"/>
          <w:lang w:val="en-GB"/>
        </w:rPr>
      </w:pPr>
      <w:r w:rsidRPr="000766B5">
        <w:rPr>
          <w:rFonts w:ascii="Arial" w:hAnsi="Arial" w:cs="Arial"/>
          <w:sz w:val="22"/>
          <w:szCs w:val="22"/>
          <w:highlight w:val="yellow"/>
          <w:lang w:val="en-GB"/>
        </w:rPr>
        <w:t>One year</w:t>
      </w:r>
      <w:r w:rsidR="00763348" w:rsidRPr="000766B5">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0766B5" w:rsidRDefault="00AE5B6F" w:rsidP="00B04033">
      <w:pPr>
        <w:pStyle w:val="ListParagraph"/>
        <w:numPr>
          <w:ilvl w:val="0"/>
          <w:numId w:val="3"/>
        </w:numPr>
        <w:ind w:left="426"/>
        <w:jc w:val="both"/>
        <w:rPr>
          <w:rFonts w:ascii="Arial" w:hAnsi="Arial" w:cs="Arial"/>
          <w:sz w:val="22"/>
          <w:szCs w:val="22"/>
          <w:highlight w:val="yellow"/>
          <w:lang w:val="en-GB"/>
        </w:rPr>
      </w:pPr>
      <w:r w:rsidRPr="000766B5">
        <w:rPr>
          <w:rFonts w:ascii="Arial" w:hAnsi="Arial" w:cs="Arial"/>
          <w:sz w:val="22"/>
          <w:szCs w:val="22"/>
          <w:highlight w:val="yellow"/>
          <w:lang w:val="en-GB"/>
        </w:rPr>
        <w:t>T</w:t>
      </w:r>
      <w:r w:rsidR="008D1616" w:rsidRPr="000766B5">
        <w:rPr>
          <w:rFonts w:ascii="Arial" w:hAnsi="Arial" w:cs="Arial"/>
          <w:sz w:val="22"/>
          <w:szCs w:val="22"/>
          <w:highlight w:val="yellow"/>
          <w:lang w:val="en-GB"/>
        </w:rPr>
        <w:t>he company is, or is likely to become, unable to pay their debts, as defined under s</w:t>
      </w:r>
      <w:r w:rsidR="00E833F4" w:rsidRPr="000766B5">
        <w:rPr>
          <w:rFonts w:ascii="Arial" w:hAnsi="Arial" w:cs="Arial"/>
          <w:sz w:val="22"/>
          <w:szCs w:val="22"/>
          <w:highlight w:val="yellow"/>
          <w:lang w:val="en-GB"/>
        </w:rPr>
        <w:t>ection</w:t>
      </w:r>
      <w:r w:rsidR="008D1616" w:rsidRPr="000766B5">
        <w:rPr>
          <w:rFonts w:ascii="Arial" w:hAnsi="Arial" w:cs="Arial"/>
          <w:sz w:val="22"/>
          <w:szCs w:val="22"/>
          <w:highlight w:val="yellow"/>
          <w:lang w:val="en-GB"/>
        </w:rPr>
        <w:t xml:space="preserve"> 123 of the Insolvency Act 1986</w:t>
      </w:r>
      <w:r w:rsidR="00763348" w:rsidRPr="000766B5">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766B5" w:rsidRDefault="00C91062" w:rsidP="00B04033">
      <w:pPr>
        <w:pStyle w:val="ListParagraph"/>
        <w:numPr>
          <w:ilvl w:val="0"/>
          <w:numId w:val="4"/>
        </w:numPr>
        <w:ind w:left="426"/>
        <w:jc w:val="both"/>
        <w:rPr>
          <w:rFonts w:ascii="Arial" w:hAnsi="Arial" w:cs="Arial"/>
          <w:sz w:val="22"/>
          <w:szCs w:val="22"/>
          <w:highlight w:val="yellow"/>
          <w:lang w:val="en-GB"/>
        </w:rPr>
      </w:pPr>
      <w:r w:rsidRPr="000766B5">
        <w:rPr>
          <w:rFonts w:ascii="Arial" w:hAnsi="Arial" w:cs="Arial"/>
          <w:sz w:val="22"/>
          <w:szCs w:val="22"/>
          <w:highlight w:val="yellow"/>
          <w:lang w:val="en-GB"/>
        </w:rPr>
        <w:t>The purchaser</w:t>
      </w:r>
      <w:r w:rsidR="00763348" w:rsidRPr="000766B5">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B140B" w:rsidRDefault="00BA1CFD" w:rsidP="00B04033">
      <w:pPr>
        <w:pStyle w:val="ListParagraph"/>
        <w:numPr>
          <w:ilvl w:val="0"/>
          <w:numId w:val="5"/>
        </w:numPr>
        <w:ind w:left="426"/>
        <w:jc w:val="both"/>
        <w:rPr>
          <w:rFonts w:ascii="Arial" w:hAnsi="Arial" w:cs="Arial"/>
          <w:sz w:val="22"/>
          <w:szCs w:val="22"/>
          <w:highlight w:val="yellow"/>
          <w:lang w:val="en-GB"/>
        </w:rPr>
      </w:pPr>
      <w:r w:rsidRPr="00AB140B">
        <w:rPr>
          <w:rFonts w:ascii="Arial" w:hAnsi="Arial" w:cs="Arial"/>
          <w:sz w:val="22"/>
          <w:szCs w:val="22"/>
          <w:highlight w:val="yellow"/>
          <w:lang w:val="en-GB"/>
        </w:rPr>
        <w:t>Administration</w:t>
      </w:r>
      <w:r w:rsidR="00763348" w:rsidRPr="00AB140B">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B140B" w:rsidRDefault="00BA1CFD" w:rsidP="00B04033">
      <w:pPr>
        <w:pStyle w:val="ListParagraph"/>
        <w:numPr>
          <w:ilvl w:val="0"/>
          <w:numId w:val="6"/>
        </w:numPr>
        <w:ind w:left="426"/>
        <w:jc w:val="both"/>
        <w:rPr>
          <w:rFonts w:ascii="Arial" w:hAnsi="Arial" w:cs="Arial"/>
          <w:sz w:val="22"/>
          <w:szCs w:val="22"/>
          <w:highlight w:val="yellow"/>
          <w:lang w:val="en-GB"/>
        </w:rPr>
      </w:pPr>
      <w:r w:rsidRPr="00AB140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AB140B" w:rsidRDefault="00BA1CFD" w:rsidP="00B04033">
      <w:pPr>
        <w:pStyle w:val="ListParagraph"/>
        <w:numPr>
          <w:ilvl w:val="0"/>
          <w:numId w:val="7"/>
        </w:numPr>
        <w:ind w:left="426"/>
        <w:jc w:val="both"/>
        <w:rPr>
          <w:rFonts w:ascii="Arial" w:hAnsi="Arial" w:cs="Arial"/>
          <w:sz w:val="22"/>
          <w:szCs w:val="22"/>
          <w:highlight w:val="yellow"/>
          <w:lang w:val="en-GB"/>
        </w:rPr>
      </w:pPr>
      <w:r w:rsidRPr="00AB140B">
        <w:rPr>
          <w:rFonts w:ascii="Arial" w:hAnsi="Arial" w:cs="Arial"/>
          <w:sz w:val="22"/>
          <w:szCs w:val="22"/>
          <w:highlight w:val="yellow"/>
          <w:lang w:val="en-GB"/>
        </w:rPr>
        <w:t>Wrongful trading</w:t>
      </w:r>
      <w:r w:rsidR="00763348" w:rsidRPr="00AB140B">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202D40" w:rsidRDefault="00876F56" w:rsidP="00B04033">
      <w:pPr>
        <w:pStyle w:val="ListParagraph"/>
        <w:numPr>
          <w:ilvl w:val="0"/>
          <w:numId w:val="8"/>
        </w:numPr>
        <w:ind w:left="426"/>
        <w:jc w:val="both"/>
        <w:rPr>
          <w:rFonts w:ascii="Arial" w:hAnsi="Arial" w:cs="Arial"/>
          <w:sz w:val="22"/>
          <w:szCs w:val="22"/>
          <w:highlight w:val="yellow"/>
          <w:lang w:val="en-GB"/>
        </w:rPr>
      </w:pPr>
      <w:r w:rsidRPr="00202D40">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C32D17" w:rsidRDefault="00E833F4" w:rsidP="00B04033">
      <w:pPr>
        <w:pStyle w:val="ListParagraph"/>
        <w:numPr>
          <w:ilvl w:val="0"/>
          <w:numId w:val="9"/>
        </w:numPr>
        <w:ind w:left="426"/>
        <w:jc w:val="both"/>
        <w:rPr>
          <w:rFonts w:ascii="Arial" w:hAnsi="Arial" w:cs="Arial"/>
          <w:sz w:val="22"/>
          <w:szCs w:val="22"/>
          <w:highlight w:val="yellow"/>
          <w:lang w:val="en-GB"/>
        </w:rPr>
      </w:pPr>
      <w:r w:rsidRPr="00C32D17">
        <w:rPr>
          <w:rFonts w:ascii="Arial" w:hAnsi="Arial" w:cs="Arial"/>
          <w:sz w:val="22"/>
          <w:szCs w:val="22"/>
          <w:highlight w:val="yellow"/>
          <w:lang w:val="en-GB"/>
        </w:rPr>
        <w:t>A</w:t>
      </w:r>
      <w:r w:rsidR="000D10C6" w:rsidRPr="00C32D17">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C32D17" w:rsidRDefault="0020204E" w:rsidP="00B04033">
      <w:pPr>
        <w:pStyle w:val="ListParagraph"/>
        <w:numPr>
          <w:ilvl w:val="0"/>
          <w:numId w:val="10"/>
        </w:numPr>
        <w:ind w:left="426"/>
        <w:jc w:val="both"/>
        <w:rPr>
          <w:rFonts w:ascii="Arial" w:hAnsi="Arial" w:cs="Arial"/>
          <w:sz w:val="22"/>
          <w:szCs w:val="22"/>
          <w:highlight w:val="yellow"/>
          <w:lang w:val="en-GB"/>
        </w:rPr>
      </w:pPr>
      <w:r w:rsidRPr="00C32D17">
        <w:rPr>
          <w:rFonts w:ascii="Arial" w:hAnsi="Arial" w:cs="Arial"/>
          <w:sz w:val="22"/>
          <w:szCs w:val="22"/>
          <w:highlight w:val="yellow"/>
          <w:lang w:val="en-GB"/>
        </w:rPr>
        <w:t>12 months</w:t>
      </w:r>
      <w:r w:rsidR="00763348" w:rsidRPr="00C32D17">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AC3EC5" w:rsidRDefault="0020090A" w:rsidP="002A37BB">
      <w:pPr>
        <w:ind w:left="720" w:hanging="720"/>
        <w:jc w:val="both"/>
        <w:rPr>
          <w:rFonts w:ascii="Arial" w:hAnsi="Arial" w:cs="Arial"/>
          <w:sz w:val="22"/>
          <w:szCs w:val="22"/>
          <w:lang w:val="en-GB"/>
        </w:rPr>
      </w:pPr>
    </w:p>
    <w:p w14:paraId="7061C9D6" w14:textId="674A9D95" w:rsidR="00AE5B6F" w:rsidRPr="00AC3EC5" w:rsidRDefault="00C32D17" w:rsidP="00C32D17">
      <w:pPr>
        <w:pStyle w:val="ListParagraph"/>
        <w:numPr>
          <w:ilvl w:val="0"/>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An action under section 423 of the Insolvency Act 1986 may be brought by:</w:t>
      </w:r>
    </w:p>
    <w:p w14:paraId="038CF441" w14:textId="7937830C" w:rsidR="00C32D17" w:rsidRPr="00AC3EC5" w:rsidRDefault="00C32D17" w:rsidP="00C32D17">
      <w:pPr>
        <w:pStyle w:val="ListParagraph"/>
        <w:numPr>
          <w:ilvl w:val="1"/>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A liquidator, administrator</w:t>
      </w:r>
      <w:r w:rsidR="00833B91" w:rsidRPr="00AC3EC5">
        <w:rPr>
          <w:rFonts w:ascii="Arial" w:hAnsi="Arial" w:cs="Arial"/>
          <w:color w:val="7B7B7B" w:themeColor="accent3" w:themeShade="BF"/>
          <w:sz w:val="22"/>
          <w:szCs w:val="22"/>
          <w:lang w:val="en-GB"/>
        </w:rPr>
        <w:t>, the official receiver</w:t>
      </w:r>
      <w:r w:rsidRPr="00AC3EC5">
        <w:rPr>
          <w:rFonts w:ascii="Arial" w:hAnsi="Arial" w:cs="Arial"/>
          <w:color w:val="7B7B7B" w:themeColor="accent3" w:themeShade="BF"/>
          <w:sz w:val="22"/>
          <w:szCs w:val="22"/>
          <w:lang w:val="en-GB"/>
        </w:rPr>
        <w:t xml:space="preserve"> and any victim of a transaction designed to defraud creditors</w:t>
      </w:r>
      <w:r w:rsidR="00833B91" w:rsidRPr="00AC3EC5">
        <w:rPr>
          <w:rFonts w:ascii="Arial" w:hAnsi="Arial" w:cs="Arial"/>
          <w:color w:val="7B7B7B" w:themeColor="accent3" w:themeShade="BF"/>
          <w:sz w:val="22"/>
          <w:szCs w:val="22"/>
          <w:lang w:val="en-GB"/>
        </w:rPr>
        <w:t xml:space="preserve"> (with leave from the court, in instances where the company is being wound up or is in administration</w:t>
      </w:r>
      <w:r w:rsidR="00091456">
        <w:rPr>
          <w:rFonts w:ascii="Arial" w:hAnsi="Arial" w:cs="Arial"/>
          <w:color w:val="7B7B7B" w:themeColor="accent3" w:themeShade="BF"/>
          <w:sz w:val="22"/>
          <w:szCs w:val="22"/>
          <w:lang w:val="en-GB"/>
        </w:rPr>
        <w:t>)</w:t>
      </w:r>
      <w:r w:rsidR="00833B91" w:rsidRPr="00AC3EC5">
        <w:rPr>
          <w:rFonts w:ascii="Arial" w:hAnsi="Arial" w:cs="Arial"/>
          <w:color w:val="7B7B7B" w:themeColor="accent3" w:themeShade="BF"/>
          <w:sz w:val="22"/>
          <w:szCs w:val="22"/>
          <w:lang w:val="en-GB"/>
        </w:rPr>
        <w:t>.</w:t>
      </w:r>
    </w:p>
    <w:p w14:paraId="4114194D" w14:textId="7827C86F" w:rsidR="002649F8" w:rsidRPr="00AC3EC5" w:rsidRDefault="00833B91" w:rsidP="002649F8">
      <w:pPr>
        <w:pStyle w:val="ListParagraph"/>
        <w:numPr>
          <w:ilvl w:val="1"/>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The supervisor of a CVA</w:t>
      </w:r>
      <w:r w:rsidR="00091456">
        <w:rPr>
          <w:rFonts w:ascii="Arial" w:hAnsi="Arial" w:cs="Arial"/>
          <w:color w:val="7B7B7B" w:themeColor="accent3" w:themeShade="BF"/>
          <w:sz w:val="22"/>
          <w:szCs w:val="22"/>
          <w:lang w:val="en-GB"/>
        </w:rPr>
        <w:t xml:space="preserve"> in</w:t>
      </w:r>
      <w:r w:rsidRPr="00AC3EC5">
        <w:rPr>
          <w:rFonts w:ascii="Arial" w:hAnsi="Arial" w:cs="Arial"/>
          <w:color w:val="7B7B7B" w:themeColor="accent3" w:themeShade="BF"/>
          <w:sz w:val="22"/>
          <w:szCs w:val="22"/>
          <w:lang w:val="en-GB"/>
        </w:rPr>
        <w:t xml:space="preserve"> instances where a victim of a </w:t>
      </w:r>
      <w:r w:rsidR="002649F8" w:rsidRPr="00AC3EC5">
        <w:rPr>
          <w:rFonts w:ascii="Arial" w:hAnsi="Arial" w:cs="Arial"/>
          <w:color w:val="7B7B7B" w:themeColor="accent3" w:themeShade="BF"/>
          <w:sz w:val="22"/>
          <w:szCs w:val="22"/>
          <w:lang w:val="en-GB"/>
        </w:rPr>
        <w:t xml:space="preserve">transaction designed to defraud creditors </w:t>
      </w:r>
      <w:r w:rsidRPr="00AC3EC5">
        <w:rPr>
          <w:rFonts w:ascii="Arial" w:hAnsi="Arial" w:cs="Arial"/>
          <w:color w:val="7B7B7B" w:themeColor="accent3" w:themeShade="BF"/>
          <w:sz w:val="22"/>
          <w:szCs w:val="22"/>
          <w:lang w:val="en-GB"/>
        </w:rPr>
        <w:t xml:space="preserve">is bound </w:t>
      </w:r>
      <w:r w:rsidR="00091456">
        <w:rPr>
          <w:rFonts w:ascii="Arial" w:hAnsi="Arial" w:cs="Arial"/>
          <w:color w:val="7B7B7B" w:themeColor="accent3" w:themeShade="BF"/>
          <w:sz w:val="22"/>
          <w:szCs w:val="22"/>
          <w:lang w:val="en-GB"/>
        </w:rPr>
        <w:t xml:space="preserve">by that </w:t>
      </w:r>
      <w:r w:rsidRPr="00AC3EC5">
        <w:rPr>
          <w:rFonts w:ascii="Arial" w:hAnsi="Arial" w:cs="Arial"/>
          <w:color w:val="7B7B7B" w:themeColor="accent3" w:themeShade="BF"/>
          <w:sz w:val="22"/>
          <w:szCs w:val="22"/>
          <w:lang w:val="en-GB"/>
        </w:rPr>
        <w:t xml:space="preserve"> CVA.</w:t>
      </w:r>
    </w:p>
    <w:p w14:paraId="6E21EB2A" w14:textId="6980B7EE" w:rsidR="00833B91" w:rsidRPr="00AC3EC5" w:rsidRDefault="002649F8" w:rsidP="00C32D17">
      <w:pPr>
        <w:pStyle w:val="ListParagraph"/>
        <w:numPr>
          <w:ilvl w:val="1"/>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a victim of transaction designed to defraud creditors, in any other case</w:t>
      </w:r>
      <w:r w:rsidR="00623453" w:rsidRPr="00AC3EC5">
        <w:rPr>
          <w:rFonts w:ascii="Arial" w:hAnsi="Arial" w:cs="Arial"/>
          <w:color w:val="7B7B7B" w:themeColor="accent3" w:themeShade="BF"/>
          <w:sz w:val="22"/>
          <w:szCs w:val="22"/>
          <w:lang w:val="en-GB"/>
        </w:rPr>
        <w:t xml:space="preserve"> </w:t>
      </w:r>
      <w:r w:rsidRPr="00AC3EC5">
        <w:rPr>
          <w:rFonts w:ascii="Arial" w:hAnsi="Arial" w:cs="Arial"/>
          <w:color w:val="7B7B7B" w:themeColor="accent3" w:themeShade="BF"/>
          <w:sz w:val="22"/>
          <w:szCs w:val="22"/>
          <w:lang w:val="en-GB"/>
        </w:rPr>
        <w:t>(not listed above).</w:t>
      </w:r>
    </w:p>
    <w:p w14:paraId="0DDD928D" w14:textId="77777777" w:rsidR="00623453" w:rsidRPr="00AC3EC5" w:rsidRDefault="00623453" w:rsidP="002649F8">
      <w:pPr>
        <w:ind w:left="360"/>
        <w:jc w:val="both"/>
        <w:rPr>
          <w:rFonts w:ascii="Arial" w:hAnsi="Arial" w:cs="Arial"/>
          <w:color w:val="7B7B7B" w:themeColor="accent3" w:themeShade="BF"/>
          <w:sz w:val="22"/>
          <w:szCs w:val="22"/>
          <w:lang w:val="en-GB"/>
        </w:rPr>
      </w:pPr>
    </w:p>
    <w:p w14:paraId="3DD56BF2" w14:textId="01C9E65D" w:rsidR="002649F8" w:rsidRPr="00AC3EC5" w:rsidRDefault="002649F8" w:rsidP="002649F8">
      <w:pPr>
        <w:ind w:left="360"/>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A transaction designed to defraud creditors is one where the company entered into the transaction at an undervalue (ie the company received no consideration or received</w:t>
      </w:r>
      <w:r w:rsidR="00623453" w:rsidRPr="00AC3EC5">
        <w:rPr>
          <w:rFonts w:ascii="Arial" w:hAnsi="Arial" w:cs="Arial"/>
          <w:color w:val="7B7B7B" w:themeColor="accent3" w:themeShade="BF"/>
          <w:sz w:val="22"/>
          <w:szCs w:val="22"/>
          <w:lang w:val="en-GB"/>
        </w:rPr>
        <w:t xml:space="preserve"> consideration significantly less then it provided initially). Essentially, any person who is a victim of such a transaction may bring an application under section 423.</w:t>
      </w:r>
    </w:p>
    <w:p w14:paraId="5E80A014" w14:textId="77777777" w:rsidR="00623453" w:rsidRPr="00AC3EC5" w:rsidRDefault="00623453" w:rsidP="002649F8">
      <w:pPr>
        <w:ind w:left="360"/>
        <w:jc w:val="both"/>
        <w:rPr>
          <w:rFonts w:ascii="Arial" w:hAnsi="Arial" w:cs="Arial"/>
          <w:color w:val="7B7B7B" w:themeColor="accent3" w:themeShade="BF"/>
          <w:sz w:val="22"/>
          <w:szCs w:val="22"/>
          <w:lang w:val="en-GB"/>
        </w:rPr>
      </w:pPr>
    </w:p>
    <w:p w14:paraId="5D7C0480" w14:textId="6764C4FF" w:rsidR="00C32D17" w:rsidRPr="00AC3EC5" w:rsidRDefault="00C32D17" w:rsidP="00C32D17">
      <w:pPr>
        <w:pStyle w:val="ListParagraph"/>
        <w:numPr>
          <w:ilvl w:val="0"/>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An action under</w:t>
      </w:r>
      <w:r w:rsidRPr="00AC3EC5">
        <w:rPr>
          <w:rFonts w:ascii="Arial" w:hAnsi="Arial" w:cs="Arial"/>
          <w:sz w:val="22"/>
          <w:szCs w:val="22"/>
          <w:lang w:val="en-GB"/>
        </w:rPr>
        <w:t xml:space="preserve"> </w:t>
      </w:r>
      <w:r w:rsidRPr="00AC3EC5">
        <w:rPr>
          <w:rFonts w:ascii="Arial" w:hAnsi="Arial" w:cs="Arial"/>
          <w:color w:val="7B7B7B" w:themeColor="accent3" w:themeShade="BF"/>
          <w:sz w:val="22"/>
          <w:szCs w:val="22"/>
          <w:lang w:val="en-GB"/>
        </w:rPr>
        <w:t>section 6 of the Company Directors Disqualification Act 1986</w:t>
      </w:r>
      <w:r w:rsidR="00091456">
        <w:rPr>
          <w:rFonts w:ascii="Arial" w:hAnsi="Arial" w:cs="Arial"/>
          <w:color w:val="7B7B7B" w:themeColor="accent3" w:themeShade="BF"/>
          <w:sz w:val="22"/>
          <w:szCs w:val="22"/>
          <w:lang w:val="en-GB"/>
        </w:rPr>
        <w:t xml:space="preserve"> (the "</w:t>
      </w:r>
      <w:r w:rsidR="00091456" w:rsidRPr="00091456">
        <w:rPr>
          <w:rFonts w:ascii="Arial" w:hAnsi="Arial" w:cs="Arial"/>
          <w:b/>
          <w:color w:val="7B7B7B" w:themeColor="accent3" w:themeShade="BF"/>
          <w:sz w:val="22"/>
          <w:szCs w:val="22"/>
        </w:rPr>
        <w:t>CDDA</w:t>
      </w:r>
      <w:r w:rsidR="00091456">
        <w:rPr>
          <w:rFonts w:ascii="Arial" w:hAnsi="Arial" w:cs="Arial"/>
          <w:color w:val="7B7B7B" w:themeColor="accent3" w:themeShade="BF"/>
          <w:sz w:val="22"/>
          <w:szCs w:val="22"/>
        </w:rPr>
        <w:t>")</w:t>
      </w:r>
      <w:r w:rsidRPr="00AC3EC5">
        <w:rPr>
          <w:rFonts w:ascii="Arial" w:hAnsi="Arial" w:cs="Arial"/>
          <w:color w:val="7B7B7B" w:themeColor="accent3" w:themeShade="BF"/>
          <w:sz w:val="22"/>
          <w:szCs w:val="22"/>
          <w:lang w:val="en-GB"/>
        </w:rPr>
        <w:t xml:space="preserve"> may be brought </w:t>
      </w:r>
      <w:r w:rsidR="0056610A" w:rsidRPr="00AC3EC5">
        <w:rPr>
          <w:rFonts w:ascii="Arial" w:hAnsi="Arial" w:cs="Arial"/>
          <w:color w:val="7B7B7B" w:themeColor="accent3" w:themeShade="BF"/>
          <w:sz w:val="22"/>
          <w:szCs w:val="22"/>
          <w:lang w:val="en-GB"/>
        </w:rPr>
        <w:t>in instances where the court is satisfied that</w:t>
      </w:r>
      <w:r w:rsidR="00EF12C9" w:rsidRPr="00AC3EC5">
        <w:rPr>
          <w:rFonts w:ascii="Arial" w:hAnsi="Arial" w:cs="Arial"/>
          <w:color w:val="7B7B7B" w:themeColor="accent3" w:themeShade="BF"/>
          <w:sz w:val="22"/>
          <w:szCs w:val="22"/>
          <w:lang w:val="en-GB"/>
        </w:rPr>
        <w:t>:</w:t>
      </w:r>
    </w:p>
    <w:p w14:paraId="088AF1FF" w14:textId="5AE49B6E" w:rsidR="00EF12C9" w:rsidRPr="00AC3EC5" w:rsidRDefault="00EF12C9" w:rsidP="00EF12C9">
      <w:pPr>
        <w:pStyle w:val="ListParagraph"/>
        <w:numPr>
          <w:ilvl w:val="1"/>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the person concerned is or has been a director of the company which has at the anytime become insolvent (either during his time as a director or subsequently)</w:t>
      </w:r>
      <w:r w:rsidR="00091456">
        <w:rPr>
          <w:rFonts w:ascii="Arial" w:hAnsi="Arial" w:cs="Arial"/>
          <w:color w:val="7B7B7B" w:themeColor="accent3" w:themeShade="BF"/>
          <w:sz w:val="22"/>
          <w:szCs w:val="22"/>
          <w:lang w:val="en-GB"/>
        </w:rPr>
        <w:t>;</w:t>
      </w:r>
      <w:r w:rsidRPr="00AC3EC5">
        <w:rPr>
          <w:rFonts w:ascii="Arial" w:hAnsi="Arial" w:cs="Arial"/>
          <w:color w:val="7B7B7B" w:themeColor="accent3" w:themeShade="BF"/>
          <w:sz w:val="22"/>
          <w:szCs w:val="22"/>
          <w:lang w:val="en-GB"/>
        </w:rPr>
        <w:t xml:space="preserve"> and</w:t>
      </w:r>
    </w:p>
    <w:p w14:paraId="32E52E0E" w14:textId="04835D5E" w:rsidR="00EF12C9" w:rsidRPr="00AC3EC5" w:rsidRDefault="00EF12C9" w:rsidP="00EF12C9">
      <w:pPr>
        <w:pStyle w:val="ListParagraph"/>
        <w:numPr>
          <w:ilvl w:val="1"/>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that his conduct as a director of that company makes him unfit to be concerned in the management of the company.</w:t>
      </w:r>
    </w:p>
    <w:p w14:paraId="4C3DBDA8" w14:textId="77777777" w:rsidR="0056610A" w:rsidRPr="00AC3EC5" w:rsidRDefault="0056610A" w:rsidP="0056610A">
      <w:pPr>
        <w:ind w:left="360"/>
        <w:jc w:val="both"/>
        <w:rPr>
          <w:rFonts w:ascii="Arial" w:hAnsi="Arial" w:cs="Arial"/>
          <w:color w:val="7B7B7B" w:themeColor="accent3" w:themeShade="BF"/>
          <w:sz w:val="22"/>
          <w:szCs w:val="22"/>
        </w:rPr>
      </w:pPr>
    </w:p>
    <w:p w14:paraId="7A45EDC1" w14:textId="45D54ACC" w:rsidR="00623453" w:rsidRPr="00AC3EC5" w:rsidRDefault="0056610A" w:rsidP="0056610A">
      <w:pPr>
        <w:ind w:left="360"/>
        <w:jc w:val="both"/>
        <w:rPr>
          <w:rFonts w:ascii="Arial" w:hAnsi="Arial" w:cs="Arial"/>
          <w:color w:val="7B7B7B" w:themeColor="accent3" w:themeShade="BF"/>
          <w:sz w:val="22"/>
          <w:szCs w:val="22"/>
        </w:rPr>
      </w:pPr>
      <w:r w:rsidRPr="00AC3EC5">
        <w:rPr>
          <w:rFonts w:ascii="Arial" w:hAnsi="Arial" w:cs="Arial"/>
          <w:color w:val="7B7B7B" w:themeColor="accent3" w:themeShade="BF"/>
          <w:sz w:val="22"/>
          <w:szCs w:val="22"/>
        </w:rPr>
        <w:t>Pursuant to section 7 of the CDDA, such an action may be brought by the Secretary of State, or if the Secretary of State so directs in the case of a person who is or has been a director of a company which is being wound up by the court in England and Wales, by the official receiver.</w:t>
      </w:r>
    </w:p>
    <w:p w14:paraId="22A353A5" w14:textId="77777777" w:rsidR="0056610A" w:rsidRPr="00AC3EC5" w:rsidRDefault="0056610A" w:rsidP="0056610A">
      <w:pPr>
        <w:ind w:left="360"/>
        <w:jc w:val="both"/>
        <w:rPr>
          <w:rFonts w:ascii="Arial" w:hAnsi="Arial" w:cs="Arial"/>
          <w:color w:val="7B7B7B" w:themeColor="accent3" w:themeShade="BF"/>
          <w:sz w:val="22"/>
          <w:szCs w:val="22"/>
          <w:lang w:val="en-GB"/>
        </w:rPr>
      </w:pPr>
    </w:p>
    <w:p w14:paraId="7797A64B" w14:textId="46CCA646" w:rsidR="00C32D17" w:rsidRPr="00AC3EC5" w:rsidRDefault="00C32D17" w:rsidP="00C32D17">
      <w:pPr>
        <w:pStyle w:val="ListParagraph"/>
        <w:numPr>
          <w:ilvl w:val="0"/>
          <w:numId w:val="18"/>
        </w:numPr>
        <w:jc w:val="both"/>
        <w:rPr>
          <w:rFonts w:ascii="Arial" w:hAnsi="Arial" w:cs="Arial"/>
          <w:color w:val="7B7B7B" w:themeColor="accent3" w:themeShade="BF"/>
          <w:sz w:val="22"/>
          <w:szCs w:val="22"/>
          <w:lang w:val="en-GB"/>
        </w:rPr>
      </w:pPr>
      <w:r w:rsidRPr="00AC3EC5">
        <w:rPr>
          <w:rFonts w:ascii="Arial" w:hAnsi="Arial" w:cs="Arial"/>
          <w:color w:val="7B7B7B" w:themeColor="accent3" w:themeShade="BF"/>
          <w:sz w:val="22"/>
          <w:szCs w:val="22"/>
          <w:lang w:val="en-GB"/>
        </w:rPr>
        <w:t xml:space="preserve">An action </w:t>
      </w:r>
      <w:r w:rsidR="00091456">
        <w:rPr>
          <w:rFonts w:ascii="Arial" w:hAnsi="Arial" w:cs="Arial"/>
          <w:color w:val="7B7B7B" w:themeColor="accent3" w:themeShade="BF"/>
          <w:sz w:val="22"/>
          <w:szCs w:val="22"/>
          <w:lang w:val="en-GB"/>
        </w:rPr>
        <w:t>(for wrongful trading)</w:t>
      </w:r>
      <w:r w:rsidRPr="00AC3EC5">
        <w:rPr>
          <w:rFonts w:ascii="Arial" w:hAnsi="Arial" w:cs="Arial"/>
          <w:color w:val="7B7B7B" w:themeColor="accent3" w:themeShade="BF"/>
          <w:sz w:val="22"/>
          <w:szCs w:val="22"/>
          <w:lang w:val="en-GB"/>
        </w:rPr>
        <w:t xml:space="preserve">under section 246ZB of the Insolvency Act 1986 may be brought by </w:t>
      </w:r>
      <w:r w:rsidR="000E1C46" w:rsidRPr="00AC3EC5">
        <w:rPr>
          <w:rFonts w:ascii="Arial" w:hAnsi="Arial" w:cs="Arial"/>
          <w:color w:val="7B7B7B" w:themeColor="accent3" w:themeShade="BF"/>
          <w:sz w:val="22"/>
          <w:szCs w:val="22"/>
        </w:rPr>
        <w:t xml:space="preserve">both liquidators and administrators (subject to the transitional provisions). Before 1 October 2015, only liquidators could bring such claims. A liquidator or administrator may also assign wrongful trading claims to third parties </w:t>
      </w:r>
      <w:r w:rsidR="00091456">
        <w:rPr>
          <w:rFonts w:ascii="Arial" w:hAnsi="Arial" w:cs="Arial"/>
          <w:color w:val="7B7B7B" w:themeColor="accent3" w:themeShade="BF"/>
          <w:sz w:val="22"/>
          <w:szCs w:val="22"/>
        </w:rPr>
        <w:t xml:space="preserve">- this </w:t>
      </w:r>
      <w:r w:rsidR="000E1C46" w:rsidRPr="00AC3EC5">
        <w:rPr>
          <w:rFonts w:ascii="Arial" w:hAnsi="Arial" w:cs="Arial"/>
          <w:color w:val="7B7B7B" w:themeColor="accent3" w:themeShade="BF"/>
          <w:sz w:val="22"/>
          <w:szCs w:val="22"/>
        </w:rPr>
        <w:t xml:space="preserve">was confirmed in the </w:t>
      </w:r>
      <w:r w:rsidR="000E1C46" w:rsidRPr="00AC3EC5">
        <w:rPr>
          <w:rFonts w:ascii="Arial" w:hAnsi="Arial" w:cs="Arial"/>
          <w:i/>
          <w:iCs/>
          <w:color w:val="7B7B7B" w:themeColor="accent3" w:themeShade="BF"/>
          <w:sz w:val="22"/>
          <w:szCs w:val="22"/>
        </w:rPr>
        <w:t xml:space="preserve">Re Totalbrand Limited </w:t>
      </w:r>
      <w:r w:rsidR="000E1C46" w:rsidRPr="00AC3EC5">
        <w:rPr>
          <w:rFonts w:ascii="Arial" w:hAnsi="Arial" w:cs="Arial"/>
          <w:iCs/>
          <w:color w:val="7B7B7B" w:themeColor="accent3" w:themeShade="BF"/>
          <w:sz w:val="22"/>
          <w:szCs w:val="22"/>
        </w:rPr>
        <w:t>case</w:t>
      </w:r>
      <w:r w:rsidR="000E1C46" w:rsidRPr="00AC3EC5">
        <w:rPr>
          <w:rStyle w:val="FootnoteReference"/>
          <w:rFonts w:ascii="Arial" w:hAnsi="Arial" w:cs="Arial"/>
          <w:iCs/>
          <w:color w:val="7B7B7B" w:themeColor="accent3" w:themeShade="BF"/>
          <w:sz w:val="22"/>
          <w:szCs w:val="22"/>
        </w:rPr>
        <w:footnoteReference w:id="1"/>
      </w:r>
      <w:r w:rsidR="000E1C46" w:rsidRPr="00AC3EC5">
        <w:rPr>
          <w:rFonts w:ascii="Arial" w:hAnsi="Arial" w:cs="Arial"/>
          <w:color w:val="7B7B7B" w:themeColor="accent3" w:themeShade="BF"/>
          <w:sz w:val="22"/>
          <w:szCs w:val="22"/>
        </w:rPr>
        <w:t>.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44B67C36" w:rsidR="00FF5098" w:rsidRDefault="000E1C46" w:rsidP="000E1C4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physical meeting of the creditors;</w:t>
      </w:r>
    </w:p>
    <w:p w14:paraId="27C7F285" w14:textId="4ED9FB58" w:rsidR="000E1C46" w:rsidRDefault="000E1C46" w:rsidP="000E1C4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r w:rsidR="00091456">
        <w:rPr>
          <w:rFonts w:ascii="Arial" w:hAnsi="Arial" w:cs="Arial"/>
          <w:color w:val="7B7B7B" w:themeColor="accent3" w:themeShade="BF"/>
          <w:sz w:val="22"/>
          <w:szCs w:val="22"/>
          <w:lang w:val="en-GB"/>
        </w:rPr>
        <w:t>;</w:t>
      </w:r>
    </w:p>
    <w:p w14:paraId="2F176157" w14:textId="4E43D46C" w:rsidR="000E1C46" w:rsidRDefault="000E1C46" w:rsidP="000E1C4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r w:rsidR="0009145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B9AAB0E" w14:textId="7970EB11" w:rsidR="000E1C46" w:rsidRDefault="000E1C46" w:rsidP="000E1C4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r w:rsidR="00091456">
        <w:rPr>
          <w:rFonts w:ascii="Arial" w:hAnsi="Arial" w:cs="Arial"/>
          <w:color w:val="7B7B7B" w:themeColor="accent3" w:themeShade="BF"/>
          <w:sz w:val="22"/>
          <w:szCs w:val="22"/>
          <w:lang w:val="en-GB"/>
        </w:rPr>
        <w:t>;</w:t>
      </w:r>
    </w:p>
    <w:p w14:paraId="22140DCD" w14:textId="79662662" w:rsidR="000E1C46" w:rsidRPr="004E31DF" w:rsidRDefault="000E1C46" w:rsidP="000E1C46">
      <w:pPr>
        <w:pStyle w:val="ListParagraph"/>
        <w:numPr>
          <w:ilvl w:val="0"/>
          <w:numId w:val="19"/>
        </w:numPr>
        <w:jc w:val="both"/>
        <w:rPr>
          <w:rFonts w:ascii="Arial" w:hAnsi="Arial" w:cs="Arial"/>
          <w:color w:val="7B7B7B" w:themeColor="accent3" w:themeShade="BF"/>
          <w:sz w:val="22"/>
          <w:szCs w:val="22"/>
          <w:lang w:val="en-GB"/>
        </w:rPr>
      </w:pPr>
      <w:r w:rsidRPr="000E1C46">
        <w:rPr>
          <w:rFonts w:ascii="Arial" w:hAnsi="Arial" w:cs="Arial"/>
          <w:color w:val="7B7B7B" w:themeColor="accent3" w:themeShade="BF"/>
          <w:sz w:val="22"/>
          <w:szCs w:val="22"/>
        </w:rPr>
        <w:lastRenderedPageBreak/>
        <w:t>Any other decision making procedure which enables all creditors</w:t>
      </w:r>
      <w:r w:rsidR="00091456">
        <w:rPr>
          <w:rFonts w:ascii="Arial" w:hAnsi="Arial" w:cs="Arial"/>
          <w:color w:val="7B7B7B" w:themeColor="accent3" w:themeShade="BF"/>
          <w:sz w:val="22"/>
          <w:szCs w:val="22"/>
        </w:rPr>
        <w:t>,</w:t>
      </w:r>
      <w:r w:rsidRPr="000E1C46">
        <w:rPr>
          <w:rFonts w:ascii="Arial" w:hAnsi="Arial" w:cs="Arial"/>
          <w:color w:val="7B7B7B" w:themeColor="accent3" w:themeShade="BF"/>
          <w:sz w:val="22"/>
          <w:szCs w:val="22"/>
        </w:rPr>
        <w:t xml:space="preserve"> who are entitled to participate</w:t>
      </w:r>
      <w:r w:rsidR="00091456">
        <w:rPr>
          <w:rFonts w:ascii="Arial" w:hAnsi="Arial" w:cs="Arial"/>
          <w:color w:val="7B7B7B" w:themeColor="accent3" w:themeShade="BF"/>
          <w:sz w:val="22"/>
          <w:szCs w:val="22"/>
        </w:rPr>
        <w:t>,</w:t>
      </w:r>
      <w:r w:rsidRPr="000E1C46">
        <w:rPr>
          <w:rFonts w:ascii="Arial" w:hAnsi="Arial" w:cs="Arial"/>
          <w:color w:val="7B7B7B" w:themeColor="accent3" w:themeShade="BF"/>
          <w:sz w:val="22"/>
          <w:szCs w:val="22"/>
        </w:rPr>
        <w:t xml:space="preserve"> to participate equally in making the decision</w:t>
      </w:r>
      <w:r w:rsidR="004E31DF">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2"/>
      </w:r>
    </w:p>
    <w:p w14:paraId="18E71EF7" w14:textId="4A1E989B" w:rsidR="004E31DF" w:rsidRDefault="004E31DF" w:rsidP="004E31DF">
      <w:pPr>
        <w:ind w:left="360"/>
        <w:jc w:val="both"/>
        <w:rPr>
          <w:rFonts w:ascii="Arial" w:hAnsi="Arial" w:cs="Arial"/>
          <w:color w:val="7B7B7B" w:themeColor="accent3" w:themeShade="BF"/>
          <w:sz w:val="22"/>
          <w:szCs w:val="22"/>
          <w:lang w:val="en-GB"/>
        </w:rPr>
      </w:pPr>
    </w:p>
    <w:p w14:paraId="12D15EBC" w14:textId="0397B08E" w:rsidR="004E31DF" w:rsidRPr="004E31DF" w:rsidRDefault="004E31DF" w:rsidP="004E31DF">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decision of the creditors may also be made by way of a "deemed consent procedure" which permits a decision to be made by notifying creditors of the intended decision and </w:t>
      </w:r>
      <w:r w:rsidR="0009145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f that decision is not effectively objected to, it is deemed to have been made.</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1F5B1067" w:rsidR="00FF5098" w:rsidRDefault="00D50C28"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One of the </w:t>
      </w:r>
      <w:r w:rsidR="003B3D33">
        <w:rPr>
          <w:rFonts w:ascii="Arial" w:hAnsi="Arial" w:cs="Arial"/>
          <w:color w:val="7B7B7B" w:themeColor="accent3" w:themeShade="BF"/>
          <w:sz w:val="22"/>
          <w:szCs w:val="22"/>
          <w:lang w:val="en-GB"/>
        </w:rPr>
        <w:t xml:space="preserve">main purposes of administration is to </w:t>
      </w:r>
      <w:r w:rsidR="00786DAF">
        <w:rPr>
          <w:rFonts w:ascii="Arial" w:hAnsi="Arial" w:cs="Arial"/>
          <w:color w:val="7B7B7B" w:themeColor="accent3" w:themeShade="BF"/>
          <w:sz w:val="22"/>
          <w:szCs w:val="22"/>
          <w:lang w:val="en-GB"/>
        </w:rPr>
        <w:t>rescue the company so that it can continue trading</w:t>
      </w:r>
      <w:r w:rsidR="003B3D33">
        <w:rPr>
          <w:rFonts w:ascii="Arial" w:hAnsi="Arial" w:cs="Arial"/>
          <w:color w:val="7B7B7B" w:themeColor="accent3" w:themeShade="BF"/>
          <w:sz w:val="22"/>
          <w:szCs w:val="22"/>
          <w:lang w:val="en-GB"/>
        </w:rPr>
        <w:t xml:space="preserve"> as a going concern. This outcome is </w:t>
      </w:r>
      <w:r>
        <w:rPr>
          <w:rFonts w:ascii="Arial" w:hAnsi="Arial" w:cs="Arial"/>
          <w:color w:val="7B7B7B" w:themeColor="accent3" w:themeShade="BF"/>
          <w:sz w:val="22"/>
          <w:szCs w:val="22"/>
          <w:lang w:val="en-GB"/>
        </w:rPr>
        <w:t xml:space="preserve">unachievable if the Company's </w:t>
      </w:r>
      <w:r w:rsidR="007766C4">
        <w:rPr>
          <w:rFonts w:ascii="Arial" w:hAnsi="Arial" w:cs="Arial"/>
          <w:color w:val="7B7B7B" w:themeColor="accent3" w:themeShade="BF"/>
          <w:sz w:val="22"/>
          <w:szCs w:val="22"/>
          <w:lang w:val="en-GB"/>
        </w:rPr>
        <w:t xml:space="preserve">supply agreements with its </w:t>
      </w:r>
      <w:r>
        <w:rPr>
          <w:rFonts w:ascii="Arial" w:hAnsi="Arial" w:cs="Arial"/>
          <w:color w:val="7B7B7B" w:themeColor="accent3" w:themeShade="BF"/>
          <w:sz w:val="22"/>
          <w:szCs w:val="22"/>
          <w:lang w:val="en-GB"/>
        </w:rPr>
        <w:t xml:space="preserve">main suppliers </w:t>
      </w:r>
      <w:r w:rsidR="00786DAF">
        <w:rPr>
          <w:rFonts w:ascii="Arial" w:hAnsi="Arial" w:cs="Arial"/>
          <w:color w:val="7B7B7B" w:themeColor="accent3" w:themeShade="BF"/>
          <w:sz w:val="22"/>
          <w:szCs w:val="22"/>
          <w:lang w:val="en-GB"/>
        </w:rPr>
        <w:t>cease to operate</w:t>
      </w:r>
      <w:r>
        <w:rPr>
          <w:rFonts w:ascii="Arial" w:hAnsi="Arial" w:cs="Arial"/>
          <w:color w:val="7B7B7B" w:themeColor="accent3" w:themeShade="BF"/>
          <w:sz w:val="22"/>
          <w:szCs w:val="22"/>
          <w:lang w:val="en-GB"/>
        </w:rPr>
        <w:t xml:space="preserve">. </w:t>
      </w:r>
      <w:r w:rsidR="007766C4">
        <w:rPr>
          <w:rFonts w:ascii="Arial" w:hAnsi="Arial" w:cs="Arial"/>
          <w:color w:val="7B7B7B" w:themeColor="accent3" w:themeShade="BF"/>
          <w:sz w:val="22"/>
          <w:szCs w:val="22"/>
          <w:lang w:val="en-GB"/>
        </w:rPr>
        <w:t>If this happens it will be difficult for a company to cont</w:t>
      </w:r>
      <w:r w:rsidR="00786DAF">
        <w:rPr>
          <w:rFonts w:ascii="Arial" w:hAnsi="Arial" w:cs="Arial"/>
          <w:color w:val="7B7B7B" w:themeColor="accent3" w:themeShade="BF"/>
          <w:sz w:val="22"/>
          <w:szCs w:val="22"/>
          <w:lang w:val="en-GB"/>
        </w:rPr>
        <w:t>inue trading as a going concern</w:t>
      </w:r>
      <w:r>
        <w:rPr>
          <w:rFonts w:ascii="Arial" w:hAnsi="Arial" w:cs="Arial"/>
          <w:color w:val="7B7B7B" w:themeColor="accent3" w:themeShade="BF"/>
          <w:sz w:val="22"/>
          <w:szCs w:val="22"/>
          <w:lang w:val="en-GB"/>
        </w:rPr>
        <w:t xml:space="preserve">. Section 233 </w:t>
      </w:r>
      <w:r w:rsidR="007766C4">
        <w:rPr>
          <w:rFonts w:ascii="Arial" w:hAnsi="Arial" w:cs="Arial"/>
          <w:color w:val="7B7B7B" w:themeColor="accent3" w:themeShade="BF"/>
          <w:sz w:val="22"/>
          <w:szCs w:val="22"/>
          <w:lang w:val="en-GB"/>
        </w:rPr>
        <w:t xml:space="preserve">of the </w:t>
      </w:r>
      <w:r w:rsidR="007766C4" w:rsidRPr="00491A03">
        <w:rPr>
          <w:rFonts w:ascii="Arial" w:hAnsi="Arial" w:cs="Arial"/>
          <w:color w:val="7B7B7B" w:themeColor="accent3" w:themeShade="BF"/>
          <w:sz w:val="22"/>
          <w:szCs w:val="22"/>
          <w:lang w:val="en-GB"/>
        </w:rPr>
        <w:t>Insolvency Act of 1986 (</w:t>
      </w:r>
      <w:r w:rsidR="007766C4">
        <w:rPr>
          <w:rFonts w:ascii="Arial" w:hAnsi="Arial" w:cs="Arial"/>
          <w:color w:val="7B7B7B" w:themeColor="accent3" w:themeShade="BF"/>
          <w:sz w:val="22"/>
          <w:szCs w:val="22"/>
          <w:lang w:val="en-GB"/>
        </w:rPr>
        <w:t xml:space="preserve">the </w:t>
      </w:r>
      <w:r w:rsidR="007766C4" w:rsidRPr="00491A03">
        <w:rPr>
          <w:rFonts w:ascii="Arial" w:hAnsi="Arial" w:cs="Arial"/>
          <w:color w:val="7B7B7B" w:themeColor="accent3" w:themeShade="BF"/>
          <w:sz w:val="22"/>
          <w:szCs w:val="22"/>
          <w:lang w:val="en-GB"/>
        </w:rPr>
        <w:t>"</w:t>
      </w:r>
      <w:r w:rsidR="007766C4" w:rsidRPr="00491A03">
        <w:rPr>
          <w:rFonts w:ascii="Arial" w:hAnsi="Arial" w:cs="Arial"/>
          <w:b/>
          <w:color w:val="7B7B7B" w:themeColor="accent3" w:themeShade="BF"/>
          <w:sz w:val="22"/>
          <w:szCs w:val="22"/>
          <w:lang w:val="en-GB"/>
        </w:rPr>
        <w:t>Act</w:t>
      </w:r>
      <w:r w:rsidR="007766C4" w:rsidRPr="00491A0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ensures that the essential services which the company needs </w:t>
      </w:r>
      <w:r w:rsidR="007766C4">
        <w:rPr>
          <w:rFonts w:ascii="Arial" w:hAnsi="Arial" w:cs="Arial"/>
          <w:color w:val="7B7B7B" w:themeColor="accent3" w:themeShade="BF"/>
          <w:sz w:val="22"/>
          <w:szCs w:val="22"/>
          <w:lang w:val="en-GB"/>
        </w:rPr>
        <w:t xml:space="preserve">in order </w:t>
      </w:r>
      <w:r>
        <w:rPr>
          <w:rFonts w:ascii="Arial" w:hAnsi="Arial" w:cs="Arial"/>
          <w:color w:val="7B7B7B" w:themeColor="accent3" w:themeShade="BF"/>
          <w:sz w:val="22"/>
          <w:szCs w:val="22"/>
          <w:lang w:val="en-GB"/>
        </w:rPr>
        <w:t xml:space="preserve">to operate, will not </w:t>
      </w:r>
      <w:r w:rsidR="00786DAF">
        <w:rPr>
          <w:rFonts w:ascii="Arial" w:hAnsi="Arial" w:cs="Arial"/>
          <w:color w:val="7B7B7B" w:themeColor="accent3" w:themeShade="BF"/>
          <w:sz w:val="22"/>
          <w:szCs w:val="22"/>
          <w:lang w:val="en-GB"/>
        </w:rPr>
        <w:t>cease</w:t>
      </w:r>
      <w:r>
        <w:rPr>
          <w:rFonts w:ascii="Arial" w:hAnsi="Arial" w:cs="Arial"/>
          <w:color w:val="7B7B7B" w:themeColor="accent3" w:themeShade="BF"/>
          <w:sz w:val="22"/>
          <w:szCs w:val="22"/>
          <w:lang w:val="en-GB"/>
        </w:rPr>
        <w:t xml:space="preserve"> simply because the company has entered into administration. </w:t>
      </w:r>
      <w:r w:rsidR="00491A03">
        <w:rPr>
          <w:rFonts w:ascii="Arial" w:hAnsi="Arial" w:cs="Arial"/>
          <w:color w:val="7B7B7B" w:themeColor="accent3" w:themeShade="BF"/>
          <w:sz w:val="22"/>
          <w:szCs w:val="22"/>
          <w:lang w:val="en-GB"/>
        </w:rPr>
        <w:t xml:space="preserve">Section 233 </w:t>
      </w:r>
      <w:r w:rsidR="007766C4">
        <w:rPr>
          <w:rFonts w:ascii="Arial" w:hAnsi="Arial" w:cs="Arial"/>
          <w:color w:val="7B7B7B" w:themeColor="accent3" w:themeShade="BF"/>
          <w:sz w:val="22"/>
          <w:szCs w:val="22"/>
          <w:lang w:val="en-GB"/>
        </w:rPr>
        <w:t xml:space="preserve">of the Act </w:t>
      </w:r>
      <w:r w:rsidR="00491A03">
        <w:rPr>
          <w:rFonts w:ascii="Arial" w:hAnsi="Arial" w:cs="Arial"/>
          <w:color w:val="7B7B7B" w:themeColor="accent3" w:themeShade="BF"/>
          <w:sz w:val="22"/>
          <w:szCs w:val="22"/>
          <w:lang w:val="en-GB"/>
        </w:rPr>
        <w:t xml:space="preserve">provides that </w:t>
      </w:r>
      <w:r w:rsidR="00491A03">
        <w:rPr>
          <w:rFonts w:ascii="Arial" w:hAnsi="Arial" w:cs="Arial"/>
          <w:color w:val="7B7B7B" w:themeColor="accent3" w:themeShade="BF"/>
          <w:sz w:val="22"/>
          <w:szCs w:val="22"/>
        </w:rPr>
        <w:t xml:space="preserve">if an administrator requests a current supplier of </w:t>
      </w:r>
      <w:r w:rsidR="00775AB3">
        <w:rPr>
          <w:rFonts w:ascii="Arial" w:hAnsi="Arial" w:cs="Arial"/>
          <w:color w:val="7B7B7B" w:themeColor="accent3" w:themeShade="BF"/>
          <w:sz w:val="22"/>
          <w:szCs w:val="22"/>
        </w:rPr>
        <w:t xml:space="preserve">a </w:t>
      </w:r>
      <w:r w:rsidR="00491A03">
        <w:rPr>
          <w:rFonts w:ascii="Arial" w:hAnsi="Arial" w:cs="Arial"/>
          <w:color w:val="7B7B7B" w:themeColor="accent3" w:themeShade="BF"/>
          <w:sz w:val="22"/>
          <w:szCs w:val="22"/>
        </w:rPr>
        <w:t>company in administration to continue to supply certain essential services</w:t>
      </w:r>
      <w:r w:rsidR="00491A03" w:rsidRPr="00491A03">
        <w:rPr>
          <w:rFonts w:ascii="Arial" w:hAnsi="Arial" w:cs="Arial"/>
          <w:color w:val="7B7B7B" w:themeColor="accent3" w:themeShade="BF"/>
          <w:sz w:val="22"/>
          <w:szCs w:val="22"/>
        </w:rPr>
        <w:t>, the supplier</w:t>
      </w:r>
      <w:r w:rsidR="00491A03">
        <w:rPr>
          <w:rFonts w:ascii="Arial" w:hAnsi="Arial" w:cs="Arial"/>
          <w:color w:val="7B7B7B" w:themeColor="accent3" w:themeShade="BF"/>
          <w:sz w:val="22"/>
          <w:szCs w:val="22"/>
        </w:rPr>
        <w:t>:</w:t>
      </w:r>
      <w:r w:rsidR="00491A03" w:rsidRPr="00491A03">
        <w:rPr>
          <w:rFonts w:ascii="Arial" w:hAnsi="Arial" w:cs="Arial"/>
          <w:color w:val="7B7B7B" w:themeColor="accent3" w:themeShade="BF"/>
          <w:sz w:val="22"/>
          <w:szCs w:val="22"/>
        </w:rPr>
        <w:t xml:space="preserve"> (a) may make</w:t>
      </w:r>
      <w:r w:rsidR="007766C4">
        <w:rPr>
          <w:rFonts w:ascii="Arial" w:hAnsi="Arial" w:cs="Arial"/>
          <w:color w:val="7B7B7B" w:themeColor="accent3" w:themeShade="BF"/>
          <w:sz w:val="22"/>
          <w:szCs w:val="22"/>
        </w:rPr>
        <w:t xml:space="preserve"> the supply of the service subject to</w:t>
      </w:r>
      <w:r w:rsidR="00786DAF">
        <w:rPr>
          <w:rFonts w:ascii="Arial" w:hAnsi="Arial" w:cs="Arial"/>
          <w:color w:val="7B7B7B" w:themeColor="accent3" w:themeShade="BF"/>
          <w:sz w:val="22"/>
          <w:szCs w:val="22"/>
        </w:rPr>
        <w:t xml:space="preserve"> </w:t>
      </w:r>
      <w:r w:rsidR="00491A03" w:rsidRPr="00491A03">
        <w:rPr>
          <w:rFonts w:ascii="Arial" w:hAnsi="Arial" w:cs="Arial"/>
          <w:color w:val="7B7B7B" w:themeColor="accent3" w:themeShade="BF"/>
          <w:sz w:val="22"/>
          <w:szCs w:val="22"/>
        </w:rPr>
        <w:t xml:space="preserve">the </w:t>
      </w:r>
      <w:r w:rsidR="00491A03">
        <w:rPr>
          <w:rFonts w:ascii="Arial" w:hAnsi="Arial" w:cs="Arial"/>
          <w:color w:val="7B7B7B" w:themeColor="accent3" w:themeShade="BF"/>
          <w:sz w:val="22"/>
          <w:szCs w:val="22"/>
        </w:rPr>
        <w:t>administrator</w:t>
      </w:r>
      <w:r w:rsidR="00491A03" w:rsidRPr="00491A03">
        <w:rPr>
          <w:rFonts w:ascii="Arial" w:hAnsi="Arial" w:cs="Arial"/>
          <w:color w:val="7B7B7B" w:themeColor="accent3" w:themeShade="BF"/>
          <w:sz w:val="22"/>
          <w:szCs w:val="22"/>
        </w:rPr>
        <w:t xml:space="preserve"> </w:t>
      </w:r>
      <w:r w:rsidR="007766C4">
        <w:rPr>
          <w:rFonts w:ascii="Arial" w:hAnsi="Arial" w:cs="Arial"/>
          <w:color w:val="7B7B7B" w:themeColor="accent3" w:themeShade="BF"/>
          <w:sz w:val="22"/>
          <w:szCs w:val="22"/>
        </w:rPr>
        <w:t xml:space="preserve">providing </w:t>
      </w:r>
      <w:r w:rsidR="00491A03" w:rsidRPr="00491A03">
        <w:rPr>
          <w:rFonts w:ascii="Arial" w:hAnsi="Arial" w:cs="Arial"/>
          <w:color w:val="7B7B7B" w:themeColor="accent3" w:themeShade="BF"/>
          <w:sz w:val="22"/>
          <w:szCs w:val="22"/>
        </w:rPr>
        <w:t xml:space="preserve">personal guarantees </w:t>
      </w:r>
      <w:r w:rsidR="007766C4">
        <w:rPr>
          <w:rFonts w:ascii="Arial" w:hAnsi="Arial" w:cs="Arial"/>
          <w:color w:val="7B7B7B" w:themeColor="accent3" w:themeShade="BF"/>
          <w:sz w:val="22"/>
          <w:szCs w:val="22"/>
        </w:rPr>
        <w:t xml:space="preserve">for </w:t>
      </w:r>
      <w:r w:rsidR="00491A03" w:rsidRPr="00491A03">
        <w:rPr>
          <w:rFonts w:ascii="Arial" w:hAnsi="Arial" w:cs="Arial"/>
          <w:color w:val="7B7B7B" w:themeColor="accent3" w:themeShade="BF"/>
          <w:sz w:val="22"/>
          <w:szCs w:val="22"/>
        </w:rPr>
        <w:t xml:space="preserve">the payment of any charges </w:t>
      </w:r>
      <w:r w:rsidR="007766C4">
        <w:rPr>
          <w:rFonts w:ascii="Arial" w:hAnsi="Arial" w:cs="Arial"/>
          <w:color w:val="7B7B7B" w:themeColor="accent3" w:themeShade="BF"/>
          <w:sz w:val="22"/>
          <w:szCs w:val="22"/>
        </w:rPr>
        <w:t xml:space="preserve">owing </w:t>
      </w:r>
      <w:r w:rsidR="00491A03" w:rsidRPr="00491A03">
        <w:rPr>
          <w:rFonts w:ascii="Arial" w:hAnsi="Arial" w:cs="Arial"/>
          <w:color w:val="7B7B7B" w:themeColor="accent3" w:themeShade="BF"/>
          <w:sz w:val="22"/>
          <w:szCs w:val="22"/>
        </w:rPr>
        <w:t xml:space="preserve">in respect of the </w:t>
      </w:r>
      <w:r w:rsidR="007766C4">
        <w:rPr>
          <w:rFonts w:ascii="Arial" w:hAnsi="Arial" w:cs="Arial"/>
          <w:color w:val="7B7B7B" w:themeColor="accent3" w:themeShade="BF"/>
          <w:sz w:val="22"/>
          <w:szCs w:val="22"/>
        </w:rPr>
        <w:t>service supplied</w:t>
      </w:r>
      <w:r w:rsidR="00491A03" w:rsidRPr="00491A03">
        <w:rPr>
          <w:rFonts w:ascii="Arial" w:hAnsi="Arial" w:cs="Arial"/>
          <w:color w:val="7B7B7B" w:themeColor="accent3" w:themeShade="BF"/>
          <w:sz w:val="22"/>
          <w:szCs w:val="22"/>
        </w:rPr>
        <w:t>, but (b) shall not make</w:t>
      </w:r>
      <w:r w:rsidR="007766C4">
        <w:rPr>
          <w:rFonts w:ascii="Arial" w:hAnsi="Arial" w:cs="Arial"/>
          <w:color w:val="7B7B7B" w:themeColor="accent3" w:themeShade="BF"/>
          <w:sz w:val="22"/>
          <w:szCs w:val="22"/>
        </w:rPr>
        <w:t xml:space="preserve"> </w:t>
      </w:r>
      <w:r w:rsidR="00491A03" w:rsidRPr="00491A03">
        <w:rPr>
          <w:rFonts w:ascii="Arial" w:hAnsi="Arial" w:cs="Arial"/>
          <w:color w:val="7B7B7B" w:themeColor="accent3" w:themeShade="BF"/>
          <w:sz w:val="22"/>
          <w:szCs w:val="22"/>
        </w:rPr>
        <w:t xml:space="preserve">it a condition </w:t>
      </w:r>
      <w:r w:rsidR="00491A03">
        <w:rPr>
          <w:rFonts w:ascii="Arial" w:hAnsi="Arial" w:cs="Arial"/>
          <w:color w:val="7B7B7B" w:themeColor="accent3" w:themeShade="BF"/>
          <w:sz w:val="22"/>
          <w:szCs w:val="22"/>
        </w:rPr>
        <w:t>to continuing to supply the company</w:t>
      </w:r>
      <w:r w:rsidR="007766C4">
        <w:rPr>
          <w:rFonts w:ascii="Arial" w:hAnsi="Arial" w:cs="Arial"/>
          <w:color w:val="7B7B7B" w:themeColor="accent3" w:themeShade="BF"/>
          <w:sz w:val="22"/>
          <w:szCs w:val="22"/>
        </w:rPr>
        <w:t xml:space="preserve"> with a service</w:t>
      </w:r>
      <w:r w:rsidR="00775AB3">
        <w:rPr>
          <w:rFonts w:ascii="Arial" w:hAnsi="Arial" w:cs="Arial"/>
          <w:color w:val="7B7B7B" w:themeColor="accent3" w:themeShade="BF"/>
          <w:sz w:val="22"/>
          <w:szCs w:val="22"/>
        </w:rPr>
        <w:t>,</w:t>
      </w:r>
      <w:r w:rsidR="00491A03">
        <w:rPr>
          <w:rFonts w:ascii="Arial" w:hAnsi="Arial" w:cs="Arial"/>
          <w:color w:val="7B7B7B" w:themeColor="accent3" w:themeShade="BF"/>
          <w:sz w:val="22"/>
          <w:szCs w:val="22"/>
        </w:rPr>
        <w:t xml:space="preserve"> </w:t>
      </w:r>
      <w:r w:rsidR="00491A03" w:rsidRPr="00491A03">
        <w:rPr>
          <w:rFonts w:ascii="Arial" w:hAnsi="Arial" w:cs="Arial"/>
          <w:color w:val="7B7B7B" w:themeColor="accent3" w:themeShade="BF"/>
          <w:sz w:val="22"/>
          <w:szCs w:val="22"/>
        </w:rPr>
        <w:t xml:space="preserve">that any outstanding charges </w:t>
      </w:r>
      <w:r w:rsidR="00775AB3">
        <w:rPr>
          <w:rFonts w:ascii="Arial" w:hAnsi="Arial" w:cs="Arial"/>
          <w:color w:val="7B7B7B" w:themeColor="accent3" w:themeShade="BF"/>
          <w:sz w:val="22"/>
          <w:szCs w:val="22"/>
        </w:rPr>
        <w:t>which arose prior to the administration be paid off first</w:t>
      </w:r>
      <w:r w:rsidR="00491A03" w:rsidRPr="00491A03">
        <w:rPr>
          <w:rFonts w:ascii="Arial" w:hAnsi="Arial" w:cs="Arial"/>
          <w:color w:val="7B7B7B" w:themeColor="accent3" w:themeShade="BF"/>
          <w:sz w:val="22"/>
          <w:szCs w:val="22"/>
        </w:rPr>
        <w:t>.</w:t>
      </w:r>
      <w:r w:rsidR="00775AB3">
        <w:rPr>
          <w:rFonts w:ascii="Arial" w:hAnsi="Arial" w:cs="Arial"/>
          <w:color w:val="7B7B7B" w:themeColor="accent3" w:themeShade="BF"/>
          <w:sz w:val="22"/>
          <w:szCs w:val="22"/>
        </w:rPr>
        <w:t xml:space="preserve"> The services contemplated as under this section are: </w:t>
      </w:r>
    </w:p>
    <w:p w14:paraId="54084934" w14:textId="3CA39367" w:rsidR="00775AB3" w:rsidRDefault="00775AB3" w:rsidP="00775AB3">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supply of gas</w:t>
      </w:r>
      <w:r w:rsidR="007766C4">
        <w:rPr>
          <w:rFonts w:ascii="Arial" w:hAnsi="Arial" w:cs="Arial"/>
          <w:color w:val="7B7B7B" w:themeColor="accent3" w:themeShade="BF"/>
          <w:sz w:val="22"/>
          <w:szCs w:val="22"/>
        </w:rPr>
        <w:t>;</w:t>
      </w:r>
    </w:p>
    <w:p w14:paraId="4D505022" w14:textId="050AF46C" w:rsidR="00775AB3" w:rsidRDefault="00775AB3" w:rsidP="00775AB3">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supply of water</w:t>
      </w:r>
      <w:r w:rsidR="007766C4">
        <w:rPr>
          <w:rFonts w:ascii="Arial" w:hAnsi="Arial" w:cs="Arial"/>
          <w:color w:val="7B7B7B" w:themeColor="accent3" w:themeShade="BF"/>
          <w:sz w:val="22"/>
          <w:szCs w:val="22"/>
        </w:rPr>
        <w:t>;</w:t>
      </w:r>
    </w:p>
    <w:p w14:paraId="76B08CA0" w14:textId="7E959FF2" w:rsidR="00775AB3" w:rsidRDefault="00775AB3" w:rsidP="00775AB3">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supply of electricity</w:t>
      </w:r>
      <w:r w:rsidR="007766C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
    <w:p w14:paraId="78FDB3F0" w14:textId="51F33945" w:rsidR="00775AB3" w:rsidRDefault="00775AB3" w:rsidP="00775AB3">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supply of communication services</w:t>
      </w:r>
      <w:r w:rsidR="007766C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
    <w:p w14:paraId="59E5CC37" w14:textId="0E95DAA0" w:rsidR="00775AB3" w:rsidRDefault="00775AB3" w:rsidP="00775AB3">
      <w:pPr>
        <w:pStyle w:val="ListParagraph"/>
        <w:numPr>
          <w:ilvl w:val="0"/>
          <w:numId w:val="23"/>
        </w:numPr>
        <w:jc w:val="both"/>
        <w:rPr>
          <w:rFonts w:ascii="Arial" w:hAnsi="Arial" w:cs="Arial"/>
          <w:color w:val="7B7B7B" w:themeColor="accent3" w:themeShade="BF"/>
          <w:sz w:val="22"/>
          <w:szCs w:val="22"/>
        </w:rPr>
      </w:pPr>
      <w:r w:rsidRPr="00775AB3">
        <w:rPr>
          <w:rFonts w:ascii="Arial" w:hAnsi="Arial" w:cs="Arial"/>
          <w:color w:val="7B7B7B" w:themeColor="accent3" w:themeShade="BF"/>
          <w:sz w:val="22"/>
          <w:szCs w:val="22"/>
        </w:rPr>
        <w:t>a supply of goods or services by a person who</w:t>
      </w:r>
      <w:r>
        <w:rPr>
          <w:rFonts w:ascii="Arial" w:hAnsi="Arial" w:cs="Arial"/>
          <w:color w:val="7B7B7B" w:themeColor="accent3" w:themeShade="BF"/>
          <w:sz w:val="22"/>
          <w:szCs w:val="22"/>
        </w:rPr>
        <w:t xml:space="preserve"> </w:t>
      </w:r>
      <w:r w:rsidRPr="00775AB3">
        <w:rPr>
          <w:rFonts w:ascii="Arial" w:hAnsi="Arial" w:cs="Arial"/>
          <w:color w:val="7B7B7B" w:themeColor="accent3" w:themeShade="BF"/>
          <w:sz w:val="22"/>
          <w:szCs w:val="22"/>
        </w:rPr>
        <w:t>carries on a business which includes giving such supplies, where the supply is for the purpose of enabling or facilitating anything to be done by electronic means</w:t>
      </w:r>
      <w:r>
        <w:rPr>
          <w:rFonts w:ascii="Arial" w:hAnsi="Arial" w:cs="Arial"/>
          <w:color w:val="7B7B7B" w:themeColor="accent3" w:themeShade="BF"/>
          <w:sz w:val="22"/>
          <w:szCs w:val="22"/>
        </w:rPr>
        <w:t xml:space="preserve"> (including goods and services such as (a) </w:t>
      </w:r>
      <w:r w:rsidRPr="00775AB3">
        <w:rPr>
          <w:rFonts w:ascii="Arial" w:hAnsi="Arial" w:cs="Arial"/>
          <w:color w:val="7B7B7B" w:themeColor="accent3" w:themeShade="BF"/>
          <w:sz w:val="22"/>
          <w:szCs w:val="22"/>
        </w:rPr>
        <w:t>point of sale terminals; (b) computer hardware and software; (c) information, advice and technical assistance in connection with the use of information technology; (d) data storage and processing; (e) website hosting</w:t>
      </w:r>
      <w:r>
        <w:rPr>
          <w:rFonts w:ascii="Arial" w:hAnsi="Arial" w:cs="Arial"/>
          <w:color w:val="7B7B7B" w:themeColor="accent3" w:themeShade="BF"/>
          <w:sz w:val="22"/>
          <w:szCs w:val="22"/>
        </w:rPr>
        <w:t>.</w:t>
      </w:r>
    </w:p>
    <w:p w14:paraId="10BE35E9" w14:textId="77777777" w:rsidR="00775AB3" w:rsidRDefault="00775AB3" w:rsidP="00775AB3">
      <w:pPr>
        <w:jc w:val="both"/>
        <w:rPr>
          <w:rFonts w:ascii="Arial" w:hAnsi="Arial" w:cs="Arial"/>
          <w:color w:val="7B7B7B" w:themeColor="accent3" w:themeShade="BF"/>
          <w:sz w:val="22"/>
          <w:szCs w:val="22"/>
        </w:rPr>
      </w:pPr>
    </w:p>
    <w:p w14:paraId="75BCAC44" w14:textId="2D98EC34" w:rsidR="000B2D2A" w:rsidRDefault="004D6809" w:rsidP="00775A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233A </w:t>
      </w:r>
      <w:r w:rsidR="00775AB3">
        <w:rPr>
          <w:rFonts w:ascii="Arial" w:hAnsi="Arial" w:cs="Arial"/>
          <w:color w:val="7B7B7B" w:themeColor="accent3" w:themeShade="BF"/>
          <w:sz w:val="22"/>
          <w:szCs w:val="22"/>
        </w:rPr>
        <w:t xml:space="preserve">takes </w:t>
      </w:r>
      <w:r w:rsidR="007766C4">
        <w:rPr>
          <w:rFonts w:ascii="Arial" w:hAnsi="Arial" w:cs="Arial"/>
          <w:color w:val="7B7B7B" w:themeColor="accent3" w:themeShade="BF"/>
          <w:sz w:val="22"/>
          <w:szCs w:val="22"/>
        </w:rPr>
        <w:t xml:space="preserve">the above </w:t>
      </w:r>
      <w:r w:rsidR="00775AB3">
        <w:rPr>
          <w:rFonts w:ascii="Arial" w:hAnsi="Arial" w:cs="Arial"/>
          <w:color w:val="7B7B7B" w:themeColor="accent3" w:themeShade="BF"/>
          <w:sz w:val="22"/>
          <w:szCs w:val="22"/>
        </w:rPr>
        <w:t xml:space="preserve">a step further </w:t>
      </w:r>
      <w:r w:rsidR="007766C4">
        <w:rPr>
          <w:rFonts w:ascii="Arial" w:hAnsi="Arial" w:cs="Arial"/>
          <w:color w:val="7B7B7B" w:themeColor="accent3" w:themeShade="BF"/>
          <w:sz w:val="22"/>
          <w:szCs w:val="22"/>
        </w:rPr>
        <w:t>and provides further protection in respect to</w:t>
      </w:r>
      <w:r w:rsidR="00775AB3">
        <w:rPr>
          <w:rFonts w:ascii="Arial" w:hAnsi="Arial" w:cs="Arial"/>
          <w:color w:val="7B7B7B" w:themeColor="accent3" w:themeShade="BF"/>
          <w:sz w:val="22"/>
          <w:szCs w:val="22"/>
        </w:rPr>
        <w:t xml:space="preserve"> the supply of essential services during a company's administration</w:t>
      </w:r>
      <w:r w:rsidR="007766C4">
        <w:rPr>
          <w:rFonts w:ascii="Arial" w:hAnsi="Arial" w:cs="Arial"/>
          <w:color w:val="7B7B7B" w:themeColor="accent3" w:themeShade="BF"/>
          <w:sz w:val="22"/>
          <w:szCs w:val="22"/>
        </w:rPr>
        <w:t>. Section 233A of the Act</w:t>
      </w:r>
      <w:r w:rsidR="00775AB3">
        <w:rPr>
          <w:rFonts w:ascii="Arial" w:hAnsi="Arial" w:cs="Arial"/>
          <w:color w:val="7B7B7B" w:themeColor="accent3" w:themeShade="BF"/>
          <w:sz w:val="22"/>
          <w:szCs w:val="22"/>
        </w:rPr>
        <w:t xml:space="preserve"> provides that </w:t>
      </w:r>
      <w:r w:rsidR="00E032B7">
        <w:rPr>
          <w:rFonts w:ascii="Arial" w:hAnsi="Arial" w:cs="Arial"/>
          <w:color w:val="7B7B7B" w:themeColor="accent3" w:themeShade="BF"/>
          <w:sz w:val="22"/>
          <w:szCs w:val="22"/>
        </w:rPr>
        <w:t>a</w:t>
      </w:r>
      <w:r w:rsidR="000B2D2A">
        <w:rPr>
          <w:rFonts w:ascii="Arial" w:hAnsi="Arial" w:cs="Arial"/>
          <w:color w:val="7B7B7B" w:themeColor="accent3" w:themeShade="BF"/>
          <w:sz w:val="22"/>
          <w:szCs w:val="22"/>
        </w:rPr>
        <w:t>n "insolvency-related</w:t>
      </w:r>
      <w:r w:rsidR="00E032B7">
        <w:rPr>
          <w:rFonts w:ascii="Arial" w:hAnsi="Arial" w:cs="Arial"/>
          <w:color w:val="7B7B7B" w:themeColor="accent3" w:themeShade="BF"/>
          <w:sz w:val="22"/>
          <w:szCs w:val="22"/>
        </w:rPr>
        <w:t xml:space="preserve"> term</w:t>
      </w:r>
      <w:r w:rsidR="000B2D2A">
        <w:rPr>
          <w:rFonts w:ascii="Arial" w:hAnsi="Arial" w:cs="Arial"/>
          <w:color w:val="7B7B7B" w:themeColor="accent3" w:themeShade="BF"/>
          <w:sz w:val="22"/>
          <w:szCs w:val="22"/>
        </w:rPr>
        <w:t>"</w:t>
      </w:r>
      <w:r w:rsidR="00E032B7">
        <w:rPr>
          <w:rFonts w:ascii="Arial" w:hAnsi="Arial" w:cs="Arial"/>
          <w:color w:val="7B7B7B" w:themeColor="accent3" w:themeShade="BF"/>
          <w:sz w:val="22"/>
          <w:szCs w:val="22"/>
        </w:rPr>
        <w:t xml:space="preserve"> of a supply contract </w:t>
      </w:r>
      <w:r w:rsidR="0046032F">
        <w:rPr>
          <w:rFonts w:ascii="Arial" w:hAnsi="Arial" w:cs="Arial"/>
          <w:color w:val="7B7B7B" w:themeColor="accent3" w:themeShade="BF"/>
          <w:sz w:val="22"/>
          <w:szCs w:val="22"/>
        </w:rPr>
        <w:t>would cease to have effect</w:t>
      </w:r>
      <w:r w:rsidR="000B2D2A">
        <w:rPr>
          <w:rFonts w:ascii="Arial" w:hAnsi="Arial" w:cs="Arial"/>
          <w:color w:val="7B7B7B" w:themeColor="accent3" w:themeShade="BF"/>
          <w:sz w:val="22"/>
          <w:szCs w:val="22"/>
        </w:rPr>
        <w:t xml:space="preserve"> if the company enters administration</w:t>
      </w:r>
      <w:r w:rsidR="00E032B7">
        <w:rPr>
          <w:rFonts w:ascii="Arial" w:hAnsi="Arial" w:cs="Arial"/>
          <w:color w:val="7B7B7B" w:themeColor="accent3" w:themeShade="BF"/>
          <w:sz w:val="22"/>
          <w:szCs w:val="22"/>
        </w:rPr>
        <w:t xml:space="preserve">. </w:t>
      </w:r>
      <w:r w:rsidR="000B2D2A">
        <w:rPr>
          <w:rFonts w:ascii="Arial" w:hAnsi="Arial" w:cs="Arial"/>
          <w:color w:val="7B7B7B" w:themeColor="accent3" w:themeShade="BF"/>
          <w:sz w:val="22"/>
          <w:szCs w:val="22"/>
        </w:rPr>
        <w:t>These could include terms</w:t>
      </w:r>
      <w:r w:rsidR="0012223C">
        <w:rPr>
          <w:rFonts w:ascii="Arial" w:hAnsi="Arial" w:cs="Arial"/>
          <w:color w:val="7B7B7B" w:themeColor="accent3" w:themeShade="BF"/>
          <w:sz w:val="22"/>
          <w:szCs w:val="22"/>
        </w:rPr>
        <w:t xml:space="preserve"> which provide for automatic termination of the contract should the company enter into administration or which change the terms of the supply under the contract while the company is under administration.</w:t>
      </w:r>
      <w:r w:rsidR="000B2D2A">
        <w:rPr>
          <w:rFonts w:ascii="Arial" w:hAnsi="Arial" w:cs="Arial"/>
          <w:color w:val="7B7B7B" w:themeColor="accent3" w:themeShade="BF"/>
          <w:sz w:val="22"/>
          <w:szCs w:val="22"/>
        </w:rPr>
        <w:t xml:space="preserve"> However, these </w:t>
      </w:r>
      <w:r w:rsidR="007766C4">
        <w:rPr>
          <w:rFonts w:ascii="Arial" w:hAnsi="Arial" w:cs="Arial"/>
          <w:color w:val="7B7B7B" w:themeColor="accent3" w:themeShade="BF"/>
          <w:sz w:val="22"/>
          <w:szCs w:val="22"/>
        </w:rPr>
        <w:t>"</w:t>
      </w:r>
      <w:r w:rsidR="000B2D2A">
        <w:rPr>
          <w:rFonts w:ascii="Arial" w:hAnsi="Arial" w:cs="Arial"/>
          <w:color w:val="7B7B7B" w:themeColor="accent3" w:themeShade="BF"/>
          <w:sz w:val="22"/>
          <w:szCs w:val="22"/>
        </w:rPr>
        <w:t>insolvency related terms</w:t>
      </w:r>
      <w:r w:rsidR="007766C4">
        <w:rPr>
          <w:rFonts w:ascii="Arial" w:hAnsi="Arial" w:cs="Arial"/>
          <w:color w:val="7B7B7B" w:themeColor="accent3" w:themeShade="BF"/>
          <w:sz w:val="22"/>
          <w:szCs w:val="22"/>
        </w:rPr>
        <w:t>"</w:t>
      </w:r>
      <w:r w:rsidR="000B2D2A">
        <w:rPr>
          <w:rFonts w:ascii="Arial" w:hAnsi="Arial" w:cs="Arial"/>
          <w:color w:val="7B7B7B" w:themeColor="accent3" w:themeShade="BF"/>
          <w:sz w:val="22"/>
          <w:szCs w:val="22"/>
        </w:rPr>
        <w:t xml:space="preserve"> do not cease to have effect to the extent that they provide for the contract or supply to terminate (or the right of the supplier to terminate the contract or supply) because the company becomes subject to an insolvency procedure other than administration, or because of an event that occurs after the company enters administration.  Further, section 233B(3) </w:t>
      </w:r>
      <w:r w:rsidR="007766C4">
        <w:rPr>
          <w:rFonts w:ascii="Arial" w:hAnsi="Arial" w:cs="Arial"/>
          <w:color w:val="7B7B7B" w:themeColor="accent3" w:themeShade="BF"/>
          <w:sz w:val="22"/>
          <w:szCs w:val="22"/>
        </w:rPr>
        <w:t>of the Act,</w:t>
      </w:r>
      <w:r w:rsidR="00786DAF">
        <w:rPr>
          <w:rFonts w:ascii="Arial" w:hAnsi="Arial" w:cs="Arial"/>
          <w:color w:val="7B7B7B" w:themeColor="accent3" w:themeShade="BF"/>
          <w:sz w:val="22"/>
          <w:szCs w:val="22"/>
        </w:rPr>
        <w:t xml:space="preserve"> </w:t>
      </w:r>
      <w:r w:rsidR="000B2D2A">
        <w:rPr>
          <w:rFonts w:ascii="Arial" w:hAnsi="Arial" w:cs="Arial"/>
          <w:color w:val="7B7B7B" w:themeColor="accent3" w:themeShade="BF"/>
          <w:sz w:val="22"/>
          <w:szCs w:val="22"/>
        </w:rPr>
        <w:t>read together with subsection</w:t>
      </w:r>
      <w:r w:rsidR="00B20AEB">
        <w:rPr>
          <w:rFonts w:ascii="Arial" w:hAnsi="Arial" w:cs="Arial"/>
          <w:color w:val="7B7B7B" w:themeColor="accent3" w:themeShade="BF"/>
          <w:sz w:val="22"/>
          <w:szCs w:val="22"/>
        </w:rPr>
        <w:t>s</w:t>
      </w:r>
      <w:r w:rsidR="000B2D2A">
        <w:rPr>
          <w:rFonts w:ascii="Arial" w:hAnsi="Arial" w:cs="Arial"/>
          <w:color w:val="7B7B7B" w:themeColor="accent3" w:themeShade="BF"/>
          <w:sz w:val="22"/>
          <w:szCs w:val="22"/>
        </w:rPr>
        <w:t xml:space="preserve"> 4 and 5</w:t>
      </w:r>
      <w:r w:rsidR="00B20AEB">
        <w:rPr>
          <w:rFonts w:ascii="Arial" w:hAnsi="Arial" w:cs="Arial"/>
          <w:color w:val="7B7B7B" w:themeColor="accent3" w:themeShade="BF"/>
          <w:sz w:val="22"/>
          <w:szCs w:val="22"/>
        </w:rPr>
        <w:t>,</w:t>
      </w:r>
      <w:r w:rsidR="007766C4">
        <w:rPr>
          <w:rFonts w:ascii="Arial" w:hAnsi="Arial" w:cs="Arial"/>
          <w:color w:val="7B7B7B" w:themeColor="accent3" w:themeShade="BF"/>
          <w:sz w:val="22"/>
          <w:szCs w:val="22"/>
        </w:rPr>
        <w:t xml:space="preserve"> provides that</w:t>
      </w:r>
      <w:r w:rsidR="00B20AEB">
        <w:rPr>
          <w:rFonts w:ascii="Arial" w:hAnsi="Arial" w:cs="Arial"/>
          <w:color w:val="7B7B7B" w:themeColor="accent3" w:themeShade="BF"/>
          <w:sz w:val="22"/>
          <w:szCs w:val="22"/>
        </w:rPr>
        <w:t xml:space="preserve"> where an </w:t>
      </w:r>
      <w:r w:rsidR="007766C4">
        <w:rPr>
          <w:rFonts w:ascii="Arial" w:hAnsi="Arial" w:cs="Arial"/>
          <w:color w:val="7B7B7B" w:themeColor="accent3" w:themeShade="BF"/>
          <w:sz w:val="22"/>
          <w:szCs w:val="22"/>
        </w:rPr>
        <w:t>"</w:t>
      </w:r>
      <w:r w:rsidR="00B20AEB" w:rsidRPr="00B20AEB">
        <w:rPr>
          <w:rFonts w:ascii="Arial" w:hAnsi="Arial" w:cs="Arial"/>
          <w:color w:val="7B7B7B" w:themeColor="accent3" w:themeShade="BF"/>
          <w:sz w:val="22"/>
          <w:szCs w:val="22"/>
        </w:rPr>
        <w:t>insolvency-related term</w:t>
      </w:r>
      <w:r w:rsidR="007766C4">
        <w:rPr>
          <w:rFonts w:ascii="Arial" w:hAnsi="Arial" w:cs="Arial"/>
          <w:color w:val="7B7B7B" w:themeColor="accent3" w:themeShade="BF"/>
          <w:sz w:val="22"/>
          <w:szCs w:val="22"/>
        </w:rPr>
        <w:t>"</w:t>
      </w:r>
      <w:r w:rsidR="00B20AEB">
        <w:rPr>
          <w:rFonts w:ascii="Arial" w:hAnsi="Arial" w:cs="Arial"/>
          <w:color w:val="7B7B7B" w:themeColor="accent3" w:themeShade="BF"/>
          <w:sz w:val="22"/>
          <w:szCs w:val="22"/>
        </w:rPr>
        <w:t xml:space="preserve"> has ceased to have effect, the supplier may still terminate </w:t>
      </w:r>
      <w:r w:rsidR="00B20AEB">
        <w:rPr>
          <w:rFonts w:ascii="Arial" w:hAnsi="Arial" w:cs="Arial"/>
          <w:color w:val="7B7B7B" w:themeColor="accent3" w:themeShade="BF"/>
          <w:sz w:val="22"/>
          <w:szCs w:val="22"/>
        </w:rPr>
        <w:lastRenderedPageBreak/>
        <w:t xml:space="preserve">the contract if </w:t>
      </w:r>
      <w:r w:rsidR="007766C4">
        <w:rPr>
          <w:rFonts w:ascii="Arial" w:hAnsi="Arial" w:cs="Arial"/>
          <w:color w:val="7B7B7B" w:themeColor="accent3" w:themeShade="BF"/>
          <w:sz w:val="22"/>
          <w:szCs w:val="22"/>
        </w:rPr>
        <w:t xml:space="preserve">(i) </w:t>
      </w:r>
      <w:r w:rsidR="00B20AEB">
        <w:rPr>
          <w:rFonts w:ascii="Arial" w:hAnsi="Arial" w:cs="Arial"/>
          <w:color w:val="7B7B7B" w:themeColor="accent3" w:themeShade="BF"/>
          <w:sz w:val="22"/>
          <w:szCs w:val="22"/>
        </w:rPr>
        <w:t xml:space="preserve">the administrator consents; </w:t>
      </w:r>
      <w:r w:rsidR="007766C4">
        <w:rPr>
          <w:rFonts w:ascii="Arial" w:hAnsi="Arial" w:cs="Arial"/>
          <w:color w:val="7B7B7B" w:themeColor="accent3" w:themeShade="BF"/>
          <w:sz w:val="22"/>
          <w:szCs w:val="22"/>
        </w:rPr>
        <w:t xml:space="preserve">(ii) </w:t>
      </w:r>
      <w:r w:rsidR="00B20AEB">
        <w:rPr>
          <w:rFonts w:ascii="Arial" w:hAnsi="Arial" w:cs="Arial"/>
          <w:color w:val="7B7B7B" w:themeColor="accent3" w:themeShade="BF"/>
          <w:sz w:val="22"/>
          <w:szCs w:val="22"/>
        </w:rPr>
        <w:t xml:space="preserve">the court grants permission (where the court is satisfied that </w:t>
      </w:r>
      <w:r w:rsidR="007766C4">
        <w:rPr>
          <w:rFonts w:ascii="Arial" w:hAnsi="Arial" w:cs="Arial"/>
          <w:color w:val="7B7B7B" w:themeColor="accent3" w:themeShade="BF"/>
          <w:sz w:val="22"/>
          <w:szCs w:val="22"/>
        </w:rPr>
        <w:t xml:space="preserve">the </w:t>
      </w:r>
      <w:r w:rsidR="00B20AEB">
        <w:rPr>
          <w:rFonts w:ascii="Arial" w:hAnsi="Arial" w:cs="Arial"/>
          <w:color w:val="7B7B7B" w:themeColor="accent3" w:themeShade="BF"/>
          <w:sz w:val="22"/>
          <w:szCs w:val="22"/>
        </w:rPr>
        <w:t xml:space="preserve">continuation of the contract would cause the supplier hardship); or </w:t>
      </w:r>
      <w:r w:rsidR="00F43941">
        <w:rPr>
          <w:rFonts w:ascii="Arial" w:hAnsi="Arial" w:cs="Arial"/>
          <w:color w:val="7B7B7B" w:themeColor="accent3" w:themeShade="BF"/>
          <w:sz w:val="22"/>
          <w:szCs w:val="22"/>
        </w:rPr>
        <w:t xml:space="preserve">(iii) </w:t>
      </w:r>
      <w:r w:rsidR="00B20AEB">
        <w:rPr>
          <w:rFonts w:ascii="Arial" w:hAnsi="Arial" w:cs="Arial"/>
          <w:color w:val="7B7B7B" w:themeColor="accent3" w:themeShade="BF"/>
          <w:sz w:val="22"/>
          <w:szCs w:val="22"/>
        </w:rPr>
        <w:t xml:space="preserve">any charges in respect of the supply that are incurred after the company entered into administration are not paid within 28 days from when </w:t>
      </w:r>
      <w:r w:rsidR="00F43941">
        <w:rPr>
          <w:rFonts w:ascii="Arial" w:hAnsi="Arial" w:cs="Arial"/>
          <w:color w:val="7B7B7B" w:themeColor="accent3" w:themeShade="BF"/>
          <w:sz w:val="22"/>
          <w:szCs w:val="22"/>
        </w:rPr>
        <w:t xml:space="preserve">they became </w:t>
      </w:r>
      <w:r w:rsidR="00B20AEB">
        <w:rPr>
          <w:rFonts w:ascii="Arial" w:hAnsi="Arial" w:cs="Arial"/>
          <w:color w:val="7B7B7B" w:themeColor="accent3" w:themeShade="BF"/>
          <w:sz w:val="22"/>
          <w:szCs w:val="22"/>
        </w:rPr>
        <w:t>due.</w:t>
      </w:r>
      <w:r w:rsidR="00B20AEB">
        <w:rPr>
          <w:rStyle w:val="FootnoteReference"/>
          <w:rFonts w:ascii="Arial" w:hAnsi="Arial" w:cs="Arial"/>
          <w:color w:val="7B7B7B" w:themeColor="accent3" w:themeShade="BF"/>
          <w:sz w:val="22"/>
          <w:szCs w:val="22"/>
        </w:rPr>
        <w:footnoteReference w:id="3"/>
      </w:r>
      <w:r w:rsidR="00B20AEB">
        <w:rPr>
          <w:rFonts w:ascii="Arial" w:hAnsi="Arial" w:cs="Arial"/>
          <w:color w:val="7B7B7B" w:themeColor="accent3" w:themeShade="BF"/>
          <w:sz w:val="22"/>
          <w:szCs w:val="22"/>
        </w:rPr>
        <w:t xml:space="preserve"> The suppl</w:t>
      </w:r>
      <w:r w:rsidR="00F43941">
        <w:rPr>
          <w:rFonts w:ascii="Arial" w:hAnsi="Arial" w:cs="Arial"/>
          <w:color w:val="7B7B7B" w:themeColor="accent3" w:themeShade="BF"/>
          <w:sz w:val="22"/>
          <w:szCs w:val="22"/>
        </w:rPr>
        <w:t>ier may also terminate the agreement/contract/upply</w:t>
      </w:r>
      <w:r w:rsidR="00B20AEB">
        <w:rPr>
          <w:rFonts w:ascii="Arial" w:hAnsi="Arial" w:cs="Arial"/>
          <w:color w:val="7B7B7B" w:themeColor="accent3" w:themeShade="BF"/>
          <w:sz w:val="22"/>
          <w:szCs w:val="22"/>
        </w:rPr>
        <w:t xml:space="preserve"> where the supplier gives written notice to the </w:t>
      </w:r>
      <w:r w:rsidR="00436EFE">
        <w:rPr>
          <w:rFonts w:ascii="Arial" w:hAnsi="Arial" w:cs="Arial"/>
          <w:color w:val="7B7B7B" w:themeColor="accent3" w:themeShade="BF"/>
          <w:sz w:val="22"/>
          <w:szCs w:val="22"/>
        </w:rPr>
        <w:t>administrator that the supply will be terminated unless the administrator personally guarantees the payment of any charges in respect of the continuation of the supply after the company entered administration and the administrator does not give that guarantee within the period of 14 days from when notice is served.</w:t>
      </w:r>
      <w:r w:rsidR="00436EFE">
        <w:rPr>
          <w:rStyle w:val="FootnoteReference"/>
          <w:rFonts w:ascii="Arial" w:hAnsi="Arial" w:cs="Arial"/>
          <w:color w:val="7B7B7B" w:themeColor="accent3" w:themeShade="BF"/>
          <w:sz w:val="22"/>
          <w:szCs w:val="22"/>
        </w:rPr>
        <w:footnoteReference w:id="4"/>
      </w:r>
      <w:r w:rsidR="00436EFE">
        <w:rPr>
          <w:rFonts w:ascii="Arial" w:hAnsi="Arial" w:cs="Arial"/>
          <w:color w:val="7B7B7B" w:themeColor="accent3" w:themeShade="BF"/>
          <w:sz w:val="22"/>
          <w:szCs w:val="22"/>
        </w:rPr>
        <w:t xml:space="preserve"> </w:t>
      </w:r>
    </w:p>
    <w:p w14:paraId="451E06F4" w14:textId="43BBD449" w:rsidR="000B2D2A" w:rsidRDefault="000B2D2A" w:rsidP="00775AB3">
      <w:pPr>
        <w:jc w:val="both"/>
        <w:rPr>
          <w:rFonts w:ascii="Arial" w:hAnsi="Arial" w:cs="Arial"/>
          <w:color w:val="7B7B7B" w:themeColor="accent3" w:themeShade="BF"/>
          <w:sz w:val="22"/>
          <w:szCs w:val="22"/>
        </w:rPr>
      </w:pPr>
    </w:p>
    <w:p w14:paraId="3EA9D912" w14:textId="1628B0E1" w:rsidR="00F43941" w:rsidRDefault="00D50C28" w:rsidP="00775A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233B</w:t>
      </w:r>
      <w:r w:rsidR="00F43941">
        <w:rPr>
          <w:rFonts w:ascii="Arial" w:hAnsi="Arial" w:cs="Arial"/>
          <w:color w:val="7B7B7B" w:themeColor="accent3" w:themeShade="BF"/>
          <w:sz w:val="22"/>
          <w:szCs w:val="22"/>
        </w:rPr>
        <w:t xml:space="preserve"> of the Act</w:t>
      </w:r>
      <w:r>
        <w:rPr>
          <w:rFonts w:ascii="Arial" w:hAnsi="Arial" w:cs="Arial"/>
          <w:color w:val="7B7B7B" w:themeColor="accent3" w:themeShade="BF"/>
          <w:sz w:val="22"/>
          <w:szCs w:val="22"/>
        </w:rPr>
        <w:t>,</w:t>
      </w:r>
      <w:r w:rsidRPr="00D50C2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which was introduced by the </w:t>
      </w:r>
      <w:r w:rsidRPr="00D50C28">
        <w:rPr>
          <w:rFonts w:ascii="Arial" w:hAnsi="Arial" w:cs="Arial"/>
          <w:color w:val="7B7B7B" w:themeColor="accent3" w:themeShade="BF"/>
          <w:sz w:val="22"/>
          <w:szCs w:val="22"/>
        </w:rPr>
        <w:t>Corporate Insolvency &amp; Governance Act 2020</w:t>
      </w:r>
      <w:r>
        <w:rPr>
          <w:rFonts w:ascii="Arial" w:hAnsi="Arial" w:cs="Arial"/>
          <w:color w:val="7B7B7B" w:themeColor="accent3" w:themeShade="BF"/>
          <w:sz w:val="22"/>
          <w:szCs w:val="22"/>
        </w:rPr>
        <w:t>,</w:t>
      </w:r>
      <w:r w:rsidR="00406A8B">
        <w:rPr>
          <w:rFonts w:ascii="Arial" w:hAnsi="Arial" w:cs="Arial"/>
          <w:color w:val="7B7B7B" w:themeColor="accent3" w:themeShade="BF"/>
          <w:sz w:val="22"/>
          <w:szCs w:val="22"/>
        </w:rPr>
        <w:t xml:space="preserve"> creates further restrictions on the actions that a supplier of good</w:t>
      </w:r>
      <w:r w:rsidR="00F43941">
        <w:rPr>
          <w:rFonts w:ascii="Arial" w:hAnsi="Arial" w:cs="Arial"/>
          <w:color w:val="7B7B7B" w:themeColor="accent3" w:themeShade="BF"/>
          <w:sz w:val="22"/>
          <w:szCs w:val="22"/>
        </w:rPr>
        <w:t>s</w:t>
      </w:r>
      <w:r w:rsidR="00406A8B">
        <w:rPr>
          <w:rFonts w:ascii="Arial" w:hAnsi="Arial" w:cs="Arial"/>
          <w:color w:val="7B7B7B" w:themeColor="accent3" w:themeShade="BF"/>
          <w:sz w:val="22"/>
          <w:szCs w:val="22"/>
        </w:rPr>
        <w:t xml:space="preserve"> or services can take in the event of insolvency of its client, being the company who has been placed under administration.</w:t>
      </w:r>
      <w:r w:rsidR="006049F1">
        <w:rPr>
          <w:rFonts w:ascii="Arial" w:hAnsi="Arial" w:cs="Arial"/>
          <w:color w:val="7B7B7B" w:themeColor="accent3" w:themeShade="BF"/>
          <w:sz w:val="22"/>
          <w:szCs w:val="22"/>
        </w:rPr>
        <w:t xml:space="preserve"> </w:t>
      </w:r>
      <w:r w:rsidR="00406A8B">
        <w:rPr>
          <w:rFonts w:ascii="Arial" w:hAnsi="Arial" w:cs="Arial"/>
          <w:color w:val="7B7B7B" w:themeColor="accent3" w:themeShade="BF"/>
          <w:sz w:val="22"/>
          <w:szCs w:val="22"/>
        </w:rPr>
        <w:t xml:space="preserve">This section </w:t>
      </w:r>
      <w:r w:rsidR="00F43941">
        <w:rPr>
          <w:rFonts w:ascii="Arial" w:hAnsi="Arial" w:cs="Arial"/>
          <w:color w:val="7B7B7B" w:themeColor="accent3" w:themeShade="BF"/>
          <w:sz w:val="22"/>
          <w:szCs w:val="22"/>
        </w:rPr>
        <w:t xml:space="preserve">limits </w:t>
      </w:r>
      <w:r w:rsidR="00406A8B">
        <w:rPr>
          <w:rFonts w:ascii="Arial" w:hAnsi="Arial" w:cs="Arial"/>
          <w:color w:val="7B7B7B" w:themeColor="accent3" w:themeShade="BF"/>
          <w:sz w:val="22"/>
          <w:szCs w:val="22"/>
        </w:rPr>
        <w:t xml:space="preserve">the operation of an automatic termination </w:t>
      </w:r>
      <w:r w:rsidR="00F63E6C">
        <w:rPr>
          <w:rFonts w:ascii="Arial" w:hAnsi="Arial" w:cs="Arial"/>
          <w:color w:val="7B7B7B" w:themeColor="accent3" w:themeShade="BF"/>
          <w:sz w:val="22"/>
          <w:szCs w:val="22"/>
        </w:rPr>
        <w:t>of the contract or</w:t>
      </w:r>
      <w:r w:rsidR="00786DAF">
        <w:rPr>
          <w:rFonts w:ascii="Arial" w:hAnsi="Arial" w:cs="Arial"/>
          <w:color w:val="7B7B7B" w:themeColor="accent3" w:themeShade="BF"/>
          <w:sz w:val="22"/>
          <w:szCs w:val="22"/>
        </w:rPr>
        <w:t xml:space="preserve"> the supply or any other thing, when a</w:t>
      </w:r>
      <w:r w:rsidR="00406A8B">
        <w:rPr>
          <w:rFonts w:ascii="Arial" w:hAnsi="Arial" w:cs="Arial"/>
          <w:color w:val="7B7B7B" w:themeColor="accent3" w:themeShade="BF"/>
          <w:sz w:val="22"/>
          <w:szCs w:val="22"/>
        </w:rPr>
        <w:t xml:space="preserve"> company (as client of the supplier) becomes </w:t>
      </w:r>
      <w:r w:rsidR="00F63E6C">
        <w:rPr>
          <w:rFonts w:ascii="Arial" w:hAnsi="Arial" w:cs="Arial"/>
          <w:color w:val="7B7B7B" w:themeColor="accent3" w:themeShade="BF"/>
          <w:sz w:val="22"/>
          <w:szCs w:val="22"/>
        </w:rPr>
        <w:t xml:space="preserve">subject to an insolvency process, in this case administration. This section also restricts </w:t>
      </w:r>
      <w:r w:rsidR="00F43941">
        <w:rPr>
          <w:rFonts w:ascii="Arial" w:hAnsi="Arial" w:cs="Arial"/>
          <w:color w:val="7B7B7B" w:themeColor="accent3" w:themeShade="BF"/>
          <w:sz w:val="22"/>
          <w:szCs w:val="22"/>
        </w:rPr>
        <w:t xml:space="preserve">the </w:t>
      </w:r>
      <w:r w:rsidR="00786DAF">
        <w:rPr>
          <w:rFonts w:ascii="Arial" w:hAnsi="Arial" w:cs="Arial"/>
          <w:color w:val="7B7B7B" w:themeColor="accent3" w:themeShade="BF"/>
          <w:sz w:val="22"/>
          <w:szCs w:val="22"/>
        </w:rPr>
        <w:t>suppliers'</w:t>
      </w:r>
      <w:r w:rsidR="00F43941">
        <w:rPr>
          <w:rFonts w:ascii="Arial" w:hAnsi="Arial" w:cs="Arial"/>
          <w:color w:val="7B7B7B" w:themeColor="accent3" w:themeShade="BF"/>
          <w:sz w:val="22"/>
          <w:szCs w:val="22"/>
        </w:rPr>
        <w:t xml:space="preserve"> ability, by </w:t>
      </w:r>
      <w:r w:rsidR="00F63E6C">
        <w:rPr>
          <w:rFonts w:ascii="Arial" w:hAnsi="Arial" w:cs="Arial"/>
          <w:color w:val="7B7B7B" w:themeColor="accent3" w:themeShade="BF"/>
          <w:sz w:val="22"/>
          <w:szCs w:val="22"/>
        </w:rPr>
        <w:t>varying the terms of their supply</w:t>
      </w:r>
      <w:r w:rsidR="00F43941">
        <w:rPr>
          <w:rFonts w:ascii="Arial" w:hAnsi="Arial" w:cs="Arial"/>
          <w:color w:val="7B7B7B" w:themeColor="accent3" w:themeShade="BF"/>
          <w:sz w:val="22"/>
          <w:szCs w:val="22"/>
        </w:rPr>
        <w:t>, to make the supply of goods/</w:t>
      </w:r>
      <w:r w:rsidR="002710DF">
        <w:rPr>
          <w:rFonts w:ascii="Arial" w:hAnsi="Arial" w:cs="Arial"/>
          <w:color w:val="7B7B7B" w:themeColor="accent3" w:themeShade="BF"/>
          <w:sz w:val="22"/>
          <w:szCs w:val="22"/>
        </w:rPr>
        <w:t xml:space="preserve">subject to the payment of any </w:t>
      </w:r>
      <w:r w:rsidR="009E776A">
        <w:rPr>
          <w:rFonts w:ascii="Arial" w:hAnsi="Arial" w:cs="Arial"/>
          <w:color w:val="7B7B7B" w:themeColor="accent3" w:themeShade="BF"/>
          <w:sz w:val="22"/>
          <w:szCs w:val="22"/>
        </w:rPr>
        <w:t>arrears</w:t>
      </w:r>
      <w:r w:rsidR="002710DF">
        <w:rPr>
          <w:rFonts w:ascii="Arial" w:hAnsi="Arial" w:cs="Arial"/>
          <w:color w:val="7B7B7B" w:themeColor="accent3" w:themeShade="BF"/>
          <w:sz w:val="22"/>
          <w:szCs w:val="22"/>
        </w:rPr>
        <w:t xml:space="preserve"> outstanding</w:t>
      </w:r>
      <w:r w:rsidR="002B0F22">
        <w:rPr>
          <w:rFonts w:ascii="Arial" w:hAnsi="Arial" w:cs="Arial"/>
          <w:color w:val="7B7B7B" w:themeColor="accent3" w:themeShade="BF"/>
          <w:sz w:val="22"/>
          <w:szCs w:val="22"/>
        </w:rPr>
        <w:t>.</w:t>
      </w:r>
      <w:r w:rsidR="008E3863">
        <w:rPr>
          <w:rFonts w:ascii="Arial" w:hAnsi="Arial" w:cs="Arial"/>
          <w:color w:val="7B7B7B" w:themeColor="accent3" w:themeShade="BF"/>
          <w:sz w:val="22"/>
          <w:szCs w:val="22"/>
        </w:rPr>
        <w:t xml:space="preserve">  </w:t>
      </w:r>
      <w:r w:rsidR="008E3863" w:rsidRPr="008E3863">
        <w:rPr>
          <w:rFonts w:ascii="Arial" w:hAnsi="Arial" w:cs="Arial"/>
          <w:color w:val="7B7B7B" w:themeColor="accent3" w:themeShade="BF"/>
          <w:sz w:val="22"/>
          <w:szCs w:val="22"/>
        </w:rPr>
        <w:t xml:space="preserve">Section 233B </w:t>
      </w:r>
      <w:r w:rsidR="00F43941">
        <w:rPr>
          <w:rFonts w:ascii="Arial" w:hAnsi="Arial" w:cs="Arial"/>
          <w:color w:val="7B7B7B" w:themeColor="accent3" w:themeShade="BF"/>
          <w:sz w:val="22"/>
          <w:szCs w:val="22"/>
        </w:rPr>
        <w:t xml:space="preserve">Act </w:t>
      </w:r>
      <w:r w:rsidR="008E3863">
        <w:rPr>
          <w:rFonts w:ascii="Arial" w:hAnsi="Arial" w:cs="Arial"/>
          <w:color w:val="7B7B7B" w:themeColor="accent3" w:themeShade="BF"/>
          <w:sz w:val="22"/>
          <w:szCs w:val="22"/>
        </w:rPr>
        <w:t>does not apply to suppliers who are</w:t>
      </w:r>
      <w:r w:rsidR="008E3863" w:rsidRPr="008E3863">
        <w:rPr>
          <w:rFonts w:ascii="Arial" w:hAnsi="Arial" w:cs="Arial"/>
          <w:color w:val="7B7B7B" w:themeColor="accent3" w:themeShade="BF"/>
          <w:sz w:val="22"/>
          <w:szCs w:val="22"/>
        </w:rPr>
        <w:t xml:space="preserve"> financial institutions </w:t>
      </w:r>
      <w:r w:rsidR="008E3863">
        <w:rPr>
          <w:rFonts w:ascii="Arial" w:hAnsi="Arial" w:cs="Arial"/>
          <w:color w:val="7B7B7B" w:themeColor="accent3" w:themeShade="BF"/>
          <w:sz w:val="22"/>
          <w:szCs w:val="22"/>
        </w:rPr>
        <w:t>such as banks, insurers</w:t>
      </w:r>
      <w:r w:rsidR="00F43941">
        <w:rPr>
          <w:rFonts w:ascii="Arial" w:hAnsi="Arial" w:cs="Arial"/>
          <w:color w:val="7B7B7B" w:themeColor="accent3" w:themeShade="BF"/>
          <w:sz w:val="22"/>
          <w:szCs w:val="22"/>
        </w:rPr>
        <w:t xml:space="preserve"> and electronic investment exchanges</w:t>
      </w:r>
      <w:r w:rsidR="008E3863">
        <w:rPr>
          <w:rFonts w:ascii="Arial" w:hAnsi="Arial" w:cs="Arial"/>
          <w:color w:val="7B7B7B" w:themeColor="accent3" w:themeShade="BF"/>
          <w:sz w:val="22"/>
          <w:szCs w:val="22"/>
        </w:rPr>
        <w:t xml:space="preserve"> </w:t>
      </w:r>
      <w:r w:rsidR="00F43941">
        <w:rPr>
          <w:rFonts w:ascii="Arial" w:hAnsi="Arial" w:cs="Arial"/>
          <w:color w:val="7B7B7B" w:themeColor="accent3" w:themeShade="BF"/>
          <w:sz w:val="22"/>
          <w:szCs w:val="22"/>
        </w:rPr>
        <w:t>(</w:t>
      </w:r>
      <w:r w:rsidR="008E3863" w:rsidRPr="008E3863">
        <w:rPr>
          <w:rFonts w:ascii="Arial" w:hAnsi="Arial" w:cs="Arial"/>
          <w:color w:val="7B7B7B" w:themeColor="accent3" w:themeShade="BF"/>
          <w:sz w:val="22"/>
          <w:szCs w:val="22"/>
        </w:rPr>
        <w:t>whether as customer or as supplier</w:t>
      </w:r>
      <w:r w:rsidR="00F43941">
        <w:rPr>
          <w:rFonts w:ascii="Arial" w:hAnsi="Arial" w:cs="Arial"/>
          <w:color w:val="7B7B7B" w:themeColor="accent3" w:themeShade="BF"/>
          <w:sz w:val="22"/>
          <w:szCs w:val="22"/>
        </w:rPr>
        <w:t>).</w:t>
      </w:r>
      <w:r w:rsidR="008E3863" w:rsidRPr="008E3863">
        <w:rPr>
          <w:rFonts w:ascii="Arial" w:hAnsi="Arial" w:cs="Arial"/>
          <w:color w:val="7B7B7B" w:themeColor="accent3" w:themeShade="BF"/>
          <w:sz w:val="22"/>
          <w:szCs w:val="22"/>
        </w:rPr>
        <w:t xml:space="preserve"> - Financial contracts (such as contracts for lending, financial leasing or providing guarantees), contracts for securities, commodities, futures/forwards, swaps, and inter-bank borrowing of three months or less are also excluded.</w:t>
      </w:r>
      <w:r w:rsidR="003770EA">
        <w:rPr>
          <w:rFonts w:ascii="Arial" w:hAnsi="Arial" w:cs="Arial"/>
          <w:color w:val="7B7B7B" w:themeColor="accent3" w:themeShade="BF"/>
          <w:sz w:val="22"/>
          <w:szCs w:val="22"/>
        </w:rPr>
        <w:t xml:space="preserve"> </w:t>
      </w:r>
    </w:p>
    <w:p w14:paraId="760B2E71" w14:textId="77777777" w:rsidR="00F43941" w:rsidRDefault="00F43941" w:rsidP="00775AB3">
      <w:pPr>
        <w:jc w:val="both"/>
        <w:rPr>
          <w:rFonts w:ascii="Arial" w:hAnsi="Arial" w:cs="Arial"/>
          <w:color w:val="7B7B7B" w:themeColor="accent3" w:themeShade="BF"/>
          <w:sz w:val="22"/>
          <w:szCs w:val="22"/>
        </w:rPr>
      </w:pPr>
    </w:p>
    <w:p w14:paraId="17CBCF8F" w14:textId="5C78D4FA" w:rsidR="00D50C28" w:rsidRDefault="003770EA" w:rsidP="00775A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Should the supply agreement contain a clause whereby the supply or the contract itself may be terminated by the supplier due to an event which occurred prior to the start of the insolvency period or administration, and that entitlement arises before the start of the insolvency period, then Section 233B(4) </w:t>
      </w:r>
      <w:r w:rsidR="00F43941">
        <w:rPr>
          <w:rFonts w:ascii="Arial" w:hAnsi="Arial" w:cs="Arial"/>
          <w:color w:val="7B7B7B" w:themeColor="accent3" w:themeShade="BF"/>
          <w:sz w:val="22"/>
          <w:szCs w:val="22"/>
        </w:rPr>
        <w:t xml:space="preserve">of the Act </w:t>
      </w:r>
      <w:r>
        <w:rPr>
          <w:rFonts w:ascii="Arial" w:hAnsi="Arial" w:cs="Arial"/>
          <w:color w:val="7B7B7B" w:themeColor="accent3" w:themeShade="BF"/>
          <w:sz w:val="22"/>
          <w:szCs w:val="22"/>
        </w:rPr>
        <w:t xml:space="preserve">prevents the supplier from relying </w:t>
      </w:r>
      <w:r w:rsidR="00F43941">
        <w:rPr>
          <w:rFonts w:ascii="Arial" w:hAnsi="Arial" w:cs="Arial"/>
          <w:color w:val="7B7B7B" w:themeColor="accent3" w:themeShade="BF"/>
          <w:sz w:val="22"/>
          <w:szCs w:val="22"/>
        </w:rPr>
        <w:t>on this event</w:t>
      </w:r>
      <w:r>
        <w:rPr>
          <w:rFonts w:ascii="Arial" w:hAnsi="Arial" w:cs="Arial"/>
          <w:color w:val="7B7B7B" w:themeColor="accent3" w:themeShade="BF"/>
          <w:sz w:val="22"/>
          <w:szCs w:val="22"/>
        </w:rPr>
        <w:t xml:space="preserve">. </w:t>
      </w:r>
      <w:r w:rsidR="006049F1">
        <w:rPr>
          <w:rFonts w:ascii="Arial" w:hAnsi="Arial" w:cs="Arial"/>
          <w:color w:val="7B7B7B" w:themeColor="accent3" w:themeShade="BF"/>
          <w:sz w:val="22"/>
          <w:szCs w:val="22"/>
        </w:rPr>
        <w:t xml:space="preserve"> </w:t>
      </w:r>
    </w:p>
    <w:p w14:paraId="1CA2BE9A" w14:textId="59BD34F9" w:rsidR="006049F1" w:rsidRDefault="006049F1" w:rsidP="00775AB3">
      <w:pPr>
        <w:jc w:val="both"/>
        <w:rPr>
          <w:rFonts w:ascii="Arial" w:hAnsi="Arial" w:cs="Arial"/>
          <w:color w:val="7B7B7B" w:themeColor="accent3" w:themeShade="BF"/>
          <w:sz w:val="22"/>
          <w:szCs w:val="22"/>
        </w:rPr>
      </w:pPr>
    </w:p>
    <w:p w14:paraId="4AA612CB" w14:textId="36361057" w:rsidR="006049F1" w:rsidRDefault="006049F1" w:rsidP="00775A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233B </w:t>
      </w:r>
      <w:r w:rsidR="00F43941">
        <w:rPr>
          <w:rFonts w:ascii="Arial" w:hAnsi="Arial" w:cs="Arial"/>
          <w:color w:val="7B7B7B" w:themeColor="accent3" w:themeShade="BF"/>
          <w:sz w:val="22"/>
          <w:szCs w:val="22"/>
        </w:rPr>
        <w:t xml:space="preserve">of the Act </w:t>
      </w:r>
      <w:r>
        <w:rPr>
          <w:rFonts w:ascii="Arial" w:hAnsi="Arial" w:cs="Arial"/>
          <w:color w:val="7B7B7B" w:themeColor="accent3" w:themeShade="BF"/>
          <w:sz w:val="22"/>
          <w:szCs w:val="22"/>
        </w:rPr>
        <w:t xml:space="preserve">differs in many respects to Section 233A </w:t>
      </w:r>
      <w:r w:rsidR="00F43941">
        <w:rPr>
          <w:rFonts w:ascii="Arial" w:hAnsi="Arial" w:cs="Arial"/>
          <w:color w:val="7B7B7B" w:themeColor="accent3" w:themeShade="BF"/>
          <w:sz w:val="22"/>
          <w:szCs w:val="22"/>
        </w:rPr>
        <w:t>of the Act</w:t>
      </w:r>
      <w:r>
        <w:rPr>
          <w:rFonts w:ascii="Arial" w:hAnsi="Arial" w:cs="Arial"/>
          <w:color w:val="7B7B7B" w:themeColor="accent3" w:themeShade="BF"/>
          <w:sz w:val="22"/>
          <w:szCs w:val="22"/>
        </w:rPr>
        <w:t>in that it</w:t>
      </w:r>
      <w:r w:rsidRPr="006049F1">
        <w:rPr>
          <w:rFonts w:ascii="Arial" w:hAnsi="Arial" w:cs="Arial"/>
          <w:color w:val="7B7B7B" w:themeColor="accent3" w:themeShade="BF"/>
          <w:sz w:val="22"/>
          <w:szCs w:val="22"/>
        </w:rPr>
        <w:t xml:space="preserve"> applies to a </w:t>
      </w:r>
      <w:r w:rsidR="00F43941">
        <w:rPr>
          <w:rFonts w:ascii="Arial" w:hAnsi="Arial" w:cs="Arial"/>
          <w:color w:val="7B7B7B" w:themeColor="accent3" w:themeShade="BF"/>
          <w:sz w:val="22"/>
          <w:szCs w:val="22"/>
        </w:rPr>
        <w:t>broader</w:t>
      </w:r>
      <w:r w:rsidR="00F43941" w:rsidRPr="006049F1">
        <w:rPr>
          <w:rFonts w:ascii="Arial" w:hAnsi="Arial" w:cs="Arial"/>
          <w:color w:val="7B7B7B" w:themeColor="accent3" w:themeShade="BF"/>
          <w:sz w:val="22"/>
          <w:szCs w:val="22"/>
        </w:rPr>
        <w:t xml:space="preserve"> </w:t>
      </w:r>
      <w:r w:rsidRPr="006049F1">
        <w:rPr>
          <w:rFonts w:ascii="Arial" w:hAnsi="Arial" w:cs="Arial"/>
          <w:color w:val="7B7B7B" w:themeColor="accent3" w:themeShade="BF"/>
          <w:sz w:val="22"/>
          <w:szCs w:val="22"/>
        </w:rPr>
        <w:t xml:space="preserve">set of insolvency procedures than </w:t>
      </w:r>
      <w:r w:rsidR="00F43941">
        <w:rPr>
          <w:rFonts w:ascii="Arial" w:hAnsi="Arial" w:cs="Arial"/>
          <w:color w:val="7B7B7B" w:themeColor="accent3" w:themeShade="BF"/>
          <w:sz w:val="22"/>
          <w:szCs w:val="22"/>
        </w:rPr>
        <w:t xml:space="preserve">those </w:t>
      </w:r>
      <w:r w:rsidR="00B633DA">
        <w:rPr>
          <w:rFonts w:ascii="Arial" w:hAnsi="Arial" w:cs="Arial"/>
          <w:color w:val="7B7B7B" w:themeColor="accent3" w:themeShade="BF"/>
          <w:sz w:val="22"/>
          <w:szCs w:val="22"/>
        </w:rPr>
        <w:t>particularis</w:t>
      </w:r>
      <w:r w:rsidR="00F43941">
        <w:rPr>
          <w:rFonts w:ascii="Arial" w:hAnsi="Arial" w:cs="Arial"/>
          <w:color w:val="7B7B7B" w:themeColor="accent3" w:themeShade="BF"/>
          <w:sz w:val="22"/>
          <w:szCs w:val="22"/>
        </w:rPr>
        <w:t>ed in</w:t>
      </w:r>
      <w:r w:rsidRPr="006049F1">
        <w:rPr>
          <w:rFonts w:ascii="Arial" w:hAnsi="Arial" w:cs="Arial"/>
          <w:color w:val="7B7B7B" w:themeColor="accent3" w:themeShade="BF"/>
          <w:sz w:val="22"/>
          <w:szCs w:val="22"/>
        </w:rPr>
        <w:t xml:space="preserve"> Section 233A and it also covers more than just essential supplies. </w:t>
      </w:r>
      <w:r w:rsidR="00B633DA">
        <w:rPr>
          <w:rFonts w:ascii="Arial" w:hAnsi="Arial" w:cs="Arial"/>
          <w:color w:val="7B7B7B" w:themeColor="accent3" w:themeShade="BF"/>
          <w:sz w:val="22"/>
          <w:szCs w:val="22"/>
        </w:rPr>
        <w:t xml:space="preserve">One example is that </w:t>
      </w:r>
      <w:r w:rsidRPr="006049F1">
        <w:rPr>
          <w:rFonts w:ascii="Arial" w:hAnsi="Arial" w:cs="Arial"/>
          <w:color w:val="7B7B7B" w:themeColor="accent3" w:themeShade="BF"/>
          <w:sz w:val="22"/>
          <w:szCs w:val="22"/>
        </w:rPr>
        <w:t>Section 233A does not provide for the ability of suppliers to require an administrator (or other such insolvency officeholder as the case may be) to personally guarantee the payment of any future supply.</w:t>
      </w:r>
      <w:r w:rsidR="008748E0">
        <w:rPr>
          <w:rStyle w:val="FootnoteReference"/>
          <w:rFonts w:ascii="Arial" w:hAnsi="Arial" w:cs="Arial"/>
          <w:color w:val="7B7B7B" w:themeColor="accent3" w:themeShade="BF"/>
          <w:sz w:val="22"/>
          <w:szCs w:val="22"/>
        </w:rPr>
        <w:footnoteReference w:id="5"/>
      </w:r>
    </w:p>
    <w:p w14:paraId="6089327A" w14:textId="6BEAFF68" w:rsidR="00D50C28" w:rsidRDefault="00D50C28" w:rsidP="00775AB3">
      <w:pPr>
        <w:jc w:val="both"/>
        <w:rPr>
          <w:rFonts w:ascii="Arial" w:hAnsi="Arial" w:cs="Arial"/>
          <w:color w:val="7B7B7B" w:themeColor="accent3" w:themeShade="BF"/>
          <w:sz w:val="22"/>
          <w:szCs w:val="22"/>
        </w:rPr>
      </w:pPr>
    </w:p>
    <w:p w14:paraId="3B59F7B7" w14:textId="6F96340E" w:rsidR="000B2D2A" w:rsidRDefault="00436EFE" w:rsidP="00775A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the above it would seem that an administrator </w:t>
      </w:r>
      <w:r w:rsidRPr="00436EFE">
        <w:rPr>
          <w:rFonts w:ascii="Arial" w:hAnsi="Arial" w:cs="Arial"/>
          <w:color w:val="7B7B7B" w:themeColor="accent3" w:themeShade="BF"/>
          <w:sz w:val="22"/>
          <w:szCs w:val="22"/>
          <w:lang w:val="en-GB"/>
        </w:rPr>
        <w:t xml:space="preserve">who wishes to continue to operate the business of the company in administration </w:t>
      </w:r>
      <w:r>
        <w:rPr>
          <w:rFonts w:ascii="Arial" w:hAnsi="Arial" w:cs="Arial"/>
          <w:color w:val="7B7B7B" w:themeColor="accent3" w:themeShade="BF"/>
          <w:sz w:val="22"/>
          <w:szCs w:val="22"/>
          <w:lang w:val="en-GB"/>
        </w:rPr>
        <w:t xml:space="preserve">can </w:t>
      </w:r>
      <w:r w:rsidRPr="00436EFE">
        <w:rPr>
          <w:rFonts w:ascii="Arial" w:hAnsi="Arial" w:cs="Arial"/>
          <w:color w:val="7B7B7B" w:themeColor="accent3" w:themeShade="BF"/>
          <w:sz w:val="22"/>
          <w:szCs w:val="22"/>
          <w:lang w:val="en-GB"/>
        </w:rPr>
        <w:t xml:space="preserve">require suppliers of </w:t>
      </w:r>
      <w:r>
        <w:rPr>
          <w:rFonts w:ascii="Arial" w:hAnsi="Arial" w:cs="Arial"/>
          <w:color w:val="7B7B7B" w:themeColor="accent3" w:themeShade="BF"/>
          <w:sz w:val="22"/>
          <w:szCs w:val="22"/>
          <w:lang w:val="en-GB"/>
        </w:rPr>
        <w:t xml:space="preserve">certain </w:t>
      </w:r>
      <w:r w:rsidRPr="00436EFE">
        <w:rPr>
          <w:rFonts w:ascii="Arial" w:hAnsi="Arial" w:cs="Arial"/>
          <w:color w:val="7B7B7B" w:themeColor="accent3" w:themeShade="BF"/>
          <w:sz w:val="22"/>
          <w:szCs w:val="22"/>
          <w:lang w:val="en-GB"/>
        </w:rPr>
        <w:t>goods and services to continue to supply those goods and services during the administration</w:t>
      </w:r>
      <w:r>
        <w:rPr>
          <w:rFonts w:ascii="Arial" w:hAnsi="Arial" w:cs="Arial"/>
          <w:color w:val="7B7B7B" w:themeColor="accent3" w:themeShade="BF"/>
          <w:sz w:val="22"/>
          <w:szCs w:val="22"/>
          <w:lang w:val="en-GB"/>
        </w:rPr>
        <w:t xml:space="preserve">. However this is limited to certain goods and services (those which are essential as listed above) and subject to rights </w:t>
      </w:r>
      <w:r w:rsidR="00B633DA">
        <w:rPr>
          <w:rFonts w:ascii="Arial" w:hAnsi="Arial" w:cs="Arial"/>
          <w:color w:val="7B7B7B" w:themeColor="accent3" w:themeShade="BF"/>
          <w:sz w:val="22"/>
          <w:szCs w:val="22"/>
          <w:lang w:val="en-GB"/>
        </w:rPr>
        <w:t>and</w:t>
      </w:r>
      <w:r w:rsidR="00786DAF">
        <w:rPr>
          <w:rFonts w:ascii="Arial" w:hAnsi="Arial" w:cs="Arial"/>
          <w:color w:val="7B7B7B" w:themeColor="accent3" w:themeShade="BF"/>
          <w:sz w:val="22"/>
          <w:szCs w:val="22"/>
          <w:lang w:val="en-GB"/>
        </w:rPr>
        <w:t xml:space="preserve"> </w:t>
      </w:r>
      <w:r w:rsidR="00B633DA">
        <w:rPr>
          <w:rFonts w:ascii="Arial" w:hAnsi="Arial" w:cs="Arial"/>
          <w:color w:val="7B7B7B" w:themeColor="accent3" w:themeShade="BF"/>
          <w:sz w:val="22"/>
          <w:szCs w:val="22"/>
          <w:lang w:val="en-GB"/>
        </w:rPr>
        <w:t xml:space="preserve">remedies available to </w:t>
      </w:r>
      <w:r>
        <w:rPr>
          <w:rFonts w:ascii="Arial" w:hAnsi="Arial" w:cs="Arial"/>
          <w:color w:val="7B7B7B" w:themeColor="accent3" w:themeShade="BF"/>
          <w:sz w:val="22"/>
          <w:szCs w:val="22"/>
          <w:lang w:val="en-GB"/>
        </w:rPr>
        <w:t xml:space="preserve">suppliers </w:t>
      </w:r>
      <w:r w:rsidR="00B633DA">
        <w:rPr>
          <w:rFonts w:ascii="Arial" w:hAnsi="Arial" w:cs="Arial"/>
          <w:color w:val="7B7B7B" w:themeColor="accent3" w:themeShade="BF"/>
          <w:sz w:val="22"/>
          <w:szCs w:val="22"/>
          <w:lang w:val="en-GB"/>
        </w:rPr>
        <w:t xml:space="preserve">(in particular those circumstances which allows a supplier to </w:t>
      </w:r>
      <w:r>
        <w:rPr>
          <w:rFonts w:ascii="Arial" w:hAnsi="Arial" w:cs="Arial"/>
          <w:color w:val="7B7B7B" w:themeColor="accent3" w:themeShade="BF"/>
          <w:sz w:val="22"/>
          <w:szCs w:val="22"/>
          <w:lang w:val="en-GB"/>
        </w:rPr>
        <w:t>terminate the contracts where certain conditions are met</w:t>
      </w:r>
      <w:r w:rsidR="00B633D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E450CAD" w14:textId="77777777" w:rsidR="00FF5098" w:rsidRPr="00FF5098" w:rsidRDefault="00FF5098" w:rsidP="002A37BB">
      <w:pPr>
        <w:ind w:left="720" w:hanging="720"/>
        <w:jc w:val="both"/>
        <w:rPr>
          <w:rFonts w:ascii="Arial" w:hAnsi="Arial" w:cs="Arial"/>
          <w:sz w:val="22"/>
          <w:szCs w:val="22"/>
        </w:rPr>
      </w:pPr>
    </w:p>
    <w:p w14:paraId="78A88EA7" w14:textId="2C58D76D" w:rsidR="00FF5098" w:rsidRDefault="00FF5098" w:rsidP="002A37BB">
      <w:pPr>
        <w:ind w:left="720" w:hanging="720"/>
        <w:jc w:val="both"/>
        <w:rPr>
          <w:rFonts w:ascii="Arial" w:hAnsi="Arial" w:cs="Arial"/>
          <w:sz w:val="22"/>
          <w:szCs w:val="22"/>
        </w:rPr>
      </w:pPr>
    </w:p>
    <w:p w14:paraId="674D323C" w14:textId="2F5488B3" w:rsidR="00681BEF" w:rsidRDefault="00681BEF" w:rsidP="002A37BB">
      <w:pPr>
        <w:ind w:left="720" w:hanging="720"/>
        <w:jc w:val="both"/>
        <w:rPr>
          <w:rFonts w:ascii="Arial" w:hAnsi="Arial" w:cs="Arial"/>
          <w:sz w:val="22"/>
          <w:szCs w:val="22"/>
        </w:rPr>
      </w:pPr>
    </w:p>
    <w:p w14:paraId="590D0CD9" w14:textId="6AB4662E" w:rsidR="00681BEF" w:rsidRDefault="00681BEF" w:rsidP="002A37BB">
      <w:pPr>
        <w:ind w:left="720" w:hanging="720"/>
        <w:jc w:val="both"/>
        <w:rPr>
          <w:rFonts w:ascii="Arial" w:hAnsi="Arial" w:cs="Arial"/>
          <w:sz w:val="22"/>
          <w:szCs w:val="22"/>
        </w:rPr>
      </w:pPr>
    </w:p>
    <w:p w14:paraId="25C0D2EC" w14:textId="2341F0FE" w:rsidR="00681BEF" w:rsidRDefault="00681BEF" w:rsidP="002A37BB">
      <w:pPr>
        <w:ind w:left="720" w:hanging="720"/>
        <w:jc w:val="both"/>
        <w:rPr>
          <w:rFonts w:ascii="Arial" w:hAnsi="Arial" w:cs="Arial"/>
          <w:sz w:val="22"/>
          <w:szCs w:val="22"/>
        </w:rPr>
      </w:pPr>
    </w:p>
    <w:p w14:paraId="33C7189D" w14:textId="44DBC1C2" w:rsidR="00681BEF" w:rsidRDefault="00681BEF" w:rsidP="002A37BB">
      <w:pPr>
        <w:ind w:left="720" w:hanging="720"/>
        <w:jc w:val="both"/>
        <w:rPr>
          <w:rFonts w:ascii="Arial" w:hAnsi="Arial" w:cs="Arial"/>
          <w:sz w:val="22"/>
          <w:szCs w:val="22"/>
        </w:rPr>
      </w:pPr>
    </w:p>
    <w:p w14:paraId="3DA51B60" w14:textId="16E39C0F" w:rsidR="00681BEF" w:rsidRDefault="00681BEF" w:rsidP="002A37BB">
      <w:pPr>
        <w:ind w:left="720" w:hanging="720"/>
        <w:jc w:val="both"/>
        <w:rPr>
          <w:rFonts w:ascii="Arial" w:hAnsi="Arial" w:cs="Arial"/>
          <w:sz w:val="22"/>
          <w:szCs w:val="22"/>
        </w:rPr>
      </w:pPr>
    </w:p>
    <w:p w14:paraId="34E6ABAA" w14:textId="5E7C95DE" w:rsidR="00681BEF" w:rsidRDefault="00681BEF" w:rsidP="002A37BB">
      <w:pPr>
        <w:ind w:left="720" w:hanging="720"/>
        <w:jc w:val="both"/>
        <w:rPr>
          <w:rFonts w:ascii="Arial" w:hAnsi="Arial" w:cs="Arial"/>
          <w:sz w:val="22"/>
          <w:szCs w:val="22"/>
        </w:rPr>
      </w:pPr>
    </w:p>
    <w:p w14:paraId="6C8E4687" w14:textId="77777777" w:rsidR="00681BEF" w:rsidRPr="00FF5098" w:rsidRDefault="00681BEF"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681BEF">
        <w:rPr>
          <w:rFonts w:ascii="Arial" w:hAnsi="Arial" w:cs="Arial"/>
          <w:sz w:val="22"/>
          <w:szCs w:val="22"/>
          <w:lang w:val="en-GB"/>
        </w:rPr>
        <w:t xml:space="preserve">Explain the </w:t>
      </w:r>
      <w:r w:rsidR="00461F95" w:rsidRPr="00681BEF">
        <w:rPr>
          <w:rFonts w:ascii="Arial" w:hAnsi="Arial" w:cs="Arial"/>
          <w:sz w:val="22"/>
          <w:szCs w:val="22"/>
          <w:lang w:val="en-GB"/>
        </w:rPr>
        <w:t>order of priority of payments in a liquidation</w:t>
      </w:r>
      <w:r w:rsidR="00F70126" w:rsidRPr="00681BEF">
        <w:rPr>
          <w:rFonts w:ascii="Arial" w:hAnsi="Arial" w:cs="Arial"/>
          <w:sz w:val="22"/>
          <w:szCs w:val="22"/>
          <w:lang w:val="en-GB"/>
        </w:rPr>
        <w:t xml:space="preserve"> and explain the nature of </w:t>
      </w:r>
      <w:r w:rsidR="00311816" w:rsidRPr="00681BEF">
        <w:rPr>
          <w:rFonts w:ascii="Arial" w:hAnsi="Arial" w:cs="Arial"/>
          <w:sz w:val="22"/>
          <w:szCs w:val="22"/>
          <w:lang w:val="en-GB"/>
        </w:rPr>
        <w:t xml:space="preserve">the rights enjoyed by </w:t>
      </w:r>
      <w:r w:rsidR="00F70126" w:rsidRPr="00681BEF">
        <w:rPr>
          <w:rFonts w:ascii="Arial" w:hAnsi="Arial" w:cs="Arial"/>
          <w:sz w:val="22"/>
          <w:szCs w:val="22"/>
          <w:lang w:val="en-GB"/>
        </w:rPr>
        <w:t xml:space="preserve">each </w:t>
      </w:r>
      <w:r w:rsidR="00311816" w:rsidRPr="00681BEF">
        <w:rPr>
          <w:rFonts w:ascii="Arial" w:hAnsi="Arial" w:cs="Arial"/>
          <w:sz w:val="22"/>
          <w:szCs w:val="22"/>
          <w:lang w:val="en-GB"/>
        </w:rPr>
        <w:t xml:space="preserve">class of </w:t>
      </w:r>
      <w:r w:rsidR="00F70126" w:rsidRPr="00681BEF">
        <w:rPr>
          <w:rFonts w:ascii="Arial" w:hAnsi="Arial" w:cs="Arial"/>
          <w:sz w:val="22"/>
          <w:szCs w:val="22"/>
          <w:lang w:val="en-GB"/>
        </w:rPr>
        <w:t>creditor</w:t>
      </w:r>
      <w:r w:rsidR="00311816" w:rsidRPr="00681BEF">
        <w:rPr>
          <w:rFonts w:ascii="Arial" w:hAnsi="Arial" w:cs="Arial"/>
          <w:sz w:val="22"/>
          <w:szCs w:val="22"/>
          <w:lang w:val="en-GB"/>
        </w:rPr>
        <w:t xml:space="preserve"> or expense</w:t>
      </w:r>
      <w:r w:rsidR="00763348" w:rsidRPr="00681BEF">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22FAD8A5" w14:textId="2D9F295A" w:rsidR="00BE1A83" w:rsidRDefault="00BE1A83" w:rsidP="007754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of 1986</w:t>
      </w:r>
      <w:r w:rsidR="001E41E7">
        <w:rPr>
          <w:rFonts w:ascii="Arial" w:hAnsi="Arial" w:cs="Arial"/>
          <w:color w:val="7B7B7B" w:themeColor="accent3" w:themeShade="BF"/>
          <w:sz w:val="22"/>
          <w:szCs w:val="22"/>
          <w:lang w:val="en-GB"/>
        </w:rPr>
        <w:t xml:space="preserve"> (</w:t>
      </w:r>
      <w:r w:rsidR="00B633DA">
        <w:rPr>
          <w:rFonts w:ascii="Arial" w:hAnsi="Arial" w:cs="Arial"/>
          <w:color w:val="7B7B7B" w:themeColor="accent3" w:themeShade="BF"/>
          <w:sz w:val="22"/>
          <w:szCs w:val="22"/>
          <w:lang w:val="en-GB"/>
        </w:rPr>
        <w:t xml:space="preserve">the </w:t>
      </w:r>
      <w:r w:rsidR="001E41E7">
        <w:rPr>
          <w:rFonts w:ascii="Arial" w:hAnsi="Arial" w:cs="Arial"/>
          <w:color w:val="7B7B7B" w:themeColor="accent3" w:themeShade="BF"/>
          <w:sz w:val="22"/>
          <w:szCs w:val="22"/>
          <w:lang w:val="en-GB"/>
        </w:rPr>
        <w:t>"</w:t>
      </w:r>
      <w:r w:rsidR="001E41E7" w:rsidRPr="001E41E7">
        <w:rPr>
          <w:rFonts w:ascii="Arial" w:hAnsi="Arial" w:cs="Arial"/>
          <w:b/>
          <w:color w:val="7B7B7B" w:themeColor="accent3" w:themeShade="BF"/>
          <w:sz w:val="22"/>
          <w:szCs w:val="22"/>
          <w:lang w:val="en-GB"/>
        </w:rPr>
        <w:t>Act</w:t>
      </w:r>
      <w:r w:rsidR="001E41E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prescribes a statutory order which </w:t>
      </w:r>
      <w:r w:rsidR="00B633DA">
        <w:rPr>
          <w:rFonts w:ascii="Arial" w:hAnsi="Arial" w:cs="Arial"/>
          <w:color w:val="7B7B7B" w:themeColor="accent3" w:themeShade="BF"/>
          <w:sz w:val="22"/>
          <w:szCs w:val="22"/>
          <w:lang w:val="en-GB"/>
        </w:rPr>
        <w:t>needs to</w:t>
      </w:r>
      <w:r>
        <w:rPr>
          <w:rFonts w:ascii="Arial" w:hAnsi="Arial" w:cs="Arial"/>
          <w:color w:val="7B7B7B" w:themeColor="accent3" w:themeShade="BF"/>
          <w:sz w:val="22"/>
          <w:szCs w:val="22"/>
          <w:lang w:val="en-GB"/>
        </w:rPr>
        <w:t xml:space="preserve"> be f</w:t>
      </w:r>
      <w:r w:rsidR="001E41E7">
        <w:rPr>
          <w:rFonts w:ascii="Arial" w:hAnsi="Arial" w:cs="Arial"/>
          <w:color w:val="7B7B7B" w:themeColor="accent3" w:themeShade="BF"/>
          <w:sz w:val="22"/>
          <w:szCs w:val="22"/>
          <w:lang w:val="en-GB"/>
        </w:rPr>
        <w:t xml:space="preserve">ollowed </w:t>
      </w:r>
      <w:r w:rsidR="00B633DA">
        <w:rPr>
          <w:rFonts w:ascii="Arial" w:hAnsi="Arial" w:cs="Arial"/>
          <w:color w:val="7B7B7B" w:themeColor="accent3" w:themeShade="BF"/>
          <w:sz w:val="22"/>
          <w:szCs w:val="22"/>
          <w:lang w:val="en-GB"/>
        </w:rPr>
        <w:t xml:space="preserve">when making distributions to creditors involved in the liquidation of a company. In summary, the </w:t>
      </w:r>
      <w:r w:rsidR="001E41E7">
        <w:rPr>
          <w:rFonts w:ascii="Arial" w:hAnsi="Arial" w:cs="Arial"/>
          <w:color w:val="7B7B7B" w:themeColor="accent3" w:themeShade="BF"/>
          <w:sz w:val="22"/>
          <w:szCs w:val="22"/>
          <w:lang w:val="en-GB"/>
        </w:rPr>
        <w:t>hierarchy</w:t>
      </w:r>
      <w:r w:rsidR="00B633DA">
        <w:rPr>
          <w:rFonts w:ascii="Arial" w:hAnsi="Arial" w:cs="Arial"/>
          <w:color w:val="7B7B7B" w:themeColor="accent3" w:themeShade="BF"/>
          <w:sz w:val="22"/>
          <w:szCs w:val="22"/>
          <w:lang w:val="en-GB"/>
        </w:rPr>
        <w:t>/order</w:t>
      </w:r>
      <w:r w:rsidR="001E41E7">
        <w:rPr>
          <w:rFonts w:ascii="Arial" w:hAnsi="Arial" w:cs="Arial"/>
          <w:color w:val="7B7B7B" w:themeColor="accent3" w:themeShade="BF"/>
          <w:sz w:val="22"/>
          <w:szCs w:val="22"/>
          <w:lang w:val="en-GB"/>
        </w:rPr>
        <w:t xml:space="preserve"> of creditors </w:t>
      </w:r>
      <w:r w:rsidR="00B633DA">
        <w:rPr>
          <w:rFonts w:ascii="Arial" w:hAnsi="Arial" w:cs="Arial"/>
          <w:color w:val="7B7B7B" w:themeColor="accent3" w:themeShade="BF"/>
          <w:sz w:val="22"/>
          <w:szCs w:val="22"/>
          <w:lang w:val="en-GB"/>
        </w:rPr>
        <w:t>is</w:t>
      </w:r>
      <w:r w:rsidR="001E41E7">
        <w:rPr>
          <w:rFonts w:ascii="Arial" w:hAnsi="Arial" w:cs="Arial"/>
          <w:color w:val="7B7B7B" w:themeColor="accent3" w:themeShade="BF"/>
          <w:sz w:val="22"/>
          <w:szCs w:val="22"/>
          <w:lang w:val="en-GB"/>
        </w:rPr>
        <w:t xml:space="preserve"> as follows:</w:t>
      </w:r>
      <w:r>
        <w:rPr>
          <w:rFonts w:ascii="Arial" w:hAnsi="Arial" w:cs="Arial"/>
          <w:color w:val="7B7B7B" w:themeColor="accent3" w:themeShade="BF"/>
          <w:sz w:val="22"/>
          <w:szCs w:val="22"/>
          <w:lang w:val="en-GB"/>
        </w:rPr>
        <w:t xml:space="preserve"> </w:t>
      </w:r>
    </w:p>
    <w:p w14:paraId="10EE4989" w14:textId="77777777" w:rsidR="00B633DA" w:rsidRDefault="00B633DA" w:rsidP="0077549A">
      <w:pPr>
        <w:jc w:val="both"/>
        <w:rPr>
          <w:rFonts w:ascii="Arial" w:hAnsi="Arial" w:cs="Arial"/>
          <w:color w:val="7B7B7B" w:themeColor="accent3" w:themeShade="BF"/>
          <w:sz w:val="22"/>
          <w:szCs w:val="22"/>
          <w:lang w:val="en-GB"/>
        </w:rPr>
      </w:pPr>
    </w:p>
    <w:p w14:paraId="032E72C2" w14:textId="63E9FF7A"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Fixed charge holders.</w:t>
      </w:r>
    </w:p>
    <w:p w14:paraId="27F531C1" w14:textId="77777777"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Liquidators' fees and expenses.</w:t>
      </w:r>
    </w:p>
    <w:p w14:paraId="04827237" w14:textId="77777777"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Preferred creditors.</w:t>
      </w:r>
    </w:p>
    <w:p w14:paraId="1B645BD5" w14:textId="77777777"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Floating charge holders.</w:t>
      </w:r>
    </w:p>
    <w:p w14:paraId="7423C887" w14:textId="77777777"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Unsecured creditors.</w:t>
      </w:r>
    </w:p>
    <w:p w14:paraId="1BD0CE31" w14:textId="77777777"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Interest incurred on all unsecured debts post-liquidation.</w:t>
      </w:r>
    </w:p>
    <w:p w14:paraId="3482FE0D" w14:textId="77777777" w:rsidR="00BE1A83" w:rsidRPr="00BE1A83" w:rsidRDefault="00BE1A83" w:rsidP="0077549A">
      <w:pPr>
        <w:numPr>
          <w:ilvl w:val="0"/>
          <w:numId w:val="20"/>
        </w:numPr>
        <w:jc w:val="both"/>
        <w:rPr>
          <w:rFonts w:ascii="Arial" w:hAnsi="Arial" w:cs="Arial"/>
          <w:color w:val="7B7B7B" w:themeColor="accent3" w:themeShade="BF"/>
          <w:sz w:val="22"/>
          <w:szCs w:val="22"/>
          <w:lang w:val="en-GB"/>
        </w:rPr>
      </w:pPr>
      <w:r w:rsidRPr="00BE1A83">
        <w:rPr>
          <w:rFonts w:ascii="Arial" w:hAnsi="Arial" w:cs="Arial"/>
          <w:color w:val="7B7B7B" w:themeColor="accent3" w:themeShade="BF"/>
          <w:sz w:val="22"/>
          <w:szCs w:val="22"/>
          <w:lang w:val="en-GB"/>
        </w:rPr>
        <w:t>Shareholders.</w:t>
      </w:r>
    </w:p>
    <w:p w14:paraId="416B3334" w14:textId="7C13D59F" w:rsidR="00FF5098" w:rsidRDefault="00FF5098" w:rsidP="0077549A">
      <w:pPr>
        <w:jc w:val="both"/>
        <w:rPr>
          <w:rFonts w:ascii="Arial" w:hAnsi="Arial" w:cs="Arial"/>
          <w:color w:val="7B7B7B" w:themeColor="accent3" w:themeShade="BF"/>
          <w:sz w:val="22"/>
          <w:szCs w:val="22"/>
          <w:lang w:val="en-GB"/>
        </w:rPr>
      </w:pPr>
    </w:p>
    <w:p w14:paraId="3DF8C269" w14:textId="3A4C2CF8" w:rsidR="00DC4892" w:rsidRDefault="001E41E7" w:rsidP="00841DED">
      <w:pPr>
        <w:pStyle w:val="ListParagraph"/>
        <w:numPr>
          <w:ilvl w:val="0"/>
          <w:numId w:val="21"/>
        </w:numPr>
        <w:ind w:left="426" w:hanging="426"/>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u w:val="single"/>
          <w:lang w:val="en-GB"/>
        </w:rPr>
        <w:t>Secured creditors with a fixed charge</w:t>
      </w:r>
      <w:r w:rsidR="0077549A" w:rsidRPr="00B934D3">
        <w:rPr>
          <w:rFonts w:ascii="Arial" w:hAnsi="Arial" w:cs="Arial"/>
          <w:color w:val="7B7B7B" w:themeColor="accent3" w:themeShade="BF"/>
          <w:sz w:val="22"/>
          <w:szCs w:val="22"/>
          <w:lang w:val="en-GB"/>
        </w:rPr>
        <w:t xml:space="preserve"> are lenders (usually banks) </w:t>
      </w:r>
      <w:r w:rsidRPr="00B934D3">
        <w:rPr>
          <w:rFonts w:ascii="Arial" w:hAnsi="Arial" w:cs="Arial"/>
          <w:color w:val="7B7B7B" w:themeColor="accent3" w:themeShade="BF"/>
          <w:sz w:val="22"/>
          <w:szCs w:val="22"/>
          <w:lang w:val="en-GB"/>
        </w:rPr>
        <w:t xml:space="preserve">who hold title over a </w:t>
      </w:r>
      <w:r w:rsidR="0077549A" w:rsidRPr="00B934D3">
        <w:rPr>
          <w:rFonts w:ascii="Arial" w:hAnsi="Arial" w:cs="Arial"/>
          <w:color w:val="7B7B7B" w:themeColor="accent3" w:themeShade="BF"/>
          <w:sz w:val="22"/>
          <w:szCs w:val="22"/>
          <w:lang w:val="en-GB"/>
        </w:rPr>
        <w:t>commercial</w:t>
      </w:r>
      <w:r w:rsidRPr="00B934D3">
        <w:rPr>
          <w:rFonts w:ascii="Arial" w:hAnsi="Arial" w:cs="Arial"/>
          <w:color w:val="7B7B7B" w:themeColor="accent3" w:themeShade="BF"/>
          <w:sz w:val="22"/>
          <w:szCs w:val="22"/>
          <w:lang w:val="en-GB"/>
        </w:rPr>
        <w:t xml:space="preserve"> asset. </w:t>
      </w:r>
      <w:r w:rsidR="0077549A" w:rsidRPr="00B934D3">
        <w:rPr>
          <w:rFonts w:ascii="Arial" w:hAnsi="Arial" w:cs="Arial"/>
          <w:color w:val="7B7B7B" w:themeColor="accent3" w:themeShade="BF"/>
          <w:sz w:val="22"/>
          <w:szCs w:val="22"/>
          <w:lang w:val="en-GB"/>
        </w:rPr>
        <w:t xml:space="preserve">Such assets may </w:t>
      </w:r>
      <w:r w:rsidRPr="00B934D3">
        <w:rPr>
          <w:rFonts w:ascii="Arial" w:hAnsi="Arial" w:cs="Arial"/>
          <w:color w:val="7B7B7B" w:themeColor="accent3" w:themeShade="BF"/>
          <w:sz w:val="22"/>
          <w:szCs w:val="22"/>
          <w:lang w:val="en-GB"/>
        </w:rPr>
        <w:t xml:space="preserve">include </w:t>
      </w:r>
      <w:r w:rsidR="0077549A" w:rsidRPr="00B934D3">
        <w:rPr>
          <w:rFonts w:ascii="Arial" w:hAnsi="Arial" w:cs="Arial"/>
          <w:color w:val="7B7B7B" w:themeColor="accent3" w:themeShade="BF"/>
          <w:sz w:val="22"/>
          <w:szCs w:val="22"/>
          <w:lang w:val="en-GB"/>
        </w:rPr>
        <w:t xml:space="preserve">a company's </w:t>
      </w:r>
      <w:r w:rsidRPr="00B934D3">
        <w:rPr>
          <w:rFonts w:ascii="Arial" w:hAnsi="Arial" w:cs="Arial"/>
          <w:color w:val="7B7B7B" w:themeColor="accent3" w:themeShade="BF"/>
          <w:sz w:val="22"/>
          <w:szCs w:val="22"/>
          <w:lang w:val="en-GB"/>
        </w:rPr>
        <w:t>property, plant, machinery, and vehicles.</w:t>
      </w:r>
      <w:r w:rsidR="0081413A" w:rsidRPr="00B934D3">
        <w:rPr>
          <w:rFonts w:ascii="Arial" w:hAnsi="Arial" w:cs="Arial"/>
          <w:color w:val="7B7B7B" w:themeColor="accent3" w:themeShade="BF"/>
          <w:sz w:val="22"/>
          <w:szCs w:val="22"/>
          <w:lang w:val="en-GB"/>
        </w:rPr>
        <w:t xml:space="preserve"> </w:t>
      </w:r>
      <w:r w:rsidR="00E55BEA" w:rsidRPr="00B934D3">
        <w:rPr>
          <w:rFonts w:ascii="Arial" w:hAnsi="Arial" w:cs="Arial"/>
          <w:color w:val="7B7B7B" w:themeColor="accent3" w:themeShade="BF"/>
          <w:sz w:val="22"/>
          <w:szCs w:val="22"/>
        </w:rPr>
        <w:t>The fixed charge holder, is able to sell the secured asset to recoup the money owed to it.</w:t>
      </w:r>
      <w:r w:rsidR="00E55BEA" w:rsidRPr="00B934D3">
        <w:rPr>
          <w:rFonts w:ascii="Arial" w:hAnsi="Arial" w:cs="Arial"/>
          <w:color w:val="7B7B7B" w:themeColor="accent3" w:themeShade="BF"/>
          <w:sz w:val="22"/>
          <w:szCs w:val="22"/>
          <w:lang w:val="en-GB"/>
        </w:rPr>
        <w:t xml:space="preserve"> </w:t>
      </w:r>
      <w:r w:rsidR="00672C74" w:rsidRPr="00B934D3">
        <w:rPr>
          <w:rFonts w:ascii="Arial" w:hAnsi="Arial" w:cs="Arial"/>
          <w:color w:val="7B7B7B" w:themeColor="accent3" w:themeShade="BF"/>
          <w:sz w:val="22"/>
          <w:szCs w:val="22"/>
          <w:lang w:val="en-GB"/>
        </w:rPr>
        <w:t xml:space="preserve">Typically </w:t>
      </w:r>
      <w:r w:rsidR="00B633DA" w:rsidRPr="00B934D3">
        <w:rPr>
          <w:rFonts w:ascii="Arial" w:hAnsi="Arial" w:cs="Arial"/>
          <w:color w:val="7B7B7B" w:themeColor="accent3" w:themeShade="BF"/>
          <w:sz w:val="22"/>
          <w:szCs w:val="22"/>
          <w:lang w:val="en-GB"/>
        </w:rPr>
        <w:t xml:space="preserve">the </w:t>
      </w:r>
      <w:r w:rsidR="00672C74" w:rsidRPr="00B934D3">
        <w:rPr>
          <w:rFonts w:ascii="Arial" w:hAnsi="Arial" w:cs="Arial"/>
          <w:color w:val="7B7B7B" w:themeColor="accent3" w:themeShade="BF"/>
          <w:sz w:val="22"/>
          <w:szCs w:val="22"/>
          <w:lang w:val="en-GB"/>
        </w:rPr>
        <w:t>a</w:t>
      </w:r>
      <w:r w:rsidRPr="00B934D3">
        <w:rPr>
          <w:rFonts w:ascii="Arial" w:hAnsi="Arial" w:cs="Arial"/>
          <w:color w:val="7B7B7B" w:themeColor="accent3" w:themeShade="BF"/>
          <w:sz w:val="22"/>
          <w:szCs w:val="22"/>
          <w:lang w:val="en-GB"/>
        </w:rPr>
        <w:t xml:space="preserve">ssets </w:t>
      </w:r>
      <w:r w:rsidR="00672C74" w:rsidRPr="00B934D3">
        <w:rPr>
          <w:rFonts w:ascii="Arial" w:hAnsi="Arial" w:cs="Arial"/>
          <w:color w:val="7B7B7B" w:themeColor="accent3" w:themeShade="BF"/>
          <w:sz w:val="22"/>
          <w:szCs w:val="22"/>
          <w:lang w:val="en-GB"/>
        </w:rPr>
        <w:t xml:space="preserve">which are subject to a fixed charge </w:t>
      </w:r>
      <w:r w:rsidRPr="00B934D3">
        <w:rPr>
          <w:rFonts w:ascii="Arial" w:hAnsi="Arial" w:cs="Arial"/>
          <w:color w:val="7B7B7B" w:themeColor="accent3" w:themeShade="BF"/>
          <w:sz w:val="22"/>
          <w:szCs w:val="22"/>
          <w:lang w:val="en-GB"/>
        </w:rPr>
        <w:t xml:space="preserve">are fundamental to </w:t>
      </w:r>
      <w:r w:rsidR="0077549A" w:rsidRPr="00B934D3">
        <w:rPr>
          <w:rFonts w:ascii="Arial" w:hAnsi="Arial" w:cs="Arial"/>
          <w:color w:val="7B7B7B" w:themeColor="accent3" w:themeShade="BF"/>
          <w:sz w:val="22"/>
          <w:szCs w:val="22"/>
          <w:lang w:val="en-GB"/>
        </w:rPr>
        <w:t>a company's business operations</w:t>
      </w:r>
      <w:r w:rsidRPr="00B934D3">
        <w:rPr>
          <w:rFonts w:ascii="Arial" w:hAnsi="Arial" w:cs="Arial"/>
          <w:color w:val="7B7B7B" w:themeColor="accent3" w:themeShade="BF"/>
          <w:sz w:val="22"/>
          <w:szCs w:val="22"/>
          <w:lang w:val="en-GB"/>
        </w:rPr>
        <w:t xml:space="preserve">, and unlikely to be sold in the normal course of events. </w:t>
      </w:r>
      <w:r w:rsidR="00672C74" w:rsidRPr="00B934D3">
        <w:rPr>
          <w:rFonts w:ascii="Arial" w:hAnsi="Arial" w:cs="Arial"/>
          <w:color w:val="7B7B7B" w:themeColor="accent3" w:themeShade="BF"/>
          <w:sz w:val="22"/>
          <w:szCs w:val="22"/>
          <w:lang w:val="en-GB"/>
        </w:rPr>
        <w:t xml:space="preserve">However in a liquidation, subject to the terms of the charge agreement, </w:t>
      </w:r>
      <w:r w:rsidRPr="00B934D3">
        <w:rPr>
          <w:rFonts w:ascii="Arial" w:hAnsi="Arial" w:cs="Arial"/>
          <w:color w:val="7B7B7B" w:themeColor="accent3" w:themeShade="BF"/>
          <w:sz w:val="22"/>
          <w:szCs w:val="22"/>
          <w:lang w:val="en-GB"/>
        </w:rPr>
        <w:t xml:space="preserve">the asset can </w:t>
      </w:r>
      <w:r w:rsidR="00B633DA" w:rsidRPr="00B934D3">
        <w:rPr>
          <w:rFonts w:ascii="Arial" w:hAnsi="Arial" w:cs="Arial"/>
          <w:color w:val="7B7B7B" w:themeColor="accent3" w:themeShade="BF"/>
          <w:sz w:val="22"/>
          <w:szCs w:val="22"/>
          <w:lang w:val="en-GB"/>
        </w:rPr>
        <w:t xml:space="preserve">only </w:t>
      </w:r>
      <w:r w:rsidRPr="00B934D3">
        <w:rPr>
          <w:rFonts w:ascii="Arial" w:hAnsi="Arial" w:cs="Arial"/>
          <w:color w:val="7B7B7B" w:themeColor="accent3" w:themeShade="BF"/>
          <w:sz w:val="22"/>
          <w:szCs w:val="22"/>
          <w:lang w:val="en-GB"/>
        </w:rPr>
        <w:t xml:space="preserve">be sold </w:t>
      </w:r>
      <w:r w:rsidR="00B633DA" w:rsidRPr="00B934D3">
        <w:rPr>
          <w:rFonts w:ascii="Arial" w:hAnsi="Arial" w:cs="Arial"/>
          <w:color w:val="7B7B7B" w:themeColor="accent3" w:themeShade="BF"/>
          <w:sz w:val="22"/>
          <w:szCs w:val="22"/>
          <w:lang w:val="en-GB"/>
        </w:rPr>
        <w:t xml:space="preserve">by </w:t>
      </w:r>
      <w:r w:rsidRPr="00B934D3">
        <w:rPr>
          <w:rFonts w:ascii="Arial" w:hAnsi="Arial" w:cs="Arial"/>
          <w:color w:val="7B7B7B" w:themeColor="accent3" w:themeShade="BF"/>
          <w:sz w:val="22"/>
          <w:szCs w:val="22"/>
          <w:lang w:val="en-GB"/>
        </w:rPr>
        <w:t>liquidator to realise funds</w:t>
      </w:r>
      <w:r w:rsidR="00B633DA" w:rsidRPr="00B934D3">
        <w:rPr>
          <w:rFonts w:ascii="Arial" w:hAnsi="Arial" w:cs="Arial"/>
          <w:color w:val="7B7B7B" w:themeColor="accent3" w:themeShade="BF"/>
          <w:sz w:val="22"/>
          <w:szCs w:val="22"/>
          <w:lang w:val="en-GB"/>
        </w:rPr>
        <w:t>, but the charge holder will rank first when payments are made</w:t>
      </w:r>
      <w:r w:rsidRPr="00B934D3">
        <w:rPr>
          <w:rFonts w:ascii="Arial" w:hAnsi="Arial" w:cs="Arial"/>
          <w:color w:val="7B7B7B" w:themeColor="accent3" w:themeShade="BF"/>
          <w:sz w:val="22"/>
          <w:szCs w:val="22"/>
          <w:lang w:val="en-GB"/>
        </w:rPr>
        <w:t>.</w:t>
      </w:r>
      <w:r w:rsidR="00E55BEA" w:rsidRPr="00B934D3">
        <w:rPr>
          <w:rFonts w:ascii="Arial" w:hAnsi="Arial" w:cs="Arial"/>
          <w:color w:val="7B7B7B" w:themeColor="accent3" w:themeShade="BF"/>
          <w:sz w:val="22"/>
          <w:szCs w:val="22"/>
          <w:lang w:val="en-GB"/>
        </w:rPr>
        <w:t xml:space="preserve"> </w:t>
      </w:r>
    </w:p>
    <w:p w14:paraId="364CB256" w14:textId="77777777" w:rsidR="00DC4892" w:rsidRDefault="00DC4892" w:rsidP="00DC4892">
      <w:pPr>
        <w:pStyle w:val="ListParagraph"/>
        <w:ind w:left="426"/>
        <w:jc w:val="both"/>
        <w:rPr>
          <w:rFonts w:ascii="Arial" w:hAnsi="Arial" w:cs="Arial"/>
          <w:color w:val="7B7B7B" w:themeColor="accent3" w:themeShade="BF"/>
          <w:sz w:val="22"/>
          <w:szCs w:val="22"/>
          <w:lang w:val="en-GB"/>
        </w:rPr>
      </w:pPr>
    </w:p>
    <w:p w14:paraId="3449650A" w14:textId="3EB969C4" w:rsidR="0081413A" w:rsidRPr="00B934D3" w:rsidRDefault="00DC4892" w:rsidP="00841DED">
      <w:pPr>
        <w:pStyle w:val="ListParagraph"/>
        <w:numPr>
          <w:ilvl w:val="0"/>
          <w:numId w:val="21"/>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Liquidators fee and expenses - These fees</w:t>
      </w:r>
      <w:r w:rsidRPr="00B934D3">
        <w:rPr>
          <w:rFonts w:ascii="Arial" w:hAnsi="Arial" w:cs="Arial"/>
          <w:color w:val="7B7B7B" w:themeColor="accent3" w:themeShade="BF"/>
          <w:sz w:val="22"/>
          <w:szCs w:val="22"/>
          <w:lang w:val="en-GB"/>
        </w:rPr>
        <w:t xml:space="preserve"> </w:t>
      </w:r>
      <w:r w:rsidR="000342D9" w:rsidRPr="00B934D3">
        <w:rPr>
          <w:rFonts w:ascii="Arial" w:hAnsi="Arial" w:cs="Arial"/>
          <w:color w:val="7B7B7B" w:themeColor="accent3" w:themeShade="BF"/>
          <w:sz w:val="22"/>
          <w:szCs w:val="22"/>
          <w:lang w:val="en-GB"/>
        </w:rPr>
        <w:t>include</w:t>
      </w:r>
      <w:r>
        <w:rPr>
          <w:rFonts w:ascii="Arial" w:hAnsi="Arial" w:cs="Arial"/>
          <w:color w:val="7B7B7B" w:themeColor="accent3" w:themeShade="BF"/>
          <w:sz w:val="22"/>
          <w:szCs w:val="22"/>
          <w:lang w:val="en-GB"/>
        </w:rPr>
        <w:t>s</w:t>
      </w:r>
      <w:r w:rsidR="000342D9" w:rsidRPr="00B934D3">
        <w:rPr>
          <w:rFonts w:ascii="Arial" w:hAnsi="Arial" w:cs="Arial"/>
          <w:color w:val="7B7B7B" w:themeColor="accent3" w:themeShade="BF"/>
          <w:sz w:val="22"/>
          <w:szCs w:val="22"/>
          <w:lang w:val="en-GB"/>
        </w:rPr>
        <w:t xml:space="preserve"> all fees and expenses of the insolvency proceedings, including the insolvency practitioner's fees. </w:t>
      </w:r>
    </w:p>
    <w:p w14:paraId="1CD8E6CA" w14:textId="77777777" w:rsidR="0011244C" w:rsidRDefault="0011244C" w:rsidP="0077549A">
      <w:pPr>
        <w:pStyle w:val="ListParagraph"/>
        <w:ind w:left="426"/>
        <w:jc w:val="both"/>
        <w:rPr>
          <w:rFonts w:ascii="Arial" w:hAnsi="Arial" w:cs="Arial"/>
          <w:color w:val="7B7B7B" w:themeColor="accent3" w:themeShade="BF"/>
          <w:sz w:val="22"/>
          <w:szCs w:val="22"/>
          <w:lang w:val="en-GB"/>
        </w:rPr>
      </w:pPr>
    </w:p>
    <w:p w14:paraId="2BB1F59C" w14:textId="4A4C9E0E" w:rsidR="00E55BEA" w:rsidRPr="00E55BEA" w:rsidRDefault="00786DAF" w:rsidP="00B633DA">
      <w:pPr>
        <w:pStyle w:val="ListParagraph"/>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These expenses can include payments to</w:t>
      </w:r>
      <w:r w:rsidR="00E55BEA">
        <w:rPr>
          <w:rFonts w:ascii="Arial" w:hAnsi="Arial" w:cs="Arial"/>
          <w:color w:val="7B7B7B" w:themeColor="accent3" w:themeShade="BF"/>
          <w:sz w:val="22"/>
          <w:szCs w:val="22"/>
        </w:rPr>
        <w:t xml:space="preserve"> company </w:t>
      </w:r>
      <w:r w:rsidR="00E55BEA" w:rsidRPr="00E55BEA">
        <w:rPr>
          <w:rFonts w:ascii="Arial" w:hAnsi="Arial" w:cs="Arial"/>
          <w:color w:val="7B7B7B" w:themeColor="accent3" w:themeShade="BF"/>
          <w:sz w:val="22"/>
          <w:szCs w:val="22"/>
        </w:rPr>
        <w:t>employees</w:t>
      </w:r>
      <w:r w:rsidR="00E55BEA">
        <w:rPr>
          <w:rFonts w:ascii="Arial" w:hAnsi="Arial" w:cs="Arial"/>
          <w:color w:val="7B7B7B" w:themeColor="accent3" w:themeShade="BF"/>
          <w:sz w:val="22"/>
          <w:szCs w:val="22"/>
        </w:rPr>
        <w:t xml:space="preserve"> or successful victims of a wrongful action claim. An insolvent company's employees are </w:t>
      </w:r>
      <w:r w:rsidR="00E55BEA" w:rsidRPr="00E55BEA">
        <w:rPr>
          <w:rFonts w:ascii="Arial" w:hAnsi="Arial" w:cs="Arial"/>
          <w:color w:val="7B7B7B" w:themeColor="accent3" w:themeShade="BF"/>
          <w:sz w:val="22"/>
          <w:szCs w:val="22"/>
        </w:rPr>
        <w:t>entitled to arrears of wages up to a maximum of £800, and holiday pay</w:t>
      </w:r>
      <w:r w:rsidR="00E55BEA">
        <w:rPr>
          <w:rFonts w:ascii="Arial" w:hAnsi="Arial" w:cs="Arial"/>
          <w:color w:val="7B7B7B" w:themeColor="accent3" w:themeShade="BF"/>
          <w:sz w:val="22"/>
          <w:szCs w:val="22"/>
        </w:rPr>
        <w:t xml:space="preserve"> upon liquidation of the company</w:t>
      </w:r>
      <w:r w:rsidR="00E55BEA" w:rsidRPr="00E55BEA">
        <w:rPr>
          <w:rFonts w:ascii="Arial" w:hAnsi="Arial" w:cs="Arial"/>
          <w:color w:val="7B7B7B" w:themeColor="accent3" w:themeShade="BF"/>
          <w:sz w:val="22"/>
          <w:szCs w:val="22"/>
        </w:rPr>
        <w:t>.</w:t>
      </w:r>
    </w:p>
    <w:p w14:paraId="4DCAAB94" w14:textId="77777777" w:rsidR="00E55BEA" w:rsidRPr="00E55BEA" w:rsidRDefault="00E55BEA" w:rsidP="00E55BEA">
      <w:pPr>
        <w:pStyle w:val="ListParagraph"/>
        <w:rPr>
          <w:rFonts w:ascii="Arial" w:hAnsi="Arial" w:cs="Arial"/>
          <w:color w:val="7B7B7B" w:themeColor="accent3" w:themeShade="BF"/>
          <w:sz w:val="22"/>
          <w:szCs w:val="22"/>
          <w:lang w:val="en-GB"/>
        </w:rPr>
      </w:pPr>
    </w:p>
    <w:p w14:paraId="3CCA60F7" w14:textId="34449C94" w:rsidR="00E55BEA" w:rsidRPr="00B934D3" w:rsidRDefault="00B934D3" w:rsidP="00786DAF">
      <w:pPr>
        <w:pStyle w:val="ListParagraph"/>
        <w:numPr>
          <w:ilvl w:val="0"/>
          <w:numId w:val="21"/>
        </w:numPr>
        <w:ind w:left="426"/>
        <w:jc w:val="both"/>
        <w:rPr>
          <w:rFonts w:ascii="Arial" w:hAnsi="Arial" w:cs="Arial"/>
          <w:bCs/>
          <w:color w:val="7B7B7B" w:themeColor="accent3" w:themeShade="BF"/>
          <w:sz w:val="22"/>
          <w:szCs w:val="22"/>
        </w:rPr>
      </w:pPr>
      <w:r>
        <w:rPr>
          <w:rFonts w:ascii="Arial" w:hAnsi="Arial" w:cs="Arial"/>
          <w:bCs/>
          <w:color w:val="7B7B7B" w:themeColor="accent3" w:themeShade="BF"/>
          <w:sz w:val="22"/>
          <w:szCs w:val="22"/>
        </w:rPr>
        <w:t xml:space="preserve">Preferential Debtors - </w:t>
      </w:r>
      <w:r w:rsidR="003A5528" w:rsidRPr="00B934D3">
        <w:rPr>
          <w:rFonts w:ascii="Arial" w:hAnsi="Arial" w:cs="Arial"/>
          <w:bCs/>
          <w:color w:val="7B7B7B" w:themeColor="accent3" w:themeShade="BF"/>
          <w:sz w:val="22"/>
          <w:szCs w:val="22"/>
        </w:rPr>
        <w:t xml:space="preserve">The Deposit Guarantee Scheme Regulations 2015 amended the Act </w:t>
      </w:r>
      <w:r w:rsidRPr="00B934D3">
        <w:rPr>
          <w:rFonts w:ascii="Arial" w:hAnsi="Arial" w:cs="Arial"/>
          <w:bCs/>
          <w:color w:val="7B7B7B" w:themeColor="accent3" w:themeShade="BF"/>
          <w:sz w:val="22"/>
          <w:szCs w:val="22"/>
        </w:rPr>
        <w:t>and included</w:t>
      </w:r>
      <w:r w:rsidR="003A5528" w:rsidRPr="00B934D3">
        <w:rPr>
          <w:rFonts w:ascii="Arial" w:hAnsi="Arial" w:cs="Arial"/>
          <w:bCs/>
          <w:color w:val="7B7B7B" w:themeColor="accent3" w:themeShade="BF"/>
          <w:sz w:val="22"/>
          <w:szCs w:val="22"/>
        </w:rPr>
        <w:t xml:space="preserve"> section 386 </w:t>
      </w:r>
      <w:r w:rsidRPr="00B934D3">
        <w:rPr>
          <w:rFonts w:ascii="Arial" w:hAnsi="Arial" w:cs="Arial"/>
          <w:bCs/>
          <w:color w:val="7B7B7B" w:themeColor="accent3" w:themeShade="BF"/>
          <w:sz w:val="22"/>
          <w:szCs w:val="22"/>
        </w:rPr>
        <w:t xml:space="preserve">which categorized </w:t>
      </w:r>
      <w:r w:rsidR="003A5528" w:rsidRPr="00B934D3">
        <w:rPr>
          <w:rFonts w:ascii="Arial" w:hAnsi="Arial" w:cs="Arial"/>
          <w:bCs/>
          <w:color w:val="7B7B7B" w:themeColor="accent3" w:themeShade="BF"/>
          <w:sz w:val="22"/>
          <w:szCs w:val="22"/>
        </w:rPr>
        <w:t>debts owed to the Financial Services Compensation Scheme ("</w:t>
      </w:r>
      <w:r w:rsidR="003A5528" w:rsidRPr="00B934D3">
        <w:rPr>
          <w:rFonts w:ascii="Arial" w:hAnsi="Arial" w:cs="Arial"/>
          <w:b/>
          <w:bCs/>
          <w:color w:val="7B7B7B" w:themeColor="accent3" w:themeShade="BF"/>
          <w:sz w:val="22"/>
          <w:szCs w:val="22"/>
        </w:rPr>
        <w:t>Scheme</w:t>
      </w:r>
      <w:r w:rsidR="003A5528" w:rsidRPr="00B934D3">
        <w:rPr>
          <w:rFonts w:ascii="Arial" w:hAnsi="Arial" w:cs="Arial"/>
          <w:bCs/>
          <w:color w:val="7B7B7B" w:themeColor="accent3" w:themeShade="BF"/>
          <w:sz w:val="22"/>
          <w:szCs w:val="22"/>
        </w:rPr>
        <w:t xml:space="preserve">") as a preferential debt. </w:t>
      </w:r>
      <w:r w:rsidR="00850C18" w:rsidRPr="00B934D3">
        <w:rPr>
          <w:rFonts w:ascii="Arial" w:hAnsi="Arial" w:cs="Arial"/>
          <w:bCs/>
          <w:color w:val="7B7B7B" w:themeColor="accent3" w:themeShade="BF"/>
          <w:sz w:val="22"/>
          <w:szCs w:val="22"/>
        </w:rPr>
        <w:t xml:space="preserve">In the case of deposits, depositors </w:t>
      </w:r>
      <w:r w:rsidR="00E55BEA" w:rsidRPr="00B934D3">
        <w:rPr>
          <w:rFonts w:ascii="Arial" w:hAnsi="Arial" w:cs="Arial"/>
          <w:bCs/>
          <w:color w:val="7B7B7B" w:themeColor="accent3" w:themeShade="BF"/>
          <w:sz w:val="22"/>
          <w:szCs w:val="22"/>
          <w:lang w:val="en-GB"/>
        </w:rPr>
        <w:t xml:space="preserve">protected by the </w:t>
      </w:r>
      <w:r w:rsidR="003A5528" w:rsidRPr="00B934D3">
        <w:rPr>
          <w:rFonts w:ascii="Arial" w:hAnsi="Arial" w:cs="Arial"/>
          <w:bCs/>
          <w:color w:val="7B7B7B" w:themeColor="accent3" w:themeShade="BF"/>
          <w:sz w:val="22"/>
          <w:szCs w:val="22"/>
        </w:rPr>
        <w:t xml:space="preserve">Scheme </w:t>
      </w:r>
      <w:r w:rsidR="00850C18" w:rsidRPr="00B934D3">
        <w:rPr>
          <w:rFonts w:ascii="Arial" w:hAnsi="Arial" w:cs="Arial"/>
          <w:bCs/>
          <w:color w:val="7B7B7B" w:themeColor="accent3" w:themeShade="BF"/>
          <w:sz w:val="22"/>
          <w:szCs w:val="22"/>
          <w:lang w:val="en-GB"/>
        </w:rPr>
        <w:t xml:space="preserve">are also considered preferential creditors (since </w:t>
      </w:r>
      <w:r w:rsidR="000342D9" w:rsidRPr="00B934D3">
        <w:rPr>
          <w:rFonts w:ascii="Arial" w:hAnsi="Arial" w:cs="Arial"/>
          <w:bCs/>
          <w:color w:val="7B7B7B" w:themeColor="accent3" w:themeShade="BF"/>
          <w:sz w:val="22"/>
          <w:szCs w:val="22"/>
          <w:lang w:val="en-GB"/>
        </w:rPr>
        <w:t xml:space="preserve">31 December </w:t>
      </w:r>
      <w:r w:rsidR="00850C18" w:rsidRPr="00B934D3">
        <w:rPr>
          <w:rFonts w:ascii="Arial" w:hAnsi="Arial" w:cs="Arial"/>
          <w:bCs/>
          <w:color w:val="7B7B7B" w:themeColor="accent3" w:themeShade="BF"/>
          <w:sz w:val="22"/>
          <w:szCs w:val="22"/>
          <w:lang w:val="en-GB"/>
        </w:rPr>
        <w:t xml:space="preserve">2014) so long as the </w:t>
      </w:r>
      <w:r w:rsidR="00E55BEA" w:rsidRPr="00B934D3">
        <w:rPr>
          <w:rFonts w:ascii="Arial" w:hAnsi="Arial" w:cs="Arial"/>
          <w:bCs/>
          <w:color w:val="7B7B7B" w:themeColor="accent3" w:themeShade="BF"/>
          <w:sz w:val="22"/>
          <w:szCs w:val="22"/>
          <w:lang w:val="en-GB"/>
        </w:rPr>
        <w:t xml:space="preserve">amounts owed to them do not exceed the compensation </w:t>
      </w:r>
      <w:r w:rsidR="00850C18" w:rsidRPr="00B934D3">
        <w:rPr>
          <w:rFonts w:ascii="Arial" w:hAnsi="Arial" w:cs="Arial"/>
          <w:bCs/>
          <w:color w:val="7B7B7B" w:themeColor="accent3" w:themeShade="BF"/>
          <w:sz w:val="22"/>
          <w:szCs w:val="22"/>
          <w:lang w:val="en-GB"/>
        </w:rPr>
        <w:t>they are entitled to under the S</w:t>
      </w:r>
      <w:r w:rsidR="00E55BEA" w:rsidRPr="00B934D3">
        <w:rPr>
          <w:rFonts w:ascii="Arial" w:hAnsi="Arial" w:cs="Arial"/>
          <w:bCs/>
          <w:color w:val="7B7B7B" w:themeColor="accent3" w:themeShade="BF"/>
          <w:sz w:val="22"/>
          <w:szCs w:val="22"/>
          <w:lang w:val="en-GB"/>
        </w:rPr>
        <w:t>cheme</w:t>
      </w:r>
      <w:r w:rsidR="00850C18" w:rsidRPr="00B934D3">
        <w:rPr>
          <w:rFonts w:ascii="Arial" w:hAnsi="Arial" w:cs="Arial"/>
          <w:bCs/>
          <w:color w:val="7B7B7B" w:themeColor="accent3" w:themeShade="BF"/>
          <w:sz w:val="22"/>
          <w:szCs w:val="22"/>
          <w:lang w:val="en-GB"/>
        </w:rPr>
        <w:t xml:space="preserve"> and this amount is capped at</w:t>
      </w:r>
      <w:r w:rsidR="00E55BEA" w:rsidRPr="00B934D3">
        <w:rPr>
          <w:rFonts w:ascii="Arial" w:hAnsi="Arial" w:cs="Arial"/>
          <w:bCs/>
          <w:color w:val="7B7B7B" w:themeColor="accent3" w:themeShade="BF"/>
          <w:sz w:val="22"/>
          <w:szCs w:val="22"/>
          <w:lang w:val="en-GB"/>
        </w:rPr>
        <w:t xml:space="preserve"> £85,000.</w:t>
      </w:r>
      <w:r w:rsidR="000342D9">
        <w:rPr>
          <w:rStyle w:val="FootnoteReference"/>
          <w:rFonts w:ascii="Arial" w:hAnsi="Arial" w:cs="Arial"/>
          <w:bCs/>
          <w:color w:val="7B7B7B" w:themeColor="accent3" w:themeShade="BF"/>
          <w:sz w:val="22"/>
          <w:szCs w:val="22"/>
          <w:lang w:val="en-GB"/>
        </w:rPr>
        <w:footnoteReference w:id="6"/>
      </w:r>
      <w:r w:rsidR="00850C18" w:rsidRPr="00B934D3">
        <w:rPr>
          <w:rFonts w:ascii="Arial" w:hAnsi="Arial" w:cs="Arial"/>
          <w:bCs/>
          <w:color w:val="7B7B7B" w:themeColor="accent3" w:themeShade="BF"/>
          <w:sz w:val="22"/>
          <w:szCs w:val="22"/>
          <w:lang w:val="en-GB"/>
        </w:rPr>
        <w:t xml:space="preserve"> </w:t>
      </w:r>
      <w:r w:rsidR="000342D9" w:rsidRPr="00B934D3">
        <w:rPr>
          <w:rFonts w:ascii="Arial" w:hAnsi="Arial" w:cs="Arial"/>
          <w:bCs/>
          <w:color w:val="7B7B7B" w:themeColor="accent3" w:themeShade="BF"/>
          <w:sz w:val="22"/>
          <w:szCs w:val="22"/>
          <w:lang w:val="en-GB"/>
        </w:rPr>
        <w:t>Insurance or</w:t>
      </w:r>
      <w:r w:rsidR="00850C18" w:rsidRPr="00B934D3">
        <w:rPr>
          <w:rFonts w:ascii="Arial" w:hAnsi="Arial" w:cs="Arial"/>
          <w:bCs/>
          <w:color w:val="7B7B7B" w:themeColor="accent3" w:themeShade="BF"/>
          <w:sz w:val="22"/>
          <w:szCs w:val="22"/>
        </w:rPr>
        <w:t xml:space="preserve"> direct policyholders </w:t>
      </w:r>
      <w:r w:rsidR="000342D9" w:rsidRPr="00B934D3">
        <w:rPr>
          <w:rFonts w:ascii="Arial" w:hAnsi="Arial" w:cs="Arial"/>
          <w:bCs/>
          <w:color w:val="7B7B7B" w:themeColor="accent3" w:themeShade="BF"/>
          <w:sz w:val="22"/>
          <w:szCs w:val="22"/>
        </w:rPr>
        <w:t xml:space="preserve">only </w:t>
      </w:r>
      <w:r w:rsidR="00850C18" w:rsidRPr="00B934D3">
        <w:rPr>
          <w:rFonts w:ascii="Arial" w:hAnsi="Arial" w:cs="Arial"/>
          <w:bCs/>
          <w:color w:val="7B7B7B" w:themeColor="accent3" w:themeShade="BF"/>
          <w:sz w:val="22"/>
          <w:szCs w:val="22"/>
        </w:rPr>
        <w:t>have a priority status within the class of unsecured creditors</w:t>
      </w:r>
      <w:r w:rsidR="000342D9" w:rsidRPr="00B934D3">
        <w:rPr>
          <w:rFonts w:ascii="Arial" w:hAnsi="Arial" w:cs="Arial"/>
          <w:bCs/>
          <w:color w:val="7B7B7B" w:themeColor="accent3" w:themeShade="BF"/>
          <w:sz w:val="22"/>
          <w:szCs w:val="22"/>
        </w:rPr>
        <w:t>.</w:t>
      </w:r>
      <w:r w:rsidR="000342D9">
        <w:rPr>
          <w:rStyle w:val="FootnoteReference"/>
          <w:rFonts w:ascii="Arial" w:hAnsi="Arial" w:cs="Arial"/>
          <w:bCs/>
          <w:color w:val="7B7B7B" w:themeColor="accent3" w:themeShade="BF"/>
          <w:sz w:val="22"/>
          <w:szCs w:val="22"/>
        </w:rPr>
        <w:footnoteReference w:id="7"/>
      </w:r>
    </w:p>
    <w:p w14:paraId="6AEB7CDC" w14:textId="77777777" w:rsidR="00326EB4" w:rsidRPr="00326EB4" w:rsidRDefault="00326EB4" w:rsidP="00326EB4">
      <w:pPr>
        <w:pStyle w:val="ListParagraph"/>
        <w:ind w:left="426"/>
        <w:jc w:val="both"/>
        <w:rPr>
          <w:rFonts w:ascii="Arial" w:hAnsi="Arial" w:cs="Arial"/>
          <w:bCs/>
          <w:color w:val="7B7B7B" w:themeColor="accent3" w:themeShade="BF"/>
          <w:sz w:val="22"/>
          <w:szCs w:val="22"/>
        </w:rPr>
      </w:pPr>
    </w:p>
    <w:p w14:paraId="7060AE15" w14:textId="50C3A28C" w:rsidR="0081413A" w:rsidRPr="0081413A" w:rsidRDefault="00626AD7" w:rsidP="00786DAF">
      <w:pPr>
        <w:pStyle w:val="ListParagraph"/>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Pursuant to the</w:t>
      </w:r>
      <w:r w:rsidRPr="00626AD7">
        <w:rPr>
          <w:rFonts w:ascii="Arial" w:hAnsi="Arial" w:cs="Arial"/>
          <w:color w:val="7B7B7B" w:themeColor="accent3" w:themeShade="BF"/>
          <w:sz w:val="22"/>
          <w:szCs w:val="22"/>
        </w:rPr>
        <w:t xml:space="preserve"> Insolvency Act 1986 (HMRC Debts: Priority on Insolvency) Regulations 2020</w:t>
      </w:r>
      <w:r>
        <w:rPr>
          <w:rFonts w:ascii="Arial" w:hAnsi="Arial" w:cs="Arial"/>
          <w:color w:val="7B7B7B" w:themeColor="accent3" w:themeShade="BF"/>
          <w:sz w:val="22"/>
          <w:szCs w:val="22"/>
          <w:lang w:val="en-GB"/>
        </w:rPr>
        <w:t xml:space="preserve"> </w:t>
      </w:r>
      <w:r w:rsidR="00B934D3">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 xml:space="preserve">from </w:t>
      </w:r>
      <w:r w:rsidR="0081413A" w:rsidRPr="0081413A">
        <w:rPr>
          <w:rFonts w:ascii="Arial" w:hAnsi="Arial" w:cs="Arial"/>
          <w:color w:val="7B7B7B" w:themeColor="accent3" w:themeShade="BF"/>
          <w:sz w:val="22"/>
          <w:szCs w:val="22"/>
          <w:lang w:val="en-GB"/>
        </w:rPr>
        <w:t xml:space="preserve">1 December 2020, </w:t>
      </w:r>
      <w:r>
        <w:rPr>
          <w:rFonts w:ascii="Arial" w:hAnsi="Arial" w:cs="Arial"/>
          <w:color w:val="7B7B7B" w:themeColor="accent3" w:themeShade="BF"/>
          <w:sz w:val="22"/>
          <w:szCs w:val="22"/>
          <w:lang w:val="en-GB"/>
        </w:rPr>
        <w:t xml:space="preserve">certain debts owed to the HMRC </w:t>
      </w:r>
      <w:r w:rsidR="00B934D3">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classified as </w:t>
      </w:r>
      <w:r w:rsidR="00CF4832">
        <w:rPr>
          <w:rFonts w:ascii="Arial" w:hAnsi="Arial" w:cs="Arial"/>
          <w:color w:val="7B7B7B" w:themeColor="accent3" w:themeShade="BF"/>
          <w:sz w:val="22"/>
          <w:szCs w:val="22"/>
          <w:lang w:val="en-GB"/>
        </w:rPr>
        <w:t xml:space="preserve">secondary </w:t>
      </w:r>
      <w:r>
        <w:rPr>
          <w:rFonts w:ascii="Arial" w:hAnsi="Arial" w:cs="Arial"/>
          <w:color w:val="7B7B7B" w:themeColor="accent3" w:themeShade="BF"/>
          <w:sz w:val="22"/>
          <w:szCs w:val="22"/>
          <w:lang w:val="en-GB"/>
        </w:rPr>
        <w:t>preferential debt</w:t>
      </w:r>
      <w:r w:rsidR="00B934D3">
        <w:rPr>
          <w:rFonts w:ascii="Arial" w:hAnsi="Arial" w:cs="Arial"/>
          <w:color w:val="7B7B7B" w:themeColor="accent3" w:themeShade="BF"/>
          <w:sz w:val="22"/>
          <w:szCs w:val="22"/>
          <w:lang w:val="en-GB"/>
        </w:rPr>
        <w:t>s. These debts</w:t>
      </w:r>
      <w:r>
        <w:rPr>
          <w:rFonts w:ascii="Arial" w:hAnsi="Arial" w:cs="Arial"/>
          <w:color w:val="7B7B7B" w:themeColor="accent3" w:themeShade="BF"/>
          <w:sz w:val="22"/>
          <w:szCs w:val="22"/>
          <w:lang w:val="en-GB"/>
        </w:rPr>
        <w:t xml:space="preserve"> </w:t>
      </w:r>
      <w:r w:rsidR="00B934D3">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 xml:space="preserve">to be paid in a liquidation above </w:t>
      </w:r>
      <w:r w:rsidR="0011244C">
        <w:rPr>
          <w:rFonts w:ascii="Arial" w:hAnsi="Arial" w:cs="Arial"/>
          <w:color w:val="7B7B7B" w:themeColor="accent3" w:themeShade="BF"/>
          <w:sz w:val="22"/>
          <w:szCs w:val="22"/>
          <w:lang w:val="en-GB"/>
        </w:rPr>
        <w:t>unsecured</w:t>
      </w:r>
      <w:r>
        <w:rPr>
          <w:rFonts w:ascii="Arial" w:hAnsi="Arial" w:cs="Arial"/>
          <w:color w:val="7B7B7B" w:themeColor="accent3" w:themeShade="BF"/>
          <w:sz w:val="22"/>
          <w:szCs w:val="22"/>
          <w:lang w:val="en-GB"/>
        </w:rPr>
        <w:t xml:space="preserve"> creditors. These </w:t>
      </w:r>
      <w:r w:rsidR="00B934D3">
        <w:rPr>
          <w:rFonts w:ascii="Arial" w:hAnsi="Arial" w:cs="Arial"/>
          <w:color w:val="7B7B7B" w:themeColor="accent3" w:themeShade="BF"/>
          <w:sz w:val="22"/>
          <w:szCs w:val="22"/>
          <w:lang w:val="en-GB"/>
        </w:rPr>
        <w:t>debts include</w:t>
      </w:r>
      <w:r>
        <w:rPr>
          <w:rFonts w:ascii="Arial" w:hAnsi="Arial" w:cs="Arial"/>
          <w:color w:val="7B7B7B" w:themeColor="accent3" w:themeShade="BF"/>
          <w:sz w:val="22"/>
          <w:szCs w:val="22"/>
          <w:lang w:val="en-GB"/>
        </w:rPr>
        <w:t>:</w:t>
      </w:r>
      <w:r w:rsidR="0081413A" w:rsidRPr="0081413A">
        <w:rPr>
          <w:rFonts w:ascii="Arial" w:hAnsi="Arial" w:cs="Arial"/>
          <w:color w:val="7B7B7B" w:themeColor="accent3" w:themeShade="BF"/>
          <w:sz w:val="22"/>
          <w:szCs w:val="22"/>
          <w:lang w:val="en-GB"/>
        </w:rPr>
        <w:t xml:space="preserve"> </w:t>
      </w:r>
    </w:p>
    <w:p w14:paraId="3FFB9956" w14:textId="7C3FC267" w:rsidR="0081413A" w:rsidRPr="00786DAF" w:rsidRDefault="0081413A" w:rsidP="00786DAF">
      <w:pPr>
        <w:pStyle w:val="ListParagraph"/>
        <w:numPr>
          <w:ilvl w:val="0"/>
          <w:numId w:val="24"/>
        </w:numPr>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lang w:val="en-GB"/>
        </w:rPr>
        <w:t>Value Added Tax, and debts that relate to the following taxes</w:t>
      </w:r>
      <w:r w:rsidR="00B934D3" w:rsidRPr="00786DAF">
        <w:rPr>
          <w:rFonts w:ascii="Arial" w:hAnsi="Arial" w:cs="Arial"/>
          <w:color w:val="7B7B7B" w:themeColor="accent3" w:themeShade="BF"/>
          <w:sz w:val="22"/>
          <w:szCs w:val="22"/>
          <w:lang w:val="en-GB"/>
        </w:rPr>
        <w:t>;</w:t>
      </w:r>
    </w:p>
    <w:p w14:paraId="32364C03" w14:textId="480C1486" w:rsidR="0081413A" w:rsidRPr="00786DAF" w:rsidRDefault="0081413A" w:rsidP="00786DAF">
      <w:pPr>
        <w:pStyle w:val="ListParagraph"/>
        <w:numPr>
          <w:ilvl w:val="0"/>
          <w:numId w:val="24"/>
        </w:numPr>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lang w:val="en-GB"/>
        </w:rPr>
        <w:t>Pay As You Earn Income Tax</w:t>
      </w:r>
      <w:r w:rsidR="00B934D3" w:rsidRPr="00786DAF">
        <w:rPr>
          <w:rFonts w:ascii="Arial" w:hAnsi="Arial" w:cs="Arial"/>
          <w:color w:val="7B7B7B" w:themeColor="accent3" w:themeShade="BF"/>
          <w:sz w:val="22"/>
          <w:szCs w:val="22"/>
          <w:lang w:val="en-GB"/>
        </w:rPr>
        <w:t>;</w:t>
      </w:r>
    </w:p>
    <w:p w14:paraId="680EEBC6" w14:textId="0D3863A0" w:rsidR="0081413A" w:rsidRPr="00786DAF" w:rsidRDefault="0081413A" w:rsidP="00786DAF">
      <w:pPr>
        <w:pStyle w:val="ListParagraph"/>
        <w:numPr>
          <w:ilvl w:val="0"/>
          <w:numId w:val="24"/>
        </w:numPr>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lang w:val="en-GB"/>
        </w:rPr>
        <w:t>Employee National Insurance contributions</w:t>
      </w:r>
      <w:r w:rsidR="00B934D3" w:rsidRPr="00786DAF">
        <w:rPr>
          <w:rFonts w:ascii="Arial" w:hAnsi="Arial" w:cs="Arial"/>
          <w:color w:val="7B7B7B" w:themeColor="accent3" w:themeShade="BF"/>
          <w:sz w:val="22"/>
          <w:szCs w:val="22"/>
          <w:lang w:val="en-GB"/>
        </w:rPr>
        <w:t>;</w:t>
      </w:r>
      <w:r w:rsidRPr="00786DAF">
        <w:rPr>
          <w:rFonts w:ascii="Arial" w:hAnsi="Arial" w:cs="Arial"/>
          <w:color w:val="7B7B7B" w:themeColor="accent3" w:themeShade="BF"/>
          <w:sz w:val="22"/>
          <w:szCs w:val="22"/>
          <w:lang w:val="en-GB"/>
        </w:rPr>
        <w:t xml:space="preserve"> </w:t>
      </w:r>
    </w:p>
    <w:p w14:paraId="1F77FF39" w14:textId="5D7706A9" w:rsidR="0081413A" w:rsidRPr="00786DAF" w:rsidRDefault="0081413A" w:rsidP="00786DAF">
      <w:pPr>
        <w:pStyle w:val="ListParagraph"/>
        <w:numPr>
          <w:ilvl w:val="0"/>
          <w:numId w:val="24"/>
        </w:numPr>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lang w:val="en-GB"/>
        </w:rPr>
        <w:t>Student loan repayments</w:t>
      </w:r>
      <w:r w:rsidR="00B934D3" w:rsidRPr="00786DAF">
        <w:rPr>
          <w:rFonts w:ascii="Arial" w:hAnsi="Arial" w:cs="Arial"/>
          <w:color w:val="7B7B7B" w:themeColor="accent3" w:themeShade="BF"/>
          <w:sz w:val="22"/>
          <w:szCs w:val="22"/>
          <w:lang w:val="en-GB"/>
        </w:rPr>
        <w:t xml:space="preserve">; and </w:t>
      </w:r>
    </w:p>
    <w:p w14:paraId="06552A31" w14:textId="2068EF2B" w:rsidR="00326EB4" w:rsidRPr="00786DAF" w:rsidRDefault="0081413A" w:rsidP="00786DAF">
      <w:pPr>
        <w:pStyle w:val="ListParagraph"/>
        <w:numPr>
          <w:ilvl w:val="0"/>
          <w:numId w:val="24"/>
        </w:numPr>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lang w:val="en-GB"/>
        </w:rPr>
        <w:t>Construction Industry Scheme deductions</w:t>
      </w:r>
      <w:r w:rsidR="00B934D3" w:rsidRPr="00786DAF">
        <w:rPr>
          <w:rFonts w:ascii="Arial" w:hAnsi="Arial" w:cs="Arial"/>
          <w:color w:val="7B7B7B" w:themeColor="accent3" w:themeShade="BF"/>
          <w:sz w:val="22"/>
          <w:szCs w:val="22"/>
          <w:lang w:val="en-GB"/>
        </w:rPr>
        <w:t>.</w:t>
      </w:r>
    </w:p>
    <w:p w14:paraId="55D689A0" w14:textId="77777777" w:rsidR="00786DAF" w:rsidRDefault="00786DAF" w:rsidP="00786DAF">
      <w:pPr>
        <w:jc w:val="both"/>
        <w:rPr>
          <w:rFonts w:ascii="Arial" w:hAnsi="Arial" w:cs="Arial"/>
          <w:color w:val="7B7B7B" w:themeColor="accent3" w:themeShade="BF"/>
          <w:sz w:val="22"/>
          <w:szCs w:val="22"/>
          <w:lang w:val="en-GB"/>
        </w:rPr>
      </w:pPr>
    </w:p>
    <w:p w14:paraId="25EF9FF5" w14:textId="7ACAEC42" w:rsidR="0081413A" w:rsidRPr="00786DAF" w:rsidRDefault="00CF4832" w:rsidP="00786DAF">
      <w:pPr>
        <w:ind w:left="426"/>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lang w:val="en-GB"/>
        </w:rPr>
        <w:t xml:space="preserve">This means that the HMRC may be treated as preferred creditor, albeit secondary, only where the above secondary preferential debts exist when a company on or after 1 December 2020 begins insolvency proceedings. </w:t>
      </w:r>
      <w:r w:rsidR="0031034E" w:rsidRPr="00786DAF">
        <w:rPr>
          <w:rFonts w:ascii="Arial" w:hAnsi="Arial" w:cs="Arial"/>
          <w:color w:val="7B7B7B" w:themeColor="accent3" w:themeShade="BF"/>
          <w:sz w:val="22"/>
          <w:szCs w:val="22"/>
          <w:lang w:val="en-GB"/>
        </w:rPr>
        <w:t>For any other taxes to be paid to the HRMC, the HMRC will remain an unsecured creditor.</w:t>
      </w:r>
    </w:p>
    <w:p w14:paraId="25140913" w14:textId="510579F1" w:rsidR="00326EB4" w:rsidRDefault="00326EB4" w:rsidP="00326EB4">
      <w:pPr>
        <w:pStyle w:val="ListParagraph"/>
        <w:ind w:left="426"/>
        <w:jc w:val="both"/>
        <w:rPr>
          <w:rFonts w:ascii="Arial" w:hAnsi="Arial" w:cs="Arial"/>
          <w:color w:val="7B7B7B" w:themeColor="accent3" w:themeShade="BF"/>
          <w:sz w:val="22"/>
          <w:szCs w:val="22"/>
          <w:lang w:val="en-GB"/>
        </w:rPr>
      </w:pPr>
    </w:p>
    <w:p w14:paraId="5A23EA4A" w14:textId="48D9C24B" w:rsidR="00326EB4" w:rsidRDefault="00326EB4" w:rsidP="00786DAF">
      <w:pPr>
        <w:pStyle w:val="ListParagraph"/>
        <w:ind w:left="426"/>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concept of a secondary preferential debt was introduced by </w:t>
      </w:r>
      <w:r w:rsidR="00B934D3">
        <w:rPr>
          <w:rFonts w:ascii="Arial" w:hAnsi="Arial" w:cs="Arial"/>
          <w:color w:val="7B7B7B" w:themeColor="accent3" w:themeShade="BF"/>
          <w:sz w:val="22"/>
          <w:szCs w:val="22"/>
          <w:lang w:val="en-GB"/>
        </w:rPr>
        <w:t xml:space="preserve">the </w:t>
      </w:r>
      <w:r w:rsidRPr="00326EB4">
        <w:rPr>
          <w:rFonts w:ascii="Arial" w:hAnsi="Arial" w:cs="Arial"/>
          <w:color w:val="7B7B7B" w:themeColor="accent3" w:themeShade="BF"/>
          <w:sz w:val="22"/>
          <w:szCs w:val="22"/>
        </w:rPr>
        <w:t>Banks and Building Societies (Depositor Preference and Priorities) Order 2014</w:t>
      </w:r>
      <w:r>
        <w:rPr>
          <w:rFonts w:ascii="Arial" w:hAnsi="Arial" w:cs="Arial"/>
          <w:color w:val="7B7B7B" w:themeColor="accent3" w:themeShade="BF"/>
          <w:sz w:val="22"/>
          <w:szCs w:val="22"/>
        </w:rPr>
        <w:t xml:space="preserve"> which came into </w:t>
      </w:r>
      <w:r w:rsidR="00B934D3">
        <w:rPr>
          <w:rFonts w:ascii="Arial" w:hAnsi="Arial" w:cs="Arial"/>
          <w:color w:val="7B7B7B" w:themeColor="accent3" w:themeShade="BF"/>
          <w:sz w:val="22"/>
          <w:szCs w:val="22"/>
        </w:rPr>
        <w:t xml:space="preserve">force </w:t>
      </w:r>
      <w:r>
        <w:rPr>
          <w:rFonts w:ascii="Arial" w:hAnsi="Arial" w:cs="Arial"/>
          <w:color w:val="7B7B7B" w:themeColor="accent3" w:themeShade="BF"/>
          <w:sz w:val="22"/>
          <w:szCs w:val="22"/>
        </w:rPr>
        <w:t>on 1 January 2015 and amended the Act at section 175</w:t>
      </w:r>
      <w:r w:rsidR="00B934D3">
        <w:rPr>
          <w:rFonts w:ascii="Arial" w:hAnsi="Arial" w:cs="Arial"/>
          <w:color w:val="7B7B7B" w:themeColor="accent3" w:themeShade="BF"/>
          <w:sz w:val="22"/>
          <w:szCs w:val="22"/>
        </w:rPr>
        <w:t>. This Order</w:t>
      </w:r>
      <w:r w:rsidR="00CF4832">
        <w:rPr>
          <w:rFonts w:ascii="Arial" w:hAnsi="Arial" w:cs="Arial"/>
          <w:color w:val="7B7B7B" w:themeColor="accent3" w:themeShade="BF"/>
          <w:sz w:val="22"/>
          <w:szCs w:val="22"/>
        </w:rPr>
        <w:t xml:space="preserve"> provides that 'o</w:t>
      </w:r>
      <w:r w:rsidRPr="00326EB4">
        <w:rPr>
          <w:rFonts w:ascii="Arial" w:hAnsi="Arial" w:cs="Arial"/>
          <w:color w:val="7B7B7B" w:themeColor="accent3" w:themeShade="BF"/>
          <w:sz w:val="22"/>
          <w:szCs w:val="22"/>
        </w:rPr>
        <w:t>rdinary preferential debts</w:t>
      </w:r>
      <w:r w:rsidR="00CF4832">
        <w:rPr>
          <w:rFonts w:ascii="Arial" w:hAnsi="Arial" w:cs="Arial"/>
          <w:color w:val="7B7B7B" w:themeColor="accent3" w:themeShade="BF"/>
          <w:sz w:val="22"/>
          <w:szCs w:val="22"/>
        </w:rPr>
        <w:t>'</w:t>
      </w:r>
      <w:r w:rsidRPr="00326EB4">
        <w:rPr>
          <w:rFonts w:ascii="Arial" w:hAnsi="Arial" w:cs="Arial"/>
          <w:color w:val="7B7B7B" w:themeColor="accent3" w:themeShade="BF"/>
          <w:sz w:val="22"/>
          <w:szCs w:val="22"/>
        </w:rPr>
        <w:t xml:space="preserve"> rank equally among themselves and shall be paid in full, unless the assets are insufficient to meet them, in which case they abate in equal proportions. </w:t>
      </w:r>
      <w:r w:rsidR="00CF4832">
        <w:rPr>
          <w:rFonts w:ascii="Arial" w:hAnsi="Arial" w:cs="Arial"/>
          <w:color w:val="7B7B7B" w:themeColor="accent3" w:themeShade="BF"/>
          <w:sz w:val="22"/>
          <w:szCs w:val="22"/>
        </w:rPr>
        <w:t xml:space="preserve">The </w:t>
      </w:r>
      <w:r w:rsidR="00B934D3">
        <w:rPr>
          <w:rFonts w:ascii="Arial" w:hAnsi="Arial" w:cs="Arial"/>
          <w:color w:val="7B7B7B" w:themeColor="accent3" w:themeShade="BF"/>
          <w:sz w:val="22"/>
          <w:szCs w:val="22"/>
        </w:rPr>
        <w:t xml:space="preserve">amended </w:t>
      </w:r>
      <w:r w:rsidR="00CF4832">
        <w:rPr>
          <w:rFonts w:ascii="Arial" w:hAnsi="Arial" w:cs="Arial"/>
          <w:color w:val="7B7B7B" w:themeColor="accent3" w:themeShade="BF"/>
          <w:sz w:val="22"/>
          <w:szCs w:val="22"/>
        </w:rPr>
        <w:t>section goes further and provides that 's</w:t>
      </w:r>
      <w:r w:rsidRPr="00326EB4">
        <w:rPr>
          <w:rFonts w:ascii="Arial" w:hAnsi="Arial" w:cs="Arial"/>
          <w:color w:val="7B7B7B" w:themeColor="accent3" w:themeShade="BF"/>
          <w:sz w:val="22"/>
          <w:szCs w:val="22"/>
        </w:rPr>
        <w:t>econdary preferential debts</w:t>
      </w:r>
      <w:r w:rsidR="00CF4832">
        <w:rPr>
          <w:rFonts w:ascii="Arial" w:hAnsi="Arial" w:cs="Arial"/>
          <w:color w:val="7B7B7B" w:themeColor="accent3" w:themeShade="BF"/>
          <w:sz w:val="22"/>
          <w:szCs w:val="22"/>
        </w:rPr>
        <w:t>'</w:t>
      </w:r>
      <w:r w:rsidRPr="00326EB4">
        <w:rPr>
          <w:rFonts w:ascii="Arial" w:hAnsi="Arial" w:cs="Arial"/>
          <w:color w:val="7B7B7B" w:themeColor="accent3" w:themeShade="BF"/>
          <w:sz w:val="22"/>
          <w:szCs w:val="22"/>
        </w:rPr>
        <w:t xml:space="preserve"> rank equally among themselves after the ordinary preferential debts and shall be paid in full, unless the assets are insufficient to meet them, in which case they abate in equal pr</w:t>
      </w:r>
      <w:r w:rsidR="00CF4832">
        <w:rPr>
          <w:rFonts w:ascii="Arial" w:hAnsi="Arial" w:cs="Arial"/>
          <w:color w:val="7B7B7B" w:themeColor="accent3" w:themeShade="BF"/>
          <w:sz w:val="22"/>
          <w:szCs w:val="22"/>
        </w:rPr>
        <w:t xml:space="preserve">oportions. This section creates a sub-ranking of preferential debts amongst </w:t>
      </w:r>
      <w:r w:rsidR="00D34EF5">
        <w:rPr>
          <w:rFonts w:ascii="Arial" w:hAnsi="Arial" w:cs="Arial"/>
          <w:color w:val="7B7B7B" w:themeColor="accent3" w:themeShade="BF"/>
          <w:sz w:val="22"/>
          <w:szCs w:val="22"/>
        </w:rPr>
        <w:t xml:space="preserve">preferential </w:t>
      </w:r>
      <w:r w:rsidR="00CF4832">
        <w:rPr>
          <w:rFonts w:ascii="Arial" w:hAnsi="Arial" w:cs="Arial"/>
          <w:color w:val="7B7B7B" w:themeColor="accent3" w:themeShade="BF"/>
          <w:sz w:val="22"/>
          <w:szCs w:val="22"/>
        </w:rPr>
        <w:t xml:space="preserve">creditors. </w:t>
      </w:r>
    </w:p>
    <w:p w14:paraId="41B6F1B5" w14:textId="5DD4560F" w:rsidR="00D34EF5" w:rsidRDefault="00D34EF5" w:rsidP="00326EB4">
      <w:pPr>
        <w:pStyle w:val="ListParagraph"/>
        <w:ind w:left="426"/>
        <w:jc w:val="both"/>
        <w:rPr>
          <w:rFonts w:ascii="Arial" w:hAnsi="Arial" w:cs="Arial"/>
          <w:color w:val="7B7B7B" w:themeColor="accent3" w:themeShade="BF"/>
          <w:sz w:val="22"/>
          <w:szCs w:val="22"/>
        </w:rPr>
      </w:pPr>
    </w:p>
    <w:p w14:paraId="35F65797" w14:textId="5D8D658C" w:rsidR="00D34EF5" w:rsidRPr="00326EB4" w:rsidRDefault="00D34EF5" w:rsidP="00786DAF">
      <w:pPr>
        <w:pStyle w:val="ListParagraph"/>
        <w:ind w:left="426"/>
        <w:jc w:val="both"/>
        <w:rPr>
          <w:rFonts w:ascii="Arial" w:hAnsi="Arial" w:cs="Arial"/>
          <w:color w:val="7B7B7B" w:themeColor="accent3" w:themeShade="BF"/>
          <w:sz w:val="22"/>
          <w:szCs w:val="22"/>
          <w:lang w:val="en-GB"/>
        </w:rPr>
      </w:pPr>
      <w:r w:rsidRPr="00D34EF5">
        <w:rPr>
          <w:rFonts w:ascii="Arial" w:hAnsi="Arial" w:cs="Arial"/>
          <w:color w:val="7B7B7B" w:themeColor="accent3" w:themeShade="BF"/>
          <w:sz w:val="22"/>
          <w:szCs w:val="22"/>
        </w:rPr>
        <w:t xml:space="preserve">After ordinary preferential creditors have been paid, secondary preferential </w:t>
      </w:r>
      <w:r>
        <w:rPr>
          <w:rFonts w:ascii="Arial" w:hAnsi="Arial" w:cs="Arial"/>
          <w:color w:val="7B7B7B" w:themeColor="accent3" w:themeShade="BF"/>
          <w:sz w:val="22"/>
          <w:szCs w:val="22"/>
        </w:rPr>
        <w:t>creditors</w:t>
      </w:r>
      <w:r w:rsidRPr="00D34EF5">
        <w:rPr>
          <w:rFonts w:ascii="Arial" w:hAnsi="Arial" w:cs="Arial"/>
          <w:color w:val="7B7B7B" w:themeColor="accent3" w:themeShade="BF"/>
          <w:sz w:val="22"/>
          <w:szCs w:val="22"/>
        </w:rPr>
        <w:t xml:space="preserve"> will </w:t>
      </w:r>
      <w:r>
        <w:rPr>
          <w:rFonts w:ascii="Arial" w:hAnsi="Arial" w:cs="Arial"/>
          <w:color w:val="7B7B7B" w:themeColor="accent3" w:themeShade="BF"/>
          <w:sz w:val="22"/>
          <w:szCs w:val="22"/>
        </w:rPr>
        <w:t>be paid. These include, as already mentioned</w:t>
      </w:r>
      <w:r w:rsidR="00B934D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 HMRC in certain instances,</w:t>
      </w:r>
      <w:r w:rsidRPr="00D34EF5">
        <w:rPr>
          <w:rFonts w:ascii="Arial" w:hAnsi="Arial" w:cs="Arial"/>
          <w:color w:val="7B7B7B" w:themeColor="accent3" w:themeShade="BF"/>
          <w:sz w:val="22"/>
          <w:szCs w:val="22"/>
        </w:rPr>
        <w:t xml:space="preserve"> depositors for amounts exceeding the £85,000 cap</w:t>
      </w:r>
      <w:r>
        <w:rPr>
          <w:rFonts w:ascii="Arial" w:hAnsi="Arial" w:cs="Arial"/>
          <w:color w:val="7B7B7B" w:themeColor="accent3" w:themeShade="BF"/>
          <w:sz w:val="22"/>
          <w:szCs w:val="22"/>
        </w:rPr>
        <w:t>, and</w:t>
      </w:r>
      <w:r w:rsidRPr="00D34EF5">
        <w:rPr>
          <w:rFonts w:ascii="Arial" w:hAnsi="Arial" w:cs="Arial"/>
          <w:color w:val="7B7B7B" w:themeColor="accent3" w:themeShade="BF"/>
          <w:sz w:val="22"/>
          <w:szCs w:val="22"/>
        </w:rPr>
        <w:t xml:space="preserve"> eligible depositors that made deposits with an authorised credit institution but with a branch located outside of the </w:t>
      </w:r>
      <w:r>
        <w:rPr>
          <w:rFonts w:ascii="Arial" w:hAnsi="Arial" w:cs="Arial"/>
          <w:color w:val="7B7B7B" w:themeColor="accent3" w:themeShade="BF"/>
          <w:sz w:val="22"/>
          <w:szCs w:val="22"/>
        </w:rPr>
        <w:t>European Economic Area</w:t>
      </w:r>
      <w:r w:rsidRPr="00D34EF5">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8"/>
      </w:r>
    </w:p>
    <w:p w14:paraId="7C995C6A" w14:textId="77777777" w:rsidR="00326EB4" w:rsidRPr="0081413A" w:rsidRDefault="00326EB4" w:rsidP="0077549A">
      <w:pPr>
        <w:pStyle w:val="ListParagraph"/>
        <w:jc w:val="both"/>
        <w:rPr>
          <w:rFonts w:ascii="Arial" w:hAnsi="Arial" w:cs="Arial"/>
          <w:color w:val="7B7B7B" w:themeColor="accent3" w:themeShade="BF"/>
          <w:sz w:val="22"/>
          <w:szCs w:val="22"/>
          <w:lang w:val="en-GB"/>
        </w:rPr>
      </w:pPr>
    </w:p>
    <w:p w14:paraId="7DCE452C" w14:textId="485518B3" w:rsidR="00DB688D" w:rsidRPr="00B42324" w:rsidRDefault="0031034E" w:rsidP="00550ABD">
      <w:pPr>
        <w:pStyle w:val="ListParagraph"/>
        <w:numPr>
          <w:ilvl w:val="0"/>
          <w:numId w:val="21"/>
        </w:numPr>
        <w:ind w:left="426" w:hanging="426"/>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u w:val="single"/>
          <w:lang w:val="en-GB"/>
        </w:rPr>
        <w:t>Floating charge holders</w:t>
      </w:r>
      <w:r w:rsidRPr="00B42324">
        <w:rPr>
          <w:rFonts w:ascii="Arial" w:hAnsi="Arial" w:cs="Arial"/>
          <w:color w:val="7B7B7B" w:themeColor="accent3" w:themeShade="BF"/>
          <w:sz w:val="22"/>
          <w:szCs w:val="22"/>
          <w:lang w:val="en-GB"/>
        </w:rPr>
        <w:t xml:space="preserve"> are the next to be paid after preferential creditors</w:t>
      </w:r>
      <w:r w:rsidR="00DC4892">
        <w:rPr>
          <w:rFonts w:ascii="Arial" w:hAnsi="Arial" w:cs="Arial"/>
          <w:color w:val="7B7B7B" w:themeColor="accent3" w:themeShade="BF"/>
          <w:sz w:val="22"/>
          <w:szCs w:val="22"/>
          <w:lang w:val="en-GB"/>
        </w:rPr>
        <w:t>.</w:t>
      </w:r>
      <w:r w:rsidRPr="00B42324">
        <w:rPr>
          <w:rFonts w:ascii="Arial" w:hAnsi="Arial" w:cs="Arial"/>
          <w:color w:val="7B7B7B" w:themeColor="accent3" w:themeShade="BF"/>
          <w:sz w:val="22"/>
          <w:szCs w:val="22"/>
          <w:lang w:val="en-GB"/>
        </w:rPr>
        <w:t xml:space="preserve"> </w:t>
      </w:r>
      <w:r w:rsidR="00AC5ADC" w:rsidRPr="00B42324">
        <w:rPr>
          <w:rFonts w:ascii="Arial" w:hAnsi="Arial" w:cs="Arial"/>
          <w:color w:val="7B7B7B" w:themeColor="accent3" w:themeShade="BF"/>
          <w:sz w:val="22"/>
          <w:szCs w:val="22"/>
          <w:lang w:val="en-GB"/>
        </w:rPr>
        <w:t xml:space="preserve">A floating charge may be held over a variety of assets for example stock, raw materials, cash, fixtures and fittings etc.  </w:t>
      </w:r>
      <w:r w:rsidRPr="00B42324">
        <w:rPr>
          <w:rFonts w:ascii="Arial" w:hAnsi="Arial" w:cs="Arial"/>
          <w:color w:val="7B7B7B" w:themeColor="accent3" w:themeShade="BF"/>
          <w:sz w:val="22"/>
          <w:szCs w:val="22"/>
          <w:lang w:val="en-GB"/>
        </w:rPr>
        <w:t xml:space="preserve">If there are multiple floating charge holders, the order of preference in payment between them is usually based on which floating charge was created first in time. </w:t>
      </w:r>
      <w:r w:rsidR="00DB688D" w:rsidRPr="00B42324">
        <w:rPr>
          <w:rFonts w:ascii="Arial" w:hAnsi="Arial" w:cs="Arial"/>
          <w:color w:val="7B7B7B" w:themeColor="accent3" w:themeShade="BF"/>
          <w:sz w:val="22"/>
          <w:szCs w:val="22"/>
          <w:lang w:val="en-GB"/>
        </w:rPr>
        <w:t xml:space="preserve">Section 176A of the Act applies where </w:t>
      </w:r>
      <w:r w:rsidR="00DB688D" w:rsidRPr="00B42324">
        <w:rPr>
          <w:rFonts w:ascii="Arial" w:hAnsi="Arial" w:cs="Arial"/>
          <w:color w:val="7B7B7B" w:themeColor="accent3" w:themeShade="BF"/>
          <w:sz w:val="22"/>
          <w:szCs w:val="22"/>
        </w:rPr>
        <w:t xml:space="preserve">a floating charge relates to property of a company which has gone into liquidation. This section provides that the liquidator (a) shall make a prescribed part of the company’s net property available for the satisfaction of unsecured debts, and (b) shall not distribute that part to the proprietor of a floating charge except in so far as it exceeds the amount required for the satisfaction of unsecured debts. </w:t>
      </w:r>
      <w:r w:rsidR="00DC4892">
        <w:rPr>
          <w:rFonts w:ascii="Arial" w:hAnsi="Arial" w:cs="Arial"/>
          <w:color w:val="7B7B7B" w:themeColor="accent3" w:themeShade="BF"/>
          <w:sz w:val="22"/>
          <w:szCs w:val="22"/>
        </w:rPr>
        <w:t xml:space="preserve">Essentially, this </w:t>
      </w:r>
      <w:r w:rsidR="00B42324">
        <w:rPr>
          <w:rFonts w:ascii="Arial" w:hAnsi="Arial" w:cs="Arial"/>
          <w:color w:val="7B7B7B" w:themeColor="accent3" w:themeShade="BF"/>
          <w:sz w:val="22"/>
          <w:szCs w:val="22"/>
        </w:rPr>
        <w:t xml:space="preserve">means that the liquidator is required to determine and "set aside", so to speak, a prescribed part of the Company's net property in order to satisfy the unsecured debts. This prescribed part cannot be used to pay the holders of a floating charge unless it is in excess of the unsecured creditors' claims. </w:t>
      </w:r>
      <w:r w:rsidR="00DB688D" w:rsidRPr="00B42324">
        <w:rPr>
          <w:rFonts w:ascii="Arial" w:hAnsi="Arial" w:cs="Arial"/>
          <w:color w:val="7B7B7B" w:themeColor="accent3" w:themeShade="BF"/>
          <w:sz w:val="22"/>
          <w:szCs w:val="22"/>
        </w:rPr>
        <w:t xml:space="preserve">Section 176A only applies to floating charges created on or after 15 </w:t>
      </w:r>
      <w:r w:rsidR="00B42324" w:rsidRPr="00B42324">
        <w:rPr>
          <w:rFonts w:ascii="Arial" w:hAnsi="Arial" w:cs="Arial"/>
          <w:color w:val="7B7B7B" w:themeColor="accent3" w:themeShade="BF"/>
          <w:sz w:val="22"/>
          <w:szCs w:val="22"/>
        </w:rPr>
        <w:t>September</w:t>
      </w:r>
      <w:r w:rsidR="00DB688D" w:rsidRPr="00B42324">
        <w:rPr>
          <w:rFonts w:ascii="Arial" w:hAnsi="Arial" w:cs="Arial"/>
          <w:color w:val="7B7B7B" w:themeColor="accent3" w:themeShade="BF"/>
          <w:sz w:val="22"/>
          <w:szCs w:val="22"/>
        </w:rPr>
        <w:t xml:space="preserve"> 2003</w:t>
      </w:r>
    </w:p>
    <w:p w14:paraId="100EBEB5" w14:textId="77777777" w:rsidR="00DA41F4" w:rsidRDefault="00DA41F4" w:rsidP="0031034E">
      <w:pPr>
        <w:pStyle w:val="ListParagraph"/>
        <w:ind w:left="426"/>
        <w:jc w:val="both"/>
        <w:rPr>
          <w:rFonts w:ascii="Arial" w:hAnsi="Arial" w:cs="Arial"/>
          <w:color w:val="7B7B7B" w:themeColor="accent3" w:themeShade="BF"/>
          <w:sz w:val="22"/>
          <w:szCs w:val="22"/>
          <w:lang w:val="en-GB"/>
        </w:rPr>
      </w:pPr>
    </w:p>
    <w:p w14:paraId="343F4DEE" w14:textId="2F79B921" w:rsidR="0011244C" w:rsidRDefault="00DA41F4" w:rsidP="0077549A">
      <w:pPr>
        <w:pStyle w:val="ListParagraph"/>
        <w:numPr>
          <w:ilvl w:val="0"/>
          <w:numId w:val="21"/>
        </w:numPr>
        <w:ind w:left="426" w:hanging="426"/>
        <w:jc w:val="both"/>
        <w:rPr>
          <w:rFonts w:ascii="Arial" w:hAnsi="Arial" w:cs="Arial"/>
          <w:color w:val="7B7B7B" w:themeColor="accent3" w:themeShade="BF"/>
          <w:sz w:val="22"/>
          <w:szCs w:val="22"/>
          <w:lang w:val="en-GB"/>
        </w:rPr>
      </w:pPr>
      <w:r w:rsidRPr="00786DAF">
        <w:rPr>
          <w:rFonts w:ascii="Arial" w:hAnsi="Arial" w:cs="Arial"/>
          <w:color w:val="7B7B7B" w:themeColor="accent3" w:themeShade="BF"/>
          <w:sz w:val="22"/>
          <w:szCs w:val="22"/>
          <w:u w:val="single"/>
          <w:lang w:val="en-GB"/>
        </w:rPr>
        <w:t>Unsecured creditors</w:t>
      </w:r>
      <w:r>
        <w:rPr>
          <w:rFonts w:ascii="Arial" w:hAnsi="Arial" w:cs="Arial"/>
          <w:color w:val="7B7B7B" w:themeColor="accent3" w:themeShade="BF"/>
          <w:sz w:val="22"/>
          <w:szCs w:val="22"/>
          <w:lang w:val="en-GB"/>
        </w:rPr>
        <w:t xml:space="preserve"> are as the name indicates those creditors with no security and usually comprise </w:t>
      </w:r>
      <w:r w:rsidRPr="00DA41F4">
        <w:rPr>
          <w:rFonts w:ascii="Arial" w:hAnsi="Arial" w:cs="Arial"/>
          <w:color w:val="7B7B7B" w:themeColor="accent3" w:themeShade="BF"/>
          <w:sz w:val="22"/>
          <w:szCs w:val="22"/>
        </w:rPr>
        <w:t>unsecured loans from banks and lenders</w:t>
      </w:r>
      <w:r>
        <w:rPr>
          <w:rFonts w:ascii="Arial" w:hAnsi="Arial" w:cs="Arial"/>
          <w:color w:val="7B7B7B" w:themeColor="accent3" w:themeShade="BF"/>
          <w:sz w:val="22"/>
          <w:szCs w:val="22"/>
        </w:rPr>
        <w:t>, trade creditors</w:t>
      </w:r>
      <w:r w:rsidRPr="00DA41F4">
        <w:rPr>
          <w:rFonts w:ascii="Arial" w:hAnsi="Arial" w:cs="Arial"/>
          <w:color w:val="7B7B7B" w:themeColor="accent3" w:themeShade="BF"/>
          <w:sz w:val="22"/>
          <w:szCs w:val="22"/>
        </w:rPr>
        <w:t>, customers, suppliers</w:t>
      </w:r>
      <w:r>
        <w:rPr>
          <w:rFonts w:ascii="Arial" w:hAnsi="Arial" w:cs="Arial"/>
          <w:color w:val="7B7B7B" w:themeColor="accent3" w:themeShade="BF"/>
          <w:sz w:val="22"/>
          <w:szCs w:val="22"/>
        </w:rPr>
        <w:t xml:space="preserve">, </w:t>
      </w:r>
      <w:r w:rsidRPr="00DA41F4">
        <w:rPr>
          <w:rFonts w:ascii="Arial" w:hAnsi="Arial" w:cs="Arial"/>
          <w:color w:val="7B7B7B" w:themeColor="accent3" w:themeShade="BF"/>
          <w:sz w:val="22"/>
          <w:szCs w:val="22"/>
        </w:rPr>
        <w:t>contractors, unsecured overdrafts</w:t>
      </w:r>
      <w:r>
        <w:rPr>
          <w:rFonts w:ascii="Arial" w:hAnsi="Arial" w:cs="Arial"/>
          <w:color w:val="7B7B7B" w:themeColor="accent3" w:themeShade="BF"/>
          <w:sz w:val="22"/>
          <w:szCs w:val="22"/>
        </w:rPr>
        <w:t xml:space="preserve">, </w:t>
      </w:r>
      <w:r w:rsidRPr="00DA41F4">
        <w:rPr>
          <w:rFonts w:ascii="Arial" w:hAnsi="Arial" w:cs="Arial"/>
          <w:color w:val="7B7B7B" w:themeColor="accent3" w:themeShade="BF"/>
          <w:sz w:val="22"/>
          <w:szCs w:val="22"/>
        </w:rPr>
        <w:t xml:space="preserve">rent and lease </w:t>
      </w:r>
      <w:r>
        <w:rPr>
          <w:rFonts w:ascii="Arial" w:hAnsi="Arial" w:cs="Arial"/>
          <w:color w:val="7B7B7B" w:themeColor="accent3" w:themeShade="BF"/>
          <w:sz w:val="22"/>
          <w:szCs w:val="22"/>
        </w:rPr>
        <w:t>payments or maintenance, directors loan accounts</w:t>
      </w:r>
      <w:r w:rsidRPr="00DA41F4">
        <w:rPr>
          <w:rFonts w:ascii="Arial" w:hAnsi="Arial" w:cs="Arial"/>
          <w:color w:val="7B7B7B" w:themeColor="accent3" w:themeShade="BF"/>
          <w:sz w:val="22"/>
          <w:szCs w:val="22"/>
        </w:rPr>
        <w:t xml:space="preserve">, friend and family loans to the business, </w:t>
      </w:r>
      <w:r>
        <w:rPr>
          <w:rFonts w:ascii="Arial" w:hAnsi="Arial" w:cs="Arial"/>
          <w:color w:val="7B7B7B" w:themeColor="accent3" w:themeShade="BF"/>
          <w:sz w:val="22"/>
          <w:szCs w:val="22"/>
        </w:rPr>
        <w:t>and any</w:t>
      </w:r>
      <w:r w:rsidRPr="00DA41F4">
        <w:rPr>
          <w:rFonts w:ascii="Arial" w:hAnsi="Arial" w:cs="Arial"/>
          <w:color w:val="7B7B7B" w:themeColor="accent3" w:themeShade="BF"/>
          <w:sz w:val="22"/>
          <w:szCs w:val="22"/>
        </w:rPr>
        <w:t xml:space="preserve"> shortfall on any fixed or floating charge.</w:t>
      </w:r>
      <w:r>
        <w:rPr>
          <w:rStyle w:val="FootnoteReference"/>
          <w:rFonts w:ascii="Arial" w:hAnsi="Arial" w:cs="Arial"/>
          <w:color w:val="7B7B7B" w:themeColor="accent3" w:themeShade="BF"/>
          <w:sz w:val="22"/>
          <w:szCs w:val="22"/>
        </w:rPr>
        <w:footnoteReference w:id="9"/>
      </w:r>
      <w:r>
        <w:rPr>
          <w:rFonts w:ascii="Arial" w:hAnsi="Arial" w:cs="Arial"/>
          <w:color w:val="7B7B7B" w:themeColor="accent3" w:themeShade="BF"/>
          <w:sz w:val="22"/>
          <w:szCs w:val="22"/>
          <w:lang w:val="en-GB"/>
        </w:rPr>
        <w:t xml:space="preserve"> </w:t>
      </w:r>
    </w:p>
    <w:p w14:paraId="603D812F" w14:textId="77777777" w:rsidR="00D34EF5" w:rsidRDefault="00D34EF5" w:rsidP="00D34EF5">
      <w:pPr>
        <w:pStyle w:val="ListParagraph"/>
        <w:ind w:left="426"/>
        <w:jc w:val="both"/>
        <w:rPr>
          <w:rFonts w:ascii="Arial" w:hAnsi="Arial" w:cs="Arial"/>
          <w:color w:val="7B7B7B" w:themeColor="accent3" w:themeShade="BF"/>
          <w:sz w:val="22"/>
          <w:szCs w:val="22"/>
          <w:lang w:val="en-GB"/>
        </w:rPr>
      </w:pPr>
    </w:p>
    <w:p w14:paraId="032D43FD" w14:textId="3A04D9F3" w:rsidR="00540793" w:rsidRDefault="00DA41F4" w:rsidP="0077549A">
      <w:pPr>
        <w:pStyle w:val="ListParagraph"/>
        <w:numPr>
          <w:ilvl w:val="0"/>
          <w:numId w:val="21"/>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Subject to remaining funds be available for distribution, s</w:t>
      </w:r>
      <w:r w:rsidRPr="00DA41F4">
        <w:rPr>
          <w:rFonts w:ascii="Arial" w:hAnsi="Arial" w:cs="Arial"/>
          <w:color w:val="7B7B7B" w:themeColor="accent3" w:themeShade="BF"/>
          <w:sz w:val="22"/>
          <w:szCs w:val="22"/>
        </w:rPr>
        <w:t xml:space="preserve">tatutory interest will </w:t>
      </w:r>
      <w:r>
        <w:rPr>
          <w:rFonts w:ascii="Arial" w:hAnsi="Arial" w:cs="Arial"/>
          <w:color w:val="7B7B7B" w:themeColor="accent3" w:themeShade="BF"/>
          <w:sz w:val="22"/>
          <w:szCs w:val="22"/>
        </w:rPr>
        <w:t xml:space="preserve">then become </w:t>
      </w:r>
      <w:r w:rsidRPr="00DA41F4">
        <w:rPr>
          <w:rFonts w:ascii="Arial" w:hAnsi="Arial" w:cs="Arial"/>
          <w:color w:val="7B7B7B" w:themeColor="accent3" w:themeShade="BF"/>
          <w:sz w:val="22"/>
          <w:szCs w:val="22"/>
        </w:rPr>
        <w:t>on insolvency debts</w:t>
      </w:r>
      <w:r>
        <w:rPr>
          <w:rFonts w:ascii="Arial" w:hAnsi="Arial" w:cs="Arial"/>
          <w:color w:val="7B7B7B" w:themeColor="accent3" w:themeShade="BF"/>
          <w:sz w:val="22"/>
          <w:szCs w:val="22"/>
          <w:lang w:val="en-GB"/>
        </w:rPr>
        <w:t>.</w:t>
      </w:r>
    </w:p>
    <w:p w14:paraId="0480DCFF" w14:textId="77777777" w:rsidR="00D34EF5" w:rsidRDefault="00D34EF5" w:rsidP="00D34EF5">
      <w:pPr>
        <w:pStyle w:val="ListParagraph"/>
        <w:ind w:left="426"/>
        <w:jc w:val="both"/>
        <w:rPr>
          <w:rFonts w:ascii="Arial" w:hAnsi="Arial" w:cs="Arial"/>
          <w:color w:val="7B7B7B" w:themeColor="accent3" w:themeShade="BF"/>
          <w:sz w:val="22"/>
          <w:szCs w:val="22"/>
          <w:lang w:val="en-GB"/>
        </w:rPr>
      </w:pPr>
    </w:p>
    <w:p w14:paraId="75E6B819" w14:textId="02709D0B" w:rsidR="00540793" w:rsidRPr="0081413A" w:rsidRDefault="00540793" w:rsidP="0077549A">
      <w:pPr>
        <w:pStyle w:val="ListParagraph"/>
        <w:numPr>
          <w:ilvl w:val="0"/>
          <w:numId w:val="21"/>
        </w:numPr>
        <w:ind w:left="426" w:hanging="426"/>
        <w:jc w:val="both"/>
        <w:rPr>
          <w:rFonts w:ascii="Arial" w:hAnsi="Arial" w:cs="Arial"/>
          <w:color w:val="7B7B7B" w:themeColor="accent3" w:themeShade="BF"/>
          <w:sz w:val="22"/>
          <w:szCs w:val="22"/>
          <w:lang w:val="en-GB"/>
        </w:rPr>
      </w:pPr>
      <w:r w:rsidRPr="00540793">
        <w:rPr>
          <w:rFonts w:ascii="Arial" w:hAnsi="Arial" w:cs="Arial"/>
          <w:color w:val="7B7B7B" w:themeColor="accent3" w:themeShade="BF"/>
          <w:sz w:val="22"/>
          <w:szCs w:val="22"/>
        </w:rPr>
        <w:t xml:space="preserve">Shareholders are the final group </w:t>
      </w:r>
      <w:r>
        <w:rPr>
          <w:rFonts w:ascii="Arial" w:hAnsi="Arial" w:cs="Arial"/>
          <w:color w:val="7B7B7B" w:themeColor="accent3" w:themeShade="BF"/>
          <w:sz w:val="22"/>
          <w:szCs w:val="22"/>
        </w:rPr>
        <w:t xml:space="preserve">of creditors </w:t>
      </w:r>
      <w:r w:rsidRPr="00540793">
        <w:rPr>
          <w:rFonts w:ascii="Arial" w:hAnsi="Arial" w:cs="Arial"/>
          <w:color w:val="7B7B7B" w:themeColor="accent3" w:themeShade="BF"/>
          <w:sz w:val="22"/>
          <w:szCs w:val="22"/>
        </w:rPr>
        <w:t>to be paid</w:t>
      </w:r>
      <w:r>
        <w:rPr>
          <w:rFonts w:ascii="Arial" w:hAnsi="Arial" w:cs="Arial"/>
          <w:color w:val="7B7B7B" w:themeColor="accent3" w:themeShade="BF"/>
          <w:sz w:val="22"/>
          <w:szCs w:val="22"/>
        </w:rPr>
        <w:t xml:space="preserve"> in the company's distribution of assets on liquidation</w:t>
      </w:r>
      <w:r w:rsidRPr="00540793">
        <w:rPr>
          <w:rFonts w:ascii="Arial" w:hAnsi="Arial" w:cs="Arial"/>
          <w:color w:val="7B7B7B" w:themeColor="accent3" w:themeShade="BF"/>
          <w:sz w:val="22"/>
          <w:szCs w:val="22"/>
        </w:rPr>
        <w:t xml:space="preserve">. </w:t>
      </w:r>
      <w:r w:rsidR="0077549A">
        <w:rPr>
          <w:rFonts w:ascii="Arial" w:hAnsi="Arial" w:cs="Arial"/>
          <w:color w:val="7B7B7B" w:themeColor="accent3" w:themeShade="BF"/>
          <w:sz w:val="22"/>
          <w:szCs w:val="22"/>
        </w:rPr>
        <w:t>The reason behind this is that as they have taken a commercial</w:t>
      </w:r>
      <w:r w:rsidRPr="00540793">
        <w:rPr>
          <w:rFonts w:ascii="Arial" w:hAnsi="Arial" w:cs="Arial"/>
          <w:color w:val="7B7B7B" w:themeColor="accent3" w:themeShade="BF"/>
          <w:sz w:val="22"/>
          <w:szCs w:val="22"/>
        </w:rPr>
        <w:t xml:space="preserve"> risk in </w:t>
      </w:r>
      <w:r w:rsidR="0077549A">
        <w:rPr>
          <w:rFonts w:ascii="Arial" w:hAnsi="Arial" w:cs="Arial"/>
          <w:color w:val="7B7B7B" w:themeColor="accent3" w:themeShade="BF"/>
          <w:sz w:val="22"/>
          <w:szCs w:val="22"/>
        </w:rPr>
        <w:t xml:space="preserve">providing money to the company, </w:t>
      </w:r>
      <w:r w:rsidRPr="00540793">
        <w:rPr>
          <w:rFonts w:ascii="Arial" w:hAnsi="Arial" w:cs="Arial"/>
          <w:color w:val="7B7B7B" w:themeColor="accent3" w:themeShade="BF"/>
          <w:sz w:val="22"/>
          <w:szCs w:val="22"/>
        </w:rPr>
        <w:t xml:space="preserve">they </w:t>
      </w:r>
      <w:r w:rsidR="0077549A">
        <w:rPr>
          <w:rFonts w:ascii="Arial" w:hAnsi="Arial" w:cs="Arial"/>
          <w:color w:val="7B7B7B" w:themeColor="accent3" w:themeShade="BF"/>
          <w:sz w:val="22"/>
          <w:szCs w:val="22"/>
        </w:rPr>
        <w:t>should</w:t>
      </w:r>
      <w:r w:rsidRPr="00540793">
        <w:rPr>
          <w:rFonts w:ascii="Arial" w:hAnsi="Arial" w:cs="Arial"/>
          <w:color w:val="7B7B7B" w:themeColor="accent3" w:themeShade="BF"/>
          <w:sz w:val="22"/>
          <w:szCs w:val="22"/>
        </w:rPr>
        <w:t xml:space="preserve"> not entitled to a distribution until all </w:t>
      </w:r>
      <w:r w:rsidR="0077549A">
        <w:rPr>
          <w:rFonts w:ascii="Arial" w:hAnsi="Arial" w:cs="Arial"/>
          <w:color w:val="7B7B7B" w:themeColor="accent3" w:themeShade="BF"/>
          <w:sz w:val="22"/>
          <w:szCs w:val="22"/>
        </w:rPr>
        <w:t xml:space="preserve">the </w:t>
      </w:r>
      <w:r w:rsidRPr="00540793">
        <w:rPr>
          <w:rFonts w:ascii="Arial" w:hAnsi="Arial" w:cs="Arial"/>
          <w:color w:val="7B7B7B" w:themeColor="accent3" w:themeShade="BF"/>
          <w:sz w:val="22"/>
          <w:szCs w:val="22"/>
        </w:rPr>
        <w:lastRenderedPageBreak/>
        <w:t>other creditor groups have been paid.</w:t>
      </w:r>
      <w:r w:rsidR="0077549A">
        <w:rPr>
          <w:rFonts w:ascii="Arial" w:hAnsi="Arial" w:cs="Arial"/>
          <w:color w:val="7B7B7B" w:themeColor="accent3" w:themeShade="BF"/>
          <w:sz w:val="22"/>
          <w:szCs w:val="22"/>
        </w:rPr>
        <w:t xml:space="preserve"> It’s the same reasoning for why shareholders are entitled to receive dividends or profits from the company should it be successful. </w:t>
      </w:r>
    </w:p>
    <w:p w14:paraId="3DAA6780" w14:textId="35F146A0" w:rsidR="00962045" w:rsidRDefault="00962045" w:rsidP="002A37BB">
      <w:pPr>
        <w:jc w:val="both"/>
        <w:rPr>
          <w:rFonts w:ascii="Arial" w:hAnsi="Arial" w:cs="Arial"/>
          <w:sz w:val="22"/>
          <w:szCs w:val="22"/>
          <w:shd w:val="clear" w:color="auto" w:fill="FFFFFF"/>
        </w:rPr>
      </w:pPr>
    </w:p>
    <w:p w14:paraId="15163ABD" w14:textId="77777777" w:rsidR="00681BEF" w:rsidRPr="002A37BB" w:rsidRDefault="00681BEF"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w:t>
      </w:r>
      <w:bookmarkStart w:id="1" w:name="_GoBack"/>
      <w:bookmarkEnd w:id="1"/>
      <w:r w:rsidR="0070524B">
        <w:rPr>
          <w:rFonts w:ascii="Arial" w:hAnsi="Arial" w:cs="Arial"/>
        </w:rPr>
        <w:t xml:space="preserve">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363B9EAA" w14:textId="77777777"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 xml:space="preserve">Stercus Bank plc (the "Bank") as the holder of a floating charge shall in the liquidation of the Company rank in priority to unsecured creditors, but after preferential creditors for purposes of distributions made to the Company's creditors. However, where a creditor obtains security (be it in the form of a floating charge or otherwise) from a company shortly before it enters into insolvency proceedings, this can amount to floating charge avoidance under section 245 of the Insolvency Act 1986 (the "Act"). If it is found that the floating charge was entered into for the wrong reasons in order to put the creditor in a more favourable position right before a company goes into liquidation, the liquidator may have the floating charge set aside in terms of section 245 and be declared invalid.  This invalidity can only arise in instances where the company goes into liquidation or administration, as the case may be. Not all floating charges created at a time shortly before insolvency proceedings will be invalid, they have to be created </w:t>
      </w:r>
      <w:r w:rsidRPr="00681BEF">
        <w:rPr>
          <w:rFonts w:ascii="Arial" w:hAnsi="Arial" w:cs="Arial"/>
          <w:color w:val="7B7B7B" w:themeColor="accent3" w:themeShade="BF"/>
          <w:sz w:val="22"/>
          <w:szCs w:val="22"/>
          <w:lang w:val="en-GB"/>
        </w:rPr>
        <w:lastRenderedPageBreak/>
        <w:t>"at the relevant time". Section 245(3) provides that the time at which a floating charge is created by a company is a relevant time for the purposes of this section if the charge is created:</w:t>
      </w:r>
    </w:p>
    <w:p w14:paraId="2842B747" w14:textId="77777777" w:rsidR="00681BEF" w:rsidRPr="00681BEF" w:rsidRDefault="00681BEF" w:rsidP="00681BEF">
      <w:pPr>
        <w:numPr>
          <w:ilvl w:val="1"/>
          <w:numId w:val="20"/>
        </w:numPr>
        <w:tabs>
          <w:tab w:val="clear" w:pos="1440"/>
        </w:tabs>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in the case of a charge which is created in favour of a person who is connected with the company, at a time in the period of 2 years ending with the onset of insolvency; or</w:t>
      </w:r>
    </w:p>
    <w:p w14:paraId="227DE3BB" w14:textId="77777777" w:rsidR="00681BEF" w:rsidRPr="00681BEF" w:rsidRDefault="00681BEF" w:rsidP="00681BEF">
      <w:pPr>
        <w:numPr>
          <w:ilvl w:val="1"/>
          <w:numId w:val="20"/>
        </w:numPr>
        <w:tabs>
          <w:tab w:val="clear" w:pos="1440"/>
        </w:tabs>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in the case of a charge which is created in favour of any other person, at a time in the period of 12 months ending with the onset of insolvency (but only if at the time of the creation of the charge, the company was either unable to pay its debts or became unable to do in consequence of this transaction).</w:t>
      </w:r>
    </w:p>
    <w:p w14:paraId="5296349B" w14:textId="77777777" w:rsidR="00681BEF" w:rsidRPr="00681BEF" w:rsidRDefault="00681BEF" w:rsidP="00681BEF">
      <w:pPr>
        <w:jc w:val="both"/>
        <w:rPr>
          <w:rFonts w:ascii="Arial" w:hAnsi="Arial" w:cs="Arial"/>
          <w:color w:val="7B7B7B" w:themeColor="accent3" w:themeShade="BF"/>
          <w:sz w:val="22"/>
          <w:szCs w:val="22"/>
          <w:lang w:val="en-GB"/>
        </w:rPr>
      </w:pPr>
    </w:p>
    <w:p w14:paraId="676CF692" w14:textId="77777777"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 xml:space="preserve">The "onset of insolvency" for purposes of the above is the date of the commencement of the winding up. </w:t>
      </w:r>
    </w:p>
    <w:p w14:paraId="5A3C3E31" w14:textId="77777777" w:rsidR="00681BEF" w:rsidRPr="00681BEF" w:rsidRDefault="00681BEF" w:rsidP="00681BEF">
      <w:pPr>
        <w:jc w:val="both"/>
        <w:rPr>
          <w:rFonts w:ascii="Arial" w:hAnsi="Arial" w:cs="Arial"/>
          <w:color w:val="7B7B7B" w:themeColor="accent3" w:themeShade="BF"/>
          <w:sz w:val="22"/>
          <w:szCs w:val="22"/>
          <w:lang w:val="en-GB"/>
        </w:rPr>
      </w:pPr>
    </w:p>
    <w:p w14:paraId="542AC101" w14:textId="77777777"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 xml:space="preserve">Based on the above set of facts, the Bank is connected with the Company as it is the Company's corporate bank and would be privy to certain financial information of the Company, including whether it was likely to become insolvent. Accordingly, the relevant time requirement under section 245 is met as the floating charge was created in February of the same year that the Company entered into liquidation proceedings. It appears that the floating charge in the above set of facts meets the requirements of section 245 and the liquidator may bring an action for the floating charge to be declared invalid. The floating charge was entered into within the relevant time and the Company shortly thereafter entered into liquidation. </w:t>
      </w:r>
    </w:p>
    <w:p w14:paraId="073B3017" w14:textId="77777777" w:rsidR="00681BEF" w:rsidRPr="00681BEF" w:rsidRDefault="00681BEF" w:rsidP="00681BEF">
      <w:pPr>
        <w:jc w:val="both"/>
        <w:rPr>
          <w:rFonts w:ascii="Arial" w:hAnsi="Arial" w:cs="Arial"/>
          <w:color w:val="7B7B7B" w:themeColor="accent3" w:themeShade="BF"/>
          <w:sz w:val="22"/>
          <w:szCs w:val="22"/>
          <w:lang w:val="en-GB"/>
        </w:rPr>
      </w:pPr>
    </w:p>
    <w:p w14:paraId="04B084FA" w14:textId="77777777"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The only exceptions to the invalidation of a floating charge on a company's undertaking or property created at a relevant time is where the aggregate of:</w:t>
      </w:r>
    </w:p>
    <w:p w14:paraId="02EA1B27" w14:textId="77777777"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(a) the value of so much of the consideration for the creation of the charge as consists of money paid, or goods or services supplied, to the company at the same time as, or after, the creation of the charge,</w:t>
      </w:r>
    </w:p>
    <w:p w14:paraId="6A2060B6" w14:textId="77777777"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(b) the value of so much of that consideration as consists of the discharge or reduction, at the same time as, or after, the creation of the charge, of any debt of the company, and</w:t>
      </w:r>
    </w:p>
    <w:p w14:paraId="772B1323" w14:textId="05D105D8" w:rsidR="00681BEF" w:rsidRPr="00681BEF" w:rsidRDefault="00681BEF" w:rsidP="00681BEF">
      <w:pPr>
        <w:jc w:val="both"/>
        <w:rPr>
          <w:rFonts w:ascii="Arial" w:hAnsi="Arial" w:cs="Arial"/>
          <w:color w:val="7B7B7B" w:themeColor="accent3" w:themeShade="BF"/>
          <w:sz w:val="22"/>
          <w:szCs w:val="22"/>
          <w:lang w:val="en-GB"/>
        </w:rPr>
      </w:pPr>
      <w:r w:rsidRPr="00681BEF">
        <w:rPr>
          <w:rFonts w:ascii="Arial" w:hAnsi="Arial" w:cs="Arial"/>
          <w:color w:val="7B7B7B" w:themeColor="accent3" w:themeShade="BF"/>
          <w:sz w:val="22"/>
          <w:szCs w:val="22"/>
          <w:lang w:val="en-GB"/>
        </w:rPr>
        <w:t>(c) the amount of such interest (if any) as is payable on the amount falling within paragraph (a) or (b)</w:t>
      </w:r>
      <w:r>
        <w:rPr>
          <w:rFonts w:ascii="Arial" w:hAnsi="Arial" w:cs="Arial"/>
          <w:color w:val="7B7B7B" w:themeColor="accent3" w:themeShade="BF"/>
          <w:sz w:val="22"/>
          <w:szCs w:val="22"/>
          <w:lang w:val="en-GB"/>
        </w:rPr>
        <w:t xml:space="preserve"> above</w:t>
      </w:r>
      <w:r w:rsidRPr="00681BEF">
        <w:rPr>
          <w:rFonts w:ascii="Arial" w:hAnsi="Arial" w:cs="Arial"/>
          <w:color w:val="7B7B7B" w:themeColor="accent3" w:themeShade="BF"/>
          <w:sz w:val="22"/>
          <w:szCs w:val="22"/>
          <w:lang w:val="en-GB"/>
        </w:rPr>
        <w:t xml:space="preserve"> in pursuance of any agreement under which the money was so paid, the goods or services were so supplied or the debt was so discharged or reduced.</w:t>
      </w:r>
    </w:p>
    <w:p w14:paraId="0A188A55" w14:textId="00E6EDC0" w:rsidR="00FF5098" w:rsidRPr="00FF5098" w:rsidRDefault="00FF5098" w:rsidP="00FF5098">
      <w:pPr>
        <w:jc w:val="both"/>
        <w:rPr>
          <w:rFonts w:ascii="Arial" w:hAnsi="Arial" w:cs="Arial"/>
          <w:color w:val="7B7B7B" w:themeColor="accent3" w:themeShade="BF"/>
          <w:sz w:val="22"/>
          <w:szCs w:val="22"/>
          <w:lang w:val="en-GB"/>
        </w:rPr>
      </w:pP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6B7B8DC7" w14:textId="77777777" w:rsidR="00681BEF" w:rsidRDefault="00681BEF" w:rsidP="00681B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set of facts the main issue present with the actions of the directors of the Company and the sale of coffee machines is the fact that the coffee machines were sold for less than what they cost a year before could amount to a transaction at undervalue if it meets the requirements of section 238 of the </w:t>
      </w:r>
      <w:r w:rsidRPr="007347B4">
        <w:rPr>
          <w:rFonts w:ascii="Arial" w:hAnsi="Arial" w:cs="Arial"/>
          <w:color w:val="7B7B7B" w:themeColor="accent3" w:themeShade="BF"/>
          <w:sz w:val="22"/>
          <w:szCs w:val="22"/>
          <w:lang w:val="en-GB"/>
        </w:rPr>
        <w:t>Insolvency Act 1986 (the "Act")</w:t>
      </w:r>
      <w:r>
        <w:rPr>
          <w:rFonts w:ascii="Arial" w:hAnsi="Arial" w:cs="Arial"/>
          <w:color w:val="7B7B7B" w:themeColor="accent3" w:themeShade="BF"/>
          <w:sz w:val="22"/>
          <w:szCs w:val="22"/>
          <w:lang w:val="en-GB"/>
        </w:rPr>
        <w:t xml:space="preserve">. </w:t>
      </w:r>
    </w:p>
    <w:p w14:paraId="7DFAFFA7" w14:textId="77777777" w:rsidR="00681BEF" w:rsidRDefault="00681BEF" w:rsidP="00681BEF">
      <w:pPr>
        <w:jc w:val="both"/>
        <w:rPr>
          <w:rFonts w:ascii="Arial" w:hAnsi="Arial" w:cs="Arial"/>
          <w:color w:val="7B7B7B" w:themeColor="accent3" w:themeShade="BF"/>
          <w:sz w:val="22"/>
          <w:szCs w:val="22"/>
          <w:lang w:val="en-GB"/>
        </w:rPr>
      </w:pPr>
    </w:p>
    <w:p w14:paraId="212EAD52" w14:textId="77777777" w:rsidR="00681BEF" w:rsidRPr="009C1CEF" w:rsidRDefault="00681BEF" w:rsidP="00681B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action based on the facts which may be brought by the liquidator is one of a "transaction at an undervalue" under section 238 where the company has entered into liquidation. The liquidator will need to prove that the Company: i) made a gift to another person or otherwise entered into a transaction with another person on terms that provides for the company to receive no consideration; or ii) entered into a transaction with another person for a consideration which in money or money's worth, was at the date of the transaction, significantly less than the value, in money or money's worth, of the consideration provided by the company. The transactions above need to have taken place at the "relevant time" as defined by section 240 of the Act in order to be actionable as a "transaction at an undervalue" </w:t>
      </w:r>
      <w:r>
        <w:rPr>
          <w:rFonts w:ascii="Arial" w:hAnsi="Arial" w:cs="Arial"/>
          <w:color w:val="7B7B7B" w:themeColor="accent3" w:themeShade="BF"/>
          <w:sz w:val="22"/>
          <w:szCs w:val="22"/>
          <w:lang w:val="en-GB"/>
        </w:rPr>
        <w:lastRenderedPageBreak/>
        <w:t xml:space="preserve">under section 238. Relevant time </w:t>
      </w:r>
      <w:r w:rsidRPr="009C1CEF">
        <w:rPr>
          <w:rFonts w:ascii="Arial" w:hAnsi="Arial" w:cs="Arial"/>
          <w:color w:val="7B7B7B" w:themeColor="accent3" w:themeShade="BF"/>
          <w:sz w:val="22"/>
          <w:szCs w:val="22"/>
          <w:lang w:val="en-GB"/>
        </w:rPr>
        <w:t xml:space="preserve">in the case of a transaction at an undervalue </w:t>
      </w:r>
      <w:r>
        <w:rPr>
          <w:rFonts w:ascii="Arial" w:hAnsi="Arial" w:cs="Arial"/>
          <w:color w:val="7B7B7B" w:themeColor="accent3" w:themeShade="BF"/>
          <w:sz w:val="22"/>
          <w:szCs w:val="22"/>
          <w:lang w:val="en-GB"/>
        </w:rPr>
        <w:t>is "</w:t>
      </w:r>
      <w:r w:rsidRPr="009C1CEF">
        <w:rPr>
          <w:rFonts w:ascii="Arial" w:hAnsi="Arial" w:cs="Arial"/>
          <w:color w:val="7B7B7B" w:themeColor="accent3" w:themeShade="BF"/>
          <w:sz w:val="22"/>
          <w:szCs w:val="22"/>
          <w:lang w:val="en-GB"/>
        </w:rPr>
        <w:t>at a time in the period of 2 years ending with the</w:t>
      </w:r>
      <w:r>
        <w:rPr>
          <w:rFonts w:ascii="Arial" w:hAnsi="Arial" w:cs="Arial"/>
          <w:color w:val="7B7B7B" w:themeColor="accent3" w:themeShade="BF"/>
          <w:sz w:val="22"/>
          <w:szCs w:val="22"/>
          <w:lang w:val="en-GB"/>
        </w:rPr>
        <w:t xml:space="preserve"> </w:t>
      </w:r>
      <w:r w:rsidRPr="009C1CEF">
        <w:rPr>
          <w:rFonts w:ascii="Arial" w:hAnsi="Arial" w:cs="Arial"/>
          <w:color w:val="7B7B7B" w:themeColor="accent3" w:themeShade="BF"/>
          <w:sz w:val="22"/>
          <w:szCs w:val="22"/>
          <w:lang w:val="en-GB"/>
        </w:rPr>
        <w:t>onset of insolvency</w:t>
      </w:r>
      <w:r>
        <w:rPr>
          <w:rFonts w:ascii="Arial" w:hAnsi="Arial" w:cs="Arial"/>
          <w:color w:val="7B7B7B" w:themeColor="accent3" w:themeShade="BF"/>
          <w:sz w:val="22"/>
          <w:szCs w:val="22"/>
          <w:lang w:val="en-GB"/>
        </w:rPr>
        <w:t xml:space="preserve">". </w:t>
      </w:r>
    </w:p>
    <w:p w14:paraId="16BBDBD0" w14:textId="77777777" w:rsidR="00681BEF" w:rsidRDefault="00681BEF" w:rsidP="00681BEF">
      <w:pPr>
        <w:autoSpaceDE w:val="0"/>
        <w:autoSpaceDN w:val="0"/>
        <w:adjustRightInd w:val="0"/>
        <w:jc w:val="both"/>
        <w:rPr>
          <w:rFonts w:ascii="Arial" w:hAnsi="Arial" w:cs="Arial"/>
          <w:color w:val="7B7B7B" w:themeColor="accent3" w:themeShade="BF"/>
          <w:sz w:val="22"/>
          <w:szCs w:val="22"/>
          <w:lang w:val="en-GB"/>
        </w:rPr>
      </w:pPr>
    </w:p>
    <w:p w14:paraId="3FEC76CE" w14:textId="77777777" w:rsidR="00681BEF" w:rsidRDefault="00681BEF" w:rsidP="00681BE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finding that the requirements under section 238 are met, the court may </w:t>
      </w:r>
      <w:r w:rsidRPr="009D3F84">
        <w:rPr>
          <w:rFonts w:ascii="Arial" w:hAnsi="Arial" w:cs="Arial"/>
          <w:color w:val="7B7B7B" w:themeColor="accent3" w:themeShade="BF"/>
          <w:sz w:val="22"/>
          <w:szCs w:val="22"/>
          <w:lang w:val="en-GB"/>
        </w:rPr>
        <w:t>make such order as it thinks</w:t>
      </w:r>
      <w:r>
        <w:rPr>
          <w:rFonts w:ascii="Arial" w:hAnsi="Arial" w:cs="Arial"/>
          <w:color w:val="7B7B7B" w:themeColor="accent3" w:themeShade="BF"/>
          <w:sz w:val="22"/>
          <w:szCs w:val="22"/>
          <w:lang w:val="en-GB"/>
        </w:rPr>
        <w:t xml:space="preserve"> </w:t>
      </w:r>
      <w:r w:rsidRPr="009D3F84">
        <w:rPr>
          <w:rFonts w:ascii="Arial" w:hAnsi="Arial" w:cs="Arial"/>
          <w:color w:val="7B7B7B" w:themeColor="accent3" w:themeShade="BF"/>
          <w:sz w:val="22"/>
          <w:szCs w:val="22"/>
          <w:lang w:val="en-GB"/>
        </w:rPr>
        <w:t>fit for restoring the position to what it would have been if the company had not entered</w:t>
      </w:r>
      <w:r>
        <w:rPr>
          <w:rFonts w:ascii="Arial" w:hAnsi="Arial" w:cs="Arial"/>
          <w:color w:val="7B7B7B" w:themeColor="accent3" w:themeShade="BF"/>
          <w:sz w:val="22"/>
          <w:szCs w:val="22"/>
          <w:lang w:val="en-GB"/>
        </w:rPr>
        <w:t xml:space="preserve"> </w:t>
      </w:r>
      <w:r w:rsidRPr="009D3F84">
        <w:rPr>
          <w:rFonts w:ascii="Arial" w:hAnsi="Arial" w:cs="Arial"/>
          <w:color w:val="7B7B7B" w:themeColor="accent3" w:themeShade="BF"/>
          <w:sz w:val="22"/>
          <w:szCs w:val="22"/>
          <w:lang w:val="en-GB"/>
        </w:rPr>
        <w:t>into that transaction.</w:t>
      </w:r>
    </w:p>
    <w:p w14:paraId="6D96982C" w14:textId="77777777" w:rsidR="00681BEF" w:rsidRDefault="00681BEF" w:rsidP="00681BEF">
      <w:pPr>
        <w:autoSpaceDE w:val="0"/>
        <w:autoSpaceDN w:val="0"/>
        <w:adjustRightInd w:val="0"/>
        <w:jc w:val="both"/>
        <w:rPr>
          <w:rFonts w:ascii="Arial" w:hAnsi="Arial" w:cs="Arial"/>
          <w:color w:val="7B7B7B" w:themeColor="accent3" w:themeShade="BF"/>
          <w:sz w:val="22"/>
          <w:szCs w:val="22"/>
          <w:lang w:val="en-GB"/>
        </w:rPr>
      </w:pPr>
    </w:p>
    <w:p w14:paraId="4558B9EF" w14:textId="77777777" w:rsidR="00681BEF" w:rsidRPr="009D3F84" w:rsidRDefault="00681BEF" w:rsidP="00681BE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facts set out above, </w:t>
      </w:r>
      <w:r w:rsidRPr="008A4157">
        <w:rPr>
          <w:rFonts w:ascii="Arial" w:hAnsi="Arial" w:cs="Arial"/>
          <w:color w:val="7B7B7B" w:themeColor="accent3" w:themeShade="BF"/>
          <w:sz w:val="22"/>
          <w:szCs w:val="22"/>
          <w:lang w:val="en-GB"/>
        </w:rPr>
        <w:t>the Company appears to meet the requirements of section 238 in that the coffee machines were sold for consideration that was less than their value, based on what the Company bought them for a year earlier, and this sale of the coffee machines took place at the relevant time within the meaning of section 240 having taken place two months before the compulsory winding up petition was made.</w:t>
      </w:r>
      <w:r>
        <w:rPr>
          <w:rFonts w:ascii="Arial" w:hAnsi="Arial" w:cs="Arial"/>
          <w:color w:val="7B7B7B" w:themeColor="accent3" w:themeShade="BF"/>
          <w:sz w:val="22"/>
          <w:szCs w:val="22"/>
          <w:lang w:val="en-GB"/>
        </w:rPr>
        <w:t xml:space="preserve"> </w:t>
      </w:r>
      <w:r w:rsidRPr="008A4157">
        <w:rPr>
          <w:rFonts w:ascii="Arial" w:hAnsi="Arial" w:cs="Arial"/>
          <w:color w:val="7B7B7B" w:themeColor="accent3" w:themeShade="BF"/>
          <w:sz w:val="22"/>
          <w:szCs w:val="22"/>
          <w:lang w:val="en-GB"/>
        </w:rPr>
        <w:t>With respect to the above, the liquidator may approach the court on the basis of section 238 for an order restoring the position of the company</w:t>
      </w:r>
      <w:r>
        <w:rPr>
          <w:rFonts w:ascii="Arial" w:hAnsi="Arial" w:cs="Arial"/>
          <w:color w:val="7B7B7B" w:themeColor="accent3" w:themeShade="BF"/>
          <w:sz w:val="22"/>
          <w:szCs w:val="22"/>
          <w:lang w:val="en-GB"/>
        </w:rPr>
        <w:t xml:space="preserve"> to what it would have been had the Company not sold the coffee machines to Ann.</w:t>
      </w:r>
    </w:p>
    <w:p w14:paraId="77E1D9AA" w14:textId="77777777" w:rsidR="00681BEF" w:rsidRPr="009D3F84" w:rsidRDefault="00681BEF" w:rsidP="00681BEF">
      <w:pPr>
        <w:autoSpaceDE w:val="0"/>
        <w:autoSpaceDN w:val="0"/>
        <w:adjustRightInd w:val="0"/>
        <w:jc w:val="both"/>
        <w:rPr>
          <w:rFonts w:ascii="Arial" w:hAnsi="Arial" w:cs="Arial"/>
          <w:color w:val="7B7B7B" w:themeColor="accent3" w:themeShade="BF"/>
          <w:sz w:val="22"/>
          <w:szCs w:val="22"/>
          <w:lang w:val="en-GB"/>
        </w:rPr>
      </w:pPr>
    </w:p>
    <w:p w14:paraId="2E6858C7" w14:textId="77777777" w:rsidR="00681BEF" w:rsidRPr="009C1CEF" w:rsidRDefault="00681BEF" w:rsidP="00681BE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above, there is a statutory defence which can be raised against an order under this section, and the Company would need to satisfy the court that:</w:t>
      </w:r>
    </w:p>
    <w:p w14:paraId="7422943F" w14:textId="77777777" w:rsidR="00681BEF" w:rsidRPr="009C1CEF" w:rsidRDefault="00681BEF" w:rsidP="00681BE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 C</w:t>
      </w:r>
      <w:r w:rsidRPr="009C1CEF">
        <w:rPr>
          <w:rFonts w:ascii="Arial" w:hAnsi="Arial" w:cs="Arial"/>
          <w:color w:val="7B7B7B" w:themeColor="accent3" w:themeShade="BF"/>
          <w:sz w:val="22"/>
          <w:szCs w:val="22"/>
          <w:lang w:val="en-GB"/>
        </w:rPr>
        <w:t>ompany entered into the transaction in good faith and</w:t>
      </w:r>
      <w:r>
        <w:rPr>
          <w:rFonts w:ascii="Arial" w:hAnsi="Arial" w:cs="Arial"/>
          <w:color w:val="7B7B7B" w:themeColor="accent3" w:themeShade="BF"/>
          <w:sz w:val="22"/>
          <w:szCs w:val="22"/>
          <w:lang w:val="en-GB"/>
        </w:rPr>
        <w:t xml:space="preserve"> </w:t>
      </w:r>
      <w:r w:rsidRPr="009C1CEF">
        <w:rPr>
          <w:rFonts w:ascii="Arial" w:hAnsi="Arial" w:cs="Arial"/>
          <w:color w:val="7B7B7B" w:themeColor="accent3" w:themeShade="BF"/>
          <w:sz w:val="22"/>
          <w:szCs w:val="22"/>
          <w:lang w:val="en-GB"/>
        </w:rPr>
        <w:t>for the purpose of carrying on its business, and</w:t>
      </w:r>
    </w:p>
    <w:p w14:paraId="02B9C4FF" w14:textId="69697E27" w:rsidR="00FF5098" w:rsidRPr="00FF5098" w:rsidRDefault="00681BEF" w:rsidP="00681BE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Pr="009C1CEF">
        <w:rPr>
          <w:rFonts w:ascii="Arial" w:hAnsi="Arial" w:cs="Arial"/>
          <w:color w:val="7B7B7B" w:themeColor="accent3" w:themeShade="BF"/>
          <w:sz w:val="22"/>
          <w:szCs w:val="22"/>
          <w:lang w:val="en-GB"/>
        </w:rPr>
        <w:t>at the time it did so there were reasonable grounds for believing that the</w:t>
      </w:r>
      <w:r>
        <w:rPr>
          <w:rFonts w:ascii="Arial" w:hAnsi="Arial" w:cs="Arial"/>
          <w:color w:val="7B7B7B" w:themeColor="accent3" w:themeShade="BF"/>
          <w:sz w:val="22"/>
          <w:szCs w:val="22"/>
          <w:lang w:val="en-GB"/>
        </w:rPr>
        <w:t xml:space="preserve"> transaction would benefit the C</w:t>
      </w:r>
      <w:r w:rsidRPr="009C1CEF">
        <w:rPr>
          <w:rFonts w:ascii="Arial" w:hAnsi="Arial" w:cs="Arial"/>
          <w:color w:val="7B7B7B" w:themeColor="accent3" w:themeShade="BF"/>
          <w:sz w:val="22"/>
          <w:szCs w:val="22"/>
          <w:lang w:val="en-GB"/>
        </w:rPr>
        <w:t>ompany.</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0266AABE" w14:textId="77777777" w:rsidR="00681BEF" w:rsidRDefault="00681BEF" w:rsidP="00681B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a situation of wrongful trading where the directors of the Company ought to have known that the liquidation of the Company was inevitable and accordingly have taken every step necessary to minimise the potential loss to the Company's creditors.  In terms of </w:t>
      </w:r>
      <w:r w:rsidRPr="00E962E1">
        <w:rPr>
          <w:rFonts w:ascii="Arial" w:hAnsi="Arial" w:cs="Arial"/>
          <w:color w:val="7B7B7B" w:themeColor="accent3" w:themeShade="BF"/>
          <w:sz w:val="22"/>
          <w:szCs w:val="22"/>
          <w:lang w:val="en-GB"/>
        </w:rPr>
        <w:t>section 214 and section 246ZB of the Insolvency Act 1986</w:t>
      </w:r>
      <w:r>
        <w:rPr>
          <w:rFonts w:ascii="Arial" w:hAnsi="Arial" w:cs="Arial"/>
          <w:color w:val="7B7B7B" w:themeColor="accent3" w:themeShade="BF"/>
          <w:sz w:val="22"/>
          <w:szCs w:val="22"/>
          <w:lang w:val="en-GB"/>
        </w:rPr>
        <w:t xml:space="preserve"> (the "Act"), wrongful trading is a statutory offence and if a director is found to be guilty of this offence, may be liable for some of the debts of the company</w:t>
      </w:r>
      <w:r w:rsidRPr="00E962E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soon as a</w:t>
      </w:r>
      <w:r w:rsidRPr="00E962E1">
        <w:rPr>
          <w:rFonts w:ascii="Arial" w:hAnsi="Arial" w:cs="Arial"/>
          <w:color w:val="7B7B7B" w:themeColor="accent3" w:themeShade="BF"/>
          <w:sz w:val="22"/>
          <w:szCs w:val="22"/>
          <w:lang w:val="en-GB"/>
        </w:rPr>
        <w:t xml:space="preserve"> director a company </w:t>
      </w:r>
      <w:r>
        <w:rPr>
          <w:rFonts w:ascii="Arial" w:hAnsi="Arial" w:cs="Arial"/>
          <w:color w:val="7B7B7B" w:themeColor="accent3" w:themeShade="BF"/>
          <w:sz w:val="22"/>
          <w:szCs w:val="22"/>
          <w:lang w:val="en-GB"/>
        </w:rPr>
        <w:t>knows</w:t>
      </w:r>
      <w:r w:rsidRPr="00E962E1">
        <w:rPr>
          <w:rFonts w:ascii="Arial" w:hAnsi="Arial" w:cs="Arial"/>
          <w:color w:val="7B7B7B" w:themeColor="accent3" w:themeShade="BF"/>
          <w:sz w:val="22"/>
          <w:szCs w:val="22"/>
          <w:lang w:val="en-GB"/>
        </w:rPr>
        <w:t xml:space="preserve"> (or </w:t>
      </w:r>
      <w:r>
        <w:rPr>
          <w:rFonts w:ascii="Arial" w:hAnsi="Arial" w:cs="Arial"/>
          <w:color w:val="7B7B7B" w:themeColor="accent3" w:themeShade="BF"/>
          <w:sz w:val="22"/>
          <w:szCs w:val="22"/>
          <w:lang w:val="en-GB"/>
        </w:rPr>
        <w:t>out to know</w:t>
      </w:r>
      <w:r w:rsidRPr="00E962E1">
        <w:rPr>
          <w:rFonts w:ascii="Arial" w:hAnsi="Arial" w:cs="Arial"/>
          <w:color w:val="7B7B7B" w:themeColor="accent3" w:themeShade="BF"/>
          <w:sz w:val="22"/>
          <w:szCs w:val="22"/>
          <w:lang w:val="en-GB"/>
        </w:rPr>
        <w:t>) that there is no reasonable prospect of the company avoidi</w:t>
      </w:r>
      <w:r>
        <w:rPr>
          <w:rFonts w:ascii="Arial" w:hAnsi="Arial" w:cs="Arial"/>
          <w:color w:val="7B7B7B" w:themeColor="accent3" w:themeShade="BF"/>
          <w:sz w:val="22"/>
          <w:szCs w:val="22"/>
          <w:lang w:val="en-GB"/>
        </w:rPr>
        <w:t>ng an insolvent liquidation (or</w:t>
      </w:r>
      <w:r w:rsidRPr="00E962E1">
        <w:rPr>
          <w:rFonts w:ascii="Arial" w:hAnsi="Arial" w:cs="Arial"/>
          <w:color w:val="7B7B7B" w:themeColor="accent3" w:themeShade="BF"/>
          <w:sz w:val="22"/>
          <w:szCs w:val="22"/>
          <w:lang w:val="en-GB"/>
        </w:rPr>
        <w:t xml:space="preserve"> insolvent administration</w:t>
      </w:r>
      <w:r>
        <w:rPr>
          <w:rFonts w:ascii="Arial" w:hAnsi="Arial" w:cs="Arial"/>
          <w:color w:val="7B7B7B" w:themeColor="accent3" w:themeShade="BF"/>
          <w:sz w:val="22"/>
          <w:szCs w:val="22"/>
          <w:lang w:val="en-GB"/>
        </w:rPr>
        <w:t xml:space="preserve">, </w:t>
      </w:r>
      <w:r w:rsidRPr="005618F8">
        <w:rPr>
          <w:rFonts w:ascii="Arial" w:hAnsi="Arial" w:cs="Arial"/>
          <w:color w:val="7B7B7B" w:themeColor="accent3" w:themeShade="BF"/>
          <w:sz w:val="22"/>
          <w:szCs w:val="22"/>
          <w:lang w:val="en-GB"/>
        </w:rPr>
        <w:t>in relation to business conducted on or after 1 October 2015</w:t>
      </w:r>
      <w:r>
        <w:rPr>
          <w:rFonts w:ascii="Arial" w:hAnsi="Arial" w:cs="Arial"/>
          <w:color w:val="7B7B7B" w:themeColor="accent3" w:themeShade="BF"/>
          <w:sz w:val="22"/>
          <w:szCs w:val="22"/>
          <w:lang w:val="en-GB"/>
        </w:rPr>
        <w:t>)</w:t>
      </w:r>
      <w:r w:rsidRPr="00E962E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director has </w:t>
      </w:r>
      <w:r w:rsidRPr="00E962E1">
        <w:rPr>
          <w:rFonts w:ascii="Arial" w:hAnsi="Arial" w:cs="Arial"/>
          <w:color w:val="7B7B7B" w:themeColor="accent3" w:themeShade="BF"/>
          <w:sz w:val="22"/>
          <w:szCs w:val="22"/>
          <w:lang w:val="en-GB"/>
        </w:rPr>
        <w:t>a duty to take every step which a reasonably diligent person would take to minimise</w:t>
      </w:r>
      <w:r>
        <w:rPr>
          <w:rFonts w:ascii="Arial" w:hAnsi="Arial" w:cs="Arial"/>
          <w:color w:val="7B7B7B" w:themeColor="accent3" w:themeShade="BF"/>
          <w:sz w:val="22"/>
          <w:szCs w:val="22"/>
          <w:lang w:val="en-GB"/>
        </w:rPr>
        <w:t xml:space="preserve"> any</w:t>
      </w:r>
      <w:r w:rsidRPr="00E962E1">
        <w:rPr>
          <w:rFonts w:ascii="Arial" w:hAnsi="Arial" w:cs="Arial"/>
          <w:color w:val="7B7B7B" w:themeColor="accent3" w:themeShade="BF"/>
          <w:sz w:val="22"/>
          <w:szCs w:val="22"/>
          <w:lang w:val="en-GB"/>
        </w:rPr>
        <w:t xml:space="preserve"> potential loss to the company’s creditors. </w:t>
      </w:r>
      <w:r>
        <w:rPr>
          <w:rFonts w:ascii="Arial" w:hAnsi="Arial" w:cs="Arial"/>
          <w:color w:val="7B7B7B" w:themeColor="accent3" w:themeShade="BF"/>
          <w:sz w:val="22"/>
          <w:szCs w:val="22"/>
          <w:lang w:val="en-GB"/>
        </w:rPr>
        <w:t xml:space="preserve">If its appears to the court that after the company has gone into insolvent liquidation </w:t>
      </w:r>
      <w:r w:rsidRPr="00E962E1">
        <w:rPr>
          <w:rFonts w:ascii="Arial" w:hAnsi="Arial" w:cs="Arial"/>
          <w:color w:val="7B7B7B" w:themeColor="accent3" w:themeShade="BF"/>
          <w:sz w:val="22"/>
          <w:szCs w:val="22"/>
          <w:lang w:val="en-GB"/>
        </w:rPr>
        <w:t xml:space="preserve">that a director has failed to comply with this duty, </w:t>
      </w:r>
      <w:r>
        <w:rPr>
          <w:rFonts w:ascii="Arial" w:hAnsi="Arial" w:cs="Arial"/>
          <w:color w:val="7B7B7B" w:themeColor="accent3" w:themeShade="BF"/>
          <w:sz w:val="22"/>
          <w:szCs w:val="22"/>
          <w:lang w:val="en-GB"/>
        </w:rPr>
        <w:t>the director may be ordered by the court to</w:t>
      </w:r>
      <w:r w:rsidRPr="00E962E1">
        <w:rPr>
          <w:rFonts w:ascii="Arial" w:hAnsi="Arial" w:cs="Arial"/>
          <w:color w:val="7B7B7B" w:themeColor="accent3" w:themeShade="BF"/>
          <w:sz w:val="22"/>
          <w:szCs w:val="22"/>
          <w:lang w:val="en-GB"/>
        </w:rPr>
        <w:t xml:space="preserve"> make such contribution to the company’s assets as </w:t>
      </w:r>
      <w:r>
        <w:rPr>
          <w:rFonts w:ascii="Arial" w:hAnsi="Arial" w:cs="Arial"/>
          <w:color w:val="7B7B7B" w:themeColor="accent3" w:themeShade="BF"/>
          <w:sz w:val="22"/>
          <w:szCs w:val="22"/>
          <w:lang w:val="en-GB"/>
        </w:rPr>
        <w:t>the court deems</w:t>
      </w:r>
      <w:r w:rsidRPr="00E962E1">
        <w:rPr>
          <w:rFonts w:ascii="Arial" w:hAnsi="Arial" w:cs="Arial"/>
          <w:color w:val="7B7B7B" w:themeColor="accent3" w:themeShade="BF"/>
          <w:sz w:val="22"/>
          <w:szCs w:val="22"/>
          <w:lang w:val="en-GB"/>
        </w:rPr>
        <w:t xml:space="preserve"> proper.</w:t>
      </w:r>
    </w:p>
    <w:p w14:paraId="37B0F192" w14:textId="77777777" w:rsidR="00681BEF" w:rsidRDefault="00681BEF" w:rsidP="00681BEF">
      <w:pPr>
        <w:jc w:val="both"/>
        <w:rPr>
          <w:rFonts w:ascii="Arial" w:hAnsi="Arial" w:cs="Arial"/>
          <w:color w:val="7B7B7B" w:themeColor="accent3" w:themeShade="BF"/>
          <w:sz w:val="22"/>
          <w:szCs w:val="22"/>
          <w:lang w:val="en-GB"/>
        </w:rPr>
      </w:pPr>
    </w:p>
    <w:p w14:paraId="1A3050E0" w14:textId="77777777" w:rsidR="00681BEF" w:rsidRDefault="00681BEF" w:rsidP="00681B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set of facts the directors of the Company, the directors were aware that insolvent liquidation was inevitable as the creditor's had already petitioned the court for the Company compulsory winding up at the time when the directors negotiated and approved a change in the terms of supply with Beans and Leaves Ltd. The new terms of supply, being to pay off the arrear debts owed to the Supplier and to pay upfront before each new supply of coffee beans, directly increased the liabilities of the Company by continuing to trade with Supplier.</w:t>
      </w:r>
      <w:r w:rsidRPr="00000FEF">
        <w:rPr>
          <w:rFonts w:ascii="Arial" w:hAnsi="Arial" w:cs="Arial"/>
          <w:color w:val="7B7B7B" w:themeColor="accent3" w:themeShade="BF"/>
          <w:sz w:val="22"/>
          <w:szCs w:val="22"/>
          <w:lang w:val="en-GB"/>
        </w:rPr>
        <w:t xml:space="preserve"> These payments can also be seem as being in detriment to the other creditors in the Company who would have a preference on liquidation</w:t>
      </w:r>
      <w:r>
        <w:rPr>
          <w:rFonts w:ascii="Arial" w:hAnsi="Arial" w:cs="Arial"/>
          <w:color w:val="7B7B7B" w:themeColor="accent3" w:themeShade="BF"/>
          <w:sz w:val="22"/>
          <w:szCs w:val="22"/>
          <w:lang w:val="en-GB"/>
        </w:rPr>
        <w:t xml:space="preserve">. Accordingly the liquidator can apply to court with a claim for wrongful trading against the directors of the Company and should the court find the directors of the Company to have engaged in wrongful trading, may order that the directors compensate the Company in an amount usually in line with the increase of liabilities at the time. The statutory defence that the directors once they knew or out to know </w:t>
      </w:r>
      <w:r>
        <w:rPr>
          <w:rFonts w:ascii="Arial" w:hAnsi="Arial" w:cs="Arial"/>
          <w:color w:val="7B7B7B" w:themeColor="accent3" w:themeShade="BF"/>
          <w:sz w:val="22"/>
          <w:szCs w:val="22"/>
          <w:lang w:val="en-GB"/>
        </w:rPr>
        <w:lastRenderedPageBreak/>
        <w:t>that the insolvent winding up of the Company was inevitable, took every reasonable step to mitigate the potential loss to the Company's creditors is clearly not available to the directors in this matter. The directors in fact aggravated the loss suffered by the company.</w:t>
      </w:r>
    </w:p>
    <w:p w14:paraId="3944217E" w14:textId="50EB6BFC" w:rsidR="008769B2" w:rsidRPr="00FF5098" w:rsidRDefault="008769B2"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4C458A"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81BEF">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08548FD4" w:rsidR="00241FA3" w:rsidRPr="009B4976" w:rsidRDefault="005A0F08" w:rsidP="009B4976">
    <w:pPr>
      <w:pStyle w:val="Footer"/>
      <w:ind w:right="360"/>
      <w:rPr>
        <w:rFonts w:ascii="Arial" w:hAnsi="Arial" w:cs="Arial"/>
        <w:sz w:val="18"/>
        <w:szCs w:val="18"/>
        <w:lang w:val="en-GB"/>
      </w:rPr>
    </w:pPr>
    <w:r>
      <w:rPr>
        <w:rFonts w:ascii="Arial" w:hAnsi="Arial" w:cs="Arial"/>
        <w:sz w:val="18"/>
        <w:szCs w:val="18"/>
        <w:lang w:val="en-GB"/>
      </w:rPr>
      <w:t>202122-576</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061B8F1E" w14:textId="190AD451" w:rsidR="000E1C46" w:rsidRPr="000E1C46" w:rsidRDefault="000E1C46">
      <w:pPr>
        <w:pStyle w:val="FootnoteText"/>
        <w:rPr>
          <w:lang w:val="en-GB"/>
        </w:rPr>
      </w:pPr>
      <w:r>
        <w:rPr>
          <w:rStyle w:val="FootnoteReference"/>
        </w:rPr>
        <w:footnoteRef/>
      </w:r>
      <w:r>
        <w:t xml:space="preserve"> </w:t>
      </w:r>
      <w:r w:rsidRPr="000E1C46">
        <w:rPr>
          <w:bCs/>
          <w:i/>
          <w:lang w:val="en-GB"/>
        </w:rPr>
        <w:t>Re Totalbrand Ltd Cage Consultants Ltd v Iqbal and another</w:t>
      </w:r>
      <w:r w:rsidRPr="000E1C46">
        <w:rPr>
          <w:bCs/>
          <w:lang w:val="en-GB"/>
        </w:rPr>
        <w:t xml:space="preserve"> </w:t>
      </w:r>
      <w:r w:rsidRPr="000E1C46">
        <w:rPr>
          <w:bCs/>
        </w:rPr>
        <w:t>[2020] EWHC 2917 (Ch).</w:t>
      </w:r>
    </w:p>
  </w:footnote>
  <w:footnote w:id="2">
    <w:p w14:paraId="59AF3AF3" w14:textId="7DD8FF8A" w:rsidR="000E1C46" w:rsidRPr="000E1C46" w:rsidRDefault="000E1C46">
      <w:pPr>
        <w:pStyle w:val="FootnoteText"/>
        <w:rPr>
          <w:lang w:val="en-GB"/>
        </w:rPr>
      </w:pPr>
      <w:r>
        <w:rPr>
          <w:rStyle w:val="FootnoteReference"/>
        </w:rPr>
        <w:footnoteRef/>
      </w:r>
      <w:r>
        <w:t xml:space="preserve"> </w:t>
      </w:r>
      <w:r>
        <w:rPr>
          <w:lang w:val="en-GB"/>
        </w:rPr>
        <w:t xml:space="preserve">Rule 15.3 of the </w:t>
      </w:r>
      <w:r w:rsidRPr="000E1C46">
        <w:rPr>
          <w:lang w:val="en-GB"/>
        </w:rPr>
        <w:t>Insolvency (England and Wales) Rules 2016</w:t>
      </w:r>
      <w:r>
        <w:rPr>
          <w:lang w:val="en-GB"/>
        </w:rPr>
        <w:t>.</w:t>
      </w:r>
    </w:p>
  </w:footnote>
  <w:footnote w:id="3">
    <w:p w14:paraId="1BE4642B" w14:textId="4AE7F3DA" w:rsidR="00B20AEB" w:rsidRPr="00B20AEB" w:rsidRDefault="00B20AEB">
      <w:pPr>
        <w:pStyle w:val="FootnoteText"/>
        <w:rPr>
          <w:lang w:val="en-GB"/>
        </w:rPr>
      </w:pPr>
      <w:r>
        <w:rPr>
          <w:rStyle w:val="FootnoteReference"/>
        </w:rPr>
        <w:footnoteRef/>
      </w:r>
      <w:r>
        <w:t xml:space="preserve"> </w:t>
      </w:r>
      <w:r>
        <w:rPr>
          <w:lang w:val="en-GB"/>
        </w:rPr>
        <w:t xml:space="preserve">Section </w:t>
      </w:r>
      <w:r w:rsidRPr="00B20AEB">
        <w:t>233B(</w:t>
      </w:r>
      <w:r>
        <w:t>4</w:t>
      </w:r>
      <w:r w:rsidRPr="00B20AEB">
        <w:t>)</w:t>
      </w:r>
    </w:p>
  </w:footnote>
  <w:footnote w:id="4">
    <w:p w14:paraId="6B65A07D" w14:textId="4B0D5D2C" w:rsidR="00436EFE" w:rsidRPr="00436EFE" w:rsidRDefault="00436EFE">
      <w:pPr>
        <w:pStyle w:val="FootnoteText"/>
        <w:rPr>
          <w:lang w:val="en-GB"/>
        </w:rPr>
      </w:pPr>
      <w:r>
        <w:rPr>
          <w:rStyle w:val="FootnoteReference"/>
        </w:rPr>
        <w:footnoteRef/>
      </w:r>
      <w:r>
        <w:t xml:space="preserve"> </w:t>
      </w:r>
      <w:r>
        <w:rPr>
          <w:lang w:val="en-GB"/>
        </w:rPr>
        <w:t xml:space="preserve">Section </w:t>
      </w:r>
      <w:r w:rsidRPr="00B20AEB">
        <w:t>233B(</w:t>
      </w:r>
      <w:r>
        <w:t>5</w:t>
      </w:r>
      <w:r w:rsidRPr="00B20AEB">
        <w:t>)</w:t>
      </w:r>
    </w:p>
  </w:footnote>
  <w:footnote w:id="5">
    <w:p w14:paraId="738B1B39" w14:textId="21F98CFC" w:rsidR="008748E0" w:rsidRPr="008748E0" w:rsidRDefault="008748E0">
      <w:pPr>
        <w:pStyle w:val="FootnoteText"/>
        <w:rPr>
          <w:lang w:val="en-GB"/>
        </w:rPr>
      </w:pPr>
      <w:r>
        <w:rPr>
          <w:rStyle w:val="FootnoteReference"/>
        </w:rPr>
        <w:footnoteRef/>
      </w:r>
      <w:r>
        <w:t xml:space="preserve"> </w:t>
      </w:r>
      <w:hyperlink r:id="rId1" w:history="1">
        <w:r w:rsidRPr="00B26BF9">
          <w:rPr>
            <w:rStyle w:val="Hyperlink"/>
          </w:rPr>
          <w:t>https://www.lexology.com/library/detail.aspx?g=750dd93b-effa-416f-967d-79bb7b7d9490</w:t>
        </w:r>
      </w:hyperlink>
      <w:r>
        <w:t xml:space="preserve"> "Insolvent customer? Supplier beware!" D Steinberg and L Trott, Stevens &amp; Bolton LLP dated 3 July 2020, accessed 25 February 2022.</w:t>
      </w:r>
    </w:p>
  </w:footnote>
  <w:footnote w:id="6">
    <w:p w14:paraId="6CE01A82" w14:textId="38707A45" w:rsidR="000342D9" w:rsidRPr="000342D9" w:rsidRDefault="000342D9">
      <w:pPr>
        <w:pStyle w:val="FootnoteText"/>
        <w:rPr>
          <w:lang w:val="en-GB"/>
        </w:rPr>
      </w:pPr>
      <w:r>
        <w:rPr>
          <w:rStyle w:val="FootnoteReference"/>
        </w:rPr>
        <w:footnoteRef/>
      </w:r>
      <w:r>
        <w:t xml:space="preserve"> </w:t>
      </w:r>
      <w:hyperlink r:id="rId2" w:history="1">
        <w:r w:rsidRPr="00581180">
          <w:rPr>
            <w:rStyle w:val="Hyperlink"/>
          </w:rPr>
          <w:t>https://www.cms-lawnow.com/ealerts/2015/03/an-insolvency-lawyers-guide-to-the-financial-services-compensation-scheme?cc_lang=en</w:t>
        </w:r>
      </w:hyperlink>
      <w:r>
        <w:t xml:space="preserve"> "</w:t>
      </w:r>
      <w:r w:rsidRPr="000342D9">
        <w:rPr>
          <w:bCs/>
          <w:lang w:val="en-GB"/>
        </w:rPr>
        <w:t>An Insolvency Lawyer’s Guide to the Financial Services Compensation Scheme</w:t>
      </w:r>
      <w:r>
        <w:rPr>
          <w:bCs/>
          <w:lang w:val="en-GB"/>
        </w:rPr>
        <w:t>"</w:t>
      </w:r>
      <w:r w:rsidRPr="000342D9">
        <w:t xml:space="preserve"> </w:t>
      </w:r>
      <w:r>
        <w:t>by R Lowe</w:t>
      </w:r>
      <w:r w:rsidR="0031034E">
        <w:t>, CMS Law</w:t>
      </w:r>
      <w:r>
        <w:t xml:space="preserve"> dated 26 March 2015, accessed 19 February 2022.</w:t>
      </w:r>
    </w:p>
  </w:footnote>
  <w:footnote w:id="7">
    <w:p w14:paraId="4FD1E8B1" w14:textId="7D131999" w:rsidR="000342D9" w:rsidRPr="000342D9" w:rsidRDefault="000342D9">
      <w:pPr>
        <w:pStyle w:val="FootnoteText"/>
        <w:rPr>
          <w:lang w:val="en-GB"/>
        </w:rPr>
      </w:pPr>
      <w:r>
        <w:rPr>
          <w:rStyle w:val="FootnoteReference"/>
        </w:rPr>
        <w:footnoteRef/>
      </w:r>
      <w:r>
        <w:t xml:space="preserve"> </w:t>
      </w:r>
      <w:hyperlink r:id="rId3" w:history="1">
        <w:r w:rsidRPr="00581180">
          <w:rPr>
            <w:rStyle w:val="Hyperlink"/>
          </w:rPr>
          <w:t>https://www.fscs.org.uk/about-us/funding/recoveries/</w:t>
        </w:r>
      </w:hyperlink>
      <w:r>
        <w:t xml:space="preserve"> </w:t>
      </w:r>
    </w:p>
  </w:footnote>
  <w:footnote w:id="8">
    <w:p w14:paraId="3C232034" w14:textId="47A247B1" w:rsidR="00D34EF5" w:rsidRPr="00D34EF5" w:rsidRDefault="00D34EF5">
      <w:pPr>
        <w:pStyle w:val="FootnoteText"/>
        <w:rPr>
          <w:lang w:val="en-GB"/>
        </w:rPr>
      </w:pPr>
      <w:r>
        <w:rPr>
          <w:rStyle w:val="FootnoteReference"/>
        </w:rPr>
        <w:footnoteRef/>
      </w:r>
      <w:r>
        <w:t xml:space="preserve"> </w:t>
      </w:r>
      <w:r>
        <w:rPr>
          <w:lang w:val="en-GB"/>
        </w:rPr>
        <w:t>Supra note 4 above.</w:t>
      </w:r>
    </w:p>
  </w:footnote>
  <w:footnote w:id="9">
    <w:p w14:paraId="6BBFE57A" w14:textId="50B3BBCB" w:rsidR="00DA41F4" w:rsidRPr="00DA41F4" w:rsidRDefault="00DA41F4">
      <w:pPr>
        <w:pStyle w:val="FootnoteText"/>
        <w:rPr>
          <w:lang w:val="en-GB"/>
        </w:rPr>
      </w:pPr>
      <w:r>
        <w:rPr>
          <w:rStyle w:val="FootnoteReference"/>
        </w:rPr>
        <w:footnoteRef/>
      </w:r>
      <w:r>
        <w:t xml:space="preserve"> </w:t>
      </w:r>
      <w:hyperlink r:id="rId4" w:history="1">
        <w:r w:rsidRPr="00581180">
          <w:rPr>
            <w:rStyle w:val="Hyperlink"/>
          </w:rPr>
          <w:t>https://www.begbies-traynorgroup.com/articles/insolvency/who-gets-paid-first-when-a-company-goes-into-liquidation</w:t>
        </w:r>
      </w:hyperlink>
      <w:r>
        <w:t xml:space="preserve"> "</w:t>
      </w:r>
      <w:r w:rsidRPr="00DA41F4">
        <w:rPr>
          <w:lang w:val="en-GB"/>
        </w:rPr>
        <w:t>Order of payment priority for creditors during company liquidation</w:t>
      </w:r>
      <w:r>
        <w:rPr>
          <w:lang w:val="en-GB"/>
        </w:rPr>
        <w:t xml:space="preserve">" </w:t>
      </w:r>
      <w:r>
        <w:t>by Jonathan Munnery, Begbies Traynor Group dated 24 January 2021 accessed on 19 February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44DF8"/>
    <w:multiLevelType w:val="hybridMultilevel"/>
    <w:tmpl w:val="5D04F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F07B7"/>
    <w:multiLevelType w:val="hybridMultilevel"/>
    <w:tmpl w:val="5C64C93A"/>
    <w:lvl w:ilvl="0" w:tplc="FFCAABC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413F5"/>
    <w:multiLevelType w:val="hybridMultilevel"/>
    <w:tmpl w:val="9D6262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E240066"/>
    <w:multiLevelType w:val="hybridMultilevel"/>
    <w:tmpl w:val="11100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4470C"/>
    <w:multiLevelType w:val="hybridMultilevel"/>
    <w:tmpl w:val="CF54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46369EB"/>
    <w:multiLevelType w:val="hybridMultilevel"/>
    <w:tmpl w:val="FEF24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80B0A"/>
    <w:multiLevelType w:val="multilevel"/>
    <w:tmpl w:val="EEFCCE0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11"/>
  </w:num>
  <w:num w:numId="5">
    <w:abstractNumId w:val="14"/>
  </w:num>
  <w:num w:numId="6">
    <w:abstractNumId w:val="2"/>
  </w:num>
  <w:num w:numId="7">
    <w:abstractNumId w:val="15"/>
  </w:num>
  <w:num w:numId="8">
    <w:abstractNumId w:val="21"/>
  </w:num>
  <w:num w:numId="9">
    <w:abstractNumId w:val="12"/>
  </w:num>
  <w:num w:numId="10">
    <w:abstractNumId w:val="22"/>
  </w:num>
  <w:num w:numId="11">
    <w:abstractNumId w:val="7"/>
  </w:num>
  <w:num w:numId="12">
    <w:abstractNumId w:val="19"/>
  </w:num>
  <w:num w:numId="13">
    <w:abstractNumId w:val="13"/>
  </w:num>
  <w:num w:numId="14">
    <w:abstractNumId w:val="4"/>
  </w:num>
  <w:num w:numId="15">
    <w:abstractNumId w:val="17"/>
  </w:num>
  <w:num w:numId="16">
    <w:abstractNumId w:val="20"/>
  </w:num>
  <w:num w:numId="17">
    <w:abstractNumId w:val="10"/>
  </w:num>
  <w:num w:numId="18">
    <w:abstractNumId w:val="6"/>
  </w:num>
  <w:num w:numId="19">
    <w:abstractNumId w:val="18"/>
  </w:num>
  <w:num w:numId="20">
    <w:abstractNumId w:val="23"/>
  </w:num>
  <w:num w:numId="21">
    <w:abstractNumId w:val="5"/>
  </w:num>
  <w:num w:numId="22">
    <w:abstractNumId w:val="9"/>
  </w:num>
  <w:num w:numId="23">
    <w:abstractNumId w:val="16"/>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42D9"/>
    <w:rsid w:val="00037621"/>
    <w:rsid w:val="00044D46"/>
    <w:rsid w:val="00045088"/>
    <w:rsid w:val="00045904"/>
    <w:rsid w:val="000502FD"/>
    <w:rsid w:val="00065166"/>
    <w:rsid w:val="000766B5"/>
    <w:rsid w:val="00082609"/>
    <w:rsid w:val="000851CC"/>
    <w:rsid w:val="00087F21"/>
    <w:rsid w:val="00091456"/>
    <w:rsid w:val="00093BE8"/>
    <w:rsid w:val="000A407B"/>
    <w:rsid w:val="000A68ED"/>
    <w:rsid w:val="000B2D2A"/>
    <w:rsid w:val="000B5FF1"/>
    <w:rsid w:val="000B609F"/>
    <w:rsid w:val="000D10C6"/>
    <w:rsid w:val="000D55A8"/>
    <w:rsid w:val="000E1C46"/>
    <w:rsid w:val="000E4841"/>
    <w:rsid w:val="000F1677"/>
    <w:rsid w:val="000F3D6C"/>
    <w:rsid w:val="00101707"/>
    <w:rsid w:val="00102CC9"/>
    <w:rsid w:val="0010593A"/>
    <w:rsid w:val="0011244C"/>
    <w:rsid w:val="0011473D"/>
    <w:rsid w:val="00115C85"/>
    <w:rsid w:val="0012223C"/>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86773"/>
    <w:rsid w:val="001966D9"/>
    <w:rsid w:val="001A007A"/>
    <w:rsid w:val="001A7E9A"/>
    <w:rsid w:val="001B0F70"/>
    <w:rsid w:val="001B2382"/>
    <w:rsid w:val="001B5016"/>
    <w:rsid w:val="001C45FC"/>
    <w:rsid w:val="001D0469"/>
    <w:rsid w:val="001D29C0"/>
    <w:rsid w:val="001D4862"/>
    <w:rsid w:val="001E25B9"/>
    <w:rsid w:val="001E41E7"/>
    <w:rsid w:val="001E49E0"/>
    <w:rsid w:val="001E7B5A"/>
    <w:rsid w:val="001F7412"/>
    <w:rsid w:val="0020090A"/>
    <w:rsid w:val="0020204E"/>
    <w:rsid w:val="00202D40"/>
    <w:rsid w:val="00202DFE"/>
    <w:rsid w:val="0020725B"/>
    <w:rsid w:val="002110F1"/>
    <w:rsid w:val="00226EAD"/>
    <w:rsid w:val="002356EA"/>
    <w:rsid w:val="0024116D"/>
    <w:rsid w:val="00241B44"/>
    <w:rsid w:val="00241FA3"/>
    <w:rsid w:val="00245EFB"/>
    <w:rsid w:val="0025386E"/>
    <w:rsid w:val="002638B0"/>
    <w:rsid w:val="002649F8"/>
    <w:rsid w:val="0026647A"/>
    <w:rsid w:val="002668D3"/>
    <w:rsid w:val="002710DF"/>
    <w:rsid w:val="0027299F"/>
    <w:rsid w:val="00284EBE"/>
    <w:rsid w:val="002903A7"/>
    <w:rsid w:val="0029433F"/>
    <w:rsid w:val="00294829"/>
    <w:rsid w:val="0029690F"/>
    <w:rsid w:val="00297C8A"/>
    <w:rsid w:val="002A2A60"/>
    <w:rsid w:val="002A37BB"/>
    <w:rsid w:val="002A571D"/>
    <w:rsid w:val="002B0F22"/>
    <w:rsid w:val="002B1C45"/>
    <w:rsid w:val="002C13C8"/>
    <w:rsid w:val="002C3547"/>
    <w:rsid w:val="002C46CB"/>
    <w:rsid w:val="002D0021"/>
    <w:rsid w:val="002D299D"/>
    <w:rsid w:val="002D3473"/>
    <w:rsid w:val="002F1956"/>
    <w:rsid w:val="002F3440"/>
    <w:rsid w:val="002F75A3"/>
    <w:rsid w:val="002F77D6"/>
    <w:rsid w:val="00303C2F"/>
    <w:rsid w:val="0031034E"/>
    <w:rsid w:val="00311816"/>
    <w:rsid w:val="003144EF"/>
    <w:rsid w:val="00314F32"/>
    <w:rsid w:val="00326292"/>
    <w:rsid w:val="00326415"/>
    <w:rsid w:val="00326EB4"/>
    <w:rsid w:val="00330937"/>
    <w:rsid w:val="00330F31"/>
    <w:rsid w:val="00334648"/>
    <w:rsid w:val="0033768C"/>
    <w:rsid w:val="00337938"/>
    <w:rsid w:val="00340769"/>
    <w:rsid w:val="00341AA6"/>
    <w:rsid w:val="003479C0"/>
    <w:rsid w:val="00361A0A"/>
    <w:rsid w:val="00364836"/>
    <w:rsid w:val="0036565C"/>
    <w:rsid w:val="0036625E"/>
    <w:rsid w:val="0037465A"/>
    <w:rsid w:val="003770EA"/>
    <w:rsid w:val="00382C98"/>
    <w:rsid w:val="0038533C"/>
    <w:rsid w:val="00386568"/>
    <w:rsid w:val="00390B57"/>
    <w:rsid w:val="003948D5"/>
    <w:rsid w:val="00396108"/>
    <w:rsid w:val="00396821"/>
    <w:rsid w:val="00397D3A"/>
    <w:rsid w:val="003A051E"/>
    <w:rsid w:val="003A4482"/>
    <w:rsid w:val="003A5528"/>
    <w:rsid w:val="003B170F"/>
    <w:rsid w:val="003B3C5F"/>
    <w:rsid w:val="003B3D33"/>
    <w:rsid w:val="003C4471"/>
    <w:rsid w:val="003D0A6D"/>
    <w:rsid w:val="003E0B16"/>
    <w:rsid w:val="003E67D1"/>
    <w:rsid w:val="00404329"/>
    <w:rsid w:val="00405DC1"/>
    <w:rsid w:val="00406A8B"/>
    <w:rsid w:val="00415F1F"/>
    <w:rsid w:val="0042108F"/>
    <w:rsid w:val="00430FED"/>
    <w:rsid w:val="00434A8C"/>
    <w:rsid w:val="00435114"/>
    <w:rsid w:val="00436EFE"/>
    <w:rsid w:val="00437297"/>
    <w:rsid w:val="00444284"/>
    <w:rsid w:val="00445CE6"/>
    <w:rsid w:val="004534C2"/>
    <w:rsid w:val="0045409F"/>
    <w:rsid w:val="0045446F"/>
    <w:rsid w:val="0045683E"/>
    <w:rsid w:val="0046009F"/>
    <w:rsid w:val="0046032F"/>
    <w:rsid w:val="004607A4"/>
    <w:rsid w:val="00461F95"/>
    <w:rsid w:val="00474C2B"/>
    <w:rsid w:val="00477C72"/>
    <w:rsid w:val="00491675"/>
    <w:rsid w:val="00491A03"/>
    <w:rsid w:val="00493855"/>
    <w:rsid w:val="00495E79"/>
    <w:rsid w:val="004A2D83"/>
    <w:rsid w:val="004A57DD"/>
    <w:rsid w:val="004A7B51"/>
    <w:rsid w:val="004A7D71"/>
    <w:rsid w:val="004A7EF3"/>
    <w:rsid w:val="004B11FD"/>
    <w:rsid w:val="004B23A2"/>
    <w:rsid w:val="004D1A5A"/>
    <w:rsid w:val="004D2FFF"/>
    <w:rsid w:val="004D3721"/>
    <w:rsid w:val="004D64F9"/>
    <w:rsid w:val="004D6809"/>
    <w:rsid w:val="004E31DF"/>
    <w:rsid w:val="004E3A6B"/>
    <w:rsid w:val="004E622C"/>
    <w:rsid w:val="004F5FDF"/>
    <w:rsid w:val="005177FE"/>
    <w:rsid w:val="0052263B"/>
    <w:rsid w:val="00524728"/>
    <w:rsid w:val="005331CA"/>
    <w:rsid w:val="005346C0"/>
    <w:rsid w:val="00537970"/>
    <w:rsid w:val="00540793"/>
    <w:rsid w:val="00540E3A"/>
    <w:rsid w:val="00544127"/>
    <w:rsid w:val="005463A9"/>
    <w:rsid w:val="00553EB2"/>
    <w:rsid w:val="00560534"/>
    <w:rsid w:val="0056391B"/>
    <w:rsid w:val="005650E2"/>
    <w:rsid w:val="0056610A"/>
    <w:rsid w:val="00567AD7"/>
    <w:rsid w:val="00575B2D"/>
    <w:rsid w:val="005833D0"/>
    <w:rsid w:val="005846F3"/>
    <w:rsid w:val="0058622F"/>
    <w:rsid w:val="00592F82"/>
    <w:rsid w:val="00594C6A"/>
    <w:rsid w:val="005A0CCA"/>
    <w:rsid w:val="005A0F08"/>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049F1"/>
    <w:rsid w:val="00610388"/>
    <w:rsid w:val="00610AC7"/>
    <w:rsid w:val="00612CA5"/>
    <w:rsid w:val="006153EC"/>
    <w:rsid w:val="00621A17"/>
    <w:rsid w:val="00623453"/>
    <w:rsid w:val="00626AD7"/>
    <w:rsid w:val="00627CC9"/>
    <w:rsid w:val="00627E7B"/>
    <w:rsid w:val="00630542"/>
    <w:rsid w:val="00632E44"/>
    <w:rsid w:val="00634622"/>
    <w:rsid w:val="00636808"/>
    <w:rsid w:val="00641515"/>
    <w:rsid w:val="00654C2F"/>
    <w:rsid w:val="00657087"/>
    <w:rsid w:val="006624AB"/>
    <w:rsid w:val="006639DB"/>
    <w:rsid w:val="006661EF"/>
    <w:rsid w:val="00672C74"/>
    <w:rsid w:val="00677AEB"/>
    <w:rsid w:val="00680EF2"/>
    <w:rsid w:val="00681BEF"/>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7549A"/>
    <w:rsid w:val="00775AB3"/>
    <w:rsid w:val="007766C4"/>
    <w:rsid w:val="007809BC"/>
    <w:rsid w:val="00784128"/>
    <w:rsid w:val="00786DAF"/>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413A"/>
    <w:rsid w:val="0082483F"/>
    <w:rsid w:val="008279C0"/>
    <w:rsid w:val="00833B91"/>
    <w:rsid w:val="00850C18"/>
    <w:rsid w:val="00867701"/>
    <w:rsid w:val="008723F3"/>
    <w:rsid w:val="008748E0"/>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E3863"/>
    <w:rsid w:val="008F20FC"/>
    <w:rsid w:val="008F5FFE"/>
    <w:rsid w:val="00901434"/>
    <w:rsid w:val="00905A43"/>
    <w:rsid w:val="00912C79"/>
    <w:rsid w:val="00921B8C"/>
    <w:rsid w:val="00924DAF"/>
    <w:rsid w:val="00931D14"/>
    <w:rsid w:val="00942123"/>
    <w:rsid w:val="00951AA8"/>
    <w:rsid w:val="0095207B"/>
    <w:rsid w:val="00962045"/>
    <w:rsid w:val="00980E61"/>
    <w:rsid w:val="009841B0"/>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76A"/>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A52BD"/>
    <w:rsid w:val="00AB140B"/>
    <w:rsid w:val="00AB2425"/>
    <w:rsid w:val="00AB685C"/>
    <w:rsid w:val="00AB6C2D"/>
    <w:rsid w:val="00AC08F7"/>
    <w:rsid w:val="00AC317D"/>
    <w:rsid w:val="00AC3839"/>
    <w:rsid w:val="00AC3EC5"/>
    <w:rsid w:val="00AC5ADC"/>
    <w:rsid w:val="00AC7082"/>
    <w:rsid w:val="00AD3A62"/>
    <w:rsid w:val="00AD4BE8"/>
    <w:rsid w:val="00AE5B6F"/>
    <w:rsid w:val="00AF228E"/>
    <w:rsid w:val="00B016A8"/>
    <w:rsid w:val="00B04033"/>
    <w:rsid w:val="00B14819"/>
    <w:rsid w:val="00B15E2F"/>
    <w:rsid w:val="00B17AA9"/>
    <w:rsid w:val="00B20AEB"/>
    <w:rsid w:val="00B42324"/>
    <w:rsid w:val="00B44713"/>
    <w:rsid w:val="00B51B95"/>
    <w:rsid w:val="00B52E89"/>
    <w:rsid w:val="00B56103"/>
    <w:rsid w:val="00B633DA"/>
    <w:rsid w:val="00B64929"/>
    <w:rsid w:val="00B736DF"/>
    <w:rsid w:val="00B743D6"/>
    <w:rsid w:val="00B74FBD"/>
    <w:rsid w:val="00B77F46"/>
    <w:rsid w:val="00B82586"/>
    <w:rsid w:val="00B829A3"/>
    <w:rsid w:val="00B86DB1"/>
    <w:rsid w:val="00B87869"/>
    <w:rsid w:val="00B934D3"/>
    <w:rsid w:val="00B9639B"/>
    <w:rsid w:val="00BA1CFD"/>
    <w:rsid w:val="00BB0F2B"/>
    <w:rsid w:val="00BE1A83"/>
    <w:rsid w:val="00BE4FF3"/>
    <w:rsid w:val="00BF2C93"/>
    <w:rsid w:val="00BF50F7"/>
    <w:rsid w:val="00C02F29"/>
    <w:rsid w:val="00C17718"/>
    <w:rsid w:val="00C20AFE"/>
    <w:rsid w:val="00C22A25"/>
    <w:rsid w:val="00C305F5"/>
    <w:rsid w:val="00C32D17"/>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832"/>
    <w:rsid w:val="00CF4F9D"/>
    <w:rsid w:val="00CF70DC"/>
    <w:rsid w:val="00D148DC"/>
    <w:rsid w:val="00D17FDC"/>
    <w:rsid w:val="00D21D8C"/>
    <w:rsid w:val="00D34EF5"/>
    <w:rsid w:val="00D50C28"/>
    <w:rsid w:val="00D53719"/>
    <w:rsid w:val="00D63EFD"/>
    <w:rsid w:val="00D67987"/>
    <w:rsid w:val="00D71594"/>
    <w:rsid w:val="00D84752"/>
    <w:rsid w:val="00D86B3B"/>
    <w:rsid w:val="00D8748A"/>
    <w:rsid w:val="00D93196"/>
    <w:rsid w:val="00DA0DC0"/>
    <w:rsid w:val="00DA41F4"/>
    <w:rsid w:val="00DB243C"/>
    <w:rsid w:val="00DB482A"/>
    <w:rsid w:val="00DB50FB"/>
    <w:rsid w:val="00DB56F2"/>
    <w:rsid w:val="00DB688D"/>
    <w:rsid w:val="00DB6EF5"/>
    <w:rsid w:val="00DC3089"/>
    <w:rsid w:val="00DC4420"/>
    <w:rsid w:val="00DC4892"/>
    <w:rsid w:val="00DD0802"/>
    <w:rsid w:val="00DD2E11"/>
    <w:rsid w:val="00DE03AF"/>
    <w:rsid w:val="00DE121C"/>
    <w:rsid w:val="00DE6633"/>
    <w:rsid w:val="00DF75F8"/>
    <w:rsid w:val="00DF7A3A"/>
    <w:rsid w:val="00E00C00"/>
    <w:rsid w:val="00E032B7"/>
    <w:rsid w:val="00E07C5A"/>
    <w:rsid w:val="00E15BA9"/>
    <w:rsid w:val="00E26E19"/>
    <w:rsid w:val="00E31DF3"/>
    <w:rsid w:val="00E443D7"/>
    <w:rsid w:val="00E450A4"/>
    <w:rsid w:val="00E506BE"/>
    <w:rsid w:val="00E55547"/>
    <w:rsid w:val="00E55BEA"/>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12C9"/>
    <w:rsid w:val="00EF5572"/>
    <w:rsid w:val="00F01D7D"/>
    <w:rsid w:val="00F033DA"/>
    <w:rsid w:val="00F13691"/>
    <w:rsid w:val="00F13FB1"/>
    <w:rsid w:val="00F27CD8"/>
    <w:rsid w:val="00F30351"/>
    <w:rsid w:val="00F3323E"/>
    <w:rsid w:val="00F341F4"/>
    <w:rsid w:val="00F34F9D"/>
    <w:rsid w:val="00F35CCE"/>
    <w:rsid w:val="00F43941"/>
    <w:rsid w:val="00F5524B"/>
    <w:rsid w:val="00F60538"/>
    <w:rsid w:val="00F61DD2"/>
    <w:rsid w:val="00F62E7A"/>
    <w:rsid w:val="00F63E6C"/>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83729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3221310">
      <w:bodyDiv w:val="1"/>
      <w:marLeft w:val="0"/>
      <w:marRight w:val="0"/>
      <w:marTop w:val="0"/>
      <w:marBottom w:val="0"/>
      <w:divBdr>
        <w:top w:val="none" w:sz="0" w:space="0" w:color="auto"/>
        <w:left w:val="none" w:sz="0" w:space="0" w:color="auto"/>
        <w:bottom w:val="none" w:sz="0" w:space="0" w:color="auto"/>
        <w:right w:val="none" w:sz="0" w:space="0" w:color="auto"/>
      </w:divBdr>
      <w:divsChild>
        <w:div w:id="325979267">
          <w:marLeft w:val="0"/>
          <w:marRight w:val="0"/>
          <w:marTop w:val="0"/>
          <w:marBottom w:val="0"/>
          <w:divBdr>
            <w:top w:val="none" w:sz="0" w:space="0" w:color="auto"/>
            <w:left w:val="none" w:sz="0" w:space="0" w:color="auto"/>
            <w:bottom w:val="none" w:sz="0" w:space="0" w:color="auto"/>
            <w:right w:val="none" w:sz="0" w:space="0" w:color="auto"/>
          </w:divBdr>
          <w:divsChild>
            <w:div w:id="1999654764">
              <w:marLeft w:val="0"/>
              <w:marRight w:val="0"/>
              <w:marTop w:val="0"/>
              <w:marBottom w:val="0"/>
              <w:divBdr>
                <w:top w:val="none" w:sz="0" w:space="0" w:color="auto"/>
                <w:left w:val="none" w:sz="0" w:space="0" w:color="auto"/>
                <w:bottom w:val="none" w:sz="0" w:space="0" w:color="auto"/>
                <w:right w:val="none" w:sz="0" w:space="0" w:color="auto"/>
              </w:divBdr>
            </w:div>
          </w:divsChild>
        </w:div>
        <w:div w:id="1057706307">
          <w:marLeft w:val="0"/>
          <w:marRight w:val="0"/>
          <w:marTop w:val="0"/>
          <w:marBottom w:val="0"/>
          <w:divBdr>
            <w:top w:val="none" w:sz="0" w:space="0" w:color="auto"/>
            <w:left w:val="none" w:sz="0" w:space="0" w:color="auto"/>
            <w:bottom w:val="none" w:sz="0" w:space="0" w:color="auto"/>
            <w:right w:val="none" w:sz="0" w:space="0" w:color="auto"/>
          </w:divBdr>
          <w:divsChild>
            <w:div w:id="280259616">
              <w:marLeft w:val="0"/>
              <w:marRight w:val="0"/>
              <w:marTop w:val="0"/>
              <w:marBottom w:val="0"/>
              <w:divBdr>
                <w:top w:val="none" w:sz="0" w:space="0" w:color="auto"/>
                <w:left w:val="none" w:sz="0" w:space="0" w:color="auto"/>
                <w:bottom w:val="none" w:sz="0" w:space="0" w:color="auto"/>
                <w:right w:val="none" w:sz="0" w:space="0" w:color="auto"/>
              </w:divBdr>
            </w:div>
          </w:divsChild>
        </w:div>
        <w:div w:id="1719167056">
          <w:marLeft w:val="0"/>
          <w:marRight w:val="0"/>
          <w:marTop w:val="0"/>
          <w:marBottom w:val="0"/>
          <w:divBdr>
            <w:top w:val="none" w:sz="0" w:space="0" w:color="auto"/>
            <w:left w:val="none" w:sz="0" w:space="0" w:color="auto"/>
            <w:bottom w:val="none" w:sz="0" w:space="0" w:color="auto"/>
            <w:right w:val="none" w:sz="0" w:space="0" w:color="auto"/>
          </w:divBdr>
          <w:divsChild>
            <w:div w:id="566501014">
              <w:marLeft w:val="0"/>
              <w:marRight w:val="0"/>
              <w:marTop w:val="0"/>
              <w:marBottom w:val="0"/>
              <w:divBdr>
                <w:top w:val="none" w:sz="0" w:space="0" w:color="auto"/>
                <w:left w:val="none" w:sz="0" w:space="0" w:color="auto"/>
                <w:bottom w:val="none" w:sz="0" w:space="0" w:color="auto"/>
                <w:right w:val="none" w:sz="0" w:space="0" w:color="auto"/>
              </w:divBdr>
            </w:div>
          </w:divsChild>
        </w:div>
        <w:div w:id="1299265060">
          <w:marLeft w:val="0"/>
          <w:marRight w:val="0"/>
          <w:marTop w:val="0"/>
          <w:marBottom w:val="0"/>
          <w:divBdr>
            <w:top w:val="none" w:sz="0" w:space="0" w:color="auto"/>
            <w:left w:val="none" w:sz="0" w:space="0" w:color="auto"/>
            <w:bottom w:val="none" w:sz="0" w:space="0" w:color="auto"/>
            <w:right w:val="none" w:sz="0" w:space="0" w:color="auto"/>
          </w:divBdr>
          <w:divsChild>
            <w:div w:id="1733574142">
              <w:marLeft w:val="0"/>
              <w:marRight w:val="0"/>
              <w:marTop w:val="0"/>
              <w:marBottom w:val="0"/>
              <w:divBdr>
                <w:top w:val="none" w:sz="0" w:space="0" w:color="auto"/>
                <w:left w:val="none" w:sz="0" w:space="0" w:color="auto"/>
                <w:bottom w:val="none" w:sz="0" w:space="0" w:color="auto"/>
                <w:right w:val="none" w:sz="0" w:space="0" w:color="auto"/>
              </w:divBdr>
            </w:div>
          </w:divsChild>
        </w:div>
        <w:div w:id="1731616979">
          <w:marLeft w:val="0"/>
          <w:marRight w:val="0"/>
          <w:marTop w:val="0"/>
          <w:marBottom w:val="0"/>
          <w:divBdr>
            <w:top w:val="none" w:sz="0" w:space="0" w:color="auto"/>
            <w:left w:val="none" w:sz="0" w:space="0" w:color="auto"/>
            <w:bottom w:val="none" w:sz="0" w:space="0" w:color="auto"/>
            <w:right w:val="none" w:sz="0" w:space="0" w:color="auto"/>
          </w:divBdr>
          <w:divsChild>
            <w:div w:id="438138474">
              <w:marLeft w:val="0"/>
              <w:marRight w:val="0"/>
              <w:marTop w:val="0"/>
              <w:marBottom w:val="0"/>
              <w:divBdr>
                <w:top w:val="none" w:sz="0" w:space="0" w:color="auto"/>
                <w:left w:val="none" w:sz="0" w:space="0" w:color="auto"/>
                <w:bottom w:val="none" w:sz="0" w:space="0" w:color="auto"/>
                <w:right w:val="none" w:sz="0" w:space="0" w:color="auto"/>
              </w:divBdr>
            </w:div>
          </w:divsChild>
        </w:div>
        <w:div w:id="279648277">
          <w:marLeft w:val="0"/>
          <w:marRight w:val="0"/>
          <w:marTop w:val="0"/>
          <w:marBottom w:val="0"/>
          <w:divBdr>
            <w:top w:val="none" w:sz="0" w:space="0" w:color="auto"/>
            <w:left w:val="none" w:sz="0" w:space="0" w:color="auto"/>
            <w:bottom w:val="none" w:sz="0" w:space="0" w:color="auto"/>
            <w:right w:val="none" w:sz="0" w:space="0" w:color="auto"/>
          </w:divBdr>
          <w:divsChild>
            <w:div w:id="316958514">
              <w:marLeft w:val="0"/>
              <w:marRight w:val="0"/>
              <w:marTop w:val="0"/>
              <w:marBottom w:val="0"/>
              <w:divBdr>
                <w:top w:val="none" w:sz="0" w:space="0" w:color="auto"/>
                <w:left w:val="none" w:sz="0" w:space="0" w:color="auto"/>
                <w:bottom w:val="none" w:sz="0" w:space="0" w:color="auto"/>
                <w:right w:val="none" w:sz="0" w:space="0" w:color="auto"/>
              </w:divBdr>
            </w:div>
          </w:divsChild>
        </w:div>
        <w:div w:id="1814566838">
          <w:marLeft w:val="0"/>
          <w:marRight w:val="0"/>
          <w:marTop w:val="0"/>
          <w:marBottom w:val="0"/>
          <w:divBdr>
            <w:top w:val="none" w:sz="0" w:space="0" w:color="auto"/>
            <w:left w:val="none" w:sz="0" w:space="0" w:color="auto"/>
            <w:bottom w:val="none" w:sz="0" w:space="0" w:color="auto"/>
            <w:right w:val="none" w:sz="0" w:space="0" w:color="auto"/>
          </w:divBdr>
          <w:divsChild>
            <w:div w:id="1982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763">
      <w:bodyDiv w:val="1"/>
      <w:marLeft w:val="0"/>
      <w:marRight w:val="0"/>
      <w:marTop w:val="0"/>
      <w:marBottom w:val="0"/>
      <w:divBdr>
        <w:top w:val="none" w:sz="0" w:space="0" w:color="auto"/>
        <w:left w:val="none" w:sz="0" w:space="0" w:color="auto"/>
        <w:bottom w:val="none" w:sz="0" w:space="0" w:color="auto"/>
        <w:right w:val="none" w:sz="0" w:space="0" w:color="auto"/>
      </w:divBdr>
    </w:div>
    <w:div w:id="1020086647">
      <w:bodyDiv w:val="1"/>
      <w:marLeft w:val="0"/>
      <w:marRight w:val="0"/>
      <w:marTop w:val="0"/>
      <w:marBottom w:val="0"/>
      <w:divBdr>
        <w:top w:val="none" w:sz="0" w:space="0" w:color="auto"/>
        <w:left w:val="none" w:sz="0" w:space="0" w:color="auto"/>
        <w:bottom w:val="none" w:sz="0" w:space="0" w:color="auto"/>
        <w:right w:val="none" w:sz="0" w:space="0" w:color="auto"/>
      </w:divBdr>
    </w:div>
    <w:div w:id="1189367789">
      <w:bodyDiv w:val="1"/>
      <w:marLeft w:val="0"/>
      <w:marRight w:val="0"/>
      <w:marTop w:val="0"/>
      <w:marBottom w:val="0"/>
      <w:divBdr>
        <w:top w:val="none" w:sz="0" w:space="0" w:color="auto"/>
        <w:left w:val="none" w:sz="0" w:space="0" w:color="auto"/>
        <w:bottom w:val="none" w:sz="0" w:space="0" w:color="auto"/>
        <w:right w:val="none" w:sz="0" w:space="0" w:color="auto"/>
      </w:divBdr>
    </w:div>
    <w:div w:id="1378895599">
      <w:bodyDiv w:val="1"/>
      <w:marLeft w:val="0"/>
      <w:marRight w:val="0"/>
      <w:marTop w:val="0"/>
      <w:marBottom w:val="0"/>
      <w:divBdr>
        <w:top w:val="none" w:sz="0" w:space="0" w:color="auto"/>
        <w:left w:val="none" w:sz="0" w:space="0" w:color="auto"/>
        <w:bottom w:val="none" w:sz="0" w:space="0" w:color="auto"/>
        <w:right w:val="none" w:sz="0" w:space="0" w:color="auto"/>
      </w:divBdr>
    </w:div>
    <w:div w:id="190494400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53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scs.org.uk/about-us/funding/recoveries/" TargetMode="External"/><Relationship Id="rId2" Type="http://schemas.openxmlformats.org/officeDocument/2006/relationships/hyperlink" Target="https://www.cms-lawnow.com/ealerts/2015/03/an-insolvency-lawyers-guide-to-the-financial-services-compensation-scheme?cc_lang=en" TargetMode="External"/><Relationship Id="rId1" Type="http://schemas.openxmlformats.org/officeDocument/2006/relationships/hyperlink" Target="https://www.lexology.com/library/detail.aspx?g=750dd93b-effa-416f-967d-79bb7b7d9490" TargetMode="External"/><Relationship Id="rId4" Type="http://schemas.openxmlformats.org/officeDocument/2006/relationships/hyperlink" Target="https://www.begbies-traynorgroup.com/articles/insolvency/who-gets-paid-first-when-a-company-goes-into-liqu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5E28-7E83-481D-94AD-144BBBAD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Proctor</cp:lastModifiedBy>
  <cp:revision>3</cp:revision>
  <cp:lastPrinted>2019-08-27T05:42:00Z</cp:lastPrinted>
  <dcterms:created xsi:type="dcterms:W3CDTF">2022-02-28T20:57:00Z</dcterms:created>
  <dcterms:modified xsi:type="dcterms:W3CDTF">2022-03-01T21:31:00Z</dcterms:modified>
</cp:coreProperties>
</file>