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C37A79" w:rsidRDefault="00D21F62" w:rsidP="003C4BCB">
      <w:pPr>
        <w:pStyle w:val="ListParagraph"/>
        <w:numPr>
          <w:ilvl w:val="0"/>
          <w:numId w:val="2"/>
        </w:numPr>
        <w:ind w:left="426"/>
        <w:jc w:val="both"/>
        <w:rPr>
          <w:rFonts w:ascii="Arial" w:hAnsi="Arial" w:cs="Arial"/>
          <w:sz w:val="22"/>
          <w:szCs w:val="22"/>
          <w:highlight w:val="yellow"/>
          <w:lang w:val="en-GB"/>
        </w:rPr>
      </w:pPr>
      <w:r w:rsidRPr="00C37A79">
        <w:rPr>
          <w:rFonts w:ascii="Arial" w:hAnsi="Arial" w:cs="Arial"/>
          <w:sz w:val="22"/>
          <w:szCs w:val="22"/>
          <w:highlight w:val="yellow"/>
          <w:lang w:val="en-GB"/>
        </w:rPr>
        <w:t xml:space="preserve">True. Since the entry into force of the EIR 2000, the insolvency laws of the Member States are similar. </w:t>
      </w:r>
      <w:r w:rsidR="00C7729F" w:rsidRPr="00C37A79">
        <w:rPr>
          <w:rFonts w:ascii="Arial" w:hAnsi="Arial" w:cs="Arial"/>
          <w:sz w:val="22"/>
          <w:szCs w:val="22"/>
          <w:highlight w:val="yellow"/>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ListParagraph"/>
        <w:numPr>
          <w:ilvl w:val="0"/>
          <w:numId w:val="2"/>
        </w:numPr>
        <w:ind w:left="426"/>
        <w:jc w:val="both"/>
        <w:rPr>
          <w:rFonts w:ascii="Arial" w:hAnsi="Arial" w:cs="Arial"/>
          <w:sz w:val="22"/>
          <w:szCs w:val="22"/>
          <w:lang w:val="en-GB"/>
        </w:rPr>
      </w:pPr>
      <w:r w:rsidRPr="005D2CD6">
        <w:rPr>
          <w:rFonts w:ascii="Arial" w:hAnsi="Arial" w:cs="Arial"/>
          <w:sz w:val="22"/>
          <w:szCs w:val="22"/>
          <w:lang w:val="en-GB"/>
        </w:rPr>
        <w:t>False. While the EIR 2000 attempted to harmonise national insolvency laws, its focus was on procedural aspects of insolvency law, not substantive ones.</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C37A79" w:rsidRDefault="006D217A" w:rsidP="006D217A">
      <w:pPr>
        <w:pStyle w:val="ListParagraph"/>
        <w:numPr>
          <w:ilvl w:val="0"/>
          <w:numId w:val="3"/>
        </w:numPr>
        <w:ind w:left="426"/>
        <w:jc w:val="both"/>
        <w:rPr>
          <w:rFonts w:ascii="Arial" w:hAnsi="Arial" w:cs="Arial"/>
          <w:iCs/>
          <w:sz w:val="22"/>
          <w:szCs w:val="22"/>
          <w:highlight w:val="yellow"/>
          <w:lang w:val="en-GB"/>
        </w:rPr>
      </w:pPr>
      <w:r w:rsidRPr="00C37A79">
        <w:rPr>
          <w:rFonts w:ascii="Arial" w:hAnsi="Arial" w:cs="Arial"/>
          <w:iCs/>
          <w:sz w:val="22"/>
          <w:szCs w:val="22"/>
          <w:highlight w:val="yellow"/>
          <w:lang w:val="en-GB"/>
        </w:rPr>
        <w:t>False</w:t>
      </w:r>
      <w:r w:rsidR="00D21F62" w:rsidRPr="00C37A79">
        <w:rPr>
          <w:rFonts w:ascii="Arial" w:hAnsi="Arial" w:cs="Arial"/>
          <w:iCs/>
          <w:sz w:val="22"/>
          <w:szCs w:val="22"/>
          <w:highlight w:val="yellow"/>
          <w:lang w:val="en-GB"/>
        </w:rPr>
        <w:t>.</w:t>
      </w:r>
      <w:r w:rsidRPr="00C37A79">
        <w:rPr>
          <w:rFonts w:ascii="Arial" w:hAnsi="Arial" w:cs="Arial"/>
          <w:iCs/>
          <w:sz w:val="22"/>
          <w:szCs w:val="22"/>
          <w:highlight w:val="yellow"/>
          <w:lang w:val="en-GB"/>
        </w:rPr>
        <w:t xml:space="preserve"> </w:t>
      </w:r>
      <w:r w:rsidR="00D21F62" w:rsidRPr="00C37A79">
        <w:rPr>
          <w:rFonts w:ascii="Arial" w:hAnsi="Arial" w:cs="Arial"/>
          <w:sz w:val="22"/>
          <w:szCs w:val="22"/>
          <w:highlight w:val="yellow"/>
          <w:lang w:val="en-GB"/>
        </w:rPr>
        <w:t>T</w:t>
      </w:r>
      <w:r w:rsidRPr="00C37A79">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B674BF" w:rsidRDefault="006D217A" w:rsidP="003C4BCB">
      <w:pPr>
        <w:pStyle w:val="ListParagraph"/>
        <w:numPr>
          <w:ilvl w:val="0"/>
          <w:numId w:val="4"/>
        </w:numPr>
        <w:ind w:left="426"/>
        <w:jc w:val="both"/>
        <w:rPr>
          <w:rFonts w:ascii="Arial" w:hAnsi="Arial" w:cs="Arial"/>
          <w:sz w:val="22"/>
          <w:szCs w:val="22"/>
          <w:lang w:val="en-GB"/>
        </w:rPr>
      </w:pPr>
      <w:r w:rsidRPr="00B674BF">
        <w:rPr>
          <w:rFonts w:ascii="Arial" w:hAnsi="Arial" w:cs="Arial"/>
          <w:sz w:val="22"/>
          <w:szCs w:val="22"/>
          <w:lang w:val="en-GB"/>
        </w:rPr>
        <w:t>True</w:t>
      </w:r>
      <w:r w:rsidR="00D21F62" w:rsidRPr="00B674BF">
        <w:rPr>
          <w:rFonts w:ascii="Arial" w:hAnsi="Arial" w:cs="Arial"/>
          <w:sz w:val="22"/>
          <w:szCs w:val="22"/>
          <w:lang w:val="en-GB"/>
        </w:rPr>
        <w:t>.</w:t>
      </w:r>
      <w:r w:rsidRPr="00B674BF">
        <w:rPr>
          <w:rFonts w:ascii="Arial" w:hAnsi="Arial" w:cs="Arial"/>
          <w:sz w:val="22"/>
          <w:szCs w:val="22"/>
          <w:lang w:val="en-GB"/>
        </w:rPr>
        <w:t xml:space="preserve"> </w:t>
      </w:r>
      <w:r w:rsidR="00D21F62" w:rsidRPr="00B674BF">
        <w:rPr>
          <w:rFonts w:ascii="Arial" w:hAnsi="Arial" w:cs="Arial"/>
          <w:sz w:val="22"/>
          <w:szCs w:val="22"/>
          <w:lang w:val="en-GB"/>
        </w:rPr>
        <w:t>T</w:t>
      </w:r>
      <w:r w:rsidRPr="00B674BF">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463A852D" w:rsidR="00967219" w:rsidRPr="00B674BF" w:rsidRDefault="00D21F62" w:rsidP="003C4BCB">
      <w:pPr>
        <w:pStyle w:val="ListParagraph"/>
        <w:numPr>
          <w:ilvl w:val="0"/>
          <w:numId w:val="4"/>
        </w:numPr>
        <w:ind w:left="426"/>
        <w:jc w:val="both"/>
        <w:rPr>
          <w:rFonts w:ascii="Arial" w:hAnsi="Arial" w:cs="Arial"/>
          <w:sz w:val="22"/>
          <w:szCs w:val="22"/>
          <w:highlight w:val="yellow"/>
          <w:lang w:val="en-GB"/>
        </w:rPr>
      </w:pPr>
      <w:r w:rsidRPr="00B674BF">
        <w:rPr>
          <w:rFonts w:ascii="Arial" w:hAnsi="Arial" w:cs="Arial"/>
          <w:sz w:val="22"/>
          <w:szCs w:val="22"/>
          <w:highlight w:val="yellow"/>
          <w:lang w:val="en-GB"/>
        </w:rPr>
        <w:lastRenderedPageBreak/>
        <w:t xml:space="preserve">False. While </w:t>
      </w:r>
      <w:proofErr w:type="gramStart"/>
      <w:r w:rsidRPr="00B674BF">
        <w:rPr>
          <w:rFonts w:ascii="Arial" w:hAnsi="Arial" w:cs="Arial"/>
          <w:sz w:val="22"/>
          <w:szCs w:val="22"/>
          <w:highlight w:val="yellow"/>
          <w:lang w:val="en-GB"/>
        </w:rPr>
        <w:t>a number of</w:t>
      </w:r>
      <w:proofErr w:type="gramEnd"/>
      <w:r w:rsidRPr="00B674BF">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C37A79" w:rsidRDefault="00971896" w:rsidP="003C4BCB">
      <w:pPr>
        <w:pStyle w:val="ListParagraph"/>
        <w:numPr>
          <w:ilvl w:val="0"/>
          <w:numId w:val="5"/>
        </w:numPr>
        <w:ind w:left="426"/>
        <w:jc w:val="both"/>
        <w:rPr>
          <w:rFonts w:ascii="Arial" w:hAnsi="Arial" w:cs="Arial"/>
          <w:sz w:val="22"/>
          <w:szCs w:val="22"/>
          <w:highlight w:val="yellow"/>
          <w:lang w:val="en-GB"/>
        </w:rPr>
      </w:pPr>
      <w:r w:rsidRPr="00C37A79">
        <w:rPr>
          <w:rFonts w:ascii="Arial" w:hAnsi="Arial" w:cs="Arial"/>
          <w:sz w:val="22"/>
          <w:szCs w:val="22"/>
          <w:highlight w:val="yellow"/>
          <w:lang w:val="en-GB"/>
        </w:rPr>
        <w:t xml:space="preserve">Although the EIR Recast includes relevant and useful innovations, it has stuck with the framework of the </w:t>
      </w:r>
      <w:r w:rsidR="006F0106" w:rsidRPr="00C37A79">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C37A79" w:rsidRDefault="008E7371" w:rsidP="003C4BCB">
      <w:pPr>
        <w:pStyle w:val="ListParagraph"/>
        <w:numPr>
          <w:ilvl w:val="0"/>
          <w:numId w:val="6"/>
        </w:numPr>
        <w:ind w:left="426"/>
        <w:jc w:val="both"/>
        <w:rPr>
          <w:rFonts w:ascii="Arial" w:hAnsi="Arial" w:cs="Arial"/>
          <w:sz w:val="22"/>
          <w:szCs w:val="22"/>
          <w:highlight w:val="yellow"/>
          <w:lang w:val="en-GB"/>
        </w:rPr>
      </w:pPr>
      <w:r w:rsidRPr="00C37A79">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B674BF" w:rsidRDefault="00113E29" w:rsidP="00D509A5">
      <w:pPr>
        <w:pStyle w:val="ListParagraph"/>
        <w:numPr>
          <w:ilvl w:val="0"/>
          <w:numId w:val="7"/>
        </w:numPr>
        <w:ind w:left="426"/>
        <w:jc w:val="both"/>
        <w:rPr>
          <w:rFonts w:ascii="Arial" w:hAnsi="Arial" w:cs="Arial"/>
          <w:sz w:val="22"/>
          <w:szCs w:val="22"/>
          <w:highlight w:val="yellow"/>
          <w:lang w:val="en-GB"/>
        </w:rPr>
      </w:pPr>
      <w:r w:rsidRPr="00B674BF">
        <w:rPr>
          <w:rFonts w:ascii="Arial" w:hAnsi="Arial" w:cs="Arial"/>
          <w:sz w:val="22"/>
          <w:szCs w:val="22"/>
          <w:highlight w:val="yellow"/>
          <w:lang w:val="en-GB"/>
        </w:rPr>
        <w:t xml:space="preserve">The </w:t>
      </w:r>
      <w:r w:rsidR="008E7371" w:rsidRPr="00B674BF">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F222C2" w:rsidRDefault="0034705B" w:rsidP="003C4BCB">
      <w:pPr>
        <w:pStyle w:val="ListParagraph"/>
        <w:numPr>
          <w:ilvl w:val="0"/>
          <w:numId w:val="8"/>
        </w:numPr>
        <w:ind w:left="426"/>
        <w:jc w:val="both"/>
        <w:rPr>
          <w:rFonts w:ascii="Arial" w:hAnsi="Arial" w:cs="Arial"/>
          <w:sz w:val="22"/>
          <w:szCs w:val="22"/>
          <w:highlight w:val="yellow"/>
          <w:lang w:val="en-GB"/>
        </w:rPr>
      </w:pPr>
      <w:r w:rsidRPr="00F222C2">
        <w:rPr>
          <w:rFonts w:ascii="Arial" w:hAnsi="Arial" w:cs="Arial"/>
          <w:sz w:val="22"/>
          <w:szCs w:val="22"/>
          <w:highlight w:val="yellow"/>
          <w:lang w:val="en-GB"/>
        </w:rPr>
        <w:t>“</w:t>
      </w:r>
      <w:r w:rsidR="00F814B4" w:rsidRPr="00F222C2">
        <w:rPr>
          <w:rFonts w:ascii="Arial" w:hAnsi="Arial" w:cs="Arial"/>
          <w:sz w:val="22"/>
          <w:szCs w:val="22"/>
          <w:highlight w:val="yellow"/>
          <w:lang w:val="en-GB"/>
        </w:rPr>
        <w:t>Synthetic proceedings</w:t>
      </w:r>
      <w:r w:rsidRPr="00F222C2">
        <w:rPr>
          <w:rFonts w:ascii="Arial" w:hAnsi="Arial" w:cs="Arial"/>
          <w:sz w:val="22"/>
          <w:szCs w:val="22"/>
          <w:highlight w:val="yellow"/>
          <w:lang w:val="en-GB"/>
        </w:rPr>
        <w:t>”</w:t>
      </w:r>
      <w:r w:rsidR="00F814B4" w:rsidRPr="00F222C2">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D21B0DB" w:rsidR="00F814B4" w:rsidRPr="00B674BF" w:rsidRDefault="00F814B4" w:rsidP="00F814B4">
      <w:pPr>
        <w:pStyle w:val="ListParagraph"/>
        <w:numPr>
          <w:ilvl w:val="0"/>
          <w:numId w:val="10"/>
        </w:numPr>
        <w:ind w:left="426"/>
        <w:jc w:val="both"/>
        <w:rPr>
          <w:rFonts w:ascii="Arial" w:hAnsi="Arial" w:cs="Arial"/>
          <w:sz w:val="22"/>
          <w:szCs w:val="22"/>
          <w:highlight w:val="yellow"/>
          <w:lang w:val="en-GB"/>
        </w:rPr>
      </w:pPr>
      <w:r w:rsidRPr="00B674BF">
        <w:rPr>
          <w:rFonts w:ascii="Arial" w:hAnsi="Arial" w:cs="Arial"/>
          <w:sz w:val="22"/>
          <w:szCs w:val="22"/>
          <w:highlight w:val="yellow"/>
          <w:lang w:val="en-GB"/>
        </w:rPr>
        <w:t xml:space="preserve">Where the decision to open the </w:t>
      </w:r>
      <w:proofErr w:type="gramStart"/>
      <w:r w:rsidRPr="00B674BF">
        <w:rPr>
          <w:rFonts w:ascii="Arial" w:hAnsi="Arial" w:cs="Arial"/>
          <w:sz w:val="22"/>
          <w:szCs w:val="22"/>
          <w:highlight w:val="yellow"/>
          <w:lang w:val="en-GB"/>
        </w:rPr>
        <w:t>insolvency</w:t>
      </w:r>
      <w:proofErr w:type="gramEnd"/>
      <w:r w:rsidRPr="00B674BF">
        <w:rPr>
          <w:rFonts w:ascii="Arial" w:hAnsi="Arial" w:cs="Arial"/>
          <w:sz w:val="22"/>
          <w:szCs w:val="22"/>
          <w:highlight w:val="yellow"/>
          <w:lang w:val="en-GB"/>
        </w:rPr>
        <w:t xml:space="preserve">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B674BF" w:rsidRDefault="00F814B4" w:rsidP="00F814B4">
      <w:pPr>
        <w:pStyle w:val="ListParagraph"/>
        <w:numPr>
          <w:ilvl w:val="0"/>
          <w:numId w:val="10"/>
        </w:numPr>
        <w:ind w:left="426"/>
        <w:jc w:val="both"/>
        <w:rPr>
          <w:rFonts w:ascii="Arial" w:hAnsi="Arial" w:cs="Arial"/>
          <w:sz w:val="22"/>
          <w:szCs w:val="22"/>
          <w:lang w:val="en-GB"/>
        </w:rPr>
      </w:pPr>
      <w:r w:rsidRPr="00B674BF">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B674BF" w:rsidRDefault="00967219" w:rsidP="003C4BCB">
      <w:pPr>
        <w:pStyle w:val="ListParagraph"/>
        <w:numPr>
          <w:ilvl w:val="0"/>
          <w:numId w:val="9"/>
        </w:numPr>
        <w:ind w:left="426"/>
        <w:jc w:val="both"/>
        <w:rPr>
          <w:rFonts w:ascii="Arial" w:hAnsi="Arial" w:cs="Arial"/>
          <w:sz w:val="22"/>
          <w:szCs w:val="22"/>
          <w:highlight w:val="yellow"/>
          <w:lang w:val="en-GB"/>
        </w:rPr>
      </w:pPr>
      <w:r w:rsidRPr="00B674BF">
        <w:rPr>
          <w:rFonts w:ascii="Arial" w:hAnsi="Arial" w:cs="Arial"/>
          <w:sz w:val="22"/>
          <w:szCs w:val="22"/>
          <w:highlight w:val="yellow"/>
          <w:lang w:val="en-GB"/>
        </w:rPr>
        <w:t xml:space="preserve">The </w:t>
      </w:r>
      <w:r w:rsidR="00375D11" w:rsidRPr="00B674BF">
        <w:rPr>
          <w:rFonts w:ascii="Arial" w:hAnsi="Arial" w:cs="Arial"/>
          <w:sz w:val="22"/>
          <w:szCs w:val="22"/>
          <w:highlight w:val="yellow"/>
          <w:lang w:val="en-GB"/>
        </w:rPr>
        <w:t xml:space="preserve">insolvency practitioner will always succeed in his claim if he can clearly prove that under the </w:t>
      </w:r>
      <w:r w:rsidR="00375D11" w:rsidRPr="00B674BF">
        <w:rPr>
          <w:rFonts w:ascii="Arial" w:hAnsi="Arial" w:cs="Arial"/>
          <w:i/>
          <w:sz w:val="22"/>
          <w:szCs w:val="22"/>
          <w:highlight w:val="yellow"/>
          <w:lang w:val="en-GB"/>
        </w:rPr>
        <w:t>lex concursus</w:t>
      </w:r>
      <w:r w:rsidR="00375D11" w:rsidRPr="00B674BF">
        <w:rPr>
          <w:rFonts w:ascii="Arial" w:hAnsi="Arial" w:cs="Arial"/>
          <w:sz w:val="22"/>
          <w:szCs w:val="22"/>
          <w:highlight w:val="yellow"/>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w:t>
      </w:r>
      <w:proofErr w:type="gramStart"/>
      <w:r w:rsidRPr="005D2CD6">
        <w:rPr>
          <w:rFonts w:ascii="Arial" w:hAnsi="Arial" w:cs="Arial"/>
          <w:sz w:val="22"/>
          <w:szCs w:val="22"/>
          <w:lang w:val="en-GB"/>
        </w:rPr>
        <w:t>transactions, and</w:t>
      </w:r>
      <w:proofErr w:type="gramEnd"/>
      <w:r w:rsidRPr="005D2CD6">
        <w:rPr>
          <w:rFonts w:ascii="Arial" w:hAnsi="Arial" w:cs="Arial"/>
          <w:sz w:val="22"/>
          <w:szCs w:val="22"/>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payments shall not be avoided if Lacroix SARL proves that such transactions cannot be challenged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B674BF" w:rsidRDefault="00FC48D8" w:rsidP="003C4BCB">
      <w:pPr>
        <w:pStyle w:val="ListParagraph"/>
        <w:numPr>
          <w:ilvl w:val="0"/>
          <w:numId w:val="11"/>
        </w:numPr>
        <w:ind w:left="426"/>
        <w:jc w:val="both"/>
        <w:rPr>
          <w:rFonts w:ascii="Arial" w:hAnsi="Arial" w:cs="Arial"/>
          <w:sz w:val="22"/>
          <w:szCs w:val="22"/>
          <w:highlight w:val="yellow"/>
          <w:lang w:val="en-GB"/>
        </w:rPr>
      </w:pPr>
      <w:r w:rsidRPr="00B674BF">
        <w:rPr>
          <w:rFonts w:ascii="Arial" w:hAnsi="Arial" w:cs="Arial"/>
          <w:sz w:val="22"/>
          <w:szCs w:val="22"/>
          <w:highlight w:val="yellow"/>
          <w:lang w:val="en-GB"/>
        </w:rPr>
        <w:t xml:space="preserve">Within </w:t>
      </w:r>
      <w:r w:rsidR="006F2B12" w:rsidRPr="00B674BF">
        <w:rPr>
          <w:rFonts w:ascii="Arial" w:hAnsi="Arial" w:cs="Arial"/>
          <w:sz w:val="22"/>
          <w:szCs w:val="22"/>
          <w:highlight w:val="yellow"/>
          <w:lang w:val="en-GB"/>
        </w:rPr>
        <w:t>one month</w:t>
      </w:r>
      <w:r w:rsidRPr="00B674BF">
        <w:rPr>
          <w:rFonts w:ascii="Arial" w:hAnsi="Arial" w:cs="Arial"/>
          <w:sz w:val="22"/>
          <w:szCs w:val="22"/>
          <w:highlight w:val="yellow"/>
          <w:lang w:val="en-GB"/>
        </w:rPr>
        <w:t xml:space="preserve">, as stipulated in the applicable </w:t>
      </w:r>
      <w:r w:rsidRPr="00B674BF">
        <w:rPr>
          <w:rFonts w:ascii="Arial" w:hAnsi="Arial" w:cs="Arial"/>
          <w:i/>
          <w:sz w:val="22"/>
          <w:szCs w:val="22"/>
          <w:highlight w:val="yellow"/>
          <w:lang w:val="en-GB"/>
        </w:rPr>
        <w:t xml:space="preserve">lex concursus </w:t>
      </w:r>
      <w:proofErr w:type="spellStart"/>
      <w:r w:rsidRPr="00B674BF">
        <w:rPr>
          <w:rFonts w:ascii="Arial" w:hAnsi="Arial" w:cs="Arial"/>
          <w:i/>
          <w:sz w:val="22"/>
          <w:szCs w:val="22"/>
          <w:highlight w:val="yellow"/>
          <w:lang w:val="en-GB"/>
        </w:rPr>
        <w:t>secundarii</w:t>
      </w:r>
      <w:proofErr w:type="spellEnd"/>
      <w:r w:rsidRPr="00B674BF">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0190DC18" w:rsidR="00636C15" w:rsidRPr="00B674BF" w:rsidRDefault="00636C15" w:rsidP="00636C15">
      <w:pPr>
        <w:jc w:val="both"/>
        <w:rPr>
          <w:rFonts w:ascii="Arial" w:hAnsi="Arial" w:cs="Arial"/>
          <w:sz w:val="22"/>
          <w:szCs w:val="22"/>
          <w:u w:val="single"/>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 xml:space="preserve">This article introduces a legal regime for the avoidance of secondary insolvency proceedings, based on the unilateral promise given by the main insolvency practitioner to local creditors that they will receive treatment ‘as if’ secondary proceedings had in fact been open.’ </w:t>
      </w:r>
      <w:r w:rsidR="0049649C" w:rsidRPr="00B674BF">
        <w:rPr>
          <w:rFonts w:ascii="Arial" w:hAnsi="Arial" w:cs="Arial"/>
          <w:i/>
          <w:iCs/>
          <w:sz w:val="22"/>
          <w:szCs w:val="22"/>
          <w:u w:val="single"/>
          <w:lang w:val="en-GB"/>
        </w:rPr>
        <w:t>– Articles 36/38</w:t>
      </w:r>
      <w:r w:rsidR="00520446" w:rsidRPr="00B674BF">
        <w:rPr>
          <w:rFonts w:ascii="Arial" w:hAnsi="Arial" w:cs="Arial"/>
          <w:i/>
          <w:iCs/>
          <w:sz w:val="22"/>
          <w:szCs w:val="22"/>
          <w:u w:val="single"/>
          <w:lang w:val="en-GB"/>
        </w:rPr>
        <w:t xml:space="preserve"> EIR Recast </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7C6C86F7" w:rsidR="00636C15" w:rsidRPr="00B674BF" w:rsidRDefault="00520446" w:rsidP="00636C15">
      <w:pPr>
        <w:ind w:left="720" w:hanging="720"/>
        <w:jc w:val="both"/>
        <w:rPr>
          <w:rFonts w:ascii="Arial" w:hAnsi="Arial" w:cs="Arial"/>
          <w:i/>
          <w:iCs/>
          <w:color w:val="000000" w:themeColor="text1"/>
          <w:sz w:val="22"/>
          <w:szCs w:val="22"/>
          <w:u w:val="single"/>
        </w:rPr>
      </w:pPr>
      <w:r w:rsidRPr="00B674BF">
        <w:rPr>
          <w:rFonts w:ascii="Arial" w:hAnsi="Arial" w:cs="Arial"/>
          <w:i/>
          <w:iCs/>
          <w:color w:val="000000" w:themeColor="text1"/>
          <w:sz w:val="22"/>
          <w:szCs w:val="22"/>
          <w:u w:val="single"/>
        </w:rPr>
        <w:t>-</w:t>
      </w:r>
      <w:r w:rsidR="00B674BF" w:rsidRPr="00B674BF">
        <w:rPr>
          <w:rFonts w:ascii="Arial" w:hAnsi="Arial" w:cs="Arial"/>
          <w:i/>
          <w:iCs/>
          <w:color w:val="000000" w:themeColor="text1"/>
          <w:sz w:val="22"/>
          <w:szCs w:val="22"/>
          <w:u w:val="single"/>
        </w:rPr>
        <w:t>Recital 3 EIR 2000</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0F04DEB6" w14:textId="20293AF1" w:rsidR="00B674BF" w:rsidRPr="00B674BF" w:rsidRDefault="00B674BF" w:rsidP="00B674BF">
      <w:pPr>
        <w:ind w:left="720" w:hanging="720"/>
        <w:jc w:val="both"/>
        <w:rPr>
          <w:rFonts w:ascii="Arial" w:hAnsi="Arial" w:cs="Arial"/>
          <w:i/>
          <w:iCs/>
          <w:color w:val="000000" w:themeColor="text1"/>
          <w:sz w:val="22"/>
          <w:szCs w:val="22"/>
          <w:u w:val="single"/>
          <w:lang w:val="en-GB"/>
        </w:rPr>
      </w:pPr>
      <w:r w:rsidRPr="00B674BF">
        <w:rPr>
          <w:rFonts w:ascii="Arial" w:hAnsi="Arial" w:cs="Arial"/>
          <w:i/>
          <w:iCs/>
          <w:color w:val="000000" w:themeColor="text1"/>
          <w:sz w:val="22"/>
          <w:szCs w:val="22"/>
          <w:u w:val="single"/>
          <w:lang w:val="en-GB"/>
        </w:rPr>
        <w:t xml:space="preserve">Three provisions from the EIR Recast, which highlights the modified universalism approach are </w:t>
      </w:r>
      <w:r w:rsidR="00520446" w:rsidRPr="00B674BF">
        <w:rPr>
          <w:rFonts w:ascii="Arial" w:hAnsi="Arial" w:cs="Arial"/>
          <w:i/>
          <w:iCs/>
          <w:color w:val="000000" w:themeColor="text1"/>
          <w:sz w:val="22"/>
          <w:szCs w:val="22"/>
          <w:u w:val="single"/>
          <w:lang w:val="en-GB"/>
        </w:rPr>
        <w:t>Article 19</w:t>
      </w:r>
      <w:r w:rsidRPr="00B674BF">
        <w:rPr>
          <w:rFonts w:ascii="Arial" w:hAnsi="Arial" w:cs="Arial"/>
          <w:i/>
          <w:iCs/>
          <w:color w:val="000000" w:themeColor="text1"/>
          <w:sz w:val="22"/>
          <w:szCs w:val="22"/>
          <w:u w:val="single"/>
          <w:lang w:val="en-GB"/>
        </w:rPr>
        <w:t xml:space="preserve">, Recital </w:t>
      </w:r>
      <w:proofErr w:type="gramStart"/>
      <w:r w:rsidRPr="00B674BF">
        <w:rPr>
          <w:rFonts w:ascii="Arial" w:hAnsi="Arial" w:cs="Arial"/>
          <w:i/>
          <w:iCs/>
          <w:color w:val="000000" w:themeColor="text1"/>
          <w:sz w:val="22"/>
          <w:szCs w:val="22"/>
          <w:u w:val="single"/>
          <w:lang w:val="en-GB"/>
        </w:rPr>
        <w:t>23</w:t>
      </w:r>
      <w:proofErr w:type="gramEnd"/>
      <w:r w:rsidRPr="00B674BF">
        <w:rPr>
          <w:rFonts w:ascii="Arial" w:hAnsi="Arial" w:cs="Arial"/>
          <w:i/>
          <w:iCs/>
          <w:color w:val="000000" w:themeColor="text1"/>
          <w:sz w:val="22"/>
          <w:szCs w:val="22"/>
          <w:u w:val="single"/>
          <w:lang w:val="en-GB"/>
        </w:rPr>
        <w:t xml:space="preserve"> and Recital 53</w:t>
      </w:r>
    </w:p>
    <w:p w14:paraId="6948B395" w14:textId="65A1604F" w:rsidR="00E90991" w:rsidRPr="00B674BF" w:rsidRDefault="00E90991" w:rsidP="00B674BF">
      <w:pPr>
        <w:ind w:left="720" w:hanging="720"/>
        <w:jc w:val="both"/>
        <w:rPr>
          <w:rFonts w:ascii="Arial" w:hAnsi="Arial" w:cs="Arial"/>
          <w:sz w:val="22"/>
          <w:szCs w:val="22"/>
          <w:u w:val="single"/>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494BF6F3" w14:textId="79F7E8BC" w:rsidR="00B674BF" w:rsidRPr="00B674BF" w:rsidRDefault="00B674BF" w:rsidP="00B674BF">
      <w:pPr>
        <w:ind w:left="720" w:hanging="720"/>
        <w:rPr>
          <w:rFonts w:ascii="Arial" w:hAnsi="Arial" w:cs="Arial"/>
          <w:i/>
          <w:iCs/>
          <w:color w:val="000000" w:themeColor="text1"/>
          <w:sz w:val="22"/>
          <w:szCs w:val="22"/>
          <w:u w:val="single"/>
          <w:lang w:val="en-GB"/>
        </w:rPr>
      </w:pPr>
      <w:r w:rsidRPr="00B674BF">
        <w:rPr>
          <w:rFonts w:ascii="Arial" w:hAnsi="Arial" w:cs="Arial"/>
          <w:i/>
          <w:iCs/>
          <w:color w:val="000000" w:themeColor="text1"/>
          <w:sz w:val="22"/>
          <w:szCs w:val="22"/>
          <w:u w:val="single"/>
          <w:lang w:val="en-GB"/>
        </w:rPr>
        <w:t xml:space="preserve">Three provisions of the EIR Recast that deals with the obligation of cross-border co-operation and communication between courts are </w:t>
      </w:r>
      <w:r w:rsidR="00376C89" w:rsidRPr="00B674BF">
        <w:rPr>
          <w:rFonts w:ascii="Arial" w:hAnsi="Arial" w:cs="Arial"/>
          <w:i/>
          <w:iCs/>
          <w:color w:val="000000" w:themeColor="text1"/>
          <w:sz w:val="22"/>
          <w:szCs w:val="22"/>
          <w:u w:val="single"/>
          <w:lang w:val="en-GB"/>
        </w:rPr>
        <w:t>Article 42</w:t>
      </w:r>
      <w:r w:rsidRPr="00B674BF">
        <w:rPr>
          <w:rFonts w:ascii="Arial" w:hAnsi="Arial" w:cs="Arial"/>
          <w:i/>
          <w:iCs/>
          <w:color w:val="000000" w:themeColor="text1"/>
          <w:sz w:val="22"/>
          <w:szCs w:val="22"/>
          <w:u w:val="single"/>
          <w:lang w:val="en-GB"/>
        </w:rPr>
        <w:t xml:space="preserve">, </w:t>
      </w:r>
      <w:r w:rsidR="00BF6D10" w:rsidRPr="00B674BF">
        <w:rPr>
          <w:rFonts w:ascii="Arial" w:hAnsi="Arial" w:cs="Arial"/>
          <w:i/>
          <w:iCs/>
          <w:color w:val="000000" w:themeColor="text1"/>
          <w:sz w:val="22"/>
          <w:szCs w:val="22"/>
          <w:u w:val="single"/>
          <w:lang w:val="en-GB"/>
        </w:rPr>
        <w:t xml:space="preserve">Article </w:t>
      </w:r>
      <w:proofErr w:type="gramStart"/>
      <w:r w:rsidR="00BF6D10" w:rsidRPr="00B674BF">
        <w:rPr>
          <w:rFonts w:ascii="Arial" w:hAnsi="Arial" w:cs="Arial"/>
          <w:i/>
          <w:iCs/>
          <w:color w:val="000000" w:themeColor="text1"/>
          <w:sz w:val="22"/>
          <w:szCs w:val="22"/>
          <w:u w:val="single"/>
          <w:lang w:val="en-GB"/>
        </w:rPr>
        <w:t>57</w:t>
      </w:r>
      <w:proofErr w:type="gramEnd"/>
      <w:r w:rsidRPr="00B674BF">
        <w:rPr>
          <w:rFonts w:ascii="Arial" w:hAnsi="Arial" w:cs="Arial"/>
          <w:i/>
          <w:iCs/>
          <w:color w:val="000000" w:themeColor="text1"/>
          <w:sz w:val="22"/>
          <w:szCs w:val="22"/>
          <w:u w:val="single"/>
          <w:lang w:val="en-GB"/>
        </w:rPr>
        <w:t xml:space="preserve"> and Recital 50.</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321358EA" w14:textId="5E31FEA8" w:rsidR="00B674BF" w:rsidRPr="00B674BF" w:rsidRDefault="00B674BF" w:rsidP="00B674BF">
      <w:pPr>
        <w:jc w:val="both"/>
        <w:rPr>
          <w:rFonts w:ascii="Arial" w:hAnsi="Arial" w:cs="Arial"/>
          <w:i/>
          <w:iCs/>
          <w:sz w:val="22"/>
          <w:szCs w:val="22"/>
          <w:u w:val="single"/>
          <w:lang w:val="en-GB"/>
        </w:rPr>
      </w:pPr>
      <w:r>
        <w:rPr>
          <w:rFonts w:ascii="Arial" w:hAnsi="Arial" w:cs="Arial"/>
          <w:i/>
          <w:iCs/>
          <w:sz w:val="22"/>
          <w:szCs w:val="22"/>
          <w:u w:val="single"/>
          <w:lang w:val="en-GB"/>
        </w:rPr>
        <w:t xml:space="preserve">Two examples of instruments that has been introduced to avoid or otherwise control the opening, conduct and closure of secondary proceedings are Lex </w:t>
      </w:r>
      <w:proofErr w:type="spellStart"/>
      <w:r>
        <w:rPr>
          <w:rFonts w:ascii="Arial" w:hAnsi="Arial" w:cs="Arial"/>
          <w:i/>
          <w:iCs/>
          <w:sz w:val="22"/>
          <w:szCs w:val="22"/>
          <w:u w:val="single"/>
          <w:lang w:val="en-GB"/>
        </w:rPr>
        <w:t>fori</w:t>
      </w:r>
      <w:proofErr w:type="spellEnd"/>
      <w:r>
        <w:rPr>
          <w:rFonts w:ascii="Arial" w:hAnsi="Arial" w:cs="Arial"/>
          <w:i/>
          <w:iCs/>
          <w:sz w:val="22"/>
          <w:szCs w:val="22"/>
          <w:u w:val="single"/>
          <w:lang w:val="en-GB"/>
        </w:rPr>
        <w:t xml:space="preserve"> </w:t>
      </w:r>
      <w:proofErr w:type="spellStart"/>
      <w:r>
        <w:rPr>
          <w:rFonts w:ascii="Arial" w:hAnsi="Arial" w:cs="Arial"/>
          <w:i/>
          <w:iCs/>
          <w:sz w:val="22"/>
          <w:szCs w:val="22"/>
          <w:u w:val="single"/>
          <w:lang w:val="en-GB"/>
        </w:rPr>
        <w:t>concurcus</w:t>
      </w:r>
      <w:proofErr w:type="spellEnd"/>
      <w:r>
        <w:rPr>
          <w:rFonts w:ascii="Arial" w:hAnsi="Arial" w:cs="Arial"/>
          <w:i/>
          <w:iCs/>
          <w:sz w:val="22"/>
          <w:szCs w:val="22"/>
          <w:u w:val="single"/>
          <w:lang w:val="en-GB"/>
        </w:rPr>
        <w:t xml:space="preserve"> </w:t>
      </w:r>
      <w:proofErr w:type="spellStart"/>
      <w:r>
        <w:rPr>
          <w:rFonts w:ascii="Arial" w:hAnsi="Arial" w:cs="Arial"/>
          <w:i/>
          <w:iCs/>
          <w:sz w:val="22"/>
          <w:szCs w:val="22"/>
          <w:u w:val="single"/>
          <w:lang w:val="en-GB"/>
        </w:rPr>
        <w:t>secundarii</w:t>
      </w:r>
      <w:proofErr w:type="spellEnd"/>
      <w:r>
        <w:rPr>
          <w:rFonts w:ascii="Arial" w:hAnsi="Arial" w:cs="Arial"/>
          <w:i/>
          <w:iCs/>
          <w:sz w:val="22"/>
          <w:szCs w:val="22"/>
          <w:u w:val="single"/>
          <w:lang w:val="en-GB"/>
        </w:rPr>
        <w:t xml:space="preserve"> or Lex concursus </w:t>
      </w:r>
      <w:proofErr w:type="spellStart"/>
      <w:r>
        <w:rPr>
          <w:rFonts w:ascii="Arial" w:hAnsi="Arial" w:cs="Arial"/>
          <w:i/>
          <w:iCs/>
          <w:sz w:val="22"/>
          <w:szCs w:val="22"/>
          <w:u w:val="single"/>
          <w:lang w:val="en-GB"/>
        </w:rPr>
        <w:t>secundarii</w:t>
      </w:r>
      <w:proofErr w:type="spellEnd"/>
      <w:r>
        <w:rPr>
          <w:rFonts w:ascii="Arial" w:hAnsi="Arial" w:cs="Arial"/>
          <w:i/>
          <w:iCs/>
          <w:sz w:val="22"/>
          <w:szCs w:val="22"/>
          <w:u w:val="single"/>
          <w:lang w:val="en-GB"/>
        </w:rPr>
        <w:t xml:space="preserve">. </w:t>
      </w:r>
    </w:p>
    <w:p w14:paraId="52E31101" w14:textId="562BB8C7" w:rsidR="00B674BF" w:rsidRPr="00B674BF" w:rsidRDefault="00B674BF" w:rsidP="00B674BF">
      <w:pPr>
        <w:jc w:val="both"/>
        <w:rPr>
          <w:rFonts w:ascii="Arial" w:hAnsi="Arial" w:cs="Arial"/>
          <w:i/>
          <w:iCs/>
          <w:sz w:val="22"/>
          <w:szCs w:val="22"/>
          <w:u w:val="single"/>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5E94F8D7" w:rsidR="00B12499"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141B4C0A" w14:textId="7640DFBD" w:rsidR="00C86F1C" w:rsidRDefault="00C86F1C" w:rsidP="002A37BB">
      <w:pPr>
        <w:jc w:val="both"/>
        <w:rPr>
          <w:rFonts w:ascii="Arial" w:hAnsi="Arial" w:cs="Arial"/>
          <w:sz w:val="22"/>
          <w:szCs w:val="22"/>
          <w:lang w:val="en-GB"/>
        </w:rPr>
      </w:pPr>
    </w:p>
    <w:p w14:paraId="05226534" w14:textId="567378E5" w:rsidR="00B674BF" w:rsidRPr="00B674BF" w:rsidRDefault="00B674BF" w:rsidP="00B674BF">
      <w:pPr>
        <w:jc w:val="both"/>
        <w:rPr>
          <w:rFonts w:ascii="Arial" w:hAnsi="Arial" w:cs="Arial"/>
          <w:i/>
          <w:iCs/>
          <w:color w:val="000000" w:themeColor="text1"/>
          <w:sz w:val="22"/>
          <w:szCs w:val="22"/>
          <w:u w:val="single"/>
          <w:lang w:val="en-GB"/>
        </w:rPr>
      </w:pPr>
      <w:r w:rsidRPr="00B674BF">
        <w:rPr>
          <w:rFonts w:ascii="Arial" w:hAnsi="Arial" w:cs="Arial"/>
          <w:i/>
          <w:iCs/>
          <w:color w:val="000000" w:themeColor="text1"/>
          <w:sz w:val="22"/>
          <w:szCs w:val="22"/>
          <w:u w:val="single"/>
          <w:lang w:val="en-GB"/>
        </w:rPr>
        <w:t>The difference aspects that were introduced in the EIR Recast are as follows: 1) The</w:t>
      </w:r>
      <w:r w:rsidRPr="00B674BF">
        <w:rPr>
          <w:rFonts w:ascii="Arial" w:hAnsi="Arial" w:cs="Arial"/>
          <w:i/>
          <w:iCs/>
          <w:color w:val="000000" w:themeColor="text1"/>
          <w:sz w:val="22"/>
          <w:szCs w:val="22"/>
          <w:u w:val="single"/>
          <w:lang w:val="en-GB"/>
        </w:rPr>
        <w:t xml:space="preserve"> need of insolvency practice which is aimed towards </w:t>
      </w:r>
      <w:proofErr w:type="spellStart"/>
      <w:r w:rsidRPr="00B674BF">
        <w:rPr>
          <w:rFonts w:ascii="Arial" w:hAnsi="Arial" w:cs="Arial"/>
          <w:i/>
          <w:iCs/>
          <w:color w:val="000000" w:themeColor="text1"/>
          <w:sz w:val="22"/>
          <w:szCs w:val="22"/>
          <w:u w:val="single"/>
          <w:lang w:val="en-GB"/>
        </w:rPr>
        <w:t>broading</w:t>
      </w:r>
      <w:proofErr w:type="spellEnd"/>
      <w:r w:rsidRPr="00B674BF">
        <w:rPr>
          <w:rFonts w:ascii="Arial" w:hAnsi="Arial" w:cs="Arial"/>
          <w:i/>
          <w:iCs/>
          <w:color w:val="000000" w:themeColor="text1"/>
          <w:sz w:val="22"/>
          <w:szCs w:val="22"/>
          <w:u w:val="single"/>
          <w:lang w:val="en-GB"/>
        </w:rPr>
        <w:t xml:space="preserve"> scope to restructuring proceedings, having stronger rules for cooperation between insolvency practitioners and courts, possibility of proceedings with regard to members </w:t>
      </w:r>
      <w:proofErr w:type="gramStart"/>
      <w:r w:rsidRPr="00B674BF">
        <w:rPr>
          <w:rFonts w:ascii="Arial" w:hAnsi="Arial" w:cs="Arial"/>
          <w:i/>
          <w:iCs/>
          <w:color w:val="000000" w:themeColor="text1"/>
          <w:sz w:val="22"/>
          <w:szCs w:val="22"/>
          <w:u w:val="single"/>
          <w:lang w:val="en-GB"/>
        </w:rPr>
        <w:t>2)</w:t>
      </w:r>
      <w:r w:rsidRPr="00B674BF">
        <w:rPr>
          <w:rFonts w:ascii="Arial" w:hAnsi="Arial" w:cs="Arial"/>
          <w:i/>
          <w:iCs/>
          <w:color w:val="000000" w:themeColor="text1"/>
          <w:sz w:val="22"/>
          <w:szCs w:val="22"/>
          <w:u w:val="single"/>
        </w:rPr>
        <w:t>Secondly</w:t>
      </w:r>
      <w:proofErr w:type="gramEnd"/>
      <w:r w:rsidRPr="00B674BF">
        <w:rPr>
          <w:rFonts w:ascii="Arial" w:hAnsi="Arial" w:cs="Arial"/>
          <w:i/>
          <w:iCs/>
          <w:color w:val="000000" w:themeColor="text1"/>
          <w:sz w:val="22"/>
          <w:szCs w:val="22"/>
          <w:u w:val="single"/>
        </w:rPr>
        <w:t>, Improving creditor information which focused on the Interconnectivity of insolvency registers 3) Lastly, General modernization of the legal rules (</w:t>
      </w:r>
      <w:proofErr w:type="spellStart"/>
      <w:r w:rsidRPr="00B674BF">
        <w:rPr>
          <w:rFonts w:ascii="Arial" w:hAnsi="Arial" w:cs="Arial"/>
          <w:i/>
          <w:iCs/>
          <w:color w:val="000000" w:themeColor="text1"/>
          <w:sz w:val="22"/>
          <w:szCs w:val="22"/>
          <w:u w:val="single"/>
        </w:rPr>
        <w:t>i.e.Data</w:t>
      </w:r>
      <w:proofErr w:type="spellEnd"/>
      <w:r w:rsidRPr="00B674BF">
        <w:rPr>
          <w:rFonts w:ascii="Arial" w:hAnsi="Arial" w:cs="Arial"/>
          <w:i/>
          <w:iCs/>
          <w:color w:val="000000" w:themeColor="text1"/>
          <w:sz w:val="22"/>
          <w:szCs w:val="22"/>
          <w:u w:val="single"/>
        </w:rPr>
        <w:t xml:space="preserve"> protections).</w:t>
      </w:r>
    </w:p>
    <w:p w14:paraId="31D45A22" w14:textId="77777777" w:rsidR="00C86F1C" w:rsidRPr="005D2CD6" w:rsidRDefault="00C86F1C" w:rsidP="002A37BB">
      <w:pPr>
        <w:jc w:val="both"/>
        <w:rPr>
          <w:rFonts w:ascii="Arial" w:hAnsi="Arial" w:cs="Arial"/>
          <w:sz w:val="22"/>
          <w:szCs w:val="22"/>
          <w:lang w:val="en-GB"/>
        </w:rPr>
      </w:pPr>
    </w:p>
    <w:p w14:paraId="4098D7DA" w14:textId="77777777" w:rsidR="00241FA3" w:rsidRPr="005D2CD6" w:rsidRDefault="00241FA3" w:rsidP="002A37BB">
      <w:pPr>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7940D274" w14:textId="7183FC1B" w:rsidR="00DF75F8" w:rsidRDefault="00DF75F8" w:rsidP="002A37BB">
      <w:pPr>
        <w:jc w:val="both"/>
        <w:rPr>
          <w:rFonts w:ascii="Arial" w:hAnsi="Arial" w:cs="Arial"/>
          <w:sz w:val="22"/>
          <w:szCs w:val="22"/>
        </w:rPr>
      </w:pPr>
    </w:p>
    <w:p w14:paraId="3E5BFA61" w14:textId="77777777" w:rsidR="00B674BF" w:rsidRPr="00B674BF" w:rsidRDefault="00B674BF" w:rsidP="00070552">
      <w:pPr>
        <w:jc w:val="both"/>
        <w:rPr>
          <w:rFonts w:ascii="Arial" w:hAnsi="Arial" w:cs="Arial"/>
          <w:i/>
          <w:iCs/>
          <w:color w:val="000000" w:themeColor="text1"/>
          <w:sz w:val="22"/>
          <w:szCs w:val="22"/>
          <w:u w:val="single"/>
          <w:lang w:val="en-GB"/>
        </w:rPr>
      </w:pPr>
      <w:r w:rsidRPr="00B674BF">
        <w:rPr>
          <w:rFonts w:ascii="Arial" w:hAnsi="Arial" w:cs="Arial"/>
          <w:i/>
          <w:iCs/>
          <w:color w:val="000000" w:themeColor="text1"/>
          <w:sz w:val="22"/>
          <w:szCs w:val="22"/>
          <w:u w:val="single"/>
          <w:lang w:val="en-GB"/>
        </w:rPr>
        <w:t xml:space="preserve"> The three improvements/ innovations that were made their way into the EIR Recast are: </w:t>
      </w:r>
    </w:p>
    <w:p w14:paraId="5155151A" w14:textId="34F1823B" w:rsidR="00070552" w:rsidRPr="00B674BF" w:rsidRDefault="00B674BF" w:rsidP="00B674BF">
      <w:pPr>
        <w:jc w:val="both"/>
        <w:rPr>
          <w:rFonts w:ascii="Arial" w:hAnsi="Arial" w:cs="Arial"/>
          <w:i/>
          <w:iCs/>
          <w:color w:val="000000" w:themeColor="text1"/>
          <w:sz w:val="22"/>
          <w:szCs w:val="22"/>
          <w:u w:val="single"/>
          <w:lang w:val="en-GB"/>
        </w:rPr>
      </w:pPr>
      <w:r w:rsidRPr="00B674BF">
        <w:rPr>
          <w:rFonts w:ascii="Arial" w:hAnsi="Arial" w:cs="Arial"/>
          <w:i/>
          <w:iCs/>
          <w:color w:val="000000" w:themeColor="text1"/>
          <w:sz w:val="22"/>
          <w:szCs w:val="22"/>
          <w:u w:val="single"/>
          <w:lang w:val="en-GB"/>
        </w:rPr>
        <w:t>1)</w:t>
      </w:r>
      <w:r w:rsidR="00070552" w:rsidRPr="00B674BF">
        <w:rPr>
          <w:rFonts w:ascii="Arial" w:hAnsi="Arial" w:cs="Arial"/>
          <w:i/>
          <w:iCs/>
          <w:color w:val="000000" w:themeColor="text1"/>
          <w:sz w:val="22"/>
          <w:szCs w:val="22"/>
          <w:u w:val="single"/>
          <w:lang w:val="en-GB"/>
        </w:rPr>
        <w:t xml:space="preserve">The need of insolvency practice </w:t>
      </w:r>
      <w:r w:rsidRPr="00B674BF">
        <w:rPr>
          <w:rFonts w:ascii="Arial" w:hAnsi="Arial" w:cs="Arial"/>
          <w:i/>
          <w:iCs/>
          <w:color w:val="000000" w:themeColor="text1"/>
          <w:sz w:val="22"/>
          <w:szCs w:val="22"/>
          <w:u w:val="single"/>
          <w:lang w:val="en-GB"/>
        </w:rPr>
        <w:t xml:space="preserve">which is aimed towards </w:t>
      </w:r>
      <w:proofErr w:type="spellStart"/>
      <w:r w:rsidRPr="00B674BF">
        <w:rPr>
          <w:rFonts w:ascii="Arial" w:hAnsi="Arial" w:cs="Arial"/>
          <w:i/>
          <w:iCs/>
          <w:color w:val="000000" w:themeColor="text1"/>
          <w:sz w:val="22"/>
          <w:szCs w:val="22"/>
          <w:u w:val="single"/>
          <w:lang w:val="en-GB"/>
        </w:rPr>
        <w:t>b</w:t>
      </w:r>
      <w:r w:rsidR="00070552" w:rsidRPr="00B674BF">
        <w:rPr>
          <w:rFonts w:ascii="Arial" w:hAnsi="Arial" w:cs="Arial"/>
          <w:i/>
          <w:iCs/>
          <w:color w:val="000000" w:themeColor="text1"/>
          <w:sz w:val="22"/>
          <w:szCs w:val="22"/>
          <w:u w:val="single"/>
          <w:lang w:val="en-GB"/>
        </w:rPr>
        <w:t>roading</w:t>
      </w:r>
      <w:proofErr w:type="spellEnd"/>
      <w:r w:rsidR="00070552" w:rsidRPr="00B674BF">
        <w:rPr>
          <w:rFonts w:ascii="Arial" w:hAnsi="Arial" w:cs="Arial"/>
          <w:i/>
          <w:iCs/>
          <w:color w:val="000000" w:themeColor="text1"/>
          <w:sz w:val="22"/>
          <w:szCs w:val="22"/>
          <w:u w:val="single"/>
          <w:lang w:val="en-GB"/>
        </w:rPr>
        <w:t xml:space="preserve"> scope to restructuring proceedings, </w:t>
      </w:r>
      <w:r w:rsidRPr="00B674BF">
        <w:rPr>
          <w:rFonts w:ascii="Arial" w:hAnsi="Arial" w:cs="Arial"/>
          <w:i/>
          <w:iCs/>
          <w:color w:val="000000" w:themeColor="text1"/>
          <w:sz w:val="22"/>
          <w:szCs w:val="22"/>
          <w:u w:val="single"/>
          <w:lang w:val="en-GB"/>
        </w:rPr>
        <w:t xml:space="preserve">having </w:t>
      </w:r>
      <w:r w:rsidR="00070552" w:rsidRPr="00B674BF">
        <w:rPr>
          <w:rFonts w:ascii="Arial" w:hAnsi="Arial" w:cs="Arial"/>
          <w:i/>
          <w:iCs/>
          <w:color w:val="000000" w:themeColor="text1"/>
          <w:sz w:val="22"/>
          <w:szCs w:val="22"/>
          <w:u w:val="single"/>
          <w:lang w:val="en-GB"/>
        </w:rPr>
        <w:t xml:space="preserve">stronger rules for cooperation between insolvency practitioners and courts, possibility of proceedings with regard to members </w:t>
      </w:r>
      <w:r w:rsidRPr="00B674BF">
        <w:rPr>
          <w:rFonts w:ascii="Arial" w:hAnsi="Arial" w:cs="Arial"/>
          <w:i/>
          <w:iCs/>
          <w:color w:val="000000" w:themeColor="text1"/>
          <w:sz w:val="22"/>
          <w:szCs w:val="22"/>
          <w:u w:val="single"/>
          <w:lang w:val="en-GB"/>
        </w:rPr>
        <w:t>2)</w:t>
      </w:r>
      <w:r w:rsidRPr="00B674BF">
        <w:rPr>
          <w:rFonts w:ascii="Arial" w:hAnsi="Arial" w:cs="Arial"/>
          <w:i/>
          <w:iCs/>
          <w:color w:val="000000" w:themeColor="text1"/>
          <w:sz w:val="22"/>
          <w:szCs w:val="22"/>
          <w:u w:val="single"/>
        </w:rPr>
        <w:t xml:space="preserve"> Secondly, </w:t>
      </w:r>
      <w:r w:rsidR="00070552" w:rsidRPr="00B674BF">
        <w:rPr>
          <w:rFonts w:ascii="Arial" w:hAnsi="Arial" w:cs="Arial"/>
          <w:i/>
          <w:iCs/>
          <w:color w:val="000000" w:themeColor="text1"/>
          <w:sz w:val="22"/>
          <w:szCs w:val="22"/>
          <w:u w:val="single"/>
        </w:rPr>
        <w:t xml:space="preserve">Improving creditor information </w:t>
      </w:r>
      <w:r w:rsidRPr="00B674BF">
        <w:rPr>
          <w:rFonts w:ascii="Arial" w:hAnsi="Arial" w:cs="Arial"/>
          <w:i/>
          <w:iCs/>
          <w:color w:val="000000" w:themeColor="text1"/>
          <w:sz w:val="22"/>
          <w:szCs w:val="22"/>
          <w:u w:val="single"/>
        </w:rPr>
        <w:t xml:space="preserve">which focused on the </w:t>
      </w:r>
      <w:r w:rsidR="00070552" w:rsidRPr="00B674BF">
        <w:rPr>
          <w:rFonts w:ascii="Arial" w:hAnsi="Arial" w:cs="Arial"/>
          <w:i/>
          <w:iCs/>
          <w:color w:val="000000" w:themeColor="text1"/>
          <w:sz w:val="22"/>
          <w:szCs w:val="22"/>
          <w:u w:val="single"/>
        </w:rPr>
        <w:t>Interconnectivity of insolvency</w:t>
      </w:r>
      <w:r w:rsidRPr="00B674BF">
        <w:rPr>
          <w:rFonts w:ascii="Arial" w:hAnsi="Arial" w:cs="Arial"/>
          <w:i/>
          <w:iCs/>
          <w:color w:val="000000" w:themeColor="text1"/>
          <w:sz w:val="22"/>
          <w:szCs w:val="22"/>
          <w:u w:val="single"/>
        </w:rPr>
        <w:t xml:space="preserve"> </w:t>
      </w:r>
      <w:r w:rsidR="00070552" w:rsidRPr="00B674BF">
        <w:rPr>
          <w:rFonts w:ascii="Arial" w:hAnsi="Arial" w:cs="Arial"/>
          <w:i/>
          <w:iCs/>
          <w:color w:val="000000" w:themeColor="text1"/>
          <w:sz w:val="22"/>
          <w:szCs w:val="22"/>
          <w:u w:val="single"/>
        </w:rPr>
        <w:t>registers</w:t>
      </w:r>
      <w:r w:rsidRPr="00B674BF">
        <w:rPr>
          <w:rFonts w:ascii="Arial" w:hAnsi="Arial" w:cs="Arial"/>
          <w:i/>
          <w:iCs/>
          <w:color w:val="000000" w:themeColor="text1"/>
          <w:sz w:val="22"/>
          <w:szCs w:val="22"/>
          <w:u w:val="single"/>
        </w:rPr>
        <w:t xml:space="preserve"> 3)</w:t>
      </w:r>
      <w:r w:rsidR="00070552" w:rsidRPr="00B674BF">
        <w:rPr>
          <w:rFonts w:ascii="Arial" w:hAnsi="Arial" w:cs="Arial"/>
          <w:i/>
          <w:iCs/>
          <w:color w:val="000000" w:themeColor="text1"/>
          <w:sz w:val="22"/>
          <w:szCs w:val="22"/>
          <w:u w:val="single"/>
        </w:rPr>
        <w:t xml:space="preserve"> </w:t>
      </w:r>
      <w:r w:rsidRPr="00B674BF">
        <w:rPr>
          <w:rFonts w:ascii="Arial" w:hAnsi="Arial" w:cs="Arial"/>
          <w:i/>
          <w:iCs/>
          <w:color w:val="000000" w:themeColor="text1"/>
          <w:sz w:val="22"/>
          <w:szCs w:val="22"/>
          <w:u w:val="single"/>
        </w:rPr>
        <w:t xml:space="preserve">Lastly, </w:t>
      </w:r>
      <w:r w:rsidR="00070552" w:rsidRPr="00B674BF">
        <w:rPr>
          <w:rFonts w:ascii="Arial" w:hAnsi="Arial" w:cs="Arial"/>
          <w:i/>
          <w:iCs/>
          <w:color w:val="000000" w:themeColor="text1"/>
          <w:sz w:val="22"/>
          <w:szCs w:val="22"/>
          <w:u w:val="single"/>
        </w:rPr>
        <w:t xml:space="preserve">General modernization of the legal rules </w:t>
      </w:r>
      <w:r w:rsidRPr="00B674BF">
        <w:rPr>
          <w:rFonts w:ascii="Arial" w:hAnsi="Arial" w:cs="Arial"/>
          <w:i/>
          <w:iCs/>
          <w:color w:val="000000" w:themeColor="text1"/>
          <w:sz w:val="22"/>
          <w:szCs w:val="22"/>
          <w:u w:val="single"/>
        </w:rPr>
        <w:t>(</w:t>
      </w:r>
      <w:proofErr w:type="spellStart"/>
      <w:r w:rsidRPr="00B674BF">
        <w:rPr>
          <w:rFonts w:ascii="Arial" w:hAnsi="Arial" w:cs="Arial"/>
          <w:i/>
          <w:iCs/>
          <w:color w:val="000000" w:themeColor="text1"/>
          <w:sz w:val="22"/>
          <w:szCs w:val="22"/>
          <w:u w:val="single"/>
        </w:rPr>
        <w:t>i.</w:t>
      </w:r>
      <w:proofErr w:type="gramStart"/>
      <w:r w:rsidRPr="00B674BF">
        <w:rPr>
          <w:rFonts w:ascii="Arial" w:hAnsi="Arial" w:cs="Arial"/>
          <w:i/>
          <w:iCs/>
          <w:color w:val="000000" w:themeColor="text1"/>
          <w:sz w:val="22"/>
          <w:szCs w:val="22"/>
          <w:u w:val="single"/>
        </w:rPr>
        <w:t>e.</w:t>
      </w:r>
      <w:r w:rsidR="00070552" w:rsidRPr="00B674BF">
        <w:rPr>
          <w:rFonts w:ascii="Arial" w:hAnsi="Arial" w:cs="Arial"/>
          <w:i/>
          <w:iCs/>
          <w:color w:val="000000" w:themeColor="text1"/>
          <w:sz w:val="22"/>
          <w:szCs w:val="22"/>
          <w:u w:val="single"/>
        </w:rPr>
        <w:t>Data</w:t>
      </w:r>
      <w:proofErr w:type="spellEnd"/>
      <w:proofErr w:type="gramEnd"/>
      <w:r w:rsidR="00070552" w:rsidRPr="00B674BF">
        <w:rPr>
          <w:rFonts w:ascii="Arial" w:hAnsi="Arial" w:cs="Arial"/>
          <w:i/>
          <w:iCs/>
          <w:color w:val="000000" w:themeColor="text1"/>
          <w:sz w:val="22"/>
          <w:szCs w:val="22"/>
          <w:u w:val="single"/>
        </w:rPr>
        <w:t xml:space="preserve"> protections</w:t>
      </w:r>
      <w:r w:rsidRPr="00B674BF">
        <w:rPr>
          <w:rFonts w:ascii="Arial" w:hAnsi="Arial" w:cs="Arial"/>
          <w:i/>
          <w:iCs/>
          <w:color w:val="000000" w:themeColor="text1"/>
          <w:sz w:val="22"/>
          <w:szCs w:val="22"/>
          <w:u w:val="single"/>
        </w:rPr>
        <w:t>).</w:t>
      </w:r>
    </w:p>
    <w:p w14:paraId="6F6B9DC7" w14:textId="77777777" w:rsidR="00070552" w:rsidRPr="005D2CD6" w:rsidRDefault="00070552" w:rsidP="002A37BB">
      <w:pPr>
        <w:jc w:val="both"/>
        <w:rPr>
          <w:rFonts w:ascii="Arial" w:hAnsi="Arial" w:cs="Arial"/>
          <w:sz w:val="22"/>
          <w:szCs w:val="22"/>
          <w:lang w:val="en-GB"/>
        </w:rPr>
      </w:pPr>
    </w:p>
    <w:p w14:paraId="050B7D02" w14:textId="2AD4F7F7" w:rsidR="00D17FDC" w:rsidRPr="00B674BF" w:rsidRDefault="00D17FDC" w:rsidP="002A37BB">
      <w:pPr>
        <w:jc w:val="both"/>
        <w:rPr>
          <w:rFonts w:ascii="Arial" w:hAnsi="Arial" w:cs="Arial"/>
          <w:i/>
          <w:iCs/>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4ADD219B" w:rsidR="00DF75F8" w:rsidRPr="00B674BF" w:rsidRDefault="00070552" w:rsidP="002A37BB">
      <w:pPr>
        <w:jc w:val="both"/>
        <w:rPr>
          <w:rFonts w:ascii="Arial" w:hAnsi="Arial" w:cs="Arial"/>
          <w:sz w:val="22"/>
          <w:szCs w:val="22"/>
          <w:u w:val="single"/>
          <w:lang w:val="en-GB"/>
        </w:rPr>
      </w:pPr>
      <w:r w:rsidRPr="00B674BF">
        <w:rPr>
          <w:rFonts w:ascii="Arial" w:hAnsi="Arial" w:cs="Arial"/>
          <w:i/>
          <w:iCs/>
          <w:color w:val="000000" w:themeColor="text1"/>
          <w:sz w:val="22"/>
          <w:szCs w:val="22"/>
          <w:u w:val="single"/>
          <w:lang w:val="en-GB"/>
        </w:rPr>
        <w:t>The EIR Recast</w:t>
      </w:r>
      <w:r w:rsidR="00B674BF" w:rsidRPr="00B674BF">
        <w:rPr>
          <w:rFonts w:ascii="Arial" w:hAnsi="Arial" w:cs="Arial"/>
          <w:i/>
          <w:iCs/>
          <w:color w:val="000000" w:themeColor="text1"/>
          <w:sz w:val="22"/>
          <w:szCs w:val="22"/>
          <w:u w:val="single"/>
          <w:lang w:val="en-GB"/>
        </w:rPr>
        <w:t xml:space="preserve"> offers co-ordination mechanism called the “group co-ordination proceedings” instead of sanctioning</w:t>
      </w:r>
      <w:r w:rsidRPr="00B674BF">
        <w:rPr>
          <w:rFonts w:ascii="Arial" w:hAnsi="Arial" w:cs="Arial"/>
          <w:i/>
          <w:iCs/>
          <w:color w:val="000000" w:themeColor="text1"/>
          <w:sz w:val="22"/>
          <w:szCs w:val="22"/>
          <w:u w:val="single"/>
          <w:lang w:val="en-GB"/>
        </w:rPr>
        <w:t xml:space="preserve"> substantive, procedural, or even jurisdictional consolidation</w:t>
      </w:r>
      <w:r w:rsidR="00B674BF" w:rsidRPr="00B674BF">
        <w:rPr>
          <w:rFonts w:ascii="Arial" w:hAnsi="Arial" w:cs="Arial"/>
          <w:i/>
          <w:iCs/>
          <w:color w:val="000000" w:themeColor="text1"/>
          <w:sz w:val="22"/>
          <w:szCs w:val="22"/>
          <w:u w:val="single"/>
          <w:lang w:val="en-GB"/>
        </w:rPr>
        <w:t xml:space="preserve">. Therefore, there is no structure when it comes to groups themselves. </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631177BC" w14:textId="3ECC27E2" w:rsidR="00D95496" w:rsidRPr="00B674BF" w:rsidRDefault="009B4976" w:rsidP="002A37BB">
      <w:pPr>
        <w:jc w:val="both"/>
        <w:rPr>
          <w:rFonts w:ascii="Arial" w:hAnsi="Arial" w:cs="Arial"/>
          <w:i/>
          <w:iCs/>
          <w:sz w:val="22"/>
          <w:szCs w:val="22"/>
          <w:u w:val="single"/>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t>
      </w:r>
      <w:r w:rsidRPr="00B674BF">
        <w:rPr>
          <w:rFonts w:ascii="Arial" w:hAnsi="Arial" w:cs="Arial"/>
          <w:i/>
          <w:iCs/>
          <w:sz w:val="22"/>
          <w:szCs w:val="22"/>
          <w:u w:val="single"/>
          <w:lang w:val="en-GB"/>
        </w:rPr>
        <w:t>wer should contain references to the applicable law and the relevant CJEU jurisprudence.</w:t>
      </w:r>
    </w:p>
    <w:p w14:paraId="3922CC9D" w14:textId="77777777" w:rsidR="00B674BF" w:rsidRPr="00B674BF" w:rsidRDefault="00B674BF" w:rsidP="002A37BB">
      <w:pPr>
        <w:jc w:val="both"/>
        <w:rPr>
          <w:rFonts w:ascii="Arial" w:hAnsi="Arial" w:cs="Arial"/>
          <w:i/>
          <w:iCs/>
          <w:sz w:val="22"/>
          <w:szCs w:val="22"/>
          <w:u w:val="single"/>
          <w:lang w:val="en-GB"/>
        </w:rPr>
      </w:pPr>
    </w:p>
    <w:p w14:paraId="02B8FAFC" w14:textId="4ABA0C54" w:rsidR="00B674BF" w:rsidRPr="00B674BF" w:rsidRDefault="00B674BF" w:rsidP="002A37BB">
      <w:pPr>
        <w:jc w:val="both"/>
        <w:rPr>
          <w:rFonts w:ascii="Arial" w:hAnsi="Arial" w:cs="Arial"/>
          <w:i/>
          <w:iCs/>
          <w:sz w:val="22"/>
          <w:szCs w:val="22"/>
          <w:u w:val="single"/>
          <w:lang w:val="en-GB"/>
        </w:rPr>
      </w:pPr>
      <w:r w:rsidRPr="00B674BF">
        <w:rPr>
          <w:rFonts w:ascii="Arial" w:hAnsi="Arial" w:cs="Arial"/>
          <w:i/>
          <w:iCs/>
          <w:sz w:val="22"/>
          <w:szCs w:val="22"/>
          <w:u w:val="single"/>
          <w:lang w:val="en-GB"/>
        </w:rPr>
        <w:t xml:space="preserve">Yes, Dublin High Court have international jurisdiction to open the requested insolvency proceeding. Insolvency proceedings can only be opened in a jurisdiction of the debtor’s, Cardinal Home’s centre of main interest. </w:t>
      </w:r>
    </w:p>
    <w:p w14:paraId="327C8CA2" w14:textId="77777777" w:rsidR="00B674BF" w:rsidRPr="00B674BF" w:rsidRDefault="00B674BF" w:rsidP="002A37BB">
      <w:pPr>
        <w:jc w:val="both"/>
        <w:rPr>
          <w:rFonts w:ascii="Arial" w:hAnsi="Arial" w:cs="Arial"/>
          <w:i/>
          <w:iCs/>
          <w:sz w:val="22"/>
          <w:szCs w:val="22"/>
          <w:u w:val="single"/>
          <w:lang w:val="en-GB"/>
        </w:rPr>
      </w:pPr>
    </w:p>
    <w:p w14:paraId="070AFFFC" w14:textId="0683D87F" w:rsidR="00B674BF" w:rsidRPr="00B674BF" w:rsidRDefault="00B674BF" w:rsidP="002A37BB">
      <w:pPr>
        <w:jc w:val="both"/>
        <w:rPr>
          <w:rFonts w:ascii="Arial" w:hAnsi="Arial" w:cs="Arial"/>
          <w:i/>
          <w:iCs/>
          <w:sz w:val="22"/>
          <w:szCs w:val="22"/>
          <w:u w:val="single"/>
          <w:lang w:val="en-GB"/>
        </w:rPr>
      </w:pPr>
      <w:r w:rsidRPr="00B674BF">
        <w:rPr>
          <w:rFonts w:ascii="Arial" w:hAnsi="Arial" w:cs="Arial"/>
          <w:i/>
          <w:iCs/>
          <w:sz w:val="22"/>
          <w:szCs w:val="22"/>
          <w:u w:val="single"/>
          <w:lang w:val="en-GB"/>
        </w:rPr>
        <w:t xml:space="preserve">Centre of main interest according to Recital 13 EIR 2000, explains the centre of main interest (COMI) is a place where the debtor conducts the administration of its interests on a regular basis. </w:t>
      </w:r>
    </w:p>
    <w:p w14:paraId="0B152801" w14:textId="45AC53C1" w:rsidR="00B674BF" w:rsidRPr="00B674BF" w:rsidRDefault="00B674BF" w:rsidP="002A37BB">
      <w:pPr>
        <w:jc w:val="both"/>
        <w:rPr>
          <w:rFonts w:ascii="Arial" w:hAnsi="Arial" w:cs="Arial"/>
          <w:i/>
          <w:iCs/>
          <w:sz w:val="22"/>
          <w:szCs w:val="22"/>
          <w:u w:val="single"/>
          <w:lang w:val="en-GB"/>
        </w:rPr>
      </w:pPr>
    </w:p>
    <w:p w14:paraId="7F15DF16" w14:textId="2B2536C1" w:rsidR="00B674BF" w:rsidRPr="00B674BF" w:rsidRDefault="00B674BF" w:rsidP="002A37BB">
      <w:pPr>
        <w:jc w:val="both"/>
        <w:rPr>
          <w:rFonts w:ascii="Arial" w:hAnsi="Arial" w:cs="Arial"/>
          <w:i/>
          <w:iCs/>
          <w:sz w:val="22"/>
          <w:szCs w:val="22"/>
          <w:u w:val="single"/>
          <w:lang w:val="en-GB"/>
        </w:rPr>
      </w:pPr>
      <w:r w:rsidRPr="00B674BF">
        <w:rPr>
          <w:rFonts w:ascii="Arial" w:hAnsi="Arial" w:cs="Arial"/>
          <w:i/>
          <w:iCs/>
          <w:sz w:val="22"/>
          <w:szCs w:val="22"/>
          <w:u w:val="single"/>
          <w:lang w:val="en-GB"/>
        </w:rPr>
        <w:t>Although recitals are not enforceable, it will be left to the interpretation of the courts.</w:t>
      </w:r>
    </w:p>
    <w:p w14:paraId="5F9099C2" w14:textId="57B14F11" w:rsidR="00B674BF" w:rsidRPr="00B674BF" w:rsidRDefault="00B674BF" w:rsidP="002A37BB">
      <w:pPr>
        <w:jc w:val="both"/>
        <w:rPr>
          <w:rFonts w:ascii="Arial" w:hAnsi="Arial" w:cs="Arial"/>
          <w:i/>
          <w:iCs/>
          <w:sz w:val="22"/>
          <w:szCs w:val="22"/>
          <w:u w:val="single"/>
          <w:lang w:val="en-GB"/>
        </w:rPr>
      </w:pPr>
    </w:p>
    <w:p w14:paraId="055F8988" w14:textId="5819944D" w:rsidR="00D95496" w:rsidRDefault="00B674BF" w:rsidP="002A37BB">
      <w:pPr>
        <w:jc w:val="both"/>
        <w:rPr>
          <w:rFonts w:ascii="Arial" w:hAnsi="Arial" w:cs="Arial"/>
          <w:i/>
          <w:iCs/>
          <w:sz w:val="22"/>
          <w:szCs w:val="22"/>
          <w:u w:val="single"/>
          <w:lang w:val="en-GB"/>
        </w:rPr>
      </w:pPr>
      <w:r w:rsidRPr="00B674BF">
        <w:rPr>
          <w:rFonts w:ascii="Arial" w:hAnsi="Arial" w:cs="Arial"/>
          <w:i/>
          <w:iCs/>
          <w:sz w:val="22"/>
          <w:szCs w:val="22"/>
          <w:u w:val="single"/>
          <w:lang w:val="en-GB"/>
        </w:rPr>
        <w:t>Cardinal Home’s is registered in Ireland and has operations in the country since this where their first store was opened. Therefore, Ireland would be considered the centre of main interest and proceedings can be opened in courts in Dublin, Ireland.</w:t>
      </w:r>
    </w:p>
    <w:p w14:paraId="685B2410" w14:textId="0B836EB4" w:rsidR="00B674BF" w:rsidRDefault="00B674BF" w:rsidP="002A37BB">
      <w:pPr>
        <w:jc w:val="both"/>
        <w:rPr>
          <w:rFonts w:ascii="Arial" w:hAnsi="Arial" w:cs="Arial"/>
          <w:i/>
          <w:iCs/>
          <w:sz w:val="22"/>
          <w:szCs w:val="22"/>
          <w:u w:val="single"/>
          <w:lang w:val="en-GB"/>
        </w:rPr>
      </w:pPr>
    </w:p>
    <w:p w14:paraId="4C3AB0A7" w14:textId="62366125" w:rsidR="00B674BF" w:rsidRPr="00B674BF" w:rsidRDefault="00B674BF" w:rsidP="002A37BB">
      <w:pPr>
        <w:jc w:val="both"/>
        <w:rPr>
          <w:rFonts w:ascii="Arial" w:hAnsi="Arial" w:cs="Arial"/>
          <w:i/>
          <w:iCs/>
          <w:sz w:val="22"/>
          <w:szCs w:val="22"/>
          <w:u w:val="single"/>
          <w:lang w:val="en-GB"/>
        </w:rPr>
      </w:pPr>
      <w:r>
        <w:rPr>
          <w:rFonts w:ascii="Arial" w:hAnsi="Arial" w:cs="Arial"/>
          <w:i/>
          <w:iCs/>
          <w:sz w:val="22"/>
          <w:szCs w:val="22"/>
          <w:u w:val="single"/>
          <w:lang w:val="en-GB"/>
        </w:rPr>
        <w:t xml:space="preserve">The CJEU that demonstrated this is that of </w:t>
      </w:r>
      <w:proofErr w:type="spellStart"/>
      <w:r>
        <w:rPr>
          <w:rFonts w:ascii="Arial" w:hAnsi="Arial" w:cs="Arial"/>
          <w:i/>
          <w:iCs/>
          <w:sz w:val="22"/>
          <w:szCs w:val="22"/>
          <w:u w:val="single"/>
          <w:lang w:val="en-GB"/>
        </w:rPr>
        <w:t>Eurofood</w:t>
      </w:r>
      <w:proofErr w:type="spellEnd"/>
      <w:r>
        <w:rPr>
          <w:rFonts w:ascii="Arial" w:hAnsi="Arial" w:cs="Arial"/>
          <w:i/>
          <w:iCs/>
          <w:sz w:val="22"/>
          <w:szCs w:val="22"/>
          <w:u w:val="single"/>
          <w:lang w:val="en-GB"/>
        </w:rPr>
        <w:t xml:space="preserve"> IFSC Ltd. </w:t>
      </w:r>
    </w:p>
    <w:p w14:paraId="44AF0D80" w14:textId="0AA5B55B" w:rsidR="003E4DB0" w:rsidRPr="00B674BF" w:rsidRDefault="003E4DB0" w:rsidP="002A37BB">
      <w:pPr>
        <w:jc w:val="both"/>
        <w:rPr>
          <w:rFonts w:ascii="Arial" w:hAnsi="Arial" w:cs="Arial"/>
          <w:i/>
          <w:iCs/>
          <w:sz w:val="22"/>
          <w:szCs w:val="22"/>
          <w:u w:val="single"/>
          <w:lang w:val="en-GB"/>
        </w:rPr>
      </w:pPr>
    </w:p>
    <w:p w14:paraId="122B0CF9" w14:textId="77777777" w:rsidR="003E4DB0" w:rsidRPr="00B674BF" w:rsidRDefault="003E4DB0" w:rsidP="002A37BB">
      <w:pPr>
        <w:jc w:val="both"/>
        <w:rPr>
          <w:rFonts w:ascii="Arial" w:hAnsi="Arial" w:cs="Arial"/>
          <w:i/>
          <w:iCs/>
          <w:sz w:val="22"/>
          <w:szCs w:val="22"/>
          <w:u w:val="single"/>
          <w:lang w:val="en-GB"/>
        </w:rPr>
      </w:pPr>
    </w:p>
    <w:p w14:paraId="40921E31" w14:textId="7125C35C" w:rsidR="002F75A3" w:rsidRPr="00B674BF" w:rsidRDefault="009B0723" w:rsidP="002A37BB">
      <w:pPr>
        <w:jc w:val="both"/>
        <w:rPr>
          <w:rFonts w:ascii="Arial" w:hAnsi="Arial" w:cs="Arial"/>
          <w:b/>
          <w:bCs/>
          <w:i/>
          <w:iCs/>
          <w:sz w:val="22"/>
          <w:szCs w:val="22"/>
          <w:u w:val="single"/>
          <w:lang w:val="en-GB"/>
        </w:rPr>
      </w:pPr>
      <w:r w:rsidRPr="00B674BF">
        <w:rPr>
          <w:rFonts w:ascii="Arial" w:hAnsi="Arial" w:cs="Arial"/>
          <w:b/>
          <w:bCs/>
          <w:i/>
          <w:iCs/>
          <w:sz w:val="22"/>
          <w:szCs w:val="22"/>
          <w:u w:val="single"/>
          <w:lang w:val="en-GB"/>
        </w:rPr>
        <w:t>Question 4.2 [</w:t>
      </w:r>
      <w:r w:rsidR="00126A4D" w:rsidRPr="00B674BF">
        <w:rPr>
          <w:rFonts w:ascii="Arial" w:hAnsi="Arial" w:cs="Arial"/>
          <w:b/>
          <w:bCs/>
          <w:i/>
          <w:iCs/>
          <w:sz w:val="22"/>
          <w:szCs w:val="22"/>
          <w:u w:val="single"/>
          <w:lang w:val="en-GB"/>
        </w:rPr>
        <w:t>m</w:t>
      </w:r>
      <w:r w:rsidRPr="00B674BF">
        <w:rPr>
          <w:rFonts w:ascii="Arial" w:hAnsi="Arial" w:cs="Arial"/>
          <w:b/>
          <w:bCs/>
          <w:i/>
          <w:iCs/>
          <w:sz w:val="22"/>
          <w:szCs w:val="22"/>
          <w:u w:val="single"/>
          <w:lang w:val="en-GB"/>
        </w:rPr>
        <w:t xml:space="preserve">aximum </w:t>
      </w:r>
      <w:r w:rsidR="009B4976" w:rsidRPr="00B674BF">
        <w:rPr>
          <w:rFonts w:ascii="Arial" w:hAnsi="Arial" w:cs="Arial"/>
          <w:b/>
          <w:bCs/>
          <w:i/>
          <w:iCs/>
          <w:sz w:val="22"/>
          <w:szCs w:val="22"/>
          <w:u w:val="single"/>
          <w:lang w:val="en-GB"/>
        </w:rPr>
        <w:t>5</w:t>
      </w:r>
      <w:r w:rsidRPr="00B674BF">
        <w:rPr>
          <w:rFonts w:ascii="Arial" w:hAnsi="Arial" w:cs="Arial"/>
          <w:b/>
          <w:bCs/>
          <w:i/>
          <w:iCs/>
          <w:sz w:val="22"/>
          <w:szCs w:val="22"/>
          <w:u w:val="single"/>
          <w:lang w:val="en-GB"/>
        </w:rPr>
        <w:t xml:space="preserve"> marks] </w:t>
      </w:r>
    </w:p>
    <w:p w14:paraId="6433B0AC" w14:textId="091B237F" w:rsidR="002F75A3" w:rsidRPr="00B674BF" w:rsidRDefault="00B674BF" w:rsidP="002A37BB">
      <w:pPr>
        <w:jc w:val="both"/>
        <w:rPr>
          <w:rFonts w:ascii="Arial" w:hAnsi="Arial" w:cs="Arial"/>
          <w:b/>
          <w:bCs/>
          <w:i/>
          <w:iCs/>
          <w:sz w:val="22"/>
          <w:szCs w:val="22"/>
          <w:u w:val="single"/>
          <w:lang w:val="en-GB"/>
        </w:rPr>
      </w:pPr>
      <w:r w:rsidRPr="00B674BF">
        <w:rPr>
          <w:rFonts w:ascii="Arial" w:hAnsi="Arial" w:cs="Arial"/>
          <w:b/>
          <w:bCs/>
          <w:i/>
          <w:iCs/>
          <w:sz w:val="22"/>
          <w:szCs w:val="22"/>
          <w:u w:val="single"/>
          <w:lang w:val="en-GB"/>
        </w:rPr>
        <w:t xml:space="preserve"> </w:t>
      </w:r>
    </w:p>
    <w:p w14:paraId="27FE742D" w14:textId="6978D9DB" w:rsidR="009B0723" w:rsidRPr="00B674BF" w:rsidRDefault="009B4976" w:rsidP="002A37BB">
      <w:pPr>
        <w:jc w:val="both"/>
        <w:rPr>
          <w:rFonts w:ascii="Arial" w:hAnsi="Arial" w:cs="Arial"/>
          <w:i/>
          <w:iCs/>
          <w:sz w:val="22"/>
          <w:szCs w:val="22"/>
          <w:u w:val="single"/>
          <w:lang w:val="en-GB"/>
        </w:rPr>
      </w:pPr>
      <w:r w:rsidRPr="00B674BF">
        <w:rPr>
          <w:rFonts w:ascii="Arial" w:hAnsi="Arial" w:cs="Arial"/>
          <w:i/>
          <w:iCs/>
          <w:sz w:val="22"/>
          <w:szCs w:val="22"/>
          <w:u w:val="single"/>
          <w:lang w:val="en-GB"/>
        </w:rPr>
        <w:t xml:space="preserve">Assume that the </w:t>
      </w:r>
      <w:r w:rsidR="00E03AF0" w:rsidRPr="00B674BF">
        <w:rPr>
          <w:rFonts w:ascii="Arial" w:hAnsi="Arial" w:cs="Arial"/>
          <w:i/>
          <w:iCs/>
          <w:sz w:val="22"/>
          <w:szCs w:val="22"/>
          <w:u w:val="single"/>
          <w:lang w:val="en-GB"/>
        </w:rPr>
        <w:t>Dublin High Court</w:t>
      </w:r>
      <w:r w:rsidRPr="00B674BF">
        <w:rPr>
          <w:rFonts w:ascii="Arial" w:hAnsi="Arial" w:cs="Arial"/>
          <w:i/>
          <w:iCs/>
          <w:sz w:val="22"/>
          <w:szCs w:val="22"/>
          <w:u w:val="single"/>
          <w:lang w:val="en-GB"/>
        </w:rPr>
        <w:t xml:space="preserve"> open</w:t>
      </w:r>
      <w:r w:rsidR="00E03AF0" w:rsidRPr="00B674BF">
        <w:rPr>
          <w:rFonts w:ascii="Arial" w:hAnsi="Arial" w:cs="Arial"/>
          <w:i/>
          <w:iCs/>
          <w:sz w:val="22"/>
          <w:szCs w:val="22"/>
          <w:u w:val="single"/>
          <w:lang w:val="en-GB"/>
        </w:rPr>
        <w:t>s the respective proceeding on 30</w:t>
      </w:r>
      <w:r w:rsidRPr="00B674BF">
        <w:rPr>
          <w:rFonts w:ascii="Arial" w:hAnsi="Arial" w:cs="Arial"/>
          <w:i/>
          <w:iCs/>
          <w:sz w:val="22"/>
          <w:szCs w:val="22"/>
          <w:u w:val="single"/>
          <w:lang w:val="en-GB"/>
        </w:rPr>
        <w:t xml:space="preserve"> June 2017. Will the EIR Recast be applicable? Your answer should address the EIR Recast’s scope and contain </w:t>
      </w:r>
      <w:r w:rsidRPr="00B674BF">
        <w:rPr>
          <w:rFonts w:ascii="Arial" w:hAnsi="Arial" w:cs="Arial"/>
          <w:b/>
          <w:bCs/>
          <w:i/>
          <w:iCs/>
          <w:sz w:val="22"/>
          <w:szCs w:val="22"/>
          <w:u w:val="single"/>
          <w:lang w:val="en-GB"/>
        </w:rPr>
        <w:t>all</w:t>
      </w:r>
      <w:r w:rsidRPr="00B674BF">
        <w:rPr>
          <w:rFonts w:ascii="Arial" w:hAnsi="Arial" w:cs="Arial"/>
          <w:i/>
          <w:iCs/>
          <w:sz w:val="22"/>
          <w:szCs w:val="22"/>
          <w:u w:val="single"/>
          <w:lang w:val="en-GB"/>
        </w:rPr>
        <w:t xml:space="preserve"> steps taken to answer the question.</w:t>
      </w:r>
    </w:p>
    <w:p w14:paraId="1629A05A" w14:textId="55F95318" w:rsidR="00B674BF" w:rsidRPr="00B674BF" w:rsidRDefault="00B674BF" w:rsidP="00B674BF">
      <w:pPr>
        <w:autoSpaceDE w:val="0"/>
        <w:autoSpaceDN w:val="0"/>
        <w:adjustRightInd w:val="0"/>
        <w:rPr>
          <w:rFonts w:ascii="Arial" w:hAnsi="Arial" w:cs="Arial"/>
          <w:i/>
          <w:iCs/>
          <w:sz w:val="22"/>
          <w:szCs w:val="22"/>
          <w:u w:val="single"/>
          <w:lang w:val="en-GB"/>
        </w:rPr>
      </w:pPr>
    </w:p>
    <w:p w14:paraId="58F5949C" w14:textId="7DDAE504" w:rsidR="00B674BF" w:rsidRPr="00B674BF" w:rsidRDefault="00B674BF" w:rsidP="00B674BF">
      <w:pPr>
        <w:autoSpaceDE w:val="0"/>
        <w:autoSpaceDN w:val="0"/>
        <w:adjustRightInd w:val="0"/>
        <w:rPr>
          <w:rFonts w:ascii="Arial" w:hAnsi="Arial" w:cs="Arial"/>
          <w:i/>
          <w:iCs/>
          <w:sz w:val="22"/>
          <w:szCs w:val="22"/>
          <w:u w:val="single"/>
          <w:lang w:val="en-GB"/>
        </w:rPr>
      </w:pPr>
      <w:r w:rsidRPr="00B674BF">
        <w:rPr>
          <w:rFonts w:ascii="Arial" w:hAnsi="Arial" w:cs="Arial"/>
          <w:i/>
          <w:iCs/>
          <w:sz w:val="22"/>
          <w:szCs w:val="22"/>
          <w:u w:val="single"/>
          <w:lang w:val="en-GB"/>
        </w:rPr>
        <w:t xml:space="preserve">The different scopes will need to be assessed and questions will need to be answered. The different scopes are temporal scope, personal scope, material scope, geographical scope. </w:t>
      </w:r>
    </w:p>
    <w:p w14:paraId="0C091E6E" w14:textId="54E11835" w:rsidR="00B674BF" w:rsidRPr="00B674BF" w:rsidRDefault="00B674BF" w:rsidP="00B674BF">
      <w:pPr>
        <w:autoSpaceDE w:val="0"/>
        <w:autoSpaceDN w:val="0"/>
        <w:adjustRightInd w:val="0"/>
        <w:rPr>
          <w:rFonts w:ascii="Arial" w:hAnsi="Arial" w:cs="Arial"/>
          <w:i/>
          <w:iCs/>
          <w:sz w:val="22"/>
          <w:szCs w:val="22"/>
          <w:u w:val="single"/>
          <w:lang w:val="en-GB"/>
        </w:rPr>
      </w:pPr>
    </w:p>
    <w:p w14:paraId="5A6A9693" w14:textId="5E43C6B9" w:rsidR="00B674BF" w:rsidRPr="00B674BF" w:rsidRDefault="00B674BF" w:rsidP="00B674BF">
      <w:pPr>
        <w:autoSpaceDE w:val="0"/>
        <w:autoSpaceDN w:val="0"/>
        <w:adjustRightInd w:val="0"/>
        <w:rPr>
          <w:rFonts w:ascii="Arial" w:hAnsi="Arial" w:cs="Arial"/>
          <w:i/>
          <w:iCs/>
          <w:sz w:val="22"/>
          <w:szCs w:val="22"/>
          <w:u w:val="single"/>
          <w:lang w:val="en-GB"/>
        </w:rPr>
      </w:pPr>
      <w:r w:rsidRPr="00B674BF">
        <w:rPr>
          <w:rFonts w:ascii="Arial" w:hAnsi="Arial" w:cs="Arial"/>
          <w:i/>
          <w:iCs/>
          <w:sz w:val="22"/>
          <w:szCs w:val="22"/>
          <w:u w:val="single"/>
          <w:lang w:val="en-GB"/>
        </w:rPr>
        <w:t xml:space="preserve">A step-by-step plan can be drawn as followed: </w:t>
      </w:r>
    </w:p>
    <w:p w14:paraId="692B9FC4" w14:textId="499D1179" w:rsidR="00B674BF" w:rsidRPr="00B674BF" w:rsidRDefault="00B674BF" w:rsidP="00B674BF">
      <w:pPr>
        <w:autoSpaceDE w:val="0"/>
        <w:autoSpaceDN w:val="0"/>
        <w:adjustRightInd w:val="0"/>
        <w:rPr>
          <w:rFonts w:ascii="Arial" w:hAnsi="Arial" w:cs="Arial"/>
          <w:i/>
          <w:iCs/>
          <w:sz w:val="22"/>
          <w:szCs w:val="22"/>
          <w:u w:val="single"/>
          <w:lang w:val="en-GB"/>
        </w:rPr>
      </w:pPr>
    </w:p>
    <w:p w14:paraId="29B41EAF" w14:textId="10B7EB83" w:rsidR="00B674BF" w:rsidRPr="00B674BF" w:rsidRDefault="00B674BF" w:rsidP="00B674BF">
      <w:pPr>
        <w:pStyle w:val="ListParagraph"/>
        <w:numPr>
          <w:ilvl w:val="0"/>
          <w:numId w:val="12"/>
        </w:numPr>
        <w:autoSpaceDE w:val="0"/>
        <w:autoSpaceDN w:val="0"/>
        <w:adjustRightInd w:val="0"/>
        <w:rPr>
          <w:rFonts w:ascii="Arial" w:hAnsi="Arial" w:cs="Arial"/>
          <w:i/>
          <w:iCs/>
          <w:sz w:val="22"/>
          <w:szCs w:val="22"/>
          <w:u w:val="single"/>
          <w:lang w:val="en-GB"/>
        </w:rPr>
      </w:pPr>
      <w:r w:rsidRPr="00B674BF">
        <w:rPr>
          <w:rFonts w:ascii="Arial" w:hAnsi="Arial" w:cs="Arial"/>
          <w:i/>
          <w:iCs/>
          <w:sz w:val="22"/>
          <w:szCs w:val="22"/>
          <w:u w:val="single"/>
          <w:lang w:val="en-GB"/>
        </w:rPr>
        <w:t xml:space="preserve">The debtor has centre of main interest in a member state of the EU, except Demark. </w:t>
      </w:r>
    </w:p>
    <w:p w14:paraId="7AD2AA2C" w14:textId="2033EFF8" w:rsidR="00B674BF" w:rsidRPr="00B674BF" w:rsidRDefault="00B674BF" w:rsidP="00B674BF">
      <w:pPr>
        <w:pStyle w:val="ListParagraph"/>
        <w:numPr>
          <w:ilvl w:val="0"/>
          <w:numId w:val="12"/>
        </w:numPr>
        <w:autoSpaceDE w:val="0"/>
        <w:autoSpaceDN w:val="0"/>
        <w:adjustRightInd w:val="0"/>
        <w:rPr>
          <w:rFonts w:ascii="Arial" w:hAnsi="Arial" w:cs="Arial"/>
          <w:i/>
          <w:iCs/>
          <w:sz w:val="22"/>
          <w:szCs w:val="22"/>
          <w:u w:val="single"/>
          <w:lang w:val="en-GB"/>
        </w:rPr>
      </w:pPr>
      <w:r w:rsidRPr="00B674BF">
        <w:rPr>
          <w:rFonts w:ascii="Arial" w:hAnsi="Arial" w:cs="Arial"/>
          <w:i/>
          <w:iCs/>
          <w:sz w:val="22"/>
          <w:szCs w:val="22"/>
          <w:u w:val="single"/>
          <w:lang w:val="en-GB"/>
        </w:rPr>
        <w:t xml:space="preserve">The debtor is not a bank, insurance company or another excluded undertaking </w:t>
      </w:r>
    </w:p>
    <w:p w14:paraId="0389C75A" w14:textId="4EDB88A6" w:rsidR="00B674BF" w:rsidRPr="00B674BF" w:rsidRDefault="00B674BF" w:rsidP="00B674BF">
      <w:pPr>
        <w:pStyle w:val="ListParagraph"/>
        <w:numPr>
          <w:ilvl w:val="0"/>
          <w:numId w:val="12"/>
        </w:numPr>
        <w:autoSpaceDE w:val="0"/>
        <w:autoSpaceDN w:val="0"/>
        <w:adjustRightInd w:val="0"/>
        <w:rPr>
          <w:rFonts w:ascii="Arial" w:hAnsi="Arial" w:cs="Arial"/>
          <w:i/>
          <w:iCs/>
          <w:sz w:val="22"/>
          <w:szCs w:val="22"/>
          <w:u w:val="single"/>
          <w:lang w:val="en-GB"/>
        </w:rPr>
      </w:pPr>
      <w:r w:rsidRPr="00B674BF">
        <w:rPr>
          <w:rFonts w:ascii="Arial" w:hAnsi="Arial" w:cs="Arial"/>
          <w:i/>
          <w:iCs/>
          <w:sz w:val="22"/>
          <w:szCs w:val="22"/>
          <w:u w:val="single"/>
          <w:lang w:val="en-GB"/>
        </w:rPr>
        <w:t>The proceeding opened against the debtor is listed in Annex A to the EIR Recast</w:t>
      </w:r>
    </w:p>
    <w:p w14:paraId="571632C7" w14:textId="2E697234" w:rsidR="00B674BF" w:rsidRPr="00B674BF" w:rsidRDefault="00B674BF" w:rsidP="00B674BF">
      <w:pPr>
        <w:pStyle w:val="ListParagraph"/>
        <w:numPr>
          <w:ilvl w:val="0"/>
          <w:numId w:val="12"/>
        </w:numPr>
        <w:autoSpaceDE w:val="0"/>
        <w:autoSpaceDN w:val="0"/>
        <w:adjustRightInd w:val="0"/>
        <w:rPr>
          <w:rFonts w:ascii="Arial" w:hAnsi="Arial" w:cs="Arial"/>
          <w:i/>
          <w:iCs/>
          <w:sz w:val="22"/>
          <w:szCs w:val="22"/>
          <w:u w:val="single"/>
          <w:lang w:val="en-GB"/>
        </w:rPr>
      </w:pPr>
      <w:r w:rsidRPr="00B674BF">
        <w:rPr>
          <w:rFonts w:ascii="Arial" w:hAnsi="Arial" w:cs="Arial"/>
          <w:i/>
          <w:iCs/>
          <w:sz w:val="22"/>
          <w:szCs w:val="22"/>
          <w:u w:val="single"/>
          <w:lang w:val="en-GB"/>
        </w:rPr>
        <w:t>The proceeding is opened after 26</w:t>
      </w:r>
      <w:r w:rsidRPr="00B674BF">
        <w:rPr>
          <w:rFonts w:ascii="Arial" w:hAnsi="Arial" w:cs="Arial"/>
          <w:i/>
          <w:iCs/>
          <w:sz w:val="22"/>
          <w:szCs w:val="22"/>
          <w:u w:val="single"/>
          <w:vertAlign w:val="superscript"/>
          <w:lang w:val="en-GB"/>
        </w:rPr>
        <w:t>th</w:t>
      </w:r>
      <w:r w:rsidRPr="00B674BF">
        <w:rPr>
          <w:rFonts w:ascii="Arial" w:hAnsi="Arial" w:cs="Arial"/>
          <w:i/>
          <w:iCs/>
          <w:sz w:val="22"/>
          <w:szCs w:val="22"/>
          <w:u w:val="single"/>
          <w:lang w:val="en-GB"/>
        </w:rPr>
        <w:t xml:space="preserve"> June 2017. </w:t>
      </w:r>
    </w:p>
    <w:p w14:paraId="1E4EF03C" w14:textId="5AACE9A4" w:rsidR="00B674BF" w:rsidRPr="00B674BF" w:rsidRDefault="00B674BF" w:rsidP="00B674BF">
      <w:pPr>
        <w:autoSpaceDE w:val="0"/>
        <w:autoSpaceDN w:val="0"/>
        <w:adjustRightInd w:val="0"/>
        <w:rPr>
          <w:rFonts w:ascii="Arial" w:hAnsi="Arial" w:cs="Arial"/>
          <w:i/>
          <w:iCs/>
          <w:sz w:val="22"/>
          <w:szCs w:val="22"/>
          <w:u w:val="single"/>
          <w:lang w:val="en-GB"/>
        </w:rPr>
      </w:pPr>
    </w:p>
    <w:p w14:paraId="368C2C0B" w14:textId="153BF8A4" w:rsidR="00B674BF" w:rsidRPr="00B674BF" w:rsidRDefault="00B674BF" w:rsidP="00B674BF">
      <w:pPr>
        <w:autoSpaceDE w:val="0"/>
        <w:autoSpaceDN w:val="0"/>
        <w:adjustRightInd w:val="0"/>
        <w:rPr>
          <w:rFonts w:ascii="Arial" w:hAnsi="Arial" w:cs="Arial"/>
          <w:i/>
          <w:iCs/>
          <w:sz w:val="22"/>
          <w:szCs w:val="22"/>
          <w:u w:val="single"/>
          <w:lang w:val="en-GB"/>
        </w:rPr>
      </w:pPr>
      <w:r w:rsidRPr="00B674BF">
        <w:rPr>
          <w:rFonts w:ascii="Arial" w:hAnsi="Arial" w:cs="Arial"/>
          <w:i/>
          <w:iCs/>
          <w:sz w:val="22"/>
          <w:szCs w:val="22"/>
          <w:u w:val="single"/>
          <w:lang w:val="en-GB"/>
        </w:rPr>
        <w:t>The answer to call these questions are Yes, so there the EIR Recast will be applicable.</w:t>
      </w:r>
    </w:p>
    <w:p w14:paraId="5AE4F3CA" w14:textId="4CD1AA05" w:rsidR="00B674BF" w:rsidRPr="008500BD" w:rsidRDefault="00B674BF"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6A82A57E" w:rsidR="0077498C" w:rsidRDefault="00B674BF" w:rsidP="002A37BB">
      <w:pPr>
        <w:jc w:val="both"/>
        <w:rPr>
          <w:rFonts w:ascii="Arial" w:hAnsi="Arial" w:cs="Arial"/>
          <w:i/>
          <w:iCs/>
          <w:sz w:val="22"/>
          <w:szCs w:val="22"/>
          <w:u w:val="single"/>
          <w:lang w:val="en-GB"/>
        </w:rPr>
      </w:pPr>
      <w:r w:rsidRPr="00B674BF">
        <w:rPr>
          <w:rFonts w:ascii="Arial" w:hAnsi="Arial" w:cs="Arial"/>
          <w:i/>
          <w:iCs/>
          <w:sz w:val="22"/>
          <w:szCs w:val="22"/>
          <w:u w:val="single"/>
          <w:lang w:val="en-GB"/>
        </w:rPr>
        <w:lastRenderedPageBreak/>
        <w:t>According to Article 3(2) EIR Recast, it is allowed that there is the opening of secondary proceeding in any Member state where the debtor possesses an establishment. Since Cardinal Home’s has warehouses in Milan, Italy, a secondary insolvency proceeding can be opened in that state.</w:t>
      </w:r>
    </w:p>
    <w:p w14:paraId="3113C50A" w14:textId="5E7AEA8C" w:rsidR="00B674BF" w:rsidRDefault="00B674BF" w:rsidP="002A37BB">
      <w:pPr>
        <w:jc w:val="both"/>
        <w:rPr>
          <w:rFonts w:ascii="Arial" w:hAnsi="Arial" w:cs="Arial"/>
          <w:i/>
          <w:iCs/>
          <w:sz w:val="22"/>
          <w:szCs w:val="22"/>
          <w:u w:val="single"/>
          <w:lang w:val="en-GB"/>
        </w:rPr>
      </w:pPr>
    </w:p>
    <w:p w14:paraId="2C84D580" w14:textId="3478E3F5" w:rsidR="00B674BF" w:rsidRDefault="00B674BF" w:rsidP="002A37BB">
      <w:pPr>
        <w:jc w:val="both"/>
        <w:rPr>
          <w:rFonts w:ascii="Arial" w:hAnsi="Arial" w:cs="Arial"/>
          <w:i/>
          <w:iCs/>
          <w:sz w:val="22"/>
          <w:szCs w:val="22"/>
          <w:u w:val="single"/>
          <w:lang w:val="en-GB"/>
        </w:rPr>
      </w:pPr>
      <w:r>
        <w:rPr>
          <w:rFonts w:ascii="Arial" w:hAnsi="Arial" w:cs="Arial"/>
          <w:i/>
          <w:iCs/>
          <w:sz w:val="22"/>
          <w:szCs w:val="22"/>
          <w:u w:val="single"/>
          <w:lang w:val="en-GB"/>
        </w:rPr>
        <w:t xml:space="preserve">According to Recital 23, the opening of the secondary proceedings, would run in parallel with the main proceedings and will only be allowed to produce effects on assets that are within that state </w:t>
      </w:r>
      <w:proofErr w:type="gramStart"/>
      <w:r>
        <w:rPr>
          <w:rFonts w:ascii="Arial" w:hAnsi="Arial" w:cs="Arial"/>
          <w:i/>
          <w:iCs/>
          <w:sz w:val="22"/>
          <w:szCs w:val="22"/>
          <w:u w:val="single"/>
          <w:lang w:val="en-GB"/>
        </w:rPr>
        <w:t>In</w:t>
      </w:r>
      <w:proofErr w:type="gramEnd"/>
      <w:r>
        <w:rPr>
          <w:rFonts w:ascii="Arial" w:hAnsi="Arial" w:cs="Arial"/>
          <w:i/>
          <w:iCs/>
          <w:sz w:val="22"/>
          <w:szCs w:val="22"/>
          <w:u w:val="single"/>
          <w:lang w:val="en-GB"/>
        </w:rPr>
        <w:t xml:space="preserve"> which the secondary proceedings is taking place.</w:t>
      </w:r>
    </w:p>
    <w:p w14:paraId="1CCE0393" w14:textId="266BE284" w:rsidR="00B674BF" w:rsidRDefault="00B674BF" w:rsidP="002A37BB">
      <w:pPr>
        <w:jc w:val="both"/>
        <w:rPr>
          <w:rFonts w:ascii="Arial" w:hAnsi="Arial" w:cs="Arial"/>
          <w:i/>
          <w:iCs/>
          <w:sz w:val="22"/>
          <w:szCs w:val="22"/>
          <w:u w:val="single"/>
          <w:lang w:val="en-GB"/>
        </w:rPr>
      </w:pPr>
    </w:p>
    <w:p w14:paraId="13DD99B4" w14:textId="2886D802" w:rsidR="00B674BF" w:rsidRPr="00B674BF" w:rsidRDefault="00B674BF" w:rsidP="002A37BB">
      <w:pPr>
        <w:jc w:val="both"/>
        <w:rPr>
          <w:rFonts w:ascii="Arial" w:hAnsi="Arial" w:cs="Arial"/>
          <w:i/>
          <w:iCs/>
          <w:sz w:val="22"/>
          <w:szCs w:val="22"/>
          <w:u w:val="single"/>
          <w:lang w:val="en-GB"/>
        </w:rPr>
      </w:pPr>
      <w:r>
        <w:rPr>
          <w:rFonts w:ascii="Arial" w:hAnsi="Arial" w:cs="Arial"/>
          <w:i/>
          <w:iCs/>
          <w:sz w:val="22"/>
          <w:szCs w:val="22"/>
          <w:u w:val="single"/>
          <w:lang w:val="en-GB"/>
        </w:rPr>
        <w:t xml:space="preserve">The CJEU to back this is that of </w:t>
      </w:r>
      <w:proofErr w:type="spellStart"/>
      <w:r>
        <w:rPr>
          <w:rFonts w:ascii="Arial" w:hAnsi="Arial" w:cs="Arial"/>
          <w:i/>
          <w:iCs/>
          <w:sz w:val="22"/>
          <w:szCs w:val="22"/>
          <w:u w:val="single"/>
          <w:lang w:val="en-GB"/>
        </w:rPr>
        <w:t>Eurofood</w:t>
      </w:r>
      <w:proofErr w:type="spellEnd"/>
      <w:r>
        <w:rPr>
          <w:rFonts w:ascii="Arial" w:hAnsi="Arial" w:cs="Arial"/>
          <w:i/>
          <w:iCs/>
          <w:sz w:val="22"/>
          <w:szCs w:val="22"/>
          <w:u w:val="single"/>
          <w:lang w:val="en-GB"/>
        </w:rPr>
        <w:t xml:space="preserve"> IFSC Ltd. </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7073A" w14:textId="77777777" w:rsidR="00CD3CA4" w:rsidRDefault="00CD3CA4" w:rsidP="00241B44">
      <w:r>
        <w:separator/>
      </w:r>
    </w:p>
  </w:endnote>
  <w:endnote w:type="continuationSeparator" w:id="0">
    <w:p w14:paraId="66923A32" w14:textId="77777777" w:rsidR="00CD3CA4" w:rsidRDefault="00CD3CA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66B181B5" w:rsidR="00D509A5" w:rsidRPr="009B4976" w:rsidRDefault="00B674BF" w:rsidP="009B4976">
    <w:pPr>
      <w:pStyle w:val="Footer"/>
      <w:ind w:right="360"/>
      <w:rPr>
        <w:rFonts w:ascii="Arial" w:hAnsi="Arial" w:cs="Arial"/>
        <w:sz w:val="18"/>
        <w:szCs w:val="18"/>
        <w:lang w:val="en-GB"/>
      </w:rPr>
    </w:pPr>
    <w:r>
      <w:rPr>
        <w:rFonts w:ascii="Arial" w:hAnsi="Arial" w:cs="Arial"/>
        <w:sz w:val="18"/>
        <w:szCs w:val="18"/>
        <w:lang w:val="en-GB"/>
      </w:rPr>
      <w:t>202122-555</w:t>
    </w:r>
    <w:r w:rsidR="00D509A5" w:rsidRPr="009B4976">
      <w:rPr>
        <w:rFonts w:ascii="Arial" w:hAnsi="Arial" w:cs="Arial"/>
        <w:sz w:val="18"/>
        <w:szCs w:val="18"/>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C5CE8" w14:textId="77777777" w:rsidR="00B674BF" w:rsidRDefault="00B67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1987B" w14:textId="77777777" w:rsidR="00CD3CA4" w:rsidRDefault="00CD3CA4" w:rsidP="00241B44">
      <w:r>
        <w:separator/>
      </w:r>
    </w:p>
  </w:footnote>
  <w:footnote w:type="continuationSeparator" w:id="0">
    <w:p w14:paraId="7C753DD4" w14:textId="77777777" w:rsidR="00CD3CA4" w:rsidRDefault="00CD3CA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31CF" w14:textId="77777777" w:rsidR="00B674BF" w:rsidRDefault="00B67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CB4F" w14:textId="77777777" w:rsidR="00B674BF" w:rsidRDefault="00B67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64EA" w14:textId="77777777" w:rsidR="00B674BF" w:rsidRDefault="00B67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C620034"/>
    <w:multiLevelType w:val="hybridMultilevel"/>
    <w:tmpl w:val="ACA6E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70552"/>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76C89"/>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3F7B4E"/>
    <w:rsid w:val="00404329"/>
    <w:rsid w:val="00405DC1"/>
    <w:rsid w:val="00415F1F"/>
    <w:rsid w:val="004202D2"/>
    <w:rsid w:val="0042108F"/>
    <w:rsid w:val="00430FED"/>
    <w:rsid w:val="00434A8C"/>
    <w:rsid w:val="00437297"/>
    <w:rsid w:val="00444284"/>
    <w:rsid w:val="00445CE6"/>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FDF"/>
    <w:rsid w:val="005177FE"/>
    <w:rsid w:val="00520446"/>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435A"/>
    <w:rsid w:val="006B4C64"/>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36DF6"/>
    <w:rsid w:val="007603F5"/>
    <w:rsid w:val="00764DB0"/>
    <w:rsid w:val="0076764D"/>
    <w:rsid w:val="0077498C"/>
    <w:rsid w:val="007772BD"/>
    <w:rsid w:val="007809BC"/>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11E80"/>
    <w:rsid w:val="00A17858"/>
    <w:rsid w:val="00A2274A"/>
    <w:rsid w:val="00A235B7"/>
    <w:rsid w:val="00A27A7A"/>
    <w:rsid w:val="00A407EF"/>
    <w:rsid w:val="00A46B4C"/>
    <w:rsid w:val="00A5117B"/>
    <w:rsid w:val="00A54CB5"/>
    <w:rsid w:val="00A60074"/>
    <w:rsid w:val="00A620A6"/>
    <w:rsid w:val="00A62FDA"/>
    <w:rsid w:val="00A6627C"/>
    <w:rsid w:val="00A71019"/>
    <w:rsid w:val="00A803EB"/>
    <w:rsid w:val="00A81029"/>
    <w:rsid w:val="00A96489"/>
    <w:rsid w:val="00AB685C"/>
    <w:rsid w:val="00AB6C2D"/>
    <w:rsid w:val="00AC08F7"/>
    <w:rsid w:val="00AC3839"/>
    <w:rsid w:val="00AC7082"/>
    <w:rsid w:val="00AD2931"/>
    <w:rsid w:val="00AD513F"/>
    <w:rsid w:val="00AD6870"/>
    <w:rsid w:val="00AE2316"/>
    <w:rsid w:val="00AE74BA"/>
    <w:rsid w:val="00AF228E"/>
    <w:rsid w:val="00B016A8"/>
    <w:rsid w:val="00B12499"/>
    <w:rsid w:val="00B12EF7"/>
    <w:rsid w:val="00B14819"/>
    <w:rsid w:val="00B15E2F"/>
    <w:rsid w:val="00B17AA9"/>
    <w:rsid w:val="00B30D9A"/>
    <w:rsid w:val="00B44713"/>
    <w:rsid w:val="00B56103"/>
    <w:rsid w:val="00B64929"/>
    <w:rsid w:val="00B674BF"/>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BF6D10"/>
    <w:rsid w:val="00C00B20"/>
    <w:rsid w:val="00C02F29"/>
    <w:rsid w:val="00C20AFE"/>
    <w:rsid w:val="00C22A25"/>
    <w:rsid w:val="00C35671"/>
    <w:rsid w:val="00C35B77"/>
    <w:rsid w:val="00C376EB"/>
    <w:rsid w:val="00C37A79"/>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6F1C"/>
    <w:rsid w:val="00C8712A"/>
    <w:rsid w:val="00C963D3"/>
    <w:rsid w:val="00CB1983"/>
    <w:rsid w:val="00CB2CBB"/>
    <w:rsid w:val="00CB7CAC"/>
    <w:rsid w:val="00CC5335"/>
    <w:rsid w:val="00CC5BA4"/>
    <w:rsid w:val="00CD3CA4"/>
    <w:rsid w:val="00CD4998"/>
    <w:rsid w:val="00CE1035"/>
    <w:rsid w:val="00CE6E50"/>
    <w:rsid w:val="00CF2819"/>
    <w:rsid w:val="00CF4F9D"/>
    <w:rsid w:val="00CF70DC"/>
    <w:rsid w:val="00D148DC"/>
    <w:rsid w:val="00D17FDC"/>
    <w:rsid w:val="00D21F62"/>
    <w:rsid w:val="00D26E26"/>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231"/>
    <w:rsid w:val="00EB5CA4"/>
    <w:rsid w:val="00EC00F9"/>
    <w:rsid w:val="00ED0BC4"/>
    <w:rsid w:val="00ED20E8"/>
    <w:rsid w:val="00ED472A"/>
    <w:rsid w:val="00ED54B6"/>
    <w:rsid w:val="00EE4971"/>
    <w:rsid w:val="00EF090E"/>
    <w:rsid w:val="00F033DA"/>
    <w:rsid w:val="00F13FB1"/>
    <w:rsid w:val="00F222C2"/>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391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B7F7726"/>
  <w14:defaultImageDpi w14:val="32767"/>
  <w15:docId w15:val="{7822B8E4-CC90-4F9A-AAD5-2C1996A7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Kyla Forbes</cp:lastModifiedBy>
  <cp:revision>2</cp:revision>
  <cp:lastPrinted>2019-08-27T05:42:00Z</cp:lastPrinted>
  <dcterms:created xsi:type="dcterms:W3CDTF">2022-03-01T21:11:00Z</dcterms:created>
  <dcterms:modified xsi:type="dcterms:W3CDTF">2022-03-01T21:11:00Z</dcterms:modified>
</cp:coreProperties>
</file>