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B12EF7">
        <w:rPr>
          <w:rFonts w:ascii="Arial" w:hAnsi="Arial" w:cs="Arial"/>
          <w:b/>
          <w:color w:val="000000" w:themeColor="text1"/>
          <w:lang w:val="en-GB"/>
        </w:rPr>
        <w:t xml:space="preserve">SUMMATIVE (FORMAL) </w:t>
      </w:r>
      <w:r w:rsidR="009D0811" w:rsidRPr="00B12EF7">
        <w:rPr>
          <w:rFonts w:ascii="Arial" w:hAnsi="Arial" w:cs="Arial"/>
          <w:b/>
          <w:color w:val="000000" w:themeColor="text1"/>
          <w:lang w:val="en-GB"/>
        </w:rPr>
        <w:t xml:space="preserve">ASSESSMENT: MODULE </w:t>
      </w:r>
      <w:r w:rsidR="00996691" w:rsidRPr="00B12EF7">
        <w:rPr>
          <w:rFonts w:ascii="Arial" w:hAnsi="Arial" w:cs="Arial"/>
          <w:b/>
          <w:color w:val="000000" w:themeColor="text1"/>
          <w:lang w:val="en-GB"/>
        </w:rPr>
        <w:t>2</w:t>
      </w:r>
      <w:r w:rsidR="00C52796" w:rsidRPr="00B12EF7">
        <w:rPr>
          <w:rFonts w:ascii="Arial" w:hAnsi="Arial" w:cs="Arial"/>
          <w:b/>
          <w:color w:val="000000" w:themeColor="text1"/>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B12EF7">
        <w:rPr>
          <w:rFonts w:ascii="Arial" w:hAnsi="Arial" w:cs="Arial"/>
          <w:b/>
          <w:color w:val="000000" w:themeColor="text1"/>
          <w:lang w:val="en-GB"/>
        </w:rPr>
        <w:t xml:space="preserve">THE </w:t>
      </w:r>
      <w:r w:rsidR="00C52796" w:rsidRPr="00B12EF7">
        <w:rPr>
          <w:rFonts w:ascii="Arial" w:hAnsi="Arial" w:cs="Arial"/>
          <w:b/>
          <w:color w:val="000000" w:themeColor="text1"/>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rPr>
        <w:t>[student</w:t>
      </w:r>
      <w:r w:rsidR="00B12EF7">
        <w:rPr>
          <w:rFonts w:ascii="Arial" w:hAnsi="Arial" w:cs="Arial"/>
          <w:b/>
          <w:bCs/>
          <w:sz w:val="22"/>
          <w:szCs w:val="22"/>
          <w:lang w:val="en-GB"/>
        </w:rPr>
        <w:t>ID</w:t>
      </w:r>
      <w:r w:rsidRPr="00BF1C6F">
        <w:rPr>
          <w:rFonts w:ascii="Arial" w:hAnsi="Arial" w:cs="Arial"/>
          <w:b/>
          <w:bCs/>
          <w:sz w:val="22"/>
          <w:szCs w:val="22"/>
          <w:lang w:val="en-GB"/>
        </w:rPr>
        <w:t>.assessment</w:t>
      </w:r>
      <w:r w:rsidR="00894C1D">
        <w:rPr>
          <w:rFonts w:ascii="Arial" w:hAnsi="Arial" w:cs="Arial"/>
          <w:b/>
          <w:bCs/>
          <w:sz w:val="22"/>
          <w:szCs w:val="22"/>
          <w:lang w:val="en-GB"/>
        </w:rPr>
        <w:t>2B</w:t>
      </w:r>
      <w:r w:rsidRPr="00BF1C6F">
        <w:rPr>
          <w:rFonts w:ascii="Arial" w:hAnsi="Arial" w:cs="Arial"/>
          <w:b/>
          <w:bCs/>
          <w:sz w:val="22"/>
          <w:szCs w:val="22"/>
          <w:lang w:val="en-GB"/>
        </w:rPr>
        <w:t>]</w:t>
      </w:r>
      <w:r w:rsidRPr="00BF1C6F">
        <w:rPr>
          <w:rFonts w:ascii="Arial" w:hAnsi="Arial" w:cs="Arial"/>
          <w:sz w:val="22"/>
          <w:szCs w:val="22"/>
          <w:lang w:val="en-GB"/>
        </w:rPr>
        <w:t>. An example would be something along the following lines: 202</w:t>
      </w:r>
      <w:r w:rsidR="00B12EF7">
        <w:rPr>
          <w:rFonts w:ascii="Arial" w:hAnsi="Arial" w:cs="Arial"/>
          <w:sz w:val="22"/>
          <w:szCs w:val="22"/>
          <w:lang w:val="en-GB"/>
        </w:rPr>
        <w:t>11</w:t>
      </w:r>
      <w:r w:rsidRPr="00BF1C6F">
        <w:rPr>
          <w:rFonts w:ascii="Arial" w:hAnsi="Arial" w:cs="Arial"/>
          <w:sz w:val="22"/>
          <w:szCs w:val="22"/>
          <w:lang w:val="en-GB"/>
        </w:rPr>
        <w:t>2</w:t>
      </w:r>
      <w:r w:rsidR="00B12EF7">
        <w:rPr>
          <w:rFonts w:ascii="Arial" w:hAnsi="Arial" w:cs="Arial"/>
          <w:sz w:val="22"/>
          <w:szCs w:val="22"/>
          <w:lang w:val="en-GB"/>
        </w:rPr>
        <w:t>2</w:t>
      </w:r>
      <w:r w:rsidRPr="00BF1C6F">
        <w:rPr>
          <w:rFonts w:ascii="Arial" w:hAnsi="Arial" w:cs="Arial"/>
          <w:sz w:val="22"/>
          <w:szCs w:val="22"/>
          <w:lang w:val="en-GB"/>
        </w:rPr>
        <w:t>-</w:t>
      </w:r>
      <w:r w:rsidR="00B12EF7">
        <w:rPr>
          <w:rFonts w:ascii="Arial" w:hAnsi="Arial" w:cs="Arial"/>
          <w:sz w:val="22"/>
          <w:szCs w:val="22"/>
          <w:lang w:val="en-GB"/>
        </w:rPr>
        <w:t>526</w:t>
      </w:r>
      <w:r w:rsidRPr="00BF1C6F">
        <w:rPr>
          <w:rFonts w:ascii="Arial" w:hAnsi="Arial" w:cs="Arial"/>
          <w:sz w:val="22"/>
          <w:szCs w:val="22"/>
          <w:lang w:val="en-GB"/>
        </w:rPr>
        <w:t>.assessment</w:t>
      </w:r>
      <w:r w:rsidR="007E39B3">
        <w:rPr>
          <w:rFonts w:ascii="Arial" w:hAnsi="Arial" w:cs="Arial"/>
          <w:sz w:val="22"/>
          <w:szCs w:val="22"/>
          <w:lang w:val="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D65EFE" w:rsidRDefault="00D21F62" w:rsidP="003C4BCB">
      <w:pPr>
        <w:pStyle w:val="ListParagraph"/>
        <w:numPr>
          <w:ilvl w:val="0"/>
          <w:numId w:val="2"/>
        </w:numPr>
        <w:ind w:left="426"/>
        <w:jc w:val="both"/>
        <w:rPr>
          <w:rFonts w:ascii="Arial" w:hAnsi="Arial" w:cs="Arial"/>
          <w:sz w:val="22"/>
          <w:szCs w:val="22"/>
          <w:highlight w:val="yellow"/>
          <w:lang w:val="en-GB"/>
        </w:rPr>
      </w:pPr>
      <w:r w:rsidRPr="00D65EFE">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D65EFE">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D65EFE" w:rsidRDefault="006D217A" w:rsidP="006D217A">
      <w:pPr>
        <w:pStyle w:val="ListParagraph"/>
        <w:numPr>
          <w:ilvl w:val="0"/>
          <w:numId w:val="3"/>
        </w:numPr>
        <w:ind w:left="426"/>
        <w:jc w:val="both"/>
        <w:rPr>
          <w:rFonts w:ascii="Arial" w:hAnsi="Arial" w:cs="Arial"/>
          <w:iCs/>
          <w:sz w:val="22"/>
          <w:szCs w:val="22"/>
          <w:highlight w:val="yellow"/>
          <w:lang w:val="en-GB"/>
        </w:rPr>
      </w:pPr>
      <w:r w:rsidRPr="00D65EFE">
        <w:rPr>
          <w:rFonts w:ascii="Arial" w:hAnsi="Arial" w:cs="Arial"/>
          <w:iCs/>
          <w:sz w:val="22"/>
          <w:szCs w:val="22"/>
          <w:highlight w:val="yellow"/>
          <w:lang w:val="en-GB"/>
        </w:rPr>
        <w:t>False</w:t>
      </w:r>
      <w:r w:rsidR="00D21F62" w:rsidRPr="00D65EFE">
        <w:rPr>
          <w:rFonts w:ascii="Arial" w:hAnsi="Arial" w:cs="Arial"/>
          <w:iCs/>
          <w:sz w:val="22"/>
          <w:szCs w:val="22"/>
          <w:highlight w:val="yellow"/>
          <w:lang w:val="en-GB"/>
        </w:rPr>
        <w:t>.</w:t>
      </w:r>
      <w:r w:rsidRPr="00D65EFE">
        <w:rPr>
          <w:rFonts w:ascii="Arial" w:hAnsi="Arial" w:cs="Arial"/>
          <w:iCs/>
          <w:sz w:val="22"/>
          <w:szCs w:val="22"/>
          <w:highlight w:val="yellow"/>
          <w:lang w:val="en-GB"/>
        </w:rPr>
        <w:t xml:space="preserve"> </w:t>
      </w:r>
      <w:r w:rsidR="00D21F62" w:rsidRPr="00D65EFE">
        <w:rPr>
          <w:rFonts w:ascii="Arial" w:hAnsi="Arial" w:cs="Arial"/>
          <w:sz w:val="22"/>
          <w:szCs w:val="22"/>
          <w:highlight w:val="yellow"/>
          <w:lang w:val="en-GB"/>
        </w:rPr>
        <w:t>T</w:t>
      </w:r>
      <w:r w:rsidRPr="00D65EFE">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D65EFE" w:rsidRDefault="006D217A" w:rsidP="003C4BCB">
      <w:pPr>
        <w:pStyle w:val="ListParagraph"/>
        <w:numPr>
          <w:ilvl w:val="0"/>
          <w:numId w:val="4"/>
        </w:numPr>
        <w:ind w:left="426"/>
        <w:jc w:val="both"/>
        <w:rPr>
          <w:rFonts w:ascii="Arial" w:hAnsi="Arial" w:cs="Arial"/>
          <w:sz w:val="22"/>
          <w:szCs w:val="22"/>
          <w:highlight w:val="yellow"/>
          <w:lang w:val="en-GB"/>
        </w:rPr>
      </w:pPr>
      <w:r w:rsidRPr="00D65EFE">
        <w:rPr>
          <w:rFonts w:ascii="Arial" w:hAnsi="Arial" w:cs="Arial"/>
          <w:sz w:val="22"/>
          <w:szCs w:val="22"/>
          <w:highlight w:val="yellow"/>
          <w:lang w:val="en-GB"/>
        </w:rPr>
        <w:t>T</w:t>
      </w:r>
      <w:r w:rsidR="00D21F62" w:rsidRPr="00D65EFE">
        <w:rPr>
          <w:rFonts w:ascii="Arial" w:hAnsi="Arial" w:cs="Arial"/>
          <w:sz w:val="22"/>
          <w:szCs w:val="22"/>
          <w:highlight w:val="yellow"/>
          <w:lang w:val="en-GB"/>
        </w:rPr>
        <w:t>rue.</w:t>
      </w:r>
      <w:r w:rsidRPr="00D65EFE">
        <w:rPr>
          <w:rFonts w:ascii="Arial" w:hAnsi="Arial" w:cs="Arial"/>
          <w:sz w:val="22"/>
          <w:szCs w:val="22"/>
          <w:highlight w:val="yellow"/>
          <w:lang w:val="en-GB"/>
        </w:rPr>
        <w:t xml:space="preserve"> </w:t>
      </w:r>
      <w:r w:rsidR="00D21F62" w:rsidRPr="00D65EFE">
        <w:rPr>
          <w:rFonts w:ascii="Arial" w:hAnsi="Arial" w:cs="Arial"/>
          <w:sz w:val="22"/>
          <w:szCs w:val="22"/>
          <w:highlight w:val="yellow"/>
          <w:lang w:val="en-GB"/>
        </w:rPr>
        <w:t>A</w:t>
      </w:r>
      <w:r w:rsidRPr="00D65EFE">
        <w:rPr>
          <w:rFonts w:ascii="Arial" w:hAnsi="Arial" w:cs="Arial"/>
          <w:sz w:val="22"/>
          <w:szCs w:val="22"/>
          <w:highlight w:val="yellow"/>
          <w:lang w:val="en-GB"/>
        </w:rPr>
        <w:t xml:space="preserve">s a result, the EIR 2000 lacked the support of major stakeholders such as insolvency practitioners, businesses and public authorities who considered the instrument </w:t>
      </w:r>
      <w:r w:rsidR="00D21F62" w:rsidRPr="00D65EFE">
        <w:rPr>
          <w:rFonts w:ascii="Arial" w:hAnsi="Arial" w:cs="Arial"/>
          <w:sz w:val="22"/>
          <w:szCs w:val="22"/>
          <w:highlight w:val="yellow"/>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D65EFE" w:rsidRDefault="00971896" w:rsidP="003C4BCB">
      <w:pPr>
        <w:pStyle w:val="ListParagraph"/>
        <w:numPr>
          <w:ilvl w:val="0"/>
          <w:numId w:val="5"/>
        </w:numPr>
        <w:ind w:left="426"/>
        <w:jc w:val="both"/>
        <w:rPr>
          <w:rFonts w:ascii="Arial" w:hAnsi="Arial" w:cs="Arial"/>
          <w:sz w:val="22"/>
          <w:szCs w:val="22"/>
          <w:highlight w:val="yellow"/>
          <w:lang w:val="en-GB"/>
        </w:rPr>
      </w:pPr>
      <w:r w:rsidRPr="00D65EFE">
        <w:rPr>
          <w:rFonts w:ascii="Arial" w:hAnsi="Arial" w:cs="Arial"/>
          <w:sz w:val="22"/>
          <w:szCs w:val="22"/>
          <w:highlight w:val="yellow"/>
          <w:lang w:val="en-GB"/>
        </w:rPr>
        <w:t xml:space="preserve">Although the EIR Recast includes relevant and useful innovations, it has stuck with the framework of the </w:t>
      </w:r>
      <w:r w:rsidR="006F0106" w:rsidRPr="00D65EFE">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E37337" w:rsidRDefault="00935A21" w:rsidP="003C4BCB">
      <w:pPr>
        <w:pStyle w:val="ListParagraph"/>
        <w:numPr>
          <w:ilvl w:val="0"/>
          <w:numId w:val="6"/>
        </w:numPr>
        <w:ind w:left="426"/>
        <w:jc w:val="both"/>
        <w:rPr>
          <w:rFonts w:ascii="Arial" w:hAnsi="Arial" w:cs="Arial"/>
          <w:sz w:val="22"/>
          <w:szCs w:val="22"/>
          <w:lang w:val="en-GB"/>
        </w:rPr>
      </w:pPr>
      <w:r w:rsidRPr="00E37337">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E37337" w:rsidRDefault="008E7371" w:rsidP="003C4BCB">
      <w:pPr>
        <w:pStyle w:val="ListParagraph"/>
        <w:numPr>
          <w:ilvl w:val="0"/>
          <w:numId w:val="6"/>
        </w:numPr>
        <w:ind w:left="426"/>
        <w:jc w:val="both"/>
        <w:rPr>
          <w:rFonts w:ascii="Arial" w:hAnsi="Arial" w:cs="Arial"/>
          <w:sz w:val="22"/>
          <w:szCs w:val="22"/>
          <w:highlight w:val="yellow"/>
          <w:lang w:val="en-GB"/>
        </w:rPr>
      </w:pPr>
      <w:r w:rsidRPr="00E37337">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5D2CD6" w:rsidRDefault="00113E29" w:rsidP="00D509A5">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8E7371" w:rsidRPr="005D2CD6">
        <w:rPr>
          <w:rFonts w:ascii="Arial" w:hAnsi="Arial" w:cs="Arial"/>
          <w:sz w:val="22"/>
          <w:szCs w:val="22"/>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D65EFE" w:rsidRDefault="008E7371" w:rsidP="003C4BCB">
      <w:pPr>
        <w:pStyle w:val="ListParagraph"/>
        <w:numPr>
          <w:ilvl w:val="0"/>
          <w:numId w:val="7"/>
        </w:numPr>
        <w:ind w:left="426"/>
        <w:jc w:val="both"/>
        <w:rPr>
          <w:rFonts w:ascii="Arial" w:hAnsi="Arial" w:cs="Arial"/>
          <w:sz w:val="22"/>
          <w:szCs w:val="22"/>
          <w:highlight w:val="yellow"/>
          <w:lang w:val="en-GB"/>
        </w:rPr>
      </w:pPr>
      <w:r w:rsidRPr="00D65EFE">
        <w:rPr>
          <w:rFonts w:ascii="Arial" w:hAnsi="Arial" w:cs="Arial"/>
          <w:sz w:val="22"/>
          <w:szCs w:val="22"/>
          <w:highlight w:val="yellow"/>
          <w:lang w:val="en-GB"/>
        </w:rPr>
        <w:lastRenderedPageBreak/>
        <w:t xml:space="preserve">The Recast </w:t>
      </w:r>
      <w:r w:rsidR="0034705B" w:rsidRPr="00D65EFE">
        <w:rPr>
          <w:rFonts w:ascii="Arial" w:hAnsi="Arial" w:cs="Arial"/>
          <w:sz w:val="22"/>
          <w:szCs w:val="22"/>
          <w:highlight w:val="yellow"/>
          <w:lang w:val="en-GB"/>
        </w:rPr>
        <w:t xml:space="preserve">Regulation </w:t>
      </w:r>
      <w:r w:rsidRPr="00D65EFE">
        <w:rPr>
          <w:rFonts w:ascii="Arial" w:hAnsi="Arial" w:cs="Arial"/>
          <w:sz w:val="22"/>
          <w:szCs w:val="22"/>
          <w:highlight w:val="yellow"/>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D65EFE" w:rsidRDefault="0034705B" w:rsidP="003C4BCB">
      <w:pPr>
        <w:pStyle w:val="ListParagraph"/>
        <w:numPr>
          <w:ilvl w:val="0"/>
          <w:numId w:val="8"/>
        </w:numPr>
        <w:ind w:left="426"/>
        <w:jc w:val="both"/>
        <w:rPr>
          <w:rFonts w:ascii="Arial" w:hAnsi="Arial" w:cs="Arial"/>
          <w:sz w:val="22"/>
          <w:szCs w:val="22"/>
          <w:highlight w:val="yellow"/>
          <w:lang w:val="en-GB"/>
        </w:rPr>
      </w:pPr>
      <w:r w:rsidRPr="00D65EFE">
        <w:rPr>
          <w:rFonts w:ascii="Arial" w:hAnsi="Arial" w:cs="Arial"/>
          <w:sz w:val="22"/>
          <w:szCs w:val="22"/>
          <w:highlight w:val="yellow"/>
          <w:lang w:val="en-GB"/>
        </w:rPr>
        <w:t>“</w:t>
      </w:r>
      <w:r w:rsidR="00F814B4" w:rsidRPr="00D65EFE">
        <w:rPr>
          <w:rFonts w:ascii="Arial" w:hAnsi="Arial" w:cs="Arial"/>
          <w:sz w:val="22"/>
          <w:szCs w:val="22"/>
          <w:highlight w:val="yellow"/>
          <w:lang w:val="en-GB"/>
        </w:rPr>
        <w:t>Synthetic proceedings</w:t>
      </w:r>
      <w:r w:rsidRPr="00D65EFE">
        <w:rPr>
          <w:rFonts w:ascii="Arial" w:hAnsi="Arial" w:cs="Arial"/>
          <w:sz w:val="22"/>
          <w:szCs w:val="22"/>
          <w:highlight w:val="yellow"/>
          <w:lang w:val="en-GB"/>
        </w:rPr>
        <w:t>”</w:t>
      </w:r>
      <w:r w:rsidR="00F814B4" w:rsidRPr="00D65EFE">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D65EFE" w:rsidRDefault="00F814B4" w:rsidP="00F814B4">
      <w:pPr>
        <w:pStyle w:val="ListParagraph"/>
        <w:numPr>
          <w:ilvl w:val="0"/>
          <w:numId w:val="10"/>
        </w:numPr>
        <w:ind w:left="426"/>
        <w:jc w:val="both"/>
        <w:rPr>
          <w:rFonts w:ascii="Arial" w:hAnsi="Arial" w:cs="Arial"/>
          <w:sz w:val="22"/>
          <w:szCs w:val="22"/>
          <w:highlight w:val="yellow"/>
          <w:lang w:val="en-GB"/>
        </w:rPr>
      </w:pPr>
      <w:r w:rsidRPr="00D65EFE">
        <w:rPr>
          <w:rFonts w:ascii="Arial" w:hAnsi="Arial" w:cs="Arial"/>
          <w:sz w:val="22"/>
          <w:szCs w:val="22"/>
          <w:highlight w:val="yellow"/>
          <w:lang w:val="en-GB"/>
        </w:rPr>
        <w:t xml:space="preserve">Where the decision to open the </w:t>
      </w:r>
      <w:proofErr w:type="gramStart"/>
      <w:r w:rsidRPr="00D65EFE">
        <w:rPr>
          <w:rFonts w:ascii="Arial" w:hAnsi="Arial" w:cs="Arial"/>
          <w:sz w:val="22"/>
          <w:szCs w:val="22"/>
          <w:highlight w:val="yellow"/>
          <w:lang w:val="en-GB"/>
        </w:rPr>
        <w:t>insolvency</w:t>
      </w:r>
      <w:proofErr w:type="gramEnd"/>
      <w:r w:rsidRPr="00D65EFE">
        <w:rPr>
          <w:rFonts w:ascii="Arial" w:hAnsi="Arial" w:cs="Arial"/>
          <w:sz w:val="22"/>
          <w:szCs w:val="22"/>
          <w:highlight w:val="yellow"/>
          <w:lang w:val="en-GB"/>
        </w:rPr>
        <w:t xml:space="preserve">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D65EFE" w:rsidRDefault="00375D11" w:rsidP="00375D11">
      <w:pPr>
        <w:pStyle w:val="ListParagraph"/>
        <w:numPr>
          <w:ilvl w:val="0"/>
          <w:numId w:val="9"/>
        </w:numPr>
        <w:ind w:left="426"/>
        <w:jc w:val="both"/>
        <w:rPr>
          <w:rFonts w:ascii="Arial" w:hAnsi="Arial" w:cs="Arial"/>
          <w:sz w:val="22"/>
          <w:szCs w:val="22"/>
          <w:highlight w:val="yellow"/>
          <w:lang w:val="en-GB"/>
        </w:rPr>
      </w:pPr>
      <w:r w:rsidRPr="00D65EFE">
        <w:rPr>
          <w:rFonts w:ascii="Arial" w:hAnsi="Arial" w:cs="Arial"/>
          <w:sz w:val="22"/>
          <w:szCs w:val="22"/>
          <w:highlight w:val="yellow"/>
          <w:lang w:val="en-GB"/>
        </w:rPr>
        <w:t xml:space="preserve">The contested transactions cannot be avoided if Lacroix SARL can prove that the </w:t>
      </w:r>
      <w:r w:rsidRPr="00D65EFE">
        <w:rPr>
          <w:rFonts w:ascii="Arial" w:hAnsi="Arial" w:cs="Arial"/>
          <w:i/>
          <w:sz w:val="22"/>
          <w:szCs w:val="22"/>
          <w:highlight w:val="yellow"/>
          <w:lang w:val="en-GB"/>
        </w:rPr>
        <w:t xml:space="preserve">lex </w:t>
      </w:r>
      <w:proofErr w:type="spellStart"/>
      <w:r w:rsidRPr="00D65EFE">
        <w:rPr>
          <w:rFonts w:ascii="Arial" w:hAnsi="Arial" w:cs="Arial"/>
          <w:i/>
          <w:sz w:val="22"/>
          <w:szCs w:val="22"/>
          <w:highlight w:val="yellow"/>
          <w:lang w:val="en-GB"/>
        </w:rPr>
        <w:t>causae</w:t>
      </w:r>
      <w:proofErr w:type="spellEnd"/>
      <w:r w:rsidRPr="00D65EFE">
        <w:rPr>
          <w:rFonts w:ascii="Arial" w:hAnsi="Arial" w:cs="Arial"/>
          <w:sz w:val="22"/>
          <w:szCs w:val="22"/>
          <w:highlight w:val="yellow"/>
          <w:lang w:val="en-GB"/>
        </w:rPr>
        <w:t xml:space="preserve"> (including its general provisions and insolvency rules) does not allow any means of challenging the contested </w:t>
      </w:r>
      <w:proofErr w:type="gramStart"/>
      <w:r w:rsidRPr="00D65EFE">
        <w:rPr>
          <w:rFonts w:ascii="Arial" w:hAnsi="Arial" w:cs="Arial"/>
          <w:sz w:val="22"/>
          <w:szCs w:val="22"/>
          <w:highlight w:val="yellow"/>
          <w:lang w:val="en-GB"/>
        </w:rPr>
        <w:t>transactions, and</w:t>
      </w:r>
      <w:proofErr w:type="gramEnd"/>
      <w:r w:rsidRPr="00D65EFE">
        <w:rPr>
          <w:rFonts w:ascii="Arial" w:hAnsi="Arial" w:cs="Arial"/>
          <w:sz w:val="22"/>
          <w:szCs w:val="22"/>
          <w:highlight w:val="yellow"/>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E23026" w:rsidRDefault="00FC48D8" w:rsidP="003C4BCB">
      <w:pPr>
        <w:pStyle w:val="ListParagraph"/>
        <w:numPr>
          <w:ilvl w:val="0"/>
          <w:numId w:val="11"/>
        </w:numPr>
        <w:ind w:left="426"/>
        <w:jc w:val="both"/>
        <w:rPr>
          <w:rFonts w:ascii="Arial" w:hAnsi="Arial" w:cs="Arial"/>
          <w:sz w:val="22"/>
          <w:szCs w:val="22"/>
          <w:lang w:val="en-GB"/>
        </w:rPr>
      </w:pPr>
      <w:r w:rsidRPr="00E23026">
        <w:rPr>
          <w:rFonts w:ascii="Arial" w:hAnsi="Arial" w:cs="Arial"/>
          <w:sz w:val="22"/>
          <w:szCs w:val="22"/>
          <w:lang w:val="en-GB"/>
        </w:rPr>
        <w:t xml:space="preserve">Within </w:t>
      </w:r>
      <w:r w:rsidR="006F2B12" w:rsidRPr="00E23026">
        <w:rPr>
          <w:rFonts w:ascii="Arial" w:hAnsi="Arial" w:cs="Arial"/>
          <w:sz w:val="22"/>
          <w:szCs w:val="22"/>
          <w:lang w:val="en-GB"/>
        </w:rPr>
        <w:t>one month</w:t>
      </w:r>
      <w:r w:rsidRPr="00E23026">
        <w:rPr>
          <w:rFonts w:ascii="Arial" w:hAnsi="Arial" w:cs="Arial"/>
          <w:sz w:val="22"/>
          <w:szCs w:val="22"/>
          <w:lang w:val="en-GB"/>
        </w:rPr>
        <w:t xml:space="preserve">, as stipulated in the applicable </w:t>
      </w:r>
      <w:r w:rsidRPr="00E23026">
        <w:rPr>
          <w:rFonts w:ascii="Arial" w:hAnsi="Arial" w:cs="Arial"/>
          <w:i/>
          <w:sz w:val="22"/>
          <w:szCs w:val="22"/>
          <w:lang w:val="en-GB"/>
        </w:rPr>
        <w:t xml:space="preserve">lex concursus </w:t>
      </w:r>
      <w:proofErr w:type="spellStart"/>
      <w:r w:rsidRPr="00E23026">
        <w:rPr>
          <w:rFonts w:ascii="Arial" w:hAnsi="Arial" w:cs="Arial"/>
          <w:i/>
          <w:sz w:val="22"/>
          <w:szCs w:val="22"/>
          <w:lang w:val="en-GB"/>
        </w:rPr>
        <w:t>secundarii</w:t>
      </w:r>
      <w:proofErr w:type="spellEnd"/>
      <w:r w:rsidRPr="00E2302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E23026" w:rsidRDefault="00FC48D8" w:rsidP="003C4BCB">
      <w:pPr>
        <w:pStyle w:val="ListParagraph"/>
        <w:numPr>
          <w:ilvl w:val="0"/>
          <w:numId w:val="11"/>
        </w:numPr>
        <w:ind w:left="426"/>
        <w:jc w:val="both"/>
        <w:rPr>
          <w:rFonts w:ascii="Arial" w:hAnsi="Arial" w:cs="Arial"/>
          <w:sz w:val="22"/>
          <w:szCs w:val="22"/>
          <w:highlight w:val="yellow"/>
          <w:lang w:val="en-GB"/>
        </w:rPr>
      </w:pPr>
      <w:r w:rsidRPr="00E23026">
        <w:rPr>
          <w:rFonts w:ascii="Arial" w:hAnsi="Arial" w:cs="Arial"/>
          <w:sz w:val="22"/>
          <w:szCs w:val="22"/>
          <w:highlight w:val="yellow"/>
          <w:lang w:val="en-GB"/>
        </w:rPr>
        <w:t>Within 30 days following the publication of the opening of insolvency proceedings in th</w:t>
      </w:r>
      <w:r w:rsidR="007772BD" w:rsidRPr="00E23026">
        <w:rPr>
          <w:rFonts w:ascii="Arial" w:hAnsi="Arial" w:cs="Arial"/>
          <w:sz w:val="22"/>
          <w:szCs w:val="22"/>
          <w:highlight w:val="yellow"/>
          <w:lang w:val="en-GB"/>
        </w:rPr>
        <w:t>e insolvency register of Spain</w:t>
      </w:r>
      <w:r w:rsidRPr="00E23026">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4405EFF4" w:rsidR="00636C15" w:rsidRDefault="00636C15" w:rsidP="00636C15">
      <w:pPr>
        <w:jc w:val="both"/>
        <w:rPr>
          <w:rFonts w:ascii="Arial" w:hAnsi="Arial" w:cs="Arial"/>
          <w:sz w:val="22"/>
          <w:szCs w:val="22"/>
          <w:lang w:val="en-GB"/>
        </w:rPr>
      </w:pPr>
    </w:p>
    <w:p w14:paraId="499A8EFB" w14:textId="47979E18" w:rsidR="00A63CB4" w:rsidRPr="00B9354D" w:rsidRDefault="00A63CB4" w:rsidP="00713279">
      <w:pPr>
        <w:pStyle w:val="ListParagraph"/>
        <w:numPr>
          <w:ilvl w:val="0"/>
          <w:numId w:val="14"/>
        </w:numPr>
        <w:jc w:val="both"/>
        <w:rPr>
          <w:rFonts w:ascii="Arial" w:hAnsi="Arial" w:cs="Arial"/>
          <w:color w:val="7B7B7B" w:themeColor="accent3" w:themeShade="BF"/>
          <w:sz w:val="22"/>
          <w:szCs w:val="22"/>
        </w:rPr>
      </w:pPr>
      <w:r w:rsidRPr="00B9354D">
        <w:rPr>
          <w:rFonts w:ascii="Arial" w:hAnsi="Arial" w:cs="Arial"/>
          <w:color w:val="7B7B7B" w:themeColor="accent3" w:themeShade="BF"/>
          <w:sz w:val="22"/>
          <w:szCs w:val="22"/>
        </w:rPr>
        <w:t xml:space="preserve">Article 36 of the </w:t>
      </w:r>
      <w:r w:rsidRPr="00B9354D">
        <w:rPr>
          <w:rFonts w:ascii="Arial" w:hAnsi="Arial" w:cs="Arial"/>
          <w:color w:val="7B7B7B" w:themeColor="accent3" w:themeShade="BF"/>
          <w:sz w:val="22"/>
          <w:szCs w:val="22"/>
          <w:lang w:val="en-US"/>
        </w:rPr>
        <w:t xml:space="preserve">EIR </w:t>
      </w:r>
      <w:r w:rsidRPr="00B9354D">
        <w:rPr>
          <w:rFonts w:ascii="Arial" w:hAnsi="Arial" w:cs="Arial"/>
          <w:color w:val="7B7B7B" w:themeColor="accent3" w:themeShade="BF"/>
          <w:sz w:val="22"/>
          <w:szCs w:val="22"/>
        </w:rPr>
        <w:t>Recast: Right to give an undertaking in order to avoid secondary insolvency proceedings.</w:t>
      </w:r>
      <w:r w:rsidR="00B9354D" w:rsidRPr="00B9354D">
        <w:rPr>
          <w:rFonts w:ascii="Arial" w:hAnsi="Arial" w:cs="Arial"/>
          <w:color w:val="7B7B7B" w:themeColor="accent3" w:themeShade="BF"/>
          <w:sz w:val="22"/>
          <w:szCs w:val="22"/>
          <w:lang w:val="en-US"/>
        </w:rPr>
        <w:t xml:space="preserve"> </w:t>
      </w:r>
      <w:r w:rsidRPr="00B9354D">
        <w:rPr>
          <w:rFonts w:ascii="Arial" w:hAnsi="Arial" w:cs="Arial"/>
          <w:color w:val="7B7B7B" w:themeColor="accent3" w:themeShade="BF"/>
          <w:sz w:val="22"/>
          <w:szCs w:val="22"/>
        </w:rPr>
        <w:t>This provision deals with the subject “Synthetic” secondary insolvency proceedings</w:t>
      </w:r>
      <w:r w:rsidRPr="00B9354D">
        <w:rPr>
          <w:rFonts w:ascii="Arial" w:hAnsi="Arial" w:cs="Arial"/>
          <w:color w:val="7B7B7B" w:themeColor="accent3" w:themeShade="BF"/>
          <w:sz w:val="22"/>
          <w:szCs w:val="22"/>
          <w:lang w:val="en-US"/>
        </w:rPr>
        <w:t>.</w:t>
      </w:r>
    </w:p>
    <w:p w14:paraId="4ACAF799" w14:textId="77777777" w:rsidR="00A63CB4" w:rsidRPr="005D2CD6" w:rsidRDefault="00A63CB4"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49DE7892" w:rsidR="00636C15" w:rsidRPr="003B5A44" w:rsidRDefault="00636C15" w:rsidP="003B5A44">
      <w:pPr>
        <w:pStyle w:val="ListParagraph"/>
        <w:jc w:val="both"/>
        <w:rPr>
          <w:rFonts w:ascii="Arial" w:hAnsi="Arial" w:cs="Arial"/>
          <w:color w:val="7B7B7B" w:themeColor="accent3" w:themeShade="BF"/>
          <w:sz w:val="22"/>
          <w:szCs w:val="22"/>
        </w:rPr>
      </w:pPr>
    </w:p>
    <w:p w14:paraId="134F0C87" w14:textId="77777777" w:rsidR="002E71ED" w:rsidRPr="005167AF" w:rsidRDefault="002E71ED" w:rsidP="002E71ED">
      <w:pPr>
        <w:pStyle w:val="ListParagraph"/>
        <w:numPr>
          <w:ilvl w:val="0"/>
          <w:numId w:val="14"/>
        </w:numPr>
        <w:jc w:val="both"/>
        <w:rPr>
          <w:rFonts w:ascii="Arial" w:hAnsi="Arial" w:cs="Arial"/>
          <w:color w:val="7B7B7B" w:themeColor="accent3" w:themeShade="BF"/>
          <w:sz w:val="22"/>
          <w:szCs w:val="22"/>
        </w:rPr>
      </w:pPr>
      <w:r w:rsidRPr="005167AF">
        <w:rPr>
          <w:rFonts w:ascii="Arial" w:hAnsi="Arial" w:cs="Arial"/>
          <w:color w:val="7B7B7B" w:themeColor="accent3" w:themeShade="BF"/>
          <w:sz w:val="22"/>
          <w:szCs w:val="22"/>
        </w:rPr>
        <w:t xml:space="preserve">Recital 3 of the EIR Recast: judicial cooperation and communication </w:t>
      </w:r>
      <w:r w:rsidRPr="00027FD1">
        <w:rPr>
          <w:rFonts w:ascii="Arial" w:hAnsi="Arial" w:cs="Arial"/>
          <w:color w:val="7B7B7B" w:themeColor="accent3" w:themeShade="BF"/>
          <w:sz w:val="22"/>
          <w:szCs w:val="22"/>
          <w:lang w:val="en-US"/>
        </w:rPr>
        <w:t>in civil matters under the regulations of Article 81 of the Treaty on the Functioning of the European Union.</w:t>
      </w:r>
      <w:r w:rsidRPr="005167AF">
        <w:rPr>
          <w:rFonts w:ascii="Arial" w:hAnsi="Arial" w:cs="Arial"/>
          <w:color w:val="7B7B7B" w:themeColor="accent3" w:themeShade="BF"/>
          <w:sz w:val="22"/>
          <w:szCs w:val="22"/>
        </w:rPr>
        <w:t xml:space="preserve"> </w:t>
      </w: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271B7621" w14:textId="4A3A8503" w:rsidR="00022DC5" w:rsidRPr="00022DC5" w:rsidRDefault="00022DC5" w:rsidP="00022DC5">
      <w:pPr>
        <w:pStyle w:val="ListParagraph"/>
        <w:numPr>
          <w:ilvl w:val="0"/>
          <w:numId w:val="14"/>
        </w:num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main insolvency proceedings can be opened before the courts of </w:t>
      </w:r>
      <w:r w:rsidRPr="00022DC5">
        <w:rPr>
          <w:rFonts w:ascii="Arial" w:hAnsi="Arial" w:cs="Arial"/>
          <w:color w:val="7B7B7B" w:themeColor="accent3" w:themeShade="BF"/>
          <w:sz w:val="22"/>
          <w:szCs w:val="22"/>
          <w:lang w:val="en-GB"/>
        </w:rPr>
        <w:t>the Member State within the territory</w:t>
      </w:r>
      <w:r>
        <w:rPr>
          <w:rFonts w:ascii="Arial" w:hAnsi="Arial" w:cs="Arial"/>
          <w:color w:val="7B7B7B" w:themeColor="accent3" w:themeShade="BF"/>
          <w:sz w:val="22"/>
          <w:szCs w:val="22"/>
          <w:lang w:val="en-GB"/>
        </w:rPr>
        <w:t xml:space="preserve"> of which the </w:t>
      </w:r>
      <w:proofErr w:type="spellStart"/>
      <w:r w:rsidRPr="00022DC5">
        <w:rPr>
          <w:rFonts w:ascii="Arial" w:hAnsi="Arial" w:cs="Arial"/>
          <w:color w:val="7B7B7B" w:themeColor="accent3" w:themeShade="BF"/>
          <w:sz w:val="22"/>
          <w:szCs w:val="22"/>
          <w:lang w:val="en-GB"/>
        </w:rPr>
        <w:t>center</w:t>
      </w:r>
      <w:proofErr w:type="spellEnd"/>
      <w:r w:rsidRPr="00022DC5">
        <w:rPr>
          <w:rFonts w:ascii="Arial" w:hAnsi="Arial" w:cs="Arial"/>
          <w:color w:val="7B7B7B" w:themeColor="accent3" w:themeShade="BF"/>
          <w:sz w:val="22"/>
          <w:szCs w:val="22"/>
          <w:lang w:val="en-GB"/>
        </w:rPr>
        <w:t xml:space="preserve"> of main interest (or COMI) </w:t>
      </w:r>
      <w:r>
        <w:rPr>
          <w:rFonts w:ascii="Arial" w:hAnsi="Arial" w:cs="Arial"/>
          <w:color w:val="7B7B7B" w:themeColor="accent3" w:themeShade="BF"/>
          <w:sz w:val="22"/>
          <w:szCs w:val="22"/>
          <w:lang w:val="en-GB"/>
        </w:rPr>
        <w:t>of the debtor is located (</w:t>
      </w:r>
      <w:r w:rsidRPr="00022DC5">
        <w:rPr>
          <w:rFonts w:ascii="Arial" w:hAnsi="Arial" w:cs="Arial"/>
          <w:color w:val="7B7B7B" w:themeColor="accent3" w:themeShade="BF"/>
          <w:sz w:val="22"/>
          <w:szCs w:val="22"/>
        </w:rPr>
        <w:t>Art</w:t>
      </w:r>
      <w:proofErr w:type="spellStart"/>
      <w:r w:rsidRPr="00022DC5">
        <w:rPr>
          <w:rFonts w:ascii="Arial" w:hAnsi="Arial" w:cs="Arial"/>
          <w:color w:val="7B7B7B" w:themeColor="accent3" w:themeShade="BF"/>
          <w:sz w:val="22"/>
          <w:szCs w:val="22"/>
          <w:lang w:val="en-US"/>
        </w:rPr>
        <w:t>icle</w:t>
      </w:r>
      <w:proofErr w:type="spellEnd"/>
      <w:r w:rsidRPr="00022DC5">
        <w:rPr>
          <w:rFonts w:ascii="Arial" w:hAnsi="Arial" w:cs="Arial"/>
          <w:color w:val="7B7B7B" w:themeColor="accent3" w:themeShade="BF"/>
          <w:sz w:val="22"/>
          <w:szCs w:val="22"/>
          <w:lang w:val="en-US"/>
        </w:rPr>
        <w:t xml:space="preserve"> </w:t>
      </w:r>
      <w:r w:rsidRPr="00022DC5">
        <w:rPr>
          <w:rFonts w:ascii="Arial" w:hAnsi="Arial" w:cs="Arial"/>
          <w:color w:val="7B7B7B" w:themeColor="accent3" w:themeShade="BF"/>
          <w:sz w:val="22"/>
          <w:szCs w:val="22"/>
        </w:rPr>
        <w:t xml:space="preserve">3 (1) </w:t>
      </w:r>
      <w:r w:rsidRPr="00022DC5">
        <w:rPr>
          <w:rFonts w:ascii="Arial" w:hAnsi="Arial" w:cs="Arial"/>
          <w:color w:val="7B7B7B" w:themeColor="accent3" w:themeShade="BF"/>
          <w:sz w:val="22"/>
          <w:szCs w:val="22"/>
          <w:lang w:val="en-US"/>
        </w:rPr>
        <w:t xml:space="preserve">EIR </w:t>
      </w:r>
      <w:r>
        <w:rPr>
          <w:rFonts w:ascii="Arial" w:hAnsi="Arial" w:cs="Arial"/>
          <w:color w:val="7B7B7B" w:themeColor="accent3" w:themeShade="BF"/>
          <w:sz w:val="22"/>
          <w:szCs w:val="22"/>
        </w:rPr>
        <w:t>Recast)</w:t>
      </w:r>
      <w:r w:rsidRPr="00022DC5">
        <w:rPr>
          <w:rFonts w:ascii="Arial" w:hAnsi="Arial" w:cs="Arial"/>
          <w:color w:val="7B7B7B" w:themeColor="accent3" w:themeShade="BF"/>
          <w:sz w:val="22"/>
          <w:szCs w:val="22"/>
        </w:rPr>
        <w:t xml:space="preserve">. </w:t>
      </w:r>
      <w:r w:rsidRPr="00022DC5">
        <w:rPr>
          <w:rFonts w:ascii="Arial" w:hAnsi="Arial" w:cs="Arial"/>
          <w:color w:val="7B7B7B" w:themeColor="accent3" w:themeShade="BF"/>
          <w:sz w:val="22"/>
          <w:szCs w:val="22"/>
          <w:lang w:val="en-US"/>
        </w:rPr>
        <w:t>Th</w:t>
      </w:r>
      <w:r>
        <w:rPr>
          <w:rFonts w:ascii="Arial" w:hAnsi="Arial" w:cs="Arial"/>
          <w:color w:val="7B7B7B" w:themeColor="accent3" w:themeShade="BF"/>
          <w:sz w:val="22"/>
          <w:szCs w:val="22"/>
        </w:rPr>
        <w:t>is reflect</w:t>
      </w:r>
      <w:r w:rsidR="002E71ED" w:rsidRPr="002E71ED">
        <w:rPr>
          <w:rFonts w:ascii="Arial" w:hAnsi="Arial" w:cs="Arial"/>
          <w:color w:val="7B7B7B" w:themeColor="accent3" w:themeShade="BF"/>
          <w:sz w:val="22"/>
          <w:szCs w:val="22"/>
          <w:lang w:val="en-US"/>
        </w:rPr>
        <w:t>S</w:t>
      </w:r>
      <w:r>
        <w:rPr>
          <w:rFonts w:ascii="Arial" w:hAnsi="Arial" w:cs="Arial"/>
          <w:color w:val="7B7B7B" w:themeColor="accent3" w:themeShade="BF"/>
          <w:sz w:val="22"/>
          <w:szCs w:val="22"/>
        </w:rPr>
        <w:t xml:space="preserve"> the concept of </w:t>
      </w:r>
      <w:r w:rsidRPr="00022DC5">
        <w:rPr>
          <w:rFonts w:ascii="Arial" w:hAnsi="Arial" w:cs="Arial"/>
          <w:color w:val="7B7B7B" w:themeColor="accent3" w:themeShade="BF"/>
          <w:sz w:val="22"/>
          <w:szCs w:val="22"/>
        </w:rPr>
        <w:t>universal</w:t>
      </w:r>
      <w:r w:rsidRPr="00022DC5">
        <w:rPr>
          <w:rFonts w:ascii="Arial" w:hAnsi="Arial" w:cs="Arial"/>
          <w:color w:val="7B7B7B" w:themeColor="accent3" w:themeShade="BF"/>
          <w:sz w:val="22"/>
          <w:szCs w:val="22"/>
          <w:lang w:val="en-US"/>
        </w:rPr>
        <w:t>ism</w:t>
      </w:r>
      <w:r>
        <w:rPr>
          <w:rFonts w:ascii="Arial" w:hAnsi="Arial" w:cs="Arial"/>
          <w:color w:val="7B7B7B" w:themeColor="accent3" w:themeShade="BF"/>
          <w:sz w:val="22"/>
          <w:szCs w:val="22"/>
        </w:rPr>
        <w:t xml:space="preserve"> since </w:t>
      </w:r>
      <w:r w:rsidRPr="00022DC5">
        <w:rPr>
          <w:rFonts w:ascii="Arial" w:hAnsi="Arial" w:cs="Arial"/>
          <w:color w:val="7B7B7B" w:themeColor="accent3" w:themeShade="BF"/>
          <w:sz w:val="22"/>
          <w:szCs w:val="22"/>
        </w:rPr>
        <w:t>all assets of the debtor</w:t>
      </w:r>
      <w:r w:rsidRPr="00022DC5">
        <w:rPr>
          <w:rFonts w:ascii="Arial" w:hAnsi="Arial" w:cs="Arial"/>
          <w:color w:val="7B7B7B" w:themeColor="accent3" w:themeShade="BF"/>
          <w:sz w:val="22"/>
          <w:szCs w:val="22"/>
          <w:lang w:val="en-US"/>
        </w:rPr>
        <w:t xml:space="preserve"> </w:t>
      </w:r>
      <w:r>
        <w:rPr>
          <w:rFonts w:ascii="Arial" w:hAnsi="Arial" w:cs="Arial"/>
          <w:color w:val="7B7B7B" w:themeColor="accent3" w:themeShade="BF"/>
          <w:sz w:val="22"/>
          <w:szCs w:val="22"/>
        </w:rPr>
        <w:t xml:space="preserve">are subject to these main insolvency proceedings even though they are located in another </w:t>
      </w:r>
      <w:r w:rsidRPr="00022DC5">
        <w:rPr>
          <w:rFonts w:ascii="Arial" w:hAnsi="Arial" w:cs="Arial"/>
          <w:color w:val="7B7B7B" w:themeColor="accent3" w:themeShade="BF"/>
          <w:sz w:val="22"/>
          <w:szCs w:val="22"/>
        </w:rPr>
        <w:t>Member State</w:t>
      </w:r>
      <w:r w:rsidRPr="00022DC5">
        <w:rPr>
          <w:rFonts w:ascii="Arial" w:hAnsi="Arial" w:cs="Arial"/>
          <w:color w:val="7B7B7B" w:themeColor="accent3" w:themeShade="BF"/>
          <w:sz w:val="22"/>
          <w:szCs w:val="22"/>
          <w:lang w:val="en-US"/>
        </w:rPr>
        <w:t>.</w:t>
      </w:r>
      <w:r>
        <w:rPr>
          <w:rFonts w:ascii="Arial" w:hAnsi="Arial" w:cs="Arial"/>
          <w:color w:val="7B7B7B" w:themeColor="accent3" w:themeShade="BF"/>
          <w:sz w:val="22"/>
          <w:szCs w:val="22"/>
        </w:rPr>
        <w:t xml:space="preserve"> Further, creditors would have to file their claims before the court competent for the main insolvency proceedings.</w:t>
      </w:r>
    </w:p>
    <w:p w14:paraId="089E861B" w14:textId="77777777" w:rsidR="00022DC5" w:rsidRPr="00022DC5" w:rsidRDefault="00022DC5" w:rsidP="00022DC5">
      <w:pPr>
        <w:ind w:left="720" w:hanging="720"/>
        <w:jc w:val="both"/>
        <w:rPr>
          <w:rFonts w:ascii="Arial" w:hAnsi="Arial" w:cs="Arial"/>
          <w:color w:val="7B7B7B" w:themeColor="accent3" w:themeShade="BF"/>
          <w:sz w:val="22"/>
          <w:szCs w:val="22"/>
          <w:lang w:val="en-GB"/>
        </w:rPr>
      </w:pPr>
    </w:p>
    <w:p w14:paraId="682F22E2" w14:textId="0D24E0C3" w:rsidR="009865A3" w:rsidRDefault="00022DC5" w:rsidP="00022DC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9865A3" w:rsidRPr="00022DC5">
        <w:rPr>
          <w:rFonts w:ascii="Arial" w:hAnsi="Arial" w:cs="Arial"/>
          <w:color w:val="7B7B7B" w:themeColor="accent3" w:themeShade="BF"/>
          <w:sz w:val="22"/>
          <w:szCs w:val="22"/>
          <w:lang w:val="en-GB"/>
        </w:rPr>
        <w:t xml:space="preserve">f the debtor has an establishment in another Member State, </w:t>
      </w:r>
      <w:r>
        <w:rPr>
          <w:rFonts w:ascii="Arial" w:hAnsi="Arial" w:cs="Arial"/>
          <w:color w:val="7B7B7B" w:themeColor="accent3" w:themeShade="BF"/>
          <w:sz w:val="22"/>
          <w:szCs w:val="22"/>
          <w:lang w:val="en-GB"/>
        </w:rPr>
        <w:t>secondary insolvency proceedings could be opened before the courts of this Member State. This secondary insolvency proceedings would exclusively concern creditors located in this Member States</w:t>
      </w:r>
      <w:r w:rsidR="009865A3" w:rsidRPr="00022DC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This aspect reflects the </w:t>
      </w:r>
      <w:r w:rsidR="00876EA0">
        <w:rPr>
          <w:rFonts w:ascii="Arial" w:hAnsi="Arial" w:cs="Arial"/>
          <w:color w:val="7B7B7B" w:themeColor="accent3" w:themeShade="BF"/>
          <w:sz w:val="22"/>
          <w:szCs w:val="22"/>
          <w:lang w:val="en-GB"/>
        </w:rPr>
        <w:t xml:space="preserve">concept of territorialism, which is highlighted in Recital 22 and in </w:t>
      </w:r>
      <w:r w:rsidR="00876EA0" w:rsidRPr="00022DC5">
        <w:rPr>
          <w:rFonts w:ascii="Arial" w:hAnsi="Arial" w:cs="Arial"/>
          <w:color w:val="7B7B7B" w:themeColor="accent3" w:themeShade="BF"/>
          <w:sz w:val="22"/>
          <w:szCs w:val="22"/>
          <w:lang w:val="en-GB"/>
        </w:rPr>
        <w:t xml:space="preserve">(Art. 3 (2) of the </w:t>
      </w:r>
      <w:r w:rsidR="00876EA0">
        <w:rPr>
          <w:rFonts w:ascii="Arial" w:hAnsi="Arial" w:cs="Arial"/>
          <w:color w:val="7B7B7B" w:themeColor="accent3" w:themeShade="BF"/>
          <w:sz w:val="22"/>
          <w:szCs w:val="22"/>
          <w:lang w:val="en-GB"/>
        </w:rPr>
        <w:t>EIR Recast)</w:t>
      </w:r>
      <w:r w:rsidR="00876EA0" w:rsidRPr="00022DC5">
        <w:rPr>
          <w:rFonts w:ascii="Arial" w:hAnsi="Arial" w:cs="Arial"/>
          <w:color w:val="7B7B7B" w:themeColor="accent3" w:themeShade="BF"/>
          <w:sz w:val="22"/>
          <w:szCs w:val="22"/>
          <w:lang w:val="en-GB"/>
        </w:rPr>
        <w:t>.</w:t>
      </w:r>
    </w:p>
    <w:p w14:paraId="5DFA4DBC" w14:textId="77777777" w:rsidR="002E71ED" w:rsidRPr="002E71ED" w:rsidRDefault="002E71ED" w:rsidP="002E71ED">
      <w:pPr>
        <w:pStyle w:val="ListParagraph"/>
        <w:rPr>
          <w:rFonts w:ascii="Arial" w:hAnsi="Arial" w:cs="Arial"/>
          <w:color w:val="7B7B7B" w:themeColor="accent3" w:themeShade="BF"/>
          <w:sz w:val="22"/>
          <w:szCs w:val="22"/>
          <w:lang w:val="en-GB"/>
        </w:rPr>
      </w:pPr>
    </w:p>
    <w:p w14:paraId="3A7ADE7B" w14:textId="77777777" w:rsidR="002E71ED" w:rsidRPr="00022DC5" w:rsidRDefault="002E71ED" w:rsidP="002E71E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proceedings opened in one Member State are immediately </w:t>
      </w:r>
      <w:r w:rsidRPr="00E51188">
        <w:rPr>
          <w:rFonts w:ascii="Arial" w:hAnsi="Arial" w:cs="Arial"/>
          <w:color w:val="7B7B7B" w:themeColor="accent3" w:themeShade="BF"/>
          <w:sz w:val="22"/>
          <w:szCs w:val="22"/>
          <w:lang w:val="en-GB"/>
        </w:rPr>
        <w:t>recogn</w:t>
      </w:r>
      <w:r>
        <w:rPr>
          <w:rFonts w:ascii="Arial" w:hAnsi="Arial" w:cs="Arial"/>
          <w:color w:val="7B7B7B" w:themeColor="accent3" w:themeShade="BF"/>
          <w:sz w:val="22"/>
          <w:szCs w:val="22"/>
          <w:lang w:val="en-GB"/>
        </w:rPr>
        <w:t>iz</w:t>
      </w:r>
      <w:r w:rsidRPr="00E51188">
        <w:rPr>
          <w:rFonts w:ascii="Arial" w:hAnsi="Arial" w:cs="Arial"/>
          <w:color w:val="7B7B7B" w:themeColor="accent3" w:themeShade="BF"/>
          <w:sz w:val="22"/>
          <w:szCs w:val="22"/>
          <w:lang w:val="en-GB"/>
        </w:rPr>
        <w:t xml:space="preserve">ed in all other Member States </w:t>
      </w:r>
      <w:r>
        <w:rPr>
          <w:rFonts w:ascii="Arial" w:hAnsi="Arial" w:cs="Arial"/>
          <w:color w:val="7B7B7B" w:themeColor="accent3" w:themeShade="BF"/>
          <w:sz w:val="22"/>
          <w:szCs w:val="22"/>
          <w:lang w:val="en-GB"/>
        </w:rPr>
        <w:t xml:space="preserve">once the respective opening decision </w:t>
      </w:r>
      <w:r w:rsidRPr="00E51188">
        <w:rPr>
          <w:rFonts w:ascii="Arial" w:hAnsi="Arial" w:cs="Arial"/>
          <w:color w:val="7B7B7B" w:themeColor="accent3" w:themeShade="BF"/>
          <w:sz w:val="22"/>
          <w:szCs w:val="22"/>
          <w:lang w:val="en-GB"/>
        </w:rPr>
        <w:t xml:space="preserve">becomes </w:t>
      </w:r>
      <w:r>
        <w:rPr>
          <w:rFonts w:ascii="Arial" w:hAnsi="Arial" w:cs="Arial"/>
          <w:color w:val="7B7B7B" w:themeColor="accent3" w:themeShade="BF"/>
          <w:sz w:val="22"/>
          <w:szCs w:val="22"/>
          <w:lang w:val="en-GB"/>
        </w:rPr>
        <w:t xml:space="preserve">legally </w:t>
      </w:r>
      <w:r w:rsidRPr="00E51188">
        <w:rPr>
          <w:rFonts w:ascii="Arial" w:hAnsi="Arial" w:cs="Arial"/>
          <w:color w:val="7B7B7B" w:themeColor="accent3" w:themeShade="BF"/>
          <w:sz w:val="22"/>
          <w:szCs w:val="22"/>
          <w:lang w:val="en-GB"/>
        </w:rPr>
        <w:t xml:space="preserve">effective </w:t>
      </w:r>
      <w:r>
        <w:rPr>
          <w:rFonts w:ascii="Arial" w:hAnsi="Arial" w:cs="Arial"/>
          <w:color w:val="7B7B7B" w:themeColor="accent3" w:themeShade="BF"/>
          <w:sz w:val="22"/>
          <w:szCs w:val="22"/>
          <w:lang w:val="en-GB"/>
        </w:rPr>
        <w:t>(Art. 19 of the EIR Recast). Also, all judgements and other decisions of the court that has opened proceedings in accordance with Art. 19 of the EIR Recast are automatically recognized by the other Member States for enforcement (Art. 32 of the EIR Recast).</w:t>
      </w:r>
    </w:p>
    <w:p w14:paraId="6948B395" w14:textId="65A1604F" w:rsidR="00E90991" w:rsidRPr="00D65EFE" w:rsidRDefault="00E90991" w:rsidP="002A37BB">
      <w:pPr>
        <w:ind w:left="720" w:hanging="720"/>
        <w:jc w:val="both"/>
        <w:rPr>
          <w:rFonts w:ascii="Arial" w:hAnsi="Arial" w:cs="Arial"/>
          <w:sz w:val="22"/>
          <w:szCs w:val="22"/>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7288C8BC" w:rsidR="00962045" w:rsidRDefault="00962045" w:rsidP="002A37BB">
      <w:pPr>
        <w:ind w:left="720" w:hanging="720"/>
        <w:jc w:val="both"/>
        <w:rPr>
          <w:rFonts w:ascii="Arial" w:hAnsi="Arial" w:cs="Arial"/>
          <w:sz w:val="22"/>
          <w:szCs w:val="22"/>
          <w:lang w:val="en-GB"/>
        </w:rPr>
      </w:pPr>
    </w:p>
    <w:p w14:paraId="23135C68" w14:textId="710F2693" w:rsidR="00876EA0" w:rsidRDefault="00876EA0" w:rsidP="00876EA0">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Recital 50 of the EIR Recast</w:t>
      </w:r>
    </w:p>
    <w:p w14:paraId="507E49F6" w14:textId="0F0B513D" w:rsidR="00876EA0" w:rsidRDefault="00876EA0" w:rsidP="00876EA0">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 of the EIR Recast</w:t>
      </w:r>
    </w:p>
    <w:p w14:paraId="0489CF42" w14:textId="49211939" w:rsidR="00876EA0" w:rsidRPr="00876EA0" w:rsidRDefault="00876EA0" w:rsidP="00876EA0">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57 of the EIR Recast</w:t>
      </w:r>
    </w:p>
    <w:p w14:paraId="572227E7" w14:textId="15D18337" w:rsidR="0045683E" w:rsidRDefault="0045683E" w:rsidP="002A37BB">
      <w:pPr>
        <w:jc w:val="both"/>
        <w:rPr>
          <w:rFonts w:ascii="Arial" w:hAnsi="Arial" w:cs="Arial"/>
          <w:bCs/>
          <w:sz w:val="22"/>
          <w:szCs w:val="22"/>
          <w:lang w:val="en-GB"/>
        </w:rPr>
      </w:pPr>
    </w:p>
    <w:p w14:paraId="383B5930" w14:textId="3CBCEB14" w:rsidR="00C550C8" w:rsidRPr="002E71ED" w:rsidRDefault="00876EA0" w:rsidP="002E71ED">
      <w:pPr>
        <w:pStyle w:val="ListParagraph"/>
        <w:jc w:val="both"/>
        <w:rPr>
          <w:rFonts w:ascii="Arial" w:hAnsi="Arial" w:cs="Arial"/>
          <w:color w:val="7B7B7B" w:themeColor="accent3" w:themeShade="BF"/>
          <w:sz w:val="22"/>
          <w:szCs w:val="22"/>
          <w:lang w:val="en-GB"/>
        </w:rPr>
      </w:pPr>
      <w:r w:rsidRPr="002E71ED">
        <w:rPr>
          <w:rFonts w:ascii="Arial" w:hAnsi="Arial" w:cs="Arial"/>
          <w:color w:val="7B7B7B" w:themeColor="accent3" w:themeShade="BF"/>
          <w:sz w:val="22"/>
          <w:szCs w:val="22"/>
          <w:lang w:val="en-GB"/>
        </w:rPr>
        <w:t xml:space="preserve">These </w:t>
      </w:r>
      <w:r w:rsidR="009701E7" w:rsidRPr="002E71ED">
        <w:rPr>
          <w:rFonts w:ascii="Arial" w:hAnsi="Arial" w:cs="Arial"/>
          <w:color w:val="7B7B7B" w:themeColor="accent3" w:themeShade="BF"/>
          <w:sz w:val="22"/>
          <w:szCs w:val="22"/>
          <w:lang w:val="en-GB"/>
        </w:rPr>
        <w:t>provisions concern the court-to-court duty to co-operate and communicate in order to ensure the effectiveness of the cross-border insolvency proceedings.</w:t>
      </w:r>
    </w:p>
    <w:p w14:paraId="7D5FDBA1" w14:textId="77777777" w:rsidR="009701E7" w:rsidRPr="005D2CD6" w:rsidRDefault="009701E7"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8622A5" w:rsidRDefault="00DD47EF" w:rsidP="008622A5">
      <w:pPr>
        <w:pStyle w:val="ListParagraph"/>
        <w:jc w:val="both"/>
        <w:rPr>
          <w:rFonts w:ascii="Arial" w:hAnsi="Arial" w:cs="Arial"/>
          <w:color w:val="7B7B7B" w:themeColor="accent3" w:themeShade="BF"/>
          <w:sz w:val="22"/>
          <w:szCs w:val="22"/>
        </w:rPr>
      </w:pPr>
    </w:p>
    <w:p w14:paraId="2F4FBF1F" w14:textId="77777777" w:rsidR="00FF3495" w:rsidRPr="004B259A" w:rsidRDefault="00FF3495" w:rsidP="00FF3495">
      <w:pPr>
        <w:pStyle w:val="ListParagraph"/>
        <w:numPr>
          <w:ilvl w:val="0"/>
          <w:numId w:val="1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Undertaking of the insolvency practitioner: Article</w:t>
      </w:r>
      <w:r w:rsidRPr="008622A5">
        <w:rPr>
          <w:rFonts w:ascii="Arial" w:hAnsi="Arial" w:cs="Arial"/>
          <w:color w:val="7B7B7B" w:themeColor="accent3" w:themeShade="BF"/>
          <w:sz w:val="22"/>
          <w:szCs w:val="22"/>
        </w:rPr>
        <w:t xml:space="preserve"> 36</w:t>
      </w:r>
      <w:r>
        <w:rPr>
          <w:rFonts w:ascii="Arial" w:hAnsi="Arial" w:cs="Arial"/>
          <w:color w:val="7B7B7B" w:themeColor="accent3" w:themeShade="BF"/>
          <w:sz w:val="22"/>
          <w:szCs w:val="22"/>
        </w:rPr>
        <w:t xml:space="preserve"> of the EIR Recast provides that </w:t>
      </w:r>
      <w:r w:rsidRPr="008622A5">
        <w:rPr>
          <w:rFonts w:ascii="Arial" w:hAnsi="Arial" w:cs="Arial"/>
          <w:color w:val="7B7B7B" w:themeColor="accent3" w:themeShade="BF"/>
          <w:sz w:val="22"/>
          <w:szCs w:val="22"/>
        </w:rPr>
        <w:t>the insolvency practitioner</w:t>
      </w:r>
      <w:r>
        <w:rPr>
          <w:rFonts w:ascii="Arial" w:hAnsi="Arial" w:cs="Arial"/>
          <w:color w:val="7B7B7B" w:themeColor="accent3" w:themeShade="BF"/>
          <w:sz w:val="22"/>
          <w:szCs w:val="22"/>
        </w:rPr>
        <w:t xml:space="preserve"> competent for the administration of the </w:t>
      </w:r>
      <w:r w:rsidRPr="008622A5">
        <w:rPr>
          <w:rFonts w:ascii="Arial" w:hAnsi="Arial" w:cs="Arial"/>
          <w:color w:val="7B7B7B" w:themeColor="accent3" w:themeShade="BF"/>
          <w:sz w:val="22"/>
          <w:szCs w:val="22"/>
        </w:rPr>
        <w:t xml:space="preserve">main insolvency proceedings </w:t>
      </w:r>
      <w:r>
        <w:rPr>
          <w:rFonts w:ascii="Arial" w:hAnsi="Arial" w:cs="Arial"/>
          <w:color w:val="7B7B7B" w:themeColor="accent3" w:themeShade="BF"/>
          <w:sz w:val="22"/>
          <w:szCs w:val="22"/>
        </w:rPr>
        <w:t xml:space="preserve">is entitled to give </w:t>
      </w:r>
      <w:r w:rsidRPr="008622A5">
        <w:rPr>
          <w:rFonts w:ascii="Arial" w:hAnsi="Arial" w:cs="Arial"/>
          <w:color w:val="7B7B7B" w:themeColor="accent3" w:themeShade="BF"/>
          <w:sz w:val="22"/>
          <w:szCs w:val="22"/>
        </w:rPr>
        <w:t>an undertaking</w:t>
      </w:r>
      <w:r>
        <w:rPr>
          <w:rFonts w:ascii="Arial" w:hAnsi="Arial" w:cs="Arial"/>
          <w:color w:val="7B7B7B" w:themeColor="accent3" w:themeShade="BF"/>
          <w:sz w:val="22"/>
          <w:szCs w:val="22"/>
        </w:rPr>
        <w:t xml:space="preserve"> to </w:t>
      </w:r>
      <w:r w:rsidRPr="008622A5">
        <w:rPr>
          <w:rFonts w:ascii="Arial" w:hAnsi="Arial" w:cs="Arial"/>
          <w:color w:val="7B7B7B" w:themeColor="accent3" w:themeShade="BF"/>
          <w:sz w:val="22"/>
          <w:szCs w:val="22"/>
        </w:rPr>
        <w:t xml:space="preserve">creditors </w:t>
      </w:r>
      <w:r>
        <w:rPr>
          <w:rFonts w:ascii="Arial" w:hAnsi="Arial" w:cs="Arial"/>
          <w:color w:val="7B7B7B" w:themeColor="accent3" w:themeShade="BF"/>
          <w:sz w:val="22"/>
          <w:szCs w:val="22"/>
        </w:rPr>
        <w:t xml:space="preserve">concerned by the opening of possible </w:t>
      </w:r>
      <w:r w:rsidRPr="008622A5">
        <w:rPr>
          <w:rFonts w:ascii="Arial" w:hAnsi="Arial" w:cs="Arial"/>
          <w:color w:val="7B7B7B" w:themeColor="accent3" w:themeShade="BF"/>
          <w:sz w:val="22"/>
          <w:szCs w:val="22"/>
        </w:rPr>
        <w:t>secondary insolvency proceedings</w:t>
      </w:r>
      <w:r>
        <w:rPr>
          <w:rFonts w:ascii="Arial" w:hAnsi="Arial" w:cs="Arial"/>
          <w:color w:val="7B7B7B" w:themeColor="accent3" w:themeShade="BF"/>
          <w:sz w:val="22"/>
          <w:szCs w:val="22"/>
        </w:rPr>
        <w:t xml:space="preserve">. The undertaking is a statement </w:t>
      </w:r>
      <w:r>
        <w:rPr>
          <w:rFonts w:ascii="Arial" w:hAnsi="Arial" w:cs="Arial"/>
          <w:color w:val="7B7B7B" w:themeColor="accent3" w:themeShade="BF"/>
          <w:sz w:val="22"/>
          <w:szCs w:val="22"/>
          <w:lang w:val="en-US"/>
        </w:rPr>
        <w:t xml:space="preserve">or </w:t>
      </w:r>
      <w:r>
        <w:rPr>
          <w:rFonts w:ascii="Arial" w:hAnsi="Arial" w:cs="Arial"/>
          <w:color w:val="7B7B7B" w:themeColor="accent3" w:themeShade="BF"/>
          <w:sz w:val="22"/>
          <w:szCs w:val="22"/>
        </w:rPr>
        <w:t>a promise, in which the insolvency practitioner guarantees to protect the distribution and priority rights and interests of the local creditors in relation to the assets located in this Member State</w:t>
      </w:r>
      <w:r>
        <w:rPr>
          <w:rFonts w:ascii="Arial" w:hAnsi="Arial" w:cs="Arial"/>
          <w:color w:val="7B7B7B" w:themeColor="accent3" w:themeShade="BF"/>
          <w:sz w:val="22"/>
          <w:szCs w:val="22"/>
          <w:lang w:val="en-US"/>
        </w:rPr>
        <w:t>,</w:t>
      </w:r>
      <w:r>
        <w:rPr>
          <w:rFonts w:ascii="Arial" w:hAnsi="Arial" w:cs="Arial"/>
          <w:color w:val="7B7B7B" w:themeColor="accent3" w:themeShade="BF"/>
          <w:sz w:val="22"/>
          <w:szCs w:val="22"/>
        </w:rPr>
        <w:t xml:space="preserve"> even if the secondary insolvency proceedings is not opened.</w:t>
      </w:r>
      <w:r w:rsidRPr="004B259A">
        <w:rPr>
          <w:rFonts w:ascii="Arial" w:hAnsi="Arial" w:cs="Arial"/>
          <w:color w:val="7B7B7B" w:themeColor="accent3" w:themeShade="BF"/>
          <w:sz w:val="22"/>
          <w:szCs w:val="22"/>
          <w:lang w:val="en-US"/>
        </w:rPr>
        <w:t xml:space="preserve"> </w:t>
      </w:r>
      <w:r>
        <w:rPr>
          <w:rFonts w:ascii="Arial" w:hAnsi="Arial" w:cs="Arial"/>
          <w:color w:val="7B7B7B" w:themeColor="accent3" w:themeShade="BF"/>
          <w:sz w:val="22"/>
          <w:szCs w:val="22"/>
          <w:lang w:val="en-US"/>
        </w:rPr>
        <w:t xml:space="preserve">It is basically a promise </w:t>
      </w:r>
      <w:r w:rsidRPr="005167AF">
        <w:rPr>
          <w:rFonts w:ascii="Arial" w:hAnsi="Arial" w:cs="Arial"/>
          <w:color w:val="7B7B7B" w:themeColor="accent3" w:themeShade="BF"/>
          <w:sz w:val="22"/>
          <w:szCs w:val="22"/>
        </w:rPr>
        <w:t>that such creditors will be treated as if a secondary insolvency proceeding had been opened.</w:t>
      </w:r>
      <w:r w:rsidRPr="00532C80">
        <w:rPr>
          <w:rFonts w:ascii="Arial" w:hAnsi="Arial" w:cs="Arial"/>
          <w:color w:val="7B7B7B" w:themeColor="accent3" w:themeShade="BF"/>
          <w:sz w:val="22"/>
          <w:szCs w:val="22"/>
          <w:lang w:val="en-US"/>
        </w:rPr>
        <w:t xml:space="preserve"> </w:t>
      </w:r>
    </w:p>
    <w:p w14:paraId="2163DE35" w14:textId="77777777" w:rsidR="00FF3495" w:rsidRDefault="00FF3495" w:rsidP="00FF3495">
      <w:pPr>
        <w:pStyle w:val="ListParagraph"/>
        <w:jc w:val="both"/>
        <w:rPr>
          <w:rFonts w:ascii="Arial" w:hAnsi="Arial" w:cs="Arial"/>
          <w:color w:val="7B7B7B" w:themeColor="accent3" w:themeShade="BF"/>
          <w:sz w:val="22"/>
          <w:szCs w:val="22"/>
        </w:rPr>
      </w:pPr>
    </w:p>
    <w:p w14:paraId="0F5057D8" w14:textId="77777777" w:rsidR="00FF3495" w:rsidRPr="00A63CB4" w:rsidRDefault="00FF3495" w:rsidP="00FF3495">
      <w:pPr>
        <w:pStyle w:val="ListParagraph"/>
        <w:numPr>
          <w:ilvl w:val="0"/>
          <w:numId w:val="12"/>
        </w:numPr>
        <w:jc w:val="both"/>
        <w:rPr>
          <w:rFonts w:ascii="Arial" w:hAnsi="Arial" w:cs="Arial"/>
          <w:color w:val="7B7B7B" w:themeColor="accent3" w:themeShade="BF"/>
          <w:sz w:val="22"/>
          <w:szCs w:val="22"/>
        </w:rPr>
      </w:pPr>
      <w:r w:rsidRPr="00A63CB4">
        <w:rPr>
          <w:rFonts w:ascii="Arial" w:hAnsi="Arial" w:cs="Arial"/>
          <w:color w:val="7B7B7B" w:themeColor="accent3" w:themeShade="BF"/>
          <w:sz w:val="22"/>
          <w:szCs w:val="22"/>
        </w:rPr>
        <w:t>Stay of the opening of secondary insolvency proceedings:</w:t>
      </w:r>
      <w:r w:rsidRPr="00A63CB4">
        <w:rPr>
          <w:rFonts w:ascii="Arial" w:hAnsi="Arial" w:cs="Arial"/>
          <w:color w:val="7B7B7B" w:themeColor="accent3" w:themeShade="BF"/>
          <w:sz w:val="22"/>
          <w:szCs w:val="22"/>
          <w:lang w:val="en-US"/>
        </w:rPr>
        <w:t xml:space="preserve"> </w:t>
      </w:r>
      <w:r w:rsidRPr="00A63CB4">
        <w:rPr>
          <w:rFonts w:ascii="Arial" w:hAnsi="Arial" w:cs="Arial"/>
          <w:color w:val="7B7B7B" w:themeColor="accent3" w:themeShade="BF"/>
          <w:sz w:val="22"/>
          <w:szCs w:val="22"/>
        </w:rPr>
        <w:t xml:space="preserve">The </w:t>
      </w:r>
      <w:r w:rsidRPr="00A63CB4">
        <w:rPr>
          <w:rFonts w:ascii="Arial" w:hAnsi="Arial" w:cs="Arial"/>
          <w:color w:val="7B7B7B" w:themeColor="accent3" w:themeShade="BF"/>
          <w:sz w:val="22"/>
          <w:szCs w:val="22"/>
          <w:lang w:val="en-US"/>
        </w:rPr>
        <w:t xml:space="preserve">EIR </w:t>
      </w:r>
      <w:r w:rsidRPr="00A63CB4">
        <w:rPr>
          <w:rFonts w:ascii="Arial" w:hAnsi="Arial" w:cs="Arial"/>
          <w:color w:val="7B7B7B" w:themeColor="accent3" w:themeShade="BF"/>
          <w:sz w:val="22"/>
          <w:szCs w:val="22"/>
        </w:rPr>
        <w:t>Recast</w:t>
      </w:r>
      <w:r w:rsidRPr="00A63CB4">
        <w:rPr>
          <w:rFonts w:ascii="Arial" w:hAnsi="Arial" w:cs="Arial"/>
          <w:color w:val="7B7B7B" w:themeColor="accent3" w:themeShade="BF"/>
          <w:sz w:val="22"/>
          <w:szCs w:val="22"/>
          <w:lang w:val="en-US"/>
        </w:rPr>
        <w:t xml:space="preserve"> </w:t>
      </w:r>
      <w:r>
        <w:rPr>
          <w:rFonts w:ascii="Arial" w:hAnsi="Arial" w:cs="Arial"/>
          <w:color w:val="7B7B7B" w:themeColor="accent3" w:themeShade="BF"/>
          <w:sz w:val="22"/>
          <w:szCs w:val="22"/>
          <w:lang w:val="en-US"/>
        </w:rPr>
        <w:t xml:space="preserve">(Recital 45 and Article 38 of the EIR Recast) </w:t>
      </w:r>
      <w:r w:rsidRPr="00A63CB4">
        <w:rPr>
          <w:rFonts w:ascii="Arial" w:hAnsi="Arial" w:cs="Arial"/>
          <w:color w:val="7B7B7B" w:themeColor="accent3" w:themeShade="BF"/>
          <w:sz w:val="22"/>
          <w:szCs w:val="22"/>
          <w:lang w:val="en-US"/>
        </w:rPr>
        <w:t xml:space="preserve">provides that </w:t>
      </w:r>
      <w:r w:rsidRPr="00A63CB4">
        <w:rPr>
          <w:rFonts w:ascii="Arial" w:hAnsi="Arial" w:cs="Arial"/>
          <w:color w:val="7B7B7B" w:themeColor="accent3" w:themeShade="BF"/>
          <w:sz w:val="22"/>
          <w:szCs w:val="22"/>
        </w:rPr>
        <w:t xml:space="preserve">the </w:t>
      </w:r>
      <w:r w:rsidRPr="00A63CB4">
        <w:rPr>
          <w:rFonts w:ascii="Arial" w:hAnsi="Arial" w:cs="Arial"/>
          <w:color w:val="7B7B7B" w:themeColor="accent3" w:themeShade="BF"/>
          <w:sz w:val="22"/>
          <w:szCs w:val="22"/>
          <w:lang w:val="en-US"/>
        </w:rPr>
        <w:t>competent court for the opening of the secondary insolvency proceedings is entitled to stay</w:t>
      </w:r>
      <w:r w:rsidRPr="00A63CB4">
        <w:rPr>
          <w:rFonts w:ascii="Arial" w:hAnsi="Arial" w:cs="Arial"/>
          <w:color w:val="7B7B7B" w:themeColor="accent3" w:themeShade="BF"/>
          <w:sz w:val="22"/>
          <w:szCs w:val="22"/>
        </w:rPr>
        <w:t xml:space="preserve"> the opening of </w:t>
      </w:r>
      <w:r w:rsidRPr="00A63CB4">
        <w:rPr>
          <w:rFonts w:ascii="Arial" w:hAnsi="Arial" w:cs="Arial"/>
          <w:color w:val="7B7B7B" w:themeColor="accent3" w:themeShade="BF"/>
          <w:sz w:val="22"/>
          <w:szCs w:val="22"/>
          <w:lang w:val="en-US"/>
        </w:rPr>
        <w:t xml:space="preserve">these </w:t>
      </w:r>
      <w:r w:rsidRPr="00A63CB4">
        <w:rPr>
          <w:rFonts w:ascii="Arial" w:hAnsi="Arial" w:cs="Arial"/>
          <w:color w:val="7B7B7B" w:themeColor="accent3" w:themeShade="BF"/>
          <w:sz w:val="22"/>
          <w:szCs w:val="22"/>
        </w:rPr>
        <w:t xml:space="preserve">proceedings in order to preserve the efficiency of the main insolvency proceedings. </w:t>
      </w:r>
      <w:r w:rsidRPr="00A63CB4">
        <w:rPr>
          <w:rFonts w:ascii="Arial" w:hAnsi="Arial" w:cs="Arial"/>
          <w:color w:val="7B7B7B" w:themeColor="accent3" w:themeShade="BF"/>
          <w:sz w:val="22"/>
          <w:szCs w:val="22"/>
          <w:lang w:val="en-US"/>
        </w:rPr>
        <w:t>This court</w:t>
      </w:r>
      <w:r>
        <w:rPr>
          <w:rFonts w:ascii="Arial" w:hAnsi="Arial" w:cs="Arial"/>
          <w:color w:val="7B7B7B" w:themeColor="accent3" w:themeShade="BF"/>
          <w:sz w:val="22"/>
          <w:szCs w:val="22"/>
          <w:lang w:val="en-US"/>
        </w:rPr>
        <w:t>’s</w:t>
      </w:r>
      <w:r w:rsidRPr="00A63CB4">
        <w:rPr>
          <w:rFonts w:ascii="Arial" w:hAnsi="Arial" w:cs="Arial"/>
          <w:color w:val="7B7B7B" w:themeColor="accent3" w:themeShade="BF"/>
          <w:sz w:val="22"/>
          <w:szCs w:val="22"/>
          <w:lang w:val="en-US"/>
        </w:rPr>
        <w:t xml:space="preserve"> decision must be taken under consideration of the creditors’ interest</w:t>
      </w:r>
      <w:r>
        <w:rPr>
          <w:rFonts w:ascii="Arial" w:hAnsi="Arial" w:cs="Arial"/>
          <w:color w:val="7B7B7B" w:themeColor="accent3" w:themeShade="BF"/>
          <w:sz w:val="22"/>
          <w:szCs w:val="22"/>
          <w:lang w:val="en-US"/>
        </w:rPr>
        <w:t>s</w:t>
      </w:r>
      <w:r w:rsidRPr="00A63CB4">
        <w:rPr>
          <w:rFonts w:ascii="Arial" w:hAnsi="Arial" w:cs="Arial"/>
          <w:color w:val="7B7B7B" w:themeColor="accent3" w:themeShade="BF"/>
          <w:sz w:val="22"/>
          <w:szCs w:val="22"/>
          <w:lang w:val="en-US"/>
        </w:rPr>
        <w:t>.</w:t>
      </w:r>
    </w:p>
    <w:p w14:paraId="526ED9B7" w14:textId="796EFF26" w:rsidR="00AE2316" w:rsidRPr="00FF3495" w:rsidRDefault="00AE2316" w:rsidP="008622A5">
      <w:pPr>
        <w:pStyle w:val="ListParagraph"/>
        <w:jc w:val="both"/>
        <w:rPr>
          <w:rFonts w:ascii="Arial" w:hAnsi="Arial" w:cs="Arial"/>
          <w:color w:val="7B7B7B" w:themeColor="accent3" w:themeShade="BF"/>
          <w:sz w:val="22"/>
          <w:szCs w:val="22"/>
        </w:rPr>
      </w:pPr>
    </w:p>
    <w:p w14:paraId="323F5E00" w14:textId="77777777" w:rsidR="00A63CB4" w:rsidRPr="008622A5" w:rsidRDefault="00A63CB4" w:rsidP="008622A5">
      <w:pPr>
        <w:pStyle w:val="ListParagraph"/>
        <w:jc w:val="both"/>
        <w:rPr>
          <w:rFonts w:ascii="Arial" w:hAnsi="Arial" w:cs="Arial"/>
          <w:color w:val="7B7B7B" w:themeColor="accent3" w:themeShade="BF"/>
          <w:sz w:val="22"/>
          <w:szCs w:val="22"/>
          <w:lang w:val="en-US"/>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Pr="009701E7" w:rsidRDefault="00DD47EF" w:rsidP="002A37BB">
      <w:pPr>
        <w:jc w:val="both"/>
        <w:rPr>
          <w:rFonts w:ascii="Arial" w:hAnsi="Arial" w:cs="Arial"/>
          <w:sz w:val="22"/>
          <w:szCs w:val="22"/>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65A3297D" w14:textId="77777777" w:rsidR="00FF3495" w:rsidRPr="00FF3495" w:rsidRDefault="00FF3495" w:rsidP="00FF3495">
      <w:pPr>
        <w:pStyle w:val="ListParagraph"/>
        <w:numPr>
          <w:ilvl w:val="0"/>
          <w:numId w:val="12"/>
        </w:numPr>
        <w:jc w:val="both"/>
        <w:rPr>
          <w:rFonts w:ascii="Arial" w:hAnsi="Arial" w:cs="Arial"/>
          <w:color w:val="7B7B7B" w:themeColor="accent3" w:themeShade="BF"/>
          <w:sz w:val="22"/>
          <w:szCs w:val="22"/>
          <w:lang w:val="en-US"/>
        </w:rPr>
      </w:pPr>
      <w:r w:rsidRPr="00FF3495">
        <w:rPr>
          <w:rFonts w:ascii="Arial" w:hAnsi="Arial" w:cs="Arial"/>
          <w:color w:val="7B7B7B" w:themeColor="accent3" w:themeShade="BF"/>
          <w:sz w:val="22"/>
          <w:szCs w:val="22"/>
          <w:lang w:val="en-US"/>
        </w:rPr>
        <w:t>The scope of the regulation has been broadened to pre-insolvency proceedings with the purpose to rescue encourage the rescue and successful restructuring of companies in financial distress. Such pre-insolvency procedures were not covered by the initial scope of the EIR because these were enacted by several Member States after the introduction of the EIR in 2012. This new rule is reflected in Article 1 EIR Recast and these new proceedings have been inserted in Annex A of the EIR Recast.</w:t>
      </w:r>
    </w:p>
    <w:p w14:paraId="3F7B7AED" w14:textId="77777777" w:rsidR="00FF3495" w:rsidRPr="00FF3495" w:rsidRDefault="00FF3495" w:rsidP="00FF3495">
      <w:pPr>
        <w:pStyle w:val="ListParagraph"/>
        <w:jc w:val="both"/>
        <w:rPr>
          <w:rFonts w:ascii="Arial" w:hAnsi="Arial" w:cs="Arial"/>
          <w:color w:val="7B7B7B" w:themeColor="accent3" w:themeShade="BF"/>
          <w:sz w:val="22"/>
          <w:szCs w:val="22"/>
          <w:lang w:val="en-US"/>
        </w:rPr>
      </w:pPr>
    </w:p>
    <w:p w14:paraId="7F2799C1" w14:textId="77777777" w:rsidR="00FF3495" w:rsidRPr="00FF3495" w:rsidRDefault="00FF3495" w:rsidP="00FF3495">
      <w:pPr>
        <w:pStyle w:val="ListParagraph"/>
        <w:numPr>
          <w:ilvl w:val="0"/>
          <w:numId w:val="12"/>
        </w:numPr>
        <w:jc w:val="both"/>
        <w:rPr>
          <w:rFonts w:ascii="Arial" w:hAnsi="Arial" w:cs="Arial"/>
          <w:color w:val="7B7B7B" w:themeColor="accent3" w:themeShade="BF"/>
          <w:sz w:val="22"/>
          <w:szCs w:val="22"/>
          <w:lang w:val="en-US"/>
        </w:rPr>
      </w:pPr>
      <w:r w:rsidRPr="00FF3495">
        <w:rPr>
          <w:rFonts w:ascii="Arial" w:hAnsi="Arial" w:cs="Arial"/>
          <w:color w:val="7B7B7B" w:themeColor="accent3" w:themeShade="BF"/>
          <w:sz w:val="22"/>
          <w:szCs w:val="22"/>
          <w:lang w:val="en-US"/>
        </w:rPr>
        <w:t xml:space="preserve">The opening of secondary proceedings, which necessarily needed to be liquidation or winding-up proceedings, was problematic because restructuring or sale of the debtor </w:t>
      </w:r>
      <w:r w:rsidRPr="00FF3495">
        <w:rPr>
          <w:rFonts w:ascii="Arial" w:hAnsi="Arial" w:cs="Arial"/>
          <w:color w:val="7B7B7B" w:themeColor="accent3" w:themeShade="BF"/>
          <w:sz w:val="22"/>
          <w:szCs w:val="22"/>
          <w:lang w:val="en-US"/>
        </w:rPr>
        <w:lastRenderedPageBreak/>
        <w:t>on a going concern basis was not possible. This issue was addressed in the regulations of the Article 36 of the EIR Recast (</w:t>
      </w:r>
      <w:r w:rsidRPr="00FF3495">
        <w:rPr>
          <w:rFonts w:ascii="Arial" w:hAnsi="Arial" w:cs="Arial"/>
          <w:color w:val="7B7B7B" w:themeColor="accent3" w:themeShade="BF"/>
          <w:sz w:val="22"/>
          <w:szCs w:val="22"/>
          <w:lang w:val="en-GB"/>
        </w:rPr>
        <w:t>“Synthetic proceedings”).</w:t>
      </w:r>
    </w:p>
    <w:p w14:paraId="2D428224" w14:textId="77777777" w:rsidR="00FF3495" w:rsidRPr="00FF3495" w:rsidRDefault="00FF3495" w:rsidP="00FF3495">
      <w:pPr>
        <w:pStyle w:val="ListParagraph"/>
        <w:jc w:val="both"/>
        <w:rPr>
          <w:rFonts w:ascii="Arial" w:hAnsi="Arial" w:cs="Arial"/>
          <w:color w:val="7B7B7B" w:themeColor="accent3" w:themeShade="BF"/>
          <w:sz w:val="22"/>
          <w:szCs w:val="22"/>
          <w:lang w:val="en-US"/>
        </w:rPr>
      </w:pPr>
    </w:p>
    <w:p w14:paraId="6B8770D3" w14:textId="77777777" w:rsidR="00FF3495" w:rsidRPr="00FF3495" w:rsidRDefault="00FF3495" w:rsidP="00FF3495">
      <w:pPr>
        <w:pStyle w:val="ListParagraph"/>
        <w:numPr>
          <w:ilvl w:val="0"/>
          <w:numId w:val="12"/>
        </w:numPr>
        <w:jc w:val="both"/>
        <w:rPr>
          <w:rFonts w:ascii="Arial" w:hAnsi="Arial" w:cs="Arial"/>
          <w:color w:val="7B7B7B" w:themeColor="accent3" w:themeShade="BF"/>
          <w:sz w:val="22"/>
          <w:szCs w:val="22"/>
          <w:lang w:val="en-US"/>
        </w:rPr>
      </w:pPr>
      <w:r w:rsidRPr="00FF3495">
        <w:rPr>
          <w:rFonts w:ascii="Arial" w:hAnsi="Arial" w:cs="Arial"/>
          <w:color w:val="7B7B7B" w:themeColor="accent3" w:themeShade="BF"/>
          <w:sz w:val="22"/>
          <w:szCs w:val="22"/>
          <w:lang w:val="en-US"/>
        </w:rPr>
        <w:t>Stronger co-operation: the duties to communicate and co-operate, which already was included in the EIR. However, this duty did concern only the relation between insolvency practitioners. The EIR Recast extended this duty to the relation between courts and between insolvency practitioners and courts (Article 42 and 43 EIR Recast).</w:t>
      </w:r>
    </w:p>
    <w:p w14:paraId="46002F03" w14:textId="77777777" w:rsidR="00FF3495" w:rsidRPr="00FF3495" w:rsidRDefault="00FF3495" w:rsidP="00FF3495">
      <w:pPr>
        <w:pStyle w:val="ListParagraph"/>
        <w:jc w:val="both"/>
        <w:rPr>
          <w:rFonts w:ascii="Arial" w:hAnsi="Arial" w:cs="Arial"/>
          <w:color w:val="7B7B7B" w:themeColor="accent3" w:themeShade="BF"/>
          <w:sz w:val="22"/>
          <w:szCs w:val="22"/>
          <w:lang w:val="en-US"/>
        </w:rPr>
      </w:pPr>
    </w:p>
    <w:p w14:paraId="10185059" w14:textId="77777777" w:rsidR="00FF3495" w:rsidRPr="00FF3495" w:rsidRDefault="00FF3495" w:rsidP="00FF3495">
      <w:pPr>
        <w:pStyle w:val="ListParagraph"/>
        <w:numPr>
          <w:ilvl w:val="0"/>
          <w:numId w:val="12"/>
        </w:numPr>
        <w:jc w:val="both"/>
        <w:rPr>
          <w:rFonts w:ascii="Arial" w:hAnsi="Arial" w:cs="Arial"/>
          <w:color w:val="7B7B7B" w:themeColor="accent3" w:themeShade="BF"/>
          <w:sz w:val="22"/>
          <w:szCs w:val="22"/>
          <w:lang w:val="en-US"/>
        </w:rPr>
      </w:pPr>
      <w:r w:rsidRPr="00FF3495">
        <w:rPr>
          <w:rFonts w:ascii="Arial" w:hAnsi="Arial" w:cs="Arial"/>
          <w:color w:val="7B7B7B" w:themeColor="accent3" w:themeShade="BF"/>
          <w:sz w:val="22"/>
          <w:szCs w:val="22"/>
          <w:lang w:val="en-US"/>
        </w:rPr>
        <w:t>Insolvency of a group of companies: The EIR did not set any rules for the insolvency of multinational company groups. A separate and independent insolvency proceeding had to be opened for each entity of a group, which was an obstacle to the coordinated and successful restructuring or sale of the company group as business unit. Therefore, EIR Recast inserted legal disposition related to the insolvency of company groups in the Articles 56 to 78 of the EIR Recast.</w:t>
      </w:r>
    </w:p>
    <w:p w14:paraId="0FCF1A09" w14:textId="77777777" w:rsidR="00FF3495" w:rsidRPr="00FF3495" w:rsidRDefault="00FF3495" w:rsidP="00FF3495">
      <w:pPr>
        <w:pStyle w:val="ListParagraph"/>
        <w:jc w:val="both"/>
        <w:rPr>
          <w:rFonts w:ascii="Arial" w:hAnsi="Arial" w:cs="Arial"/>
          <w:color w:val="7B7B7B" w:themeColor="accent3" w:themeShade="BF"/>
          <w:sz w:val="22"/>
          <w:szCs w:val="22"/>
          <w:lang w:val="en-US"/>
        </w:rPr>
      </w:pPr>
    </w:p>
    <w:p w14:paraId="17268B7C" w14:textId="77777777" w:rsidR="00FF3495" w:rsidRPr="00FF3495" w:rsidRDefault="00FF3495" w:rsidP="00FF3495">
      <w:pPr>
        <w:pStyle w:val="ListParagraph"/>
        <w:numPr>
          <w:ilvl w:val="0"/>
          <w:numId w:val="12"/>
        </w:numPr>
        <w:jc w:val="both"/>
        <w:rPr>
          <w:rFonts w:ascii="Arial" w:hAnsi="Arial" w:cs="Arial"/>
          <w:color w:val="7B7B7B" w:themeColor="accent3" w:themeShade="BF"/>
          <w:sz w:val="22"/>
          <w:szCs w:val="22"/>
          <w:lang w:val="en-US"/>
        </w:rPr>
      </w:pPr>
      <w:r w:rsidRPr="00FF3495">
        <w:rPr>
          <w:rFonts w:ascii="Arial" w:hAnsi="Arial" w:cs="Arial"/>
          <w:color w:val="7B7B7B" w:themeColor="accent3" w:themeShade="BF"/>
          <w:sz w:val="22"/>
          <w:szCs w:val="22"/>
          <w:lang w:val="en-US"/>
        </w:rPr>
        <w:t>Publication of the proceedings and lodging of claims: There was no specific obligation or process in the Member State of the opening of proceedings or establishment of the debtor for publishing or registering the decisions of the insolvency courts, and there was also no insolvency register on E.U. level. The EIR Recast therefore foresees that the insolvency proceedings shall be interconnected (Articles 24 and 25 EIR Recast). The regulation also foresees that the creditors shall be informed about the rights to file their claims (Art 53 EIR Recast).</w:t>
      </w:r>
    </w:p>
    <w:p w14:paraId="3CC1E113" w14:textId="77777777" w:rsidR="00FF3495" w:rsidRPr="00FF3495" w:rsidRDefault="00FF3495" w:rsidP="00FF3495">
      <w:pPr>
        <w:pStyle w:val="ListParagraph"/>
        <w:jc w:val="both"/>
        <w:rPr>
          <w:rFonts w:ascii="Arial" w:hAnsi="Arial" w:cs="Arial"/>
          <w:color w:val="7B7B7B" w:themeColor="accent3" w:themeShade="BF"/>
          <w:sz w:val="22"/>
          <w:szCs w:val="22"/>
          <w:lang w:val="en-US"/>
        </w:rPr>
      </w:pPr>
    </w:p>
    <w:p w14:paraId="74E46540" w14:textId="77777777" w:rsidR="00FF3495" w:rsidRPr="00FF3495" w:rsidRDefault="00FF3495" w:rsidP="00FF3495">
      <w:pPr>
        <w:pStyle w:val="ListParagraph"/>
        <w:numPr>
          <w:ilvl w:val="0"/>
          <w:numId w:val="12"/>
        </w:numPr>
        <w:jc w:val="both"/>
        <w:rPr>
          <w:rFonts w:ascii="Arial" w:hAnsi="Arial" w:cs="Arial"/>
          <w:color w:val="7B7B7B" w:themeColor="accent3" w:themeShade="BF"/>
          <w:sz w:val="22"/>
          <w:szCs w:val="22"/>
          <w:lang w:val="en-US"/>
        </w:rPr>
      </w:pPr>
      <w:r w:rsidRPr="00FF3495">
        <w:rPr>
          <w:rFonts w:ascii="Arial" w:hAnsi="Arial" w:cs="Arial"/>
          <w:color w:val="7B7B7B" w:themeColor="accent3" w:themeShade="BF"/>
          <w:sz w:val="22"/>
          <w:szCs w:val="22"/>
          <w:lang w:val="en-US"/>
        </w:rPr>
        <w:t>Courts have experienced difficulties in applying the concept of "</w:t>
      </w:r>
      <w:proofErr w:type="spellStart"/>
      <w:r w:rsidRPr="00FF3495">
        <w:rPr>
          <w:rFonts w:ascii="Arial" w:hAnsi="Arial" w:cs="Arial"/>
          <w:color w:val="7B7B7B" w:themeColor="accent3" w:themeShade="BF"/>
          <w:sz w:val="22"/>
          <w:szCs w:val="22"/>
          <w:lang w:val="en-US"/>
        </w:rPr>
        <w:t>centre</w:t>
      </w:r>
      <w:proofErr w:type="spellEnd"/>
      <w:r w:rsidRPr="00FF3495">
        <w:rPr>
          <w:rFonts w:ascii="Arial" w:hAnsi="Arial" w:cs="Arial"/>
          <w:color w:val="7B7B7B" w:themeColor="accent3" w:themeShade="BF"/>
          <w:sz w:val="22"/>
          <w:szCs w:val="22"/>
          <w:lang w:val="en-US"/>
        </w:rPr>
        <w:t xml:space="preserve"> of main interests" (COMI) in practice, so this legal term has been strengthened, particularly in order to avoid forum shopping through abusive COMI-relocation.</w:t>
      </w:r>
    </w:p>
    <w:p w14:paraId="7E5CEF24" w14:textId="77777777" w:rsidR="004A6F30" w:rsidRPr="009865A3" w:rsidRDefault="004A6F30" w:rsidP="009865A3">
      <w:pPr>
        <w:pStyle w:val="ListParagraph"/>
        <w:rPr>
          <w:rFonts w:ascii="Arial" w:hAnsi="Arial" w:cs="Arial"/>
          <w:color w:val="7B7B7B" w:themeColor="accent3" w:themeShade="BF"/>
          <w:sz w:val="22"/>
          <w:szCs w:val="22"/>
        </w:rPr>
      </w:pPr>
    </w:p>
    <w:p w14:paraId="71927695" w14:textId="77777777" w:rsidR="009865A3" w:rsidRPr="009865A3" w:rsidRDefault="009865A3" w:rsidP="009865A3">
      <w:pPr>
        <w:pStyle w:val="ListParagraph"/>
        <w:jc w:val="both"/>
        <w:rPr>
          <w:rFonts w:ascii="Arial" w:hAnsi="Arial" w:cs="Arial"/>
          <w:color w:val="7B7B7B" w:themeColor="accent3" w:themeShade="BF"/>
          <w:sz w:val="22"/>
          <w:szCs w:val="22"/>
          <w:lang w:val="en-US"/>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2831314F" w14:textId="77777777" w:rsidR="007C5469" w:rsidRPr="008C044C" w:rsidRDefault="007C5469" w:rsidP="007C5469">
      <w:pPr>
        <w:pStyle w:val="ListParagraph"/>
        <w:numPr>
          <w:ilvl w:val="0"/>
          <w:numId w:val="1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P</w:t>
      </w:r>
      <w:r w:rsidRPr="008C044C">
        <w:rPr>
          <w:rFonts w:ascii="Arial" w:hAnsi="Arial" w:cs="Arial"/>
          <w:color w:val="7B7B7B" w:themeColor="accent3" w:themeShade="BF"/>
          <w:sz w:val="22"/>
          <w:szCs w:val="22"/>
        </w:rPr>
        <w:t>re-insolvency proceedings and personal insolvency proceedings</w:t>
      </w:r>
      <w:r>
        <w:rPr>
          <w:rFonts w:ascii="Arial" w:hAnsi="Arial" w:cs="Arial"/>
          <w:color w:val="7B7B7B" w:themeColor="accent3" w:themeShade="BF"/>
          <w:sz w:val="22"/>
          <w:szCs w:val="22"/>
        </w:rPr>
        <w:t xml:space="preserve">: these proceedings were completely excluded in the EIR, which focused on </w:t>
      </w:r>
      <w:r w:rsidRPr="008C044C">
        <w:rPr>
          <w:rFonts w:ascii="Arial" w:hAnsi="Arial" w:cs="Arial"/>
          <w:color w:val="7B7B7B" w:themeColor="accent3" w:themeShade="BF"/>
          <w:sz w:val="22"/>
          <w:szCs w:val="22"/>
        </w:rPr>
        <w:t xml:space="preserve">bankruptcy </w:t>
      </w:r>
      <w:r>
        <w:rPr>
          <w:rFonts w:ascii="Arial" w:hAnsi="Arial" w:cs="Arial"/>
          <w:color w:val="7B7B7B" w:themeColor="accent3" w:themeShade="BF"/>
          <w:sz w:val="22"/>
          <w:szCs w:val="22"/>
        </w:rPr>
        <w:t>proceedings</w:t>
      </w:r>
      <w:r>
        <w:rPr>
          <w:rFonts w:ascii="Arial" w:hAnsi="Arial" w:cs="Arial"/>
          <w:color w:val="7B7B7B" w:themeColor="accent3" w:themeShade="BF"/>
          <w:sz w:val="22"/>
          <w:szCs w:val="22"/>
          <w:lang w:val="en-US"/>
        </w:rPr>
        <w:t xml:space="preserve"> with the goal of liquidation or winding-up of the debtor</w:t>
      </w:r>
      <w:r>
        <w:rPr>
          <w:rFonts w:ascii="Arial" w:hAnsi="Arial" w:cs="Arial"/>
          <w:color w:val="7B7B7B" w:themeColor="accent3" w:themeShade="BF"/>
          <w:sz w:val="22"/>
          <w:szCs w:val="22"/>
        </w:rPr>
        <w:t>.</w:t>
      </w:r>
    </w:p>
    <w:p w14:paraId="023D5F59" w14:textId="77777777" w:rsidR="007C5469" w:rsidRDefault="007C5469" w:rsidP="007C5469">
      <w:pPr>
        <w:jc w:val="both"/>
        <w:rPr>
          <w:rFonts w:ascii="Arial" w:hAnsi="Arial" w:cs="Arial"/>
          <w:color w:val="7B7B7B" w:themeColor="accent3" w:themeShade="BF"/>
          <w:sz w:val="22"/>
          <w:szCs w:val="22"/>
        </w:rPr>
      </w:pPr>
    </w:p>
    <w:p w14:paraId="077F7CED" w14:textId="77777777" w:rsidR="007C5469" w:rsidRDefault="007C5469" w:rsidP="007C5469">
      <w:pPr>
        <w:pStyle w:val="ListParagraph"/>
        <w:numPr>
          <w:ilvl w:val="0"/>
          <w:numId w:val="12"/>
        </w:numPr>
        <w:jc w:val="both"/>
        <w:rPr>
          <w:rFonts w:ascii="Arial" w:hAnsi="Arial" w:cs="Arial"/>
          <w:color w:val="7B7B7B" w:themeColor="accent3" w:themeShade="BF"/>
          <w:sz w:val="22"/>
          <w:szCs w:val="22"/>
        </w:rPr>
      </w:pPr>
      <w:r w:rsidRPr="008C044C">
        <w:rPr>
          <w:rFonts w:ascii="Arial" w:hAnsi="Arial" w:cs="Arial"/>
          <w:color w:val="7B7B7B" w:themeColor="accent3" w:themeShade="BF"/>
          <w:sz w:val="22"/>
          <w:szCs w:val="22"/>
          <w:lang w:val="en-US"/>
        </w:rPr>
        <w:t>G</w:t>
      </w:r>
      <w:r w:rsidRPr="008C044C">
        <w:rPr>
          <w:rFonts w:ascii="Arial" w:hAnsi="Arial" w:cs="Arial"/>
          <w:color w:val="7B7B7B" w:themeColor="accent3" w:themeShade="BF"/>
          <w:sz w:val="22"/>
          <w:szCs w:val="22"/>
        </w:rPr>
        <w:t>roups of companies</w:t>
      </w:r>
      <w:r w:rsidRPr="008C044C">
        <w:rPr>
          <w:rFonts w:ascii="Arial" w:hAnsi="Arial" w:cs="Arial"/>
          <w:color w:val="7B7B7B" w:themeColor="accent3" w:themeShade="BF"/>
          <w:sz w:val="22"/>
          <w:szCs w:val="22"/>
          <w:lang w:val="en-US"/>
        </w:rPr>
        <w:t xml:space="preserve">: </w:t>
      </w:r>
      <w:r w:rsidRPr="008C044C">
        <w:rPr>
          <w:rFonts w:ascii="Arial" w:hAnsi="Arial" w:cs="Arial"/>
          <w:color w:val="7B7B7B" w:themeColor="accent3" w:themeShade="BF"/>
          <w:sz w:val="22"/>
          <w:szCs w:val="22"/>
        </w:rPr>
        <w:t>the EIR dealt exclusively with single companies and left issues related to company groups open</w:t>
      </w:r>
      <w:r>
        <w:rPr>
          <w:rFonts w:ascii="Arial" w:hAnsi="Arial" w:cs="Arial"/>
          <w:color w:val="7B7B7B" w:themeColor="accent3" w:themeShade="BF"/>
          <w:sz w:val="22"/>
          <w:szCs w:val="22"/>
          <w:lang w:val="en-US"/>
        </w:rPr>
        <w:t xml:space="preserve"> (see details in the question 3.1 above)</w:t>
      </w:r>
      <w:r w:rsidRPr="008C044C">
        <w:rPr>
          <w:rFonts w:ascii="Arial" w:hAnsi="Arial" w:cs="Arial"/>
          <w:color w:val="7B7B7B" w:themeColor="accent3" w:themeShade="BF"/>
          <w:sz w:val="22"/>
          <w:szCs w:val="22"/>
        </w:rPr>
        <w:t>.</w:t>
      </w:r>
    </w:p>
    <w:p w14:paraId="40E84E4A" w14:textId="77777777" w:rsidR="007C5469" w:rsidRPr="008C044C" w:rsidRDefault="007C5469" w:rsidP="007C5469">
      <w:pPr>
        <w:pStyle w:val="ListParagraph"/>
        <w:rPr>
          <w:rFonts w:ascii="Arial" w:hAnsi="Arial" w:cs="Arial"/>
          <w:color w:val="7B7B7B" w:themeColor="accent3" w:themeShade="BF"/>
          <w:sz w:val="22"/>
          <w:szCs w:val="22"/>
        </w:rPr>
      </w:pPr>
    </w:p>
    <w:p w14:paraId="2B105493" w14:textId="77777777" w:rsidR="007C5469" w:rsidRPr="008C044C" w:rsidRDefault="007C5469" w:rsidP="007C5469">
      <w:pPr>
        <w:pStyle w:val="ListParagraph"/>
        <w:numPr>
          <w:ilvl w:val="0"/>
          <w:numId w:val="1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“Synthetic” secondary insolvency proceedings: </w:t>
      </w:r>
      <w:r w:rsidRPr="008C044C">
        <w:rPr>
          <w:rFonts w:ascii="Arial" w:hAnsi="Arial" w:cs="Arial"/>
          <w:color w:val="7B7B7B" w:themeColor="accent3" w:themeShade="BF"/>
          <w:sz w:val="22"/>
          <w:szCs w:val="22"/>
        </w:rPr>
        <w:t xml:space="preserve">the EIR did </w:t>
      </w:r>
      <w:r>
        <w:rPr>
          <w:rFonts w:ascii="Arial" w:hAnsi="Arial" w:cs="Arial"/>
          <w:color w:val="7B7B7B" w:themeColor="accent3" w:themeShade="BF"/>
          <w:sz w:val="22"/>
          <w:szCs w:val="22"/>
          <w:lang w:val="en-US"/>
        </w:rPr>
        <w:t xml:space="preserve">not </w:t>
      </w:r>
      <w:r w:rsidRPr="008C044C">
        <w:rPr>
          <w:rFonts w:ascii="Arial" w:hAnsi="Arial" w:cs="Arial"/>
          <w:color w:val="7B7B7B" w:themeColor="accent3" w:themeShade="BF"/>
          <w:sz w:val="22"/>
          <w:szCs w:val="22"/>
        </w:rPr>
        <w:t>contain any provision related to the possibility to avoid the opening of secondary insolvency proceedings.</w:t>
      </w:r>
      <w:r>
        <w:rPr>
          <w:rFonts w:ascii="Arial" w:hAnsi="Arial" w:cs="Arial"/>
          <w:color w:val="7B7B7B" w:themeColor="accent3" w:themeShade="BF"/>
          <w:sz w:val="22"/>
          <w:szCs w:val="22"/>
          <w:lang w:val="en-US"/>
        </w:rPr>
        <w:t xml:space="preserve"> This was addressed by the </w:t>
      </w:r>
      <w:r w:rsidRPr="00A63CB4">
        <w:rPr>
          <w:rFonts w:ascii="Arial" w:hAnsi="Arial" w:cs="Arial"/>
          <w:color w:val="7B7B7B" w:themeColor="accent3" w:themeShade="BF"/>
          <w:sz w:val="22"/>
          <w:szCs w:val="22"/>
        </w:rPr>
        <w:t xml:space="preserve">Article 36 of the </w:t>
      </w:r>
      <w:r w:rsidRPr="00A63CB4">
        <w:rPr>
          <w:rFonts w:ascii="Arial" w:hAnsi="Arial" w:cs="Arial"/>
          <w:color w:val="7B7B7B" w:themeColor="accent3" w:themeShade="BF"/>
          <w:sz w:val="22"/>
          <w:szCs w:val="22"/>
          <w:lang w:val="en-US"/>
        </w:rPr>
        <w:t xml:space="preserve">EIR </w:t>
      </w:r>
      <w:r w:rsidRPr="00A63CB4">
        <w:rPr>
          <w:rFonts w:ascii="Arial" w:hAnsi="Arial" w:cs="Arial"/>
          <w:color w:val="7B7B7B" w:themeColor="accent3" w:themeShade="BF"/>
          <w:sz w:val="22"/>
          <w:szCs w:val="22"/>
        </w:rPr>
        <w:t>Recast</w:t>
      </w:r>
      <w:r>
        <w:rPr>
          <w:rFonts w:ascii="Arial" w:hAnsi="Arial" w:cs="Arial"/>
          <w:color w:val="7B7B7B" w:themeColor="accent3" w:themeShade="BF"/>
          <w:sz w:val="22"/>
          <w:szCs w:val="22"/>
          <w:lang w:val="en-US"/>
        </w:rPr>
        <w:t>.</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0E402D71" w14:textId="77777777" w:rsidR="007D1213" w:rsidRDefault="007C5469" w:rsidP="007C5469">
      <w:pPr>
        <w:numPr>
          <w:ilvl w:val="0"/>
          <w:numId w:val="12"/>
        </w:numPr>
        <w:jc w:val="both"/>
        <w:rPr>
          <w:rFonts w:ascii="Arial" w:hAnsi="Arial" w:cs="Arial"/>
          <w:color w:val="7B7B7B" w:themeColor="accent3" w:themeShade="BF"/>
          <w:sz w:val="22"/>
          <w:szCs w:val="22"/>
          <w:lang w:val="en-US"/>
        </w:rPr>
      </w:pPr>
      <w:r w:rsidRPr="007C5469">
        <w:rPr>
          <w:rFonts w:ascii="Arial" w:hAnsi="Arial" w:cs="Arial"/>
          <w:color w:val="7B7B7B" w:themeColor="accent3" w:themeShade="BF"/>
          <w:sz w:val="22"/>
          <w:szCs w:val="22"/>
          <w:lang w:val="en-US"/>
        </w:rPr>
        <w:t>Several practical problems and shortcomings of the EIR Recast have been dis</w:t>
      </w:r>
      <w:r w:rsidR="00C37904">
        <w:rPr>
          <w:rFonts w:ascii="Arial" w:hAnsi="Arial" w:cs="Arial"/>
          <w:color w:val="7B7B7B" w:themeColor="accent3" w:themeShade="BF"/>
          <w:sz w:val="22"/>
          <w:szCs w:val="22"/>
          <w:lang w:val="en-US"/>
        </w:rPr>
        <w:t>c</w:t>
      </w:r>
      <w:r w:rsidRPr="007C5469">
        <w:rPr>
          <w:rFonts w:ascii="Arial" w:hAnsi="Arial" w:cs="Arial"/>
          <w:color w:val="7B7B7B" w:themeColor="accent3" w:themeShade="BF"/>
          <w:sz w:val="22"/>
          <w:szCs w:val="22"/>
          <w:lang w:val="en-US"/>
        </w:rPr>
        <w:t>ussed extensively in the legal doctrine</w:t>
      </w:r>
      <w:r w:rsidRPr="007C5469">
        <w:rPr>
          <w:rFonts w:ascii="Arial" w:hAnsi="Arial" w:cs="Arial"/>
          <w:color w:val="7B7B7B" w:themeColor="accent3" w:themeShade="BF"/>
          <w:sz w:val="22"/>
          <w:szCs w:val="22"/>
          <w:vertAlign w:val="superscript"/>
          <w:lang w:val="en-US"/>
        </w:rPr>
        <w:t>.[1]</w:t>
      </w:r>
      <w:r>
        <w:rPr>
          <w:rFonts w:ascii="Arial" w:hAnsi="Arial" w:cs="Arial"/>
          <w:color w:val="7B7B7B" w:themeColor="accent3" w:themeShade="BF"/>
          <w:sz w:val="22"/>
          <w:szCs w:val="22"/>
          <w:lang w:val="en-US"/>
        </w:rPr>
        <w:t>.</w:t>
      </w:r>
      <w:r w:rsidRPr="007C5469">
        <w:rPr>
          <w:rFonts w:ascii="Arial" w:hAnsi="Arial" w:cs="Arial"/>
          <w:color w:val="7B7B7B" w:themeColor="accent3" w:themeShade="BF"/>
          <w:sz w:val="22"/>
          <w:szCs w:val="22"/>
          <w:lang w:val="en-US"/>
        </w:rPr>
        <w:t xml:space="preserve"> This is, for example, a difficulty in COMI-</w:t>
      </w:r>
      <w:r w:rsidRPr="007C5469">
        <w:rPr>
          <w:rFonts w:ascii="Arial" w:hAnsi="Arial" w:cs="Arial"/>
          <w:color w:val="7B7B7B" w:themeColor="accent3" w:themeShade="BF"/>
          <w:sz w:val="22"/>
          <w:szCs w:val="22"/>
          <w:lang w:val="en-US"/>
        </w:rPr>
        <w:lastRenderedPageBreak/>
        <w:t xml:space="preserve">determination under the current regulations of the EIR Recast with respect to multinational enterprise groups applying new business models and having decentralized management structures. This problem could be addressed by a more formal approach to the determination of the international jurisdiction, </w:t>
      </w:r>
      <w:proofErr w:type="spellStart"/>
      <w:r w:rsidRPr="007C5469">
        <w:rPr>
          <w:rFonts w:ascii="Arial" w:hAnsi="Arial" w:cs="Arial"/>
          <w:color w:val="7B7B7B" w:themeColor="accent3" w:themeShade="BF"/>
          <w:sz w:val="22"/>
          <w:szCs w:val="22"/>
          <w:lang w:val="en-US"/>
        </w:rPr>
        <w:t>e.g</w:t>
      </w:r>
      <w:proofErr w:type="spellEnd"/>
      <w:r w:rsidRPr="007C5469">
        <w:rPr>
          <w:rFonts w:ascii="Arial" w:hAnsi="Arial" w:cs="Arial"/>
          <w:color w:val="7B7B7B" w:themeColor="accent3" w:themeShade="BF"/>
          <w:sz w:val="22"/>
          <w:szCs w:val="22"/>
          <w:lang w:val="en-US"/>
        </w:rPr>
        <w:t xml:space="preserve"> through connecting it exclusively to company’s registered office or other formal circumstances and not to the COMI.</w:t>
      </w:r>
    </w:p>
    <w:p w14:paraId="7E56C9AE" w14:textId="77777777" w:rsidR="007D1213" w:rsidRDefault="007D1213" w:rsidP="007D1213">
      <w:pPr>
        <w:ind w:left="720"/>
        <w:jc w:val="both"/>
        <w:rPr>
          <w:rFonts w:ascii="Arial" w:hAnsi="Arial" w:cs="Arial"/>
          <w:color w:val="7B7B7B" w:themeColor="accent3" w:themeShade="BF"/>
          <w:sz w:val="22"/>
          <w:szCs w:val="22"/>
          <w:lang w:val="en-US"/>
        </w:rPr>
      </w:pPr>
    </w:p>
    <w:p w14:paraId="452A8049" w14:textId="4F1BF36F" w:rsidR="007C5469" w:rsidRPr="007C5469" w:rsidRDefault="007C5469" w:rsidP="007C5469">
      <w:pPr>
        <w:numPr>
          <w:ilvl w:val="0"/>
          <w:numId w:val="12"/>
        </w:numPr>
        <w:jc w:val="both"/>
        <w:rPr>
          <w:rFonts w:ascii="Arial" w:hAnsi="Arial" w:cs="Arial"/>
          <w:color w:val="7B7B7B" w:themeColor="accent3" w:themeShade="BF"/>
          <w:sz w:val="22"/>
          <w:szCs w:val="22"/>
          <w:lang w:val="en-US"/>
        </w:rPr>
      </w:pPr>
      <w:r w:rsidRPr="007C5469">
        <w:rPr>
          <w:rFonts w:ascii="Arial" w:hAnsi="Arial" w:cs="Arial"/>
          <w:color w:val="7B7B7B" w:themeColor="accent3" w:themeShade="BF"/>
          <w:sz w:val="22"/>
          <w:szCs w:val="22"/>
          <w:lang w:val="en-US"/>
        </w:rPr>
        <w:t xml:space="preserve">Another issue discussed here is the question of the applicable laws to avoidance actions in cross-border situations, which is regulated in the EIR Recast in a very complex manner. A solution to this could be to introduce a harmonized regime on transaction avoidance in the E.U. </w:t>
      </w:r>
    </w:p>
    <w:p w14:paraId="0A885B98" w14:textId="77777777" w:rsidR="007C5469" w:rsidRPr="007C5469" w:rsidRDefault="007C5469" w:rsidP="007C5469">
      <w:pPr>
        <w:ind w:left="720" w:hanging="720"/>
        <w:jc w:val="both"/>
        <w:rPr>
          <w:rFonts w:ascii="Arial" w:hAnsi="Arial" w:cs="Arial"/>
          <w:color w:val="7B7B7B" w:themeColor="accent3" w:themeShade="BF"/>
          <w:sz w:val="22"/>
          <w:szCs w:val="22"/>
          <w:lang w:val="en-US"/>
        </w:rPr>
      </w:pPr>
    </w:p>
    <w:p w14:paraId="2C2E9F5A" w14:textId="77777777" w:rsidR="007C5469" w:rsidRPr="007C5469" w:rsidRDefault="007C5469" w:rsidP="007C5469">
      <w:pPr>
        <w:ind w:left="720"/>
        <w:jc w:val="both"/>
        <w:rPr>
          <w:rFonts w:ascii="Arial" w:hAnsi="Arial" w:cs="Arial"/>
          <w:color w:val="7B7B7B" w:themeColor="accent3" w:themeShade="BF"/>
          <w:sz w:val="22"/>
          <w:szCs w:val="22"/>
          <w:lang w:val="en-US"/>
        </w:rPr>
      </w:pPr>
      <w:r w:rsidRPr="007C5469">
        <w:rPr>
          <w:rFonts w:ascii="Arial" w:hAnsi="Arial" w:cs="Arial"/>
          <w:color w:val="7B7B7B" w:themeColor="accent3" w:themeShade="BF"/>
          <w:sz w:val="22"/>
          <w:szCs w:val="22"/>
          <w:lang w:val="en-US"/>
        </w:rPr>
        <w:t xml:space="preserve">[1] </w:t>
      </w:r>
      <w:r w:rsidRPr="007C5469">
        <w:rPr>
          <w:rFonts w:ascii="Arial" w:hAnsi="Arial" w:cs="Arial"/>
          <w:i/>
          <w:iCs/>
          <w:color w:val="7B7B7B" w:themeColor="accent3" w:themeShade="BF"/>
          <w:sz w:val="22"/>
          <w:szCs w:val="22"/>
          <w:lang w:val="en-US"/>
        </w:rPr>
        <w:t>B. Wessels</w:t>
      </w:r>
      <w:r w:rsidRPr="007C5469">
        <w:rPr>
          <w:rFonts w:ascii="Arial" w:hAnsi="Arial" w:cs="Arial"/>
          <w:color w:val="7B7B7B" w:themeColor="accent3" w:themeShade="BF"/>
          <w:sz w:val="22"/>
          <w:szCs w:val="22"/>
          <w:lang w:val="en-US"/>
        </w:rPr>
        <w:t xml:space="preserve"> provides an overview in his blog article “Improving the EU Insolvency Regulation (Recast)” (16 April 2020) on the review of the recently published book </w:t>
      </w:r>
      <w:r w:rsidRPr="007C5469">
        <w:rPr>
          <w:rFonts w:ascii="Arial" w:hAnsi="Arial" w:cs="Arial"/>
          <w:i/>
          <w:iCs/>
          <w:color w:val="7B7B7B" w:themeColor="accent3" w:themeShade="BF"/>
          <w:sz w:val="22"/>
          <w:szCs w:val="22"/>
          <w:lang w:val="en-US"/>
        </w:rPr>
        <w:t xml:space="preserve">V. </w:t>
      </w:r>
      <w:proofErr w:type="spellStart"/>
      <w:r w:rsidRPr="007C5469">
        <w:rPr>
          <w:rFonts w:ascii="Arial" w:hAnsi="Arial" w:cs="Arial"/>
          <w:i/>
          <w:iCs/>
          <w:color w:val="7B7B7B" w:themeColor="accent3" w:themeShade="BF"/>
          <w:sz w:val="22"/>
          <w:szCs w:val="22"/>
          <w:lang w:val="en-US"/>
        </w:rPr>
        <w:t>Lazić</w:t>
      </w:r>
      <w:proofErr w:type="spellEnd"/>
      <w:r w:rsidRPr="007C5469">
        <w:rPr>
          <w:rFonts w:ascii="Arial" w:hAnsi="Arial" w:cs="Arial"/>
          <w:i/>
          <w:iCs/>
          <w:color w:val="7B7B7B" w:themeColor="accent3" w:themeShade="BF"/>
          <w:sz w:val="22"/>
          <w:szCs w:val="22"/>
          <w:lang w:val="en-US"/>
        </w:rPr>
        <w:t xml:space="preserve"> / S. </w:t>
      </w:r>
      <w:proofErr w:type="spellStart"/>
      <w:r w:rsidRPr="007C5469">
        <w:rPr>
          <w:rFonts w:ascii="Arial" w:hAnsi="Arial" w:cs="Arial"/>
          <w:i/>
          <w:iCs/>
          <w:color w:val="7B7B7B" w:themeColor="accent3" w:themeShade="BF"/>
          <w:sz w:val="22"/>
          <w:szCs w:val="22"/>
          <w:lang w:val="en-US"/>
        </w:rPr>
        <w:t>Stuij</w:t>
      </w:r>
      <w:proofErr w:type="spellEnd"/>
      <w:r w:rsidRPr="007C5469">
        <w:rPr>
          <w:rFonts w:ascii="Arial" w:hAnsi="Arial" w:cs="Arial"/>
          <w:color w:val="7B7B7B" w:themeColor="accent3" w:themeShade="BF"/>
          <w:sz w:val="22"/>
          <w:szCs w:val="22"/>
          <w:lang w:val="en-US"/>
        </w:rPr>
        <w:t>, “Recasting the Insolvency Regulation – Improvements and Missed Opportunities” (2020).</w:t>
      </w:r>
    </w:p>
    <w:p w14:paraId="4AE7EA78" w14:textId="24C76947" w:rsidR="007D7C92" w:rsidRPr="007C5469" w:rsidRDefault="007D7C92" w:rsidP="002A37BB">
      <w:pPr>
        <w:ind w:left="720" w:hanging="720"/>
        <w:jc w:val="both"/>
        <w:rPr>
          <w:rFonts w:ascii="Arial" w:hAnsi="Arial" w:cs="Arial"/>
          <w:sz w:val="22"/>
          <w:szCs w:val="22"/>
          <w:lang w:val="en-US"/>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68D3234A" w:rsidR="00D95496" w:rsidRDefault="00D95496" w:rsidP="002A37BB">
      <w:pPr>
        <w:jc w:val="both"/>
        <w:rPr>
          <w:rFonts w:ascii="Arial" w:hAnsi="Arial" w:cs="Arial"/>
          <w:sz w:val="22"/>
          <w:szCs w:val="22"/>
          <w:lang w:val="en-GB"/>
        </w:rPr>
      </w:pPr>
    </w:p>
    <w:p w14:paraId="68F46553" w14:textId="77777777" w:rsidR="009D0B19" w:rsidRPr="001849D7" w:rsidRDefault="009D0B19" w:rsidP="009D0B19">
      <w:pPr>
        <w:pStyle w:val="ListParagraph"/>
        <w:numPr>
          <w:ilvl w:val="0"/>
          <w:numId w:val="12"/>
        </w:numPr>
        <w:jc w:val="both"/>
        <w:rPr>
          <w:rFonts w:ascii="Arial" w:hAnsi="Arial" w:cs="Arial"/>
          <w:color w:val="7B7B7B" w:themeColor="accent3" w:themeShade="BF"/>
          <w:sz w:val="22"/>
          <w:szCs w:val="22"/>
        </w:rPr>
      </w:pPr>
      <w:r w:rsidRPr="001849D7">
        <w:rPr>
          <w:rFonts w:ascii="Arial" w:hAnsi="Arial" w:cs="Arial"/>
          <w:color w:val="7B7B7B" w:themeColor="accent3" w:themeShade="BF"/>
          <w:sz w:val="22"/>
          <w:szCs w:val="22"/>
        </w:rPr>
        <w:t xml:space="preserve">Article 3(1) of the EIR 2000 provides that the courts of the Member State within the territory of which the centre of a debtor’s main interests is situated </w:t>
      </w:r>
      <w:r>
        <w:rPr>
          <w:rFonts w:ascii="Arial" w:hAnsi="Arial" w:cs="Arial"/>
          <w:color w:val="7B7B7B" w:themeColor="accent3" w:themeShade="BF"/>
          <w:sz w:val="22"/>
          <w:szCs w:val="22"/>
          <w:lang w:val="en-US"/>
        </w:rPr>
        <w:t xml:space="preserve">(COMI) </w:t>
      </w:r>
      <w:r w:rsidRPr="001849D7">
        <w:rPr>
          <w:rFonts w:ascii="Arial" w:hAnsi="Arial" w:cs="Arial"/>
          <w:color w:val="7B7B7B" w:themeColor="accent3" w:themeShade="BF"/>
          <w:sz w:val="22"/>
          <w:szCs w:val="22"/>
        </w:rPr>
        <w:t xml:space="preserve">shall have jurisdiction to open insolvency proceedings. In the case of a company or legal person, the place of the registered office shall be presumed to be the centre of its main interests in the absence of proof to the contrary. </w:t>
      </w:r>
    </w:p>
    <w:p w14:paraId="02E01140" w14:textId="77777777" w:rsidR="009D0B19" w:rsidRPr="008500BD" w:rsidRDefault="009D0B19" w:rsidP="009D0B19">
      <w:pPr>
        <w:jc w:val="both"/>
        <w:rPr>
          <w:rFonts w:ascii="Arial" w:hAnsi="Arial" w:cs="Arial"/>
          <w:sz w:val="22"/>
          <w:szCs w:val="22"/>
          <w:lang w:val="en-GB"/>
        </w:rPr>
      </w:pPr>
    </w:p>
    <w:p w14:paraId="69028489" w14:textId="77777777" w:rsidR="009D0B19" w:rsidRPr="004C6636" w:rsidRDefault="009D0B19" w:rsidP="009D0B19">
      <w:pPr>
        <w:pStyle w:val="ListParagraph"/>
        <w:numPr>
          <w:ilvl w:val="0"/>
          <w:numId w:val="12"/>
        </w:numPr>
        <w:jc w:val="both"/>
        <w:rPr>
          <w:rFonts w:ascii="Arial" w:hAnsi="Arial" w:cs="Arial"/>
          <w:color w:val="7B7B7B" w:themeColor="accent3" w:themeShade="BF"/>
          <w:sz w:val="22"/>
          <w:szCs w:val="22"/>
        </w:rPr>
      </w:pPr>
      <w:r w:rsidRPr="004C6636">
        <w:rPr>
          <w:rFonts w:ascii="Arial" w:hAnsi="Arial" w:cs="Arial"/>
          <w:color w:val="7B7B7B" w:themeColor="accent3" w:themeShade="BF"/>
          <w:sz w:val="22"/>
          <w:szCs w:val="22"/>
          <w:lang w:val="en-GB"/>
        </w:rPr>
        <w:t>It could be assumed in the present case that the COMI of Cardinal Home is located in Ireland</w:t>
      </w:r>
      <w:r>
        <w:rPr>
          <w:rFonts w:ascii="Arial" w:hAnsi="Arial" w:cs="Arial"/>
          <w:color w:val="7B7B7B" w:themeColor="accent3" w:themeShade="BF"/>
          <w:sz w:val="22"/>
          <w:szCs w:val="22"/>
          <w:lang w:val="en-GB"/>
        </w:rPr>
        <w:t>,</w:t>
      </w:r>
      <w:r w:rsidRPr="004C6636">
        <w:rPr>
          <w:rFonts w:ascii="Arial" w:hAnsi="Arial" w:cs="Arial"/>
          <w:color w:val="7B7B7B" w:themeColor="accent3" w:themeShade="BF"/>
          <w:sz w:val="22"/>
          <w:szCs w:val="22"/>
          <w:lang w:val="en-GB"/>
        </w:rPr>
        <w:t xml:space="preserve"> since we have no information with regard to (</w:t>
      </w:r>
      <w:proofErr w:type="spellStart"/>
      <w:r w:rsidRPr="004C6636">
        <w:rPr>
          <w:rFonts w:ascii="Arial" w:hAnsi="Arial" w:cs="Arial"/>
          <w:color w:val="7B7B7B" w:themeColor="accent3" w:themeShade="BF"/>
          <w:sz w:val="22"/>
          <w:szCs w:val="22"/>
          <w:lang w:val="en-GB"/>
        </w:rPr>
        <w:t>i</w:t>
      </w:r>
      <w:proofErr w:type="spellEnd"/>
      <w:r w:rsidRPr="004C6636">
        <w:rPr>
          <w:rFonts w:ascii="Arial" w:hAnsi="Arial" w:cs="Arial"/>
          <w:color w:val="7B7B7B" w:themeColor="accent3" w:themeShade="BF"/>
          <w:sz w:val="22"/>
          <w:szCs w:val="22"/>
          <w:lang w:val="en-GB"/>
        </w:rPr>
        <w:t>) the place where the COMI of Cardinal home is located, (ii) the place where management decisions are taken; (iii) the place where third parties considered to be the COMI of Cardinal Home.</w:t>
      </w:r>
      <w:r>
        <w:rPr>
          <w:rFonts w:ascii="Arial" w:hAnsi="Arial" w:cs="Arial"/>
          <w:color w:val="7B7B7B" w:themeColor="accent3" w:themeShade="BF"/>
          <w:sz w:val="22"/>
          <w:szCs w:val="22"/>
          <w:lang w:val="en-GB"/>
        </w:rPr>
        <w:t xml:space="preserve"> </w:t>
      </w:r>
      <w:r w:rsidRPr="004C6636">
        <w:rPr>
          <w:rFonts w:ascii="Arial" w:hAnsi="Arial" w:cs="Arial"/>
          <w:color w:val="7B7B7B" w:themeColor="accent3" w:themeShade="BF"/>
          <w:sz w:val="22"/>
          <w:szCs w:val="22"/>
          <w:lang w:val="en-US"/>
        </w:rPr>
        <w:t>In fact</w:t>
      </w:r>
      <w:r>
        <w:rPr>
          <w:rFonts w:ascii="Arial" w:hAnsi="Arial" w:cs="Arial"/>
          <w:color w:val="7B7B7B" w:themeColor="accent3" w:themeShade="BF"/>
          <w:sz w:val="22"/>
          <w:szCs w:val="22"/>
          <w:lang w:val="en-US"/>
        </w:rPr>
        <w:t>,</w:t>
      </w:r>
      <w:r w:rsidRPr="004C6636">
        <w:rPr>
          <w:rFonts w:ascii="Arial" w:hAnsi="Arial" w:cs="Arial"/>
          <w:color w:val="7B7B7B" w:themeColor="accent3" w:themeShade="BF"/>
          <w:sz w:val="22"/>
          <w:szCs w:val="22"/>
          <w:lang w:val="en-US"/>
        </w:rPr>
        <w:t xml:space="preserve"> the sole information that we have is the place of incorporation of </w:t>
      </w:r>
      <w:r w:rsidRPr="004C6636">
        <w:rPr>
          <w:rFonts w:ascii="Arial" w:hAnsi="Arial" w:cs="Arial"/>
          <w:color w:val="7B7B7B" w:themeColor="accent3" w:themeShade="BF"/>
          <w:sz w:val="22"/>
          <w:szCs w:val="22"/>
          <w:lang w:val="en-GB"/>
        </w:rPr>
        <w:t>Cardinal Home</w:t>
      </w:r>
      <w:r>
        <w:rPr>
          <w:rFonts w:ascii="Arial" w:hAnsi="Arial" w:cs="Arial"/>
          <w:color w:val="7B7B7B" w:themeColor="accent3" w:themeShade="BF"/>
          <w:sz w:val="22"/>
          <w:szCs w:val="22"/>
          <w:lang w:val="en-GB"/>
        </w:rPr>
        <w:t>,</w:t>
      </w:r>
      <w:r w:rsidRPr="004C6636">
        <w:rPr>
          <w:rFonts w:ascii="Arial" w:hAnsi="Arial" w:cs="Arial"/>
          <w:color w:val="7B7B7B" w:themeColor="accent3" w:themeShade="BF"/>
          <w:sz w:val="22"/>
          <w:szCs w:val="22"/>
          <w:lang w:val="en-GB"/>
        </w:rPr>
        <w:t xml:space="preserve"> which is Ireland. Based on this assumption and facts, it could be argued that the COMI of Cardinal Home is located in Ireland and therefore Irish courts shall be competent for the opening of the main insolvency proceedings.</w:t>
      </w:r>
    </w:p>
    <w:p w14:paraId="20A37622" w14:textId="77777777" w:rsidR="009D0B19" w:rsidRDefault="009D0B19" w:rsidP="009D0B19">
      <w:pPr>
        <w:pStyle w:val="ListParagraph"/>
        <w:rPr>
          <w:rFonts w:ascii="Arial" w:hAnsi="Arial" w:cs="Arial"/>
          <w:color w:val="7B7B7B" w:themeColor="accent3" w:themeShade="BF"/>
          <w:sz w:val="22"/>
          <w:szCs w:val="22"/>
        </w:rPr>
      </w:pPr>
    </w:p>
    <w:p w14:paraId="39F7B238" w14:textId="77777777" w:rsidR="009D0B19" w:rsidRPr="000E25B7" w:rsidRDefault="009D0B19" w:rsidP="009D0B19">
      <w:pPr>
        <w:pStyle w:val="ListParagraph"/>
        <w:numPr>
          <w:ilvl w:val="0"/>
          <w:numId w:val="12"/>
        </w:num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US"/>
        </w:rPr>
        <w:lastRenderedPageBreak/>
        <w:t xml:space="preserve">As mentioned by the CJEU in the case </w:t>
      </w:r>
      <w:proofErr w:type="spellStart"/>
      <w:r>
        <w:rPr>
          <w:rFonts w:ascii="Arial" w:hAnsi="Arial" w:cs="Arial"/>
          <w:color w:val="7B7B7B" w:themeColor="accent3" w:themeShade="BF"/>
          <w:sz w:val="22"/>
          <w:szCs w:val="22"/>
          <w:lang w:val="en-US"/>
        </w:rPr>
        <w:t>Eurofood</w:t>
      </w:r>
      <w:proofErr w:type="spellEnd"/>
      <w:r>
        <w:rPr>
          <w:rFonts w:ascii="Arial" w:hAnsi="Arial" w:cs="Arial"/>
          <w:color w:val="7B7B7B" w:themeColor="accent3" w:themeShade="BF"/>
          <w:sz w:val="22"/>
          <w:szCs w:val="22"/>
          <w:lang w:val="en-US"/>
        </w:rPr>
        <w:t xml:space="preserve"> IFSC </w:t>
      </w:r>
      <w:proofErr w:type="spellStart"/>
      <w:r>
        <w:rPr>
          <w:rFonts w:ascii="Arial" w:hAnsi="Arial" w:cs="Arial"/>
          <w:color w:val="7B7B7B" w:themeColor="accent3" w:themeShade="BF"/>
          <w:sz w:val="22"/>
          <w:szCs w:val="22"/>
          <w:lang w:val="en-US"/>
        </w:rPr>
        <w:t>Ldt</w:t>
      </w:r>
      <w:proofErr w:type="spellEnd"/>
      <w:r>
        <w:rPr>
          <w:rFonts w:ascii="Arial" w:hAnsi="Arial" w:cs="Arial"/>
          <w:color w:val="7B7B7B" w:themeColor="accent3" w:themeShade="BF"/>
          <w:sz w:val="22"/>
          <w:szCs w:val="22"/>
          <w:lang w:val="en-US"/>
        </w:rPr>
        <w:t xml:space="preserve">, the criteria used to determine the COMI must be objective and ascertainable by third parties. The </w:t>
      </w:r>
      <w:proofErr w:type="gramStart"/>
      <w:r>
        <w:rPr>
          <w:rFonts w:ascii="Arial" w:hAnsi="Arial" w:cs="Arial"/>
          <w:color w:val="7B7B7B" w:themeColor="accent3" w:themeShade="BF"/>
          <w:sz w:val="22"/>
          <w:szCs w:val="22"/>
          <w:lang w:val="en-US"/>
        </w:rPr>
        <w:t>above mentioned</w:t>
      </w:r>
      <w:proofErr w:type="gramEnd"/>
      <w:r>
        <w:rPr>
          <w:rFonts w:ascii="Arial" w:hAnsi="Arial" w:cs="Arial"/>
          <w:color w:val="7B7B7B" w:themeColor="accent3" w:themeShade="BF"/>
          <w:sz w:val="22"/>
          <w:szCs w:val="22"/>
          <w:lang w:val="en-US"/>
        </w:rPr>
        <w:t xml:space="preserve"> information that are missing represent important information that permit to determine the COMI. Since this information are not available to us, the COMI of the company is presumed to be the jurisdiction of the country where the company has been registered, which is in the present case Ireland.</w:t>
      </w:r>
    </w:p>
    <w:p w14:paraId="44AF0D80" w14:textId="0AA5B55B" w:rsidR="003E4DB0" w:rsidRPr="009D0B19" w:rsidRDefault="003E4DB0" w:rsidP="002A37BB">
      <w:pPr>
        <w:jc w:val="both"/>
        <w:rPr>
          <w:rFonts w:ascii="Arial" w:hAnsi="Arial" w:cs="Arial"/>
          <w:sz w:val="22"/>
          <w:szCs w:val="22"/>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0EF0D7E9" w:rsidR="002D3473" w:rsidRPr="006019B1" w:rsidRDefault="00163852" w:rsidP="006019B1">
      <w:pPr>
        <w:pStyle w:val="ListParagraph"/>
        <w:numPr>
          <w:ilvl w:val="0"/>
          <w:numId w:val="12"/>
        </w:numPr>
        <w:jc w:val="both"/>
        <w:rPr>
          <w:rFonts w:ascii="Arial" w:hAnsi="Arial" w:cs="Arial"/>
          <w:color w:val="7B7B7B" w:themeColor="accent3" w:themeShade="BF"/>
          <w:sz w:val="22"/>
          <w:szCs w:val="22"/>
        </w:rPr>
      </w:pPr>
      <w:r w:rsidRPr="006019B1">
        <w:rPr>
          <w:rFonts w:ascii="Arial" w:hAnsi="Arial" w:cs="Arial"/>
          <w:color w:val="7B7B7B" w:themeColor="accent3" w:themeShade="BF"/>
          <w:sz w:val="22"/>
          <w:szCs w:val="22"/>
        </w:rPr>
        <w:t>The petition of the opening of the insolvency proceedings has been filed on 22 June 2017, meaning four prior the entering into force of the EIR Recast (26 June 2017).</w:t>
      </w:r>
    </w:p>
    <w:p w14:paraId="5ACD3FED" w14:textId="77777777" w:rsidR="006019B1" w:rsidRPr="006019B1" w:rsidRDefault="006019B1" w:rsidP="006019B1">
      <w:pPr>
        <w:pStyle w:val="ListParagraph"/>
        <w:jc w:val="both"/>
        <w:rPr>
          <w:rFonts w:ascii="Arial" w:hAnsi="Arial" w:cs="Arial"/>
          <w:color w:val="7B7B7B" w:themeColor="accent3" w:themeShade="BF"/>
          <w:sz w:val="22"/>
          <w:szCs w:val="22"/>
        </w:rPr>
      </w:pPr>
    </w:p>
    <w:p w14:paraId="2ADC48D9" w14:textId="1AC938C1" w:rsidR="00163852" w:rsidRDefault="00163852" w:rsidP="006019B1">
      <w:pPr>
        <w:pStyle w:val="ListParagraph"/>
        <w:numPr>
          <w:ilvl w:val="0"/>
          <w:numId w:val="12"/>
        </w:numPr>
        <w:jc w:val="both"/>
        <w:rPr>
          <w:rFonts w:ascii="Arial" w:hAnsi="Arial" w:cs="Arial"/>
          <w:color w:val="7B7B7B" w:themeColor="accent3" w:themeShade="BF"/>
          <w:sz w:val="22"/>
          <w:szCs w:val="22"/>
        </w:rPr>
      </w:pPr>
      <w:r w:rsidRPr="006019B1">
        <w:rPr>
          <w:rFonts w:ascii="Arial" w:hAnsi="Arial" w:cs="Arial"/>
          <w:color w:val="7B7B7B" w:themeColor="accent3" w:themeShade="BF"/>
          <w:sz w:val="22"/>
          <w:szCs w:val="22"/>
        </w:rPr>
        <w:t>As mentioned in item 5.2.2 of the “Modu</w:t>
      </w:r>
      <w:r w:rsidR="006019B1" w:rsidRPr="006019B1">
        <w:rPr>
          <w:rFonts w:ascii="Arial" w:hAnsi="Arial" w:cs="Arial"/>
          <w:color w:val="7B7B7B" w:themeColor="accent3" w:themeShade="BF"/>
          <w:sz w:val="22"/>
          <w:szCs w:val="22"/>
          <w:lang w:val="en-US"/>
        </w:rPr>
        <w:t>l</w:t>
      </w:r>
      <w:r w:rsidRPr="006019B1">
        <w:rPr>
          <w:rFonts w:ascii="Arial" w:hAnsi="Arial" w:cs="Arial"/>
          <w:color w:val="7B7B7B" w:themeColor="accent3" w:themeShade="BF"/>
          <w:sz w:val="22"/>
          <w:szCs w:val="22"/>
        </w:rPr>
        <w:t>e 2B Guidance Text, European Insolvency Regulation 2021/2022”, provisions of the EIR Recast shall apply only to insolvency proceedings opened after this date</w:t>
      </w:r>
      <w:r w:rsidR="006019B1" w:rsidRPr="006019B1">
        <w:rPr>
          <w:rFonts w:ascii="Arial" w:hAnsi="Arial" w:cs="Arial"/>
          <w:color w:val="7B7B7B" w:themeColor="accent3" w:themeShade="BF"/>
          <w:sz w:val="22"/>
          <w:szCs w:val="22"/>
        </w:rPr>
        <w:t>. This means that insolvency proceedings opened before 26 June 2017 shall be governed by the EIR 2000.</w:t>
      </w:r>
    </w:p>
    <w:p w14:paraId="5ECE6A7A" w14:textId="77777777" w:rsidR="006019B1" w:rsidRPr="006019B1" w:rsidRDefault="006019B1" w:rsidP="006019B1">
      <w:pPr>
        <w:pStyle w:val="ListParagraph"/>
        <w:rPr>
          <w:rFonts w:ascii="Arial" w:hAnsi="Arial" w:cs="Arial"/>
          <w:color w:val="7B7B7B" w:themeColor="accent3" w:themeShade="BF"/>
          <w:sz w:val="22"/>
          <w:szCs w:val="22"/>
        </w:rPr>
      </w:pPr>
    </w:p>
    <w:p w14:paraId="1E29534B" w14:textId="79BA93A2" w:rsidR="006019B1" w:rsidRPr="006019B1" w:rsidRDefault="006019B1" w:rsidP="006019B1">
      <w:pPr>
        <w:pStyle w:val="ListParagraph"/>
        <w:numPr>
          <w:ilvl w:val="0"/>
          <w:numId w:val="12"/>
        </w:numPr>
        <w:jc w:val="both"/>
        <w:rPr>
          <w:rFonts w:ascii="Arial" w:hAnsi="Arial" w:cs="Arial"/>
          <w:color w:val="7B7B7B" w:themeColor="accent3" w:themeShade="BF"/>
          <w:sz w:val="22"/>
          <w:szCs w:val="22"/>
        </w:rPr>
      </w:pPr>
      <w:r w:rsidRPr="006019B1">
        <w:rPr>
          <w:rFonts w:ascii="Arial" w:hAnsi="Arial" w:cs="Arial"/>
          <w:color w:val="7B7B7B" w:themeColor="accent3" w:themeShade="BF"/>
          <w:sz w:val="22"/>
          <w:szCs w:val="22"/>
        </w:rPr>
        <w:t xml:space="preserve">The term “time of opening” as mentioned in the </w:t>
      </w:r>
      <w:r w:rsidRPr="006019B1">
        <w:rPr>
          <w:rFonts w:ascii="Arial" w:hAnsi="Arial" w:cs="Arial"/>
          <w:color w:val="7B7B7B" w:themeColor="accent3" w:themeShade="BF"/>
          <w:sz w:val="22"/>
          <w:szCs w:val="22"/>
          <w:lang w:val="en-US"/>
        </w:rPr>
        <w:t>same source</w:t>
      </w:r>
      <w:r w:rsidRPr="006019B1">
        <w:rPr>
          <w:rFonts w:ascii="Arial" w:hAnsi="Arial" w:cs="Arial"/>
          <w:color w:val="7B7B7B" w:themeColor="accent3" w:themeShade="BF"/>
          <w:sz w:val="22"/>
          <w:szCs w:val="22"/>
        </w:rPr>
        <w:t xml:space="preserve"> means the time at which the judgment opening the insolvency proceedings becomes effective</w:t>
      </w:r>
      <w:r w:rsidRPr="006019B1">
        <w:rPr>
          <w:rFonts w:ascii="Arial" w:hAnsi="Arial" w:cs="Arial"/>
          <w:color w:val="7B7B7B" w:themeColor="accent3" w:themeShade="BF"/>
          <w:sz w:val="22"/>
          <w:szCs w:val="22"/>
          <w:lang w:val="en-US"/>
        </w:rPr>
        <w:t>, regard</w:t>
      </w:r>
      <w:r>
        <w:rPr>
          <w:rFonts w:ascii="Arial" w:hAnsi="Arial" w:cs="Arial"/>
          <w:color w:val="7B7B7B" w:themeColor="accent3" w:themeShade="BF"/>
          <w:sz w:val="22"/>
          <w:szCs w:val="22"/>
          <w:lang w:val="en-US"/>
        </w:rPr>
        <w:t>less of whether the judgement is final or not</w:t>
      </w:r>
      <w:r w:rsidRPr="006019B1">
        <w:rPr>
          <w:rFonts w:ascii="Arial" w:hAnsi="Arial" w:cs="Arial"/>
          <w:color w:val="7B7B7B" w:themeColor="accent3" w:themeShade="BF"/>
          <w:sz w:val="22"/>
          <w:szCs w:val="22"/>
        </w:rPr>
        <w:t>.</w:t>
      </w:r>
      <w:r w:rsidRPr="006019B1">
        <w:rPr>
          <w:rFonts w:ascii="Arial" w:hAnsi="Arial" w:cs="Arial"/>
          <w:color w:val="7B7B7B" w:themeColor="accent3" w:themeShade="BF"/>
          <w:sz w:val="22"/>
          <w:szCs w:val="22"/>
          <w:lang w:val="en-US"/>
        </w:rPr>
        <w:t xml:space="preserve"> </w:t>
      </w:r>
      <w:r w:rsidRPr="006019B1">
        <w:rPr>
          <w:rFonts w:ascii="Arial" w:hAnsi="Arial" w:cs="Arial"/>
          <w:color w:val="7B7B7B" w:themeColor="accent3" w:themeShade="BF"/>
          <w:sz w:val="22"/>
          <w:szCs w:val="22"/>
        </w:rPr>
        <w:t>Such a judgement includes according to Article 2(7) of the EIR recast (i) the decision of any court to open insolvency proceedings or to confirm the opening of such proceedings; and (ii) the decision of a court to appoint an insolvency practitioner.</w:t>
      </w:r>
    </w:p>
    <w:p w14:paraId="5A75C464" w14:textId="63A72B52" w:rsidR="006019B1" w:rsidRPr="006019B1" w:rsidRDefault="006019B1" w:rsidP="006019B1">
      <w:pPr>
        <w:pStyle w:val="ListParagraph"/>
        <w:jc w:val="both"/>
        <w:rPr>
          <w:rFonts w:ascii="Arial" w:hAnsi="Arial" w:cs="Arial"/>
          <w:color w:val="7B7B7B" w:themeColor="accent3" w:themeShade="BF"/>
          <w:sz w:val="22"/>
          <w:szCs w:val="22"/>
        </w:rPr>
      </w:pPr>
    </w:p>
    <w:p w14:paraId="1F35C780" w14:textId="33B076B5" w:rsidR="006019B1" w:rsidRPr="006019B1" w:rsidRDefault="006019B1" w:rsidP="006019B1">
      <w:pPr>
        <w:pStyle w:val="ListParagraph"/>
        <w:numPr>
          <w:ilvl w:val="0"/>
          <w:numId w:val="12"/>
        </w:numPr>
        <w:jc w:val="both"/>
        <w:rPr>
          <w:rFonts w:ascii="Arial" w:hAnsi="Arial" w:cs="Arial"/>
          <w:color w:val="7B7B7B" w:themeColor="accent3" w:themeShade="BF"/>
          <w:sz w:val="22"/>
          <w:szCs w:val="22"/>
        </w:rPr>
      </w:pPr>
      <w:r w:rsidRPr="006019B1">
        <w:rPr>
          <w:rFonts w:ascii="Arial" w:hAnsi="Arial" w:cs="Arial"/>
          <w:color w:val="7B7B7B" w:themeColor="accent3" w:themeShade="BF"/>
          <w:sz w:val="22"/>
          <w:szCs w:val="22"/>
        </w:rPr>
        <w:t>Since the judgment to open the insolvency proceedings over the assets of Cardinal Home has been issued after the entering into force of the EIR Recast, meaning after 26 June 2017, these proceedings shall be conducted on basis of the EIR Recast.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DA128B">
      <w:pPr>
        <w:jc w:val="both"/>
        <w:rPr>
          <w:rFonts w:ascii="Arial" w:hAnsi="Arial" w:cs="Arial"/>
          <w:sz w:val="22"/>
          <w:szCs w:val="22"/>
          <w:lang w:val="en-GB"/>
        </w:rPr>
      </w:pPr>
    </w:p>
    <w:p w14:paraId="33E83666" w14:textId="77777777" w:rsidR="009D0B19" w:rsidRPr="0053497E" w:rsidRDefault="009D0B19" w:rsidP="009D0B19">
      <w:pPr>
        <w:pStyle w:val="ListParagraph"/>
        <w:numPr>
          <w:ilvl w:val="0"/>
          <w:numId w:val="12"/>
        </w:numPr>
        <w:jc w:val="both"/>
        <w:rPr>
          <w:rFonts w:ascii="Arial" w:hAnsi="Arial" w:cs="Arial"/>
          <w:color w:val="7B7B7B" w:themeColor="accent3" w:themeShade="BF"/>
          <w:sz w:val="22"/>
          <w:szCs w:val="22"/>
        </w:rPr>
      </w:pPr>
      <w:r w:rsidRPr="0053497E">
        <w:rPr>
          <w:rFonts w:ascii="Arial" w:hAnsi="Arial" w:cs="Arial"/>
          <w:color w:val="7B7B7B" w:themeColor="accent3" w:themeShade="BF"/>
          <w:sz w:val="22"/>
          <w:szCs w:val="22"/>
        </w:rPr>
        <w:t xml:space="preserve">Recital 23 of the EIR Recast provides that secondary insolvency proceedings may be opened in the Member State where the debtor has an establishment. The effects of secondary insolvency proceedings are limited to the assets located in that </w:t>
      </w:r>
      <w:r>
        <w:rPr>
          <w:rFonts w:ascii="Arial" w:hAnsi="Arial" w:cs="Arial"/>
          <w:color w:val="7B7B7B" w:themeColor="accent3" w:themeShade="BF"/>
          <w:sz w:val="22"/>
          <w:szCs w:val="22"/>
          <w:lang w:val="en-US"/>
        </w:rPr>
        <w:t xml:space="preserve">Member </w:t>
      </w:r>
      <w:r w:rsidRPr="0053497E">
        <w:rPr>
          <w:rFonts w:ascii="Arial" w:hAnsi="Arial" w:cs="Arial"/>
          <w:color w:val="7B7B7B" w:themeColor="accent3" w:themeShade="BF"/>
          <w:sz w:val="22"/>
          <w:szCs w:val="22"/>
        </w:rPr>
        <w:t xml:space="preserve">State. </w:t>
      </w:r>
    </w:p>
    <w:p w14:paraId="6E7BC217" w14:textId="77777777" w:rsidR="009D0B19" w:rsidRDefault="009D0B19" w:rsidP="009D0B19">
      <w:pPr>
        <w:pStyle w:val="ListParagraph"/>
        <w:jc w:val="both"/>
        <w:rPr>
          <w:rFonts w:ascii="Arial" w:hAnsi="Arial" w:cs="Arial"/>
          <w:color w:val="7B7B7B" w:themeColor="accent3" w:themeShade="BF"/>
          <w:sz w:val="22"/>
          <w:szCs w:val="22"/>
        </w:rPr>
      </w:pPr>
    </w:p>
    <w:p w14:paraId="1CD1E0CC" w14:textId="7265281A" w:rsidR="009D0B19" w:rsidRPr="0053497E" w:rsidRDefault="009D0B19" w:rsidP="009D0B19">
      <w:pPr>
        <w:pStyle w:val="ListParagraph"/>
        <w:numPr>
          <w:ilvl w:val="0"/>
          <w:numId w:val="12"/>
        </w:numPr>
        <w:jc w:val="both"/>
        <w:rPr>
          <w:rFonts w:ascii="Arial" w:hAnsi="Arial" w:cs="Arial"/>
          <w:color w:val="7B7B7B" w:themeColor="accent3" w:themeShade="BF"/>
          <w:sz w:val="22"/>
          <w:szCs w:val="22"/>
        </w:rPr>
      </w:pPr>
      <w:r w:rsidRPr="0053497E">
        <w:rPr>
          <w:rFonts w:ascii="Arial" w:hAnsi="Arial" w:cs="Arial"/>
          <w:color w:val="7B7B7B" w:themeColor="accent3" w:themeShade="BF"/>
          <w:sz w:val="22"/>
          <w:szCs w:val="22"/>
        </w:rPr>
        <w:t>Art 2 (10) of</w:t>
      </w:r>
      <w:r>
        <w:rPr>
          <w:rFonts w:ascii="Arial" w:hAnsi="Arial" w:cs="Arial"/>
          <w:color w:val="7B7B7B" w:themeColor="accent3" w:themeShade="BF"/>
          <w:sz w:val="22"/>
          <w:szCs w:val="22"/>
          <w:lang w:val="en-US"/>
        </w:rPr>
        <w:t xml:space="preserve"> </w:t>
      </w:r>
      <w:r w:rsidRPr="0053497E">
        <w:rPr>
          <w:rFonts w:ascii="Arial" w:hAnsi="Arial" w:cs="Arial"/>
          <w:color w:val="7B7B7B" w:themeColor="accent3" w:themeShade="BF"/>
          <w:sz w:val="22"/>
          <w:szCs w:val="22"/>
        </w:rPr>
        <w:t>the EIR Recast defines the term establishment as any place of operations where a debtor carries out or has carried out in the 3-month period prior to the request to open main insolvency proceedings a non-transitory economic activity with human means and assets</w:t>
      </w:r>
      <w:r w:rsidRPr="0053497E">
        <w:rPr>
          <w:rFonts w:ascii="Arial" w:hAnsi="Arial" w:cs="Arial"/>
          <w:color w:val="7B7B7B" w:themeColor="accent3" w:themeShade="BF"/>
          <w:sz w:val="22"/>
          <w:szCs w:val="22"/>
          <w:lang w:val="en-US"/>
        </w:rPr>
        <w:t>.</w:t>
      </w:r>
    </w:p>
    <w:p w14:paraId="3AA9B013" w14:textId="77777777" w:rsidR="009D0B19" w:rsidRPr="0053497E" w:rsidRDefault="009D0B19" w:rsidP="009D0B19">
      <w:pPr>
        <w:pStyle w:val="ListParagraph"/>
        <w:jc w:val="both"/>
        <w:rPr>
          <w:rFonts w:ascii="Arial" w:hAnsi="Arial" w:cs="Arial"/>
          <w:color w:val="7B7B7B" w:themeColor="accent3" w:themeShade="BF"/>
          <w:sz w:val="22"/>
          <w:szCs w:val="22"/>
        </w:rPr>
      </w:pPr>
    </w:p>
    <w:p w14:paraId="1AD4AB10" w14:textId="77777777" w:rsidR="009D0B19" w:rsidRPr="00DA128B" w:rsidRDefault="009D0B19" w:rsidP="009D0B19">
      <w:pPr>
        <w:pStyle w:val="ListParagraph"/>
        <w:numPr>
          <w:ilvl w:val="0"/>
          <w:numId w:val="12"/>
        </w:numPr>
        <w:jc w:val="both"/>
      </w:pPr>
      <w:r w:rsidRPr="00DA128B">
        <w:rPr>
          <w:rFonts w:ascii="Arial" w:hAnsi="Arial" w:cs="Arial"/>
          <w:color w:val="7B7B7B" w:themeColor="accent3" w:themeShade="BF"/>
          <w:sz w:val="22"/>
          <w:szCs w:val="22"/>
        </w:rPr>
        <w:t xml:space="preserve">As mentioned in the judgment of the Court (First Chamber) of 4 September 2014 in the case Burgo Group SpA v Illochroma SA and Jérôme Theetten, </w:t>
      </w:r>
      <w:r w:rsidRPr="00DA128B">
        <w:rPr>
          <w:rFonts w:ascii="Arial" w:hAnsi="Arial" w:cs="Arial"/>
          <w:color w:val="7B7B7B" w:themeColor="accent3" w:themeShade="BF"/>
          <w:sz w:val="22"/>
          <w:szCs w:val="22"/>
          <w:lang w:val="en-US"/>
        </w:rPr>
        <w:t>„</w:t>
      </w:r>
      <w:r w:rsidRPr="00DA128B">
        <w:rPr>
          <w:rFonts w:ascii="Arial" w:hAnsi="Arial" w:cs="Arial"/>
          <w:color w:val="7B7B7B" w:themeColor="accent3" w:themeShade="BF"/>
          <w:sz w:val="22"/>
          <w:szCs w:val="22"/>
        </w:rPr>
        <w:t xml:space="preserve">the presence alone of goods in isolation or bank accounts does not, in principle satisfy the requirement for </w:t>
      </w:r>
      <w:r w:rsidRPr="00DA128B">
        <w:rPr>
          <w:rFonts w:ascii="Arial" w:hAnsi="Arial" w:cs="Arial"/>
          <w:color w:val="7B7B7B" w:themeColor="accent3" w:themeShade="BF"/>
          <w:sz w:val="22"/>
          <w:szCs w:val="22"/>
        </w:rPr>
        <w:lastRenderedPageBreak/>
        <w:t>classification as an establishment.</w:t>
      </w:r>
      <w:r w:rsidRPr="00DA128B">
        <w:rPr>
          <w:rFonts w:ascii="Arial" w:hAnsi="Arial" w:cs="Arial"/>
          <w:color w:val="7B7B7B" w:themeColor="accent3" w:themeShade="BF"/>
          <w:sz w:val="22"/>
          <w:szCs w:val="22"/>
          <w:lang w:val="en-US"/>
        </w:rPr>
        <w:t>“</w:t>
      </w:r>
      <w:r>
        <w:rPr>
          <w:rFonts w:ascii="Arial" w:hAnsi="Arial" w:cs="Arial"/>
          <w:color w:val="7B7B7B" w:themeColor="accent3" w:themeShade="BF"/>
          <w:sz w:val="22"/>
          <w:szCs w:val="22"/>
          <w:lang w:val="en-US"/>
        </w:rPr>
        <w:t xml:space="preserve"> </w:t>
      </w:r>
      <w:proofErr w:type="gramStart"/>
      <w:r>
        <w:rPr>
          <w:rFonts w:ascii="Arial" w:hAnsi="Arial" w:cs="Arial"/>
          <w:color w:val="7B7B7B" w:themeColor="accent3" w:themeShade="BF"/>
          <w:sz w:val="22"/>
          <w:szCs w:val="22"/>
          <w:lang w:val="en-US"/>
        </w:rPr>
        <w:t>…..</w:t>
      </w:r>
      <w:proofErr w:type="gramEnd"/>
      <w:r>
        <w:rPr>
          <w:rFonts w:ascii="Arial" w:hAnsi="Arial" w:cs="Arial"/>
          <w:color w:val="7B7B7B" w:themeColor="accent3" w:themeShade="BF"/>
          <w:sz w:val="22"/>
          <w:szCs w:val="22"/>
          <w:lang w:val="en-US"/>
        </w:rPr>
        <w:t>” a minimum level of organization and a degree of stability are required”.</w:t>
      </w:r>
    </w:p>
    <w:p w14:paraId="6BB33656" w14:textId="77777777" w:rsidR="009D0B19" w:rsidRPr="00DA128B" w:rsidRDefault="009D0B19" w:rsidP="009D0B19">
      <w:pPr>
        <w:pStyle w:val="ListParagraph"/>
        <w:jc w:val="both"/>
        <w:rPr>
          <w:rFonts w:ascii="Arial" w:hAnsi="Arial" w:cs="Arial"/>
          <w:color w:val="7B7B7B" w:themeColor="accent3" w:themeShade="BF"/>
          <w:sz w:val="22"/>
          <w:szCs w:val="22"/>
        </w:rPr>
      </w:pPr>
    </w:p>
    <w:p w14:paraId="7BE4FFC5" w14:textId="38DCBD04" w:rsidR="009D0B19" w:rsidRPr="009D0B19" w:rsidRDefault="009D0B19" w:rsidP="008F315C">
      <w:pPr>
        <w:pStyle w:val="ListParagraph"/>
        <w:numPr>
          <w:ilvl w:val="0"/>
          <w:numId w:val="12"/>
        </w:numPr>
        <w:jc w:val="both"/>
        <w:rPr>
          <w:rFonts w:ascii="Arial" w:hAnsi="Arial" w:cs="Arial"/>
          <w:color w:val="7B7B7B" w:themeColor="accent3" w:themeShade="BF"/>
          <w:sz w:val="22"/>
          <w:szCs w:val="22"/>
        </w:rPr>
      </w:pPr>
      <w:r w:rsidRPr="009D0B19">
        <w:rPr>
          <w:rFonts w:ascii="Arial" w:hAnsi="Arial" w:cs="Arial"/>
          <w:color w:val="7B7B7B" w:themeColor="accent3" w:themeShade="BF"/>
          <w:sz w:val="22"/>
          <w:szCs w:val="22"/>
        </w:rPr>
        <w:t xml:space="preserve">Assuming that Cardinal Home only has a bank account and a warehouse in Italy and nothing else (no employees for example), it could not be stated that Cardinal Home does have an establishment in the meaning of the EIR Recast and therefore secondary insolvency proceedings </w:t>
      </w:r>
      <w:r w:rsidRPr="009D0B19">
        <w:rPr>
          <w:rFonts w:ascii="Arial" w:hAnsi="Arial" w:cs="Arial"/>
          <w:color w:val="7B7B7B" w:themeColor="accent3" w:themeShade="BF"/>
          <w:sz w:val="22"/>
          <w:szCs w:val="22"/>
          <w:lang w:val="en-US"/>
        </w:rPr>
        <w:t xml:space="preserve">could not be opened. </w:t>
      </w:r>
      <w:r w:rsidRPr="009D0B19">
        <w:rPr>
          <w:rFonts w:ascii="Arial" w:hAnsi="Arial" w:cs="Arial"/>
          <w:color w:val="7B7B7B" w:themeColor="accent3" w:themeShade="BF"/>
          <w:sz w:val="22"/>
          <w:szCs w:val="22"/>
        </w:rPr>
        <w:t xml:space="preserve">If the bank </w:t>
      </w:r>
      <w:r w:rsidRPr="009D0B19">
        <w:rPr>
          <w:rFonts w:ascii="Arial" w:hAnsi="Arial" w:cs="Arial"/>
          <w:color w:val="7B7B7B" w:themeColor="accent3" w:themeShade="BF"/>
          <w:sz w:val="22"/>
          <w:szCs w:val="22"/>
          <w:lang w:val="en-US"/>
        </w:rPr>
        <w:t xml:space="preserve">can prove that Cardinal Home does have a sort of “legal structure” in Italy, than </w:t>
      </w:r>
      <w:r>
        <w:rPr>
          <w:rFonts w:ascii="Arial" w:hAnsi="Arial" w:cs="Arial"/>
          <w:color w:val="7B7B7B" w:themeColor="accent3" w:themeShade="BF"/>
          <w:sz w:val="22"/>
          <w:szCs w:val="22"/>
          <w:lang w:val="en-US"/>
        </w:rPr>
        <w:t>it could successfully filed for the opening of secondary insolvency proceedings.</w:t>
      </w:r>
    </w:p>
    <w:p w14:paraId="767317C6" w14:textId="77777777" w:rsidR="0053497E" w:rsidRPr="00DA128B" w:rsidRDefault="0053497E" w:rsidP="00DA128B">
      <w:pPr>
        <w:rPr>
          <w:rFonts w:ascii="Arial" w:hAnsi="Arial" w:cs="Arial"/>
          <w:color w:val="7B7B7B" w:themeColor="accent3" w:themeShade="BF"/>
          <w:sz w:val="22"/>
          <w:szCs w:val="22"/>
        </w:rPr>
      </w:pPr>
    </w:p>
    <w:p w14:paraId="77CE8695" w14:textId="76ADAF5E" w:rsidR="0077498C" w:rsidRPr="007C65EC" w:rsidRDefault="0077498C" w:rsidP="002A37BB">
      <w:pPr>
        <w:jc w:val="both"/>
        <w:rPr>
          <w:rFonts w:ascii="Arial" w:hAnsi="Arial" w:cs="Arial"/>
          <w:color w:val="000000" w:themeColor="text1"/>
          <w:sz w:val="22"/>
          <w:szCs w:val="22"/>
        </w:rPr>
      </w:pPr>
    </w:p>
    <w:p w14:paraId="35D8F287" w14:textId="77777777" w:rsidR="0077498C" w:rsidRPr="0053497E" w:rsidRDefault="0077498C" w:rsidP="002A37BB">
      <w:pPr>
        <w:jc w:val="both"/>
        <w:rPr>
          <w:rFonts w:ascii="Arial" w:hAnsi="Arial" w:cs="Arial"/>
          <w:color w:val="000000" w:themeColor="text1"/>
          <w:sz w:val="22"/>
          <w:szCs w:val="22"/>
          <w:lang w:val="en-US"/>
        </w:rPr>
      </w:pPr>
    </w:p>
    <w:p w14:paraId="09FB5033" w14:textId="77777777" w:rsidR="00187A34" w:rsidRPr="0053497E" w:rsidRDefault="00187A34" w:rsidP="004E3A6B">
      <w:pPr>
        <w:jc w:val="center"/>
        <w:rPr>
          <w:rFonts w:ascii="Arial" w:hAnsi="Arial" w:cs="Arial"/>
          <w:b/>
          <w:bCs/>
          <w:sz w:val="22"/>
          <w:szCs w:val="22"/>
          <w:lang w:val="en-US"/>
        </w:rPr>
      </w:pPr>
    </w:p>
    <w:p w14:paraId="081EF1D0" w14:textId="77777777" w:rsidR="00187A34" w:rsidRPr="0053497E" w:rsidRDefault="00187A34" w:rsidP="004E3A6B">
      <w:pPr>
        <w:jc w:val="center"/>
        <w:rPr>
          <w:rFonts w:ascii="Arial" w:hAnsi="Arial" w:cs="Arial"/>
          <w:b/>
          <w:bCs/>
          <w:sz w:val="22"/>
          <w:szCs w:val="22"/>
          <w:lang w:val="en-US"/>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4381" w14:textId="77777777" w:rsidR="0099385D" w:rsidRDefault="0099385D" w:rsidP="00241B44">
      <w:r>
        <w:separator/>
      </w:r>
    </w:p>
  </w:endnote>
  <w:endnote w:type="continuationSeparator" w:id="0">
    <w:p w14:paraId="3E3AE406" w14:textId="77777777" w:rsidR="0099385D" w:rsidRDefault="009938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703D9AD1" w:rsidR="00D509A5" w:rsidRPr="009B4976" w:rsidRDefault="00B61936" w:rsidP="009B4976">
    <w:pPr>
      <w:pStyle w:val="Footer"/>
      <w:ind w:right="360"/>
      <w:rPr>
        <w:rFonts w:ascii="Arial" w:hAnsi="Arial" w:cs="Arial"/>
        <w:sz w:val="18"/>
        <w:szCs w:val="18"/>
        <w:lang w:val="en-GB"/>
      </w:rPr>
    </w:pPr>
    <w:r w:rsidRPr="00B61936">
      <w:rPr>
        <w:rFonts w:ascii="Arial" w:hAnsi="Arial" w:cs="Arial"/>
        <w:sz w:val="18"/>
        <w:szCs w:val="18"/>
      </w:rPr>
      <w:t>202122-602</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2D25" w14:textId="77777777" w:rsidR="0099385D" w:rsidRDefault="0099385D" w:rsidP="00241B44">
      <w:r>
        <w:separator/>
      </w:r>
    </w:p>
  </w:footnote>
  <w:footnote w:type="continuationSeparator" w:id="0">
    <w:p w14:paraId="71BDB409" w14:textId="77777777" w:rsidR="0099385D" w:rsidRDefault="009938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E341AB4"/>
    <w:multiLevelType w:val="hybridMultilevel"/>
    <w:tmpl w:val="95729B06"/>
    <w:lvl w:ilvl="0" w:tplc="548AB00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03E29"/>
    <w:multiLevelType w:val="hybridMultilevel"/>
    <w:tmpl w:val="7AF8ECB8"/>
    <w:lvl w:ilvl="0" w:tplc="082E319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CAA4AE9"/>
    <w:multiLevelType w:val="multilevel"/>
    <w:tmpl w:val="273212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24B5BC4"/>
    <w:multiLevelType w:val="multilevel"/>
    <w:tmpl w:val="505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5C1AB4"/>
    <w:multiLevelType w:val="hybridMultilevel"/>
    <w:tmpl w:val="9C2A5E88"/>
    <w:lvl w:ilvl="0" w:tplc="D86413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67EA5101"/>
    <w:multiLevelType w:val="multilevel"/>
    <w:tmpl w:val="ACB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7456582"/>
    <w:multiLevelType w:val="hybridMultilevel"/>
    <w:tmpl w:val="91DAF33E"/>
    <w:lvl w:ilvl="0" w:tplc="14B852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6"/>
  </w:num>
  <w:num w:numId="5">
    <w:abstractNumId w:val="11"/>
  </w:num>
  <w:num w:numId="6">
    <w:abstractNumId w:val="14"/>
  </w:num>
  <w:num w:numId="7">
    <w:abstractNumId w:val="0"/>
  </w:num>
  <w:num w:numId="8">
    <w:abstractNumId w:val="8"/>
  </w:num>
  <w:num w:numId="9">
    <w:abstractNumId w:val="6"/>
  </w:num>
  <w:num w:numId="10">
    <w:abstractNumId w:val="2"/>
  </w:num>
  <w:num w:numId="11">
    <w:abstractNumId w:val="10"/>
  </w:num>
  <w:num w:numId="12">
    <w:abstractNumId w:val="5"/>
  </w:num>
  <w:num w:numId="13">
    <w:abstractNumId w:val="17"/>
  </w:num>
  <w:num w:numId="14">
    <w:abstractNumId w:val="12"/>
  </w:num>
  <w:num w:numId="15">
    <w:abstractNumId w:val="15"/>
  </w:num>
  <w:num w:numId="16">
    <w:abstractNumId w:val="9"/>
  </w:num>
  <w:num w:numId="17">
    <w:abstractNumId w:val="4"/>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2DC5"/>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D55A8"/>
    <w:rsid w:val="000E25B7"/>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63852"/>
    <w:rsid w:val="00174DC4"/>
    <w:rsid w:val="00175A7D"/>
    <w:rsid w:val="00180548"/>
    <w:rsid w:val="00180AC4"/>
    <w:rsid w:val="00180CCE"/>
    <w:rsid w:val="0018267A"/>
    <w:rsid w:val="00182779"/>
    <w:rsid w:val="001830DF"/>
    <w:rsid w:val="001849D7"/>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E71ED"/>
    <w:rsid w:val="002F1956"/>
    <w:rsid w:val="002F3440"/>
    <w:rsid w:val="002F5575"/>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22D2"/>
    <w:rsid w:val="0037465A"/>
    <w:rsid w:val="00375D11"/>
    <w:rsid w:val="00382C98"/>
    <w:rsid w:val="0038533C"/>
    <w:rsid w:val="00386568"/>
    <w:rsid w:val="00390B57"/>
    <w:rsid w:val="003948D5"/>
    <w:rsid w:val="00396821"/>
    <w:rsid w:val="00397D3A"/>
    <w:rsid w:val="003A051E"/>
    <w:rsid w:val="003B0A27"/>
    <w:rsid w:val="003B170F"/>
    <w:rsid w:val="003B3C5F"/>
    <w:rsid w:val="003B5A44"/>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7C72"/>
    <w:rsid w:val="00491675"/>
    <w:rsid w:val="00493855"/>
    <w:rsid w:val="00495E79"/>
    <w:rsid w:val="0049649C"/>
    <w:rsid w:val="004A0692"/>
    <w:rsid w:val="004A57DD"/>
    <w:rsid w:val="004A6F30"/>
    <w:rsid w:val="004A7B51"/>
    <w:rsid w:val="004A7D71"/>
    <w:rsid w:val="004A7EF3"/>
    <w:rsid w:val="004B11FD"/>
    <w:rsid w:val="004B23A2"/>
    <w:rsid w:val="004B259A"/>
    <w:rsid w:val="004C0D03"/>
    <w:rsid w:val="004C0D33"/>
    <w:rsid w:val="004C6636"/>
    <w:rsid w:val="004D1A5A"/>
    <w:rsid w:val="004D2FFF"/>
    <w:rsid w:val="004D3721"/>
    <w:rsid w:val="004D64F9"/>
    <w:rsid w:val="004E3A6B"/>
    <w:rsid w:val="004E622C"/>
    <w:rsid w:val="004F4AF9"/>
    <w:rsid w:val="004F5FDF"/>
    <w:rsid w:val="005177FE"/>
    <w:rsid w:val="0052263B"/>
    <w:rsid w:val="00524728"/>
    <w:rsid w:val="005331CA"/>
    <w:rsid w:val="0053497E"/>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019B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5469"/>
    <w:rsid w:val="007C6201"/>
    <w:rsid w:val="007C65EC"/>
    <w:rsid w:val="007D1213"/>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54B04"/>
    <w:rsid w:val="00860723"/>
    <w:rsid w:val="008622A5"/>
    <w:rsid w:val="008723F3"/>
    <w:rsid w:val="00874240"/>
    <w:rsid w:val="00876EA0"/>
    <w:rsid w:val="00881DE6"/>
    <w:rsid w:val="008837A6"/>
    <w:rsid w:val="0089145D"/>
    <w:rsid w:val="00894C1D"/>
    <w:rsid w:val="00897A78"/>
    <w:rsid w:val="008A4DF2"/>
    <w:rsid w:val="008A6CFE"/>
    <w:rsid w:val="008B0692"/>
    <w:rsid w:val="008B5333"/>
    <w:rsid w:val="008B6223"/>
    <w:rsid w:val="008C044C"/>
    <w:rsid w:val="008C4AC6"/>
    <w:rsid w:val="008C66E0"/>
    <w:rsid w:val="008D62F7"/>
    <w:rsid w:val="008E0EC8"/>
    <w:rsid w:val="008E3339"/>
    <w:rsid w:val="008E7371"/>
    <w:rsid w:val="008F20FC"/>
    <w:rsid w:val="008F5FFE"/>
    <w:rsid w:val="00905A43"/>
    <w:rsid w:val="00912C79"/>
    <w:rsid w:val="00914A23"/>
    <w:rsid w:val="00926928"/>
    <w:rsid w:val="00935A21"/>
    <w:rsid w:val="00942123"/>
    <w:rsid w:val="0095207B"/>
    <w:rsid w:val="00962045"/>
    <w:rsid w:val="00967219"/>
    <w:rsid w:val="009701E7"/>
    <w:rsid w:val="00971896"/>
    <w:rsid w:val="00980E61"/>
    <w:rsid w:val="009865A3"/>
    <w:rsid w:val="00991428"/>
    <w:rsid w:val="00992676"/>
    <w:rsid w:val="0099385D"/>
    <w:rsid w:val="009954B2"/>
    <w:rsid w:val="00996691"/>
    <w:rsid w:val="009B0723"/>
    <w:rsid w:val="009B07AD"/>
    <w:rsid w:val="009B0883"/>
    <w:rsid w:val="009B15E2"/>
    <w:rsid w:val="009B4976"/>
    <w:rsid w:val="009C0B8E"/>
    <w:rsid w:val="009C1BC8"/>
    <w:rsid w:val="009C2442"/>
    <w:rsid w:val="009C5E52"/>
    <w:rsid w:val="009D0811"/>
    <w:rsid w:val="009D0B19"/>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3CB4"/>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44713"/>
    <w:rsid w:val="00B56103"/>
    <w:rsid w:val="00B61936"/>
    <w:rsid w:val="00B64929"/>
    <w:rsid w:val="00B736DF"/>
    <w:rsid w:val="00B743D6"/>
    <w:rsid w:val="00B74FBD"/>
    <w:rsid w:val="00B77F46"/>
    <w:rsid w:val="00B82586"/>
    <w:rsid w:val="00B829A3"/>
    <w:rsid w:val="00B86DB1"/>
    <w:rsid w:val="00B87869"/>
    <w:rsid w:val="00B90ADB"/>
    <w:rsid w:val="00B9354D"/>
    <w:rsid w:val="00B96CE3"/>
    <w:rsid w:val="00BA543A"/>
    <w:rsid w:val="00BB0F2B"/>
    <w:rsid w:val="00BB38D1"/>
    <w:rsid w:val="00BD73DA"/>
    <w:rsid w:val="00BE4FF3"/>
    <w:rsid w:val="00BF50F7"/>
    <w:rsid w:val="00C00B20"/>
    <w:rsid w:val="00C02F29"/>
    <w:rsid w:val="00C20AFE"/>
    <w:rsid w:val="00C22A25"/>
    <w:rsid w:val="00C35671"/>
    <w:rsid w:val="00C35B77"/>
    <w:rsid w:val="00C376EB"/>
    <w:rsid w:val="00C37904"/>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0525"/>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27C2"/>
    <w:rsid w:val="00D148DC"/>
    <w:rsid w:val="00D17FDC"/>
    <w:rsid w:val="00D21F62"/>
    <w:rsid w:val="00D26E26"/>
    <w:rsid w:val="00D43382"/>
    <w:rsid w:val="00D509A5"/>
    <w:rsid w:val="00D56B4E"/>
    <w:rsid w:val="00D608A4"/>
    <w:rsid w:val="00D60E46"/>
    <w:rsid w:val="00D63EFD"/>
    <w:rsid w:val="00D651FD"/>
    <w:rsid w:val="00D65EFE"/>
    <w:rsid w:val="00D75351"/>
    <w:rsid w:val="00D84752"/>
    <w:rsid w:val="00D86B3B"/>
    <w:rsid w:val="00D8748A"/>
    <w:rsid w:val="00D93196"/>
    <w:rsid w:val="00D95496"/>
    <w:rsid w:val="00DA0DC0"/>
    <w:rsid w:val="00DA128B"/>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3026"/>
    <w:rsid w:val="00E26E19"/>
    <w:rsid w:val="00E30C8A"/>
    <w:rsid w:val="00E31DF3"/>
    <w:rsid w:val="00E32477"/>
    <w:rsid w:val="00E37337"/>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A5A3D"/>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349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F30"/>
    <w:rPr>
      <w:rFonts w:ascii="Times New Roman" w:eastAsia="Times New Roman" w:hAnsi="Times New Roman" w:cs="Times New Roman"/>
      <w:lang w:val="en-AT"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4971">
      <w:bodyDiv w:val="1"/>
      <w:marLeft w:val="0"/>
      <w:marRight w:val="0"/>
      <w:marTop w:val="0"/>
      <w:marBottom w:val="0"/>
      <w:divBdr>
        <w:top w:val="none" w:sz="0" w:space="0" w:color="auto"/>
        <w:left w:val="none" w:sz="0" w:space="0" w:color="auto"/>
        <w:bottom w:val="none" w:sz="0" w:space="0" w:color="auto"/>
        <w:right w:val="none" w:sz="0" w:space="0" w:color="auto"/>
      </w:divBdr>
      <w:divsChild>
        <w:div w:id="198007627">
          <w:marLeft w:val="0"/>
          <w:marRight w:val="0"/>
          <w:marTop w:val="0"/>
          <w:marBottom w:val="0"/>
          <w:divBdr>
            <w:top w:val="none" w:sz="0" w:space="0" w:color="auto"/>
            <w:left w:val="none" w:sz="0" w:space="0" w:color="auto"/>
            <w:bottom w:val="none" w:sz="0" w:space="0" w:color="auto"/>
            <w:right w:val="none" w:sz="0" w:space="0" w:color="auto"/>
          </w:divBdr>
          <w:divsChild>
            <w:div w:id="1584601820">
              <w:marLeft w:val="0"/>
              <w:marRight w:val="0"/>
              <w:marTop w:val="0"/>
              <w:marBottom w:val="0"/>
              <w:divBdr>
                <w:top w:val="none" w:sz="0" w:space="0" w:color="auto"/>
                <w:left w:val="none" w:sz="0" w:space="0" w:color="auto"/>
                <w:bottom w:val="none" w:sz="0" w:space="0" w:color="auto"/>
                <w:right w:val="none" w:sz="0" w:space="0" w:color="auto"/>
              </w:divBdr>
              <w:divsChild>
                <w:div w:id="13450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71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682">
          <w:marLeft w:val="0"/>
          <w:marRight w:val="0"/>
          <w:marTop w:val="0"/>
          <w:marBottom w:val="0"/>
          <w:divBdr>
            <w:top w:val="none" w:sz="0" w:space="0" w:color="auto"/>
            <w:left w:val="none" w:sz="0" w:space="0" w:color="auto"/>
            <w:bottom w:val="none" w:sz="0" w:space="0" w:color="auto"/>
            <w:right w:val="none" w:sz="0" w:space="0" w:color="auto"/>
          </w:divBdr>
          <w:divsChild>
            <w:div w:id="1318072442">
              <w:marLeft w:val="0"/>
              <w:marRight w:val="0"/>
              <w:marTop w:val="0"/>
              <w:marBottom w:val="0"/>
              <w:divBdr>
                <w:top w:val="none" w:sz="0" w:space="0" w:color="auto"/>
                <w:left w:val="none" w:sz="0" w:space="0" w:color="auto"/>
                <w:bottom w:val="none" w:sz="0" w:space="0" w:color="auto"/>
                <w:right w:val="none" w:sz="0" w:space="0" w:color="auto"/>
              </w:divBdr>
              <w:divsChild>
                <w:div w:id="1422481610">
                  <w:marLeft w:val="0"/>
                  <w:marRight w:val="0"/>
                  <w:marTop w:val="0"/>
                  <w:marBottom w:val="0"/>
                  <w:divBdr>
                    <w:top w:val="none" w:sz="0" w:space="0" w:color="auto"/>
                    <w:left w:val="none" w:sz="0" w:space="0" w:color="auto"/>
                    <w:bottom w:val="none" w:sz="0" w:space="0" w:color="auto"/>
                    <w:right w:val="none" w:sz="0" w:space="0" w:color="auto"/>
                  </w:divBdr>
                  <w:divsChild>
                    <w:div w:id="1231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7439">
      <w:bodyDiv w:val="1"/>
      <w:marLeft w:val="0"/>
      <w:marRight w:val="0"/>
      <w:marTop w:val="0"/>
      <w:marBottom w:val="0"/>
      <w:divBdr>
        <w:top w:val="none" w:sz="0" w:space="0" w:color="auto"/>
        <w:left w:val="none" w:sz="0" w:space="0" w:color="auto"/>
        <w:bottom w:val="none" w:sz="0" w:space="0" w:color="auto"/>
        <w:right w:val="none" w:sz="0" w:space="0" w:color="auto"/>
      </w:divBdr>
      <w:divsChild>
        <w:div w:id="1938126049">
          <w:marLeft w:val="0"/>
          <w:marRight w:val="0"/>
          <w:marTop w:val="0"/>
          <w:marBottom w:val="0"/>
          <w:divBdr>
            <w:top w:val="none" w:sz="0" w:space="0" w:color="auto"/>
            <w:left w:val="none" w:sz="0" w:space="0" w:color="auto"/>
            <w:bottom w:val="none" w:sz="0" w:space="0" w:color="auto"/>
            <w:right w:val="none" w:sz="0" w:space="0" w:color="auto"/>
          </w:divBdr>
          <w:divsChild>
            <w:div w:id="576209364">
              <w:marLeft w:val="0"/>
              <w:marRight w:val="0"/>
              <w:marTop w:val="0"/>
              <w:marBottom w:val="0"/>
              <w:divBdr>
                <w:top w:val="none" w:sz="0" w:space="0" w:color="auto"/>
                <w:left w:val="none" w:sz="0" w:space="0" w:color="auto"/>
                <w:bottom w:val="none" w:sz="0" w:space="0" w:color="auto"/>
                <w:right w:val="none" w:sz="0" w:space="0" w:color="auto"/>
              </w:divBdr>
              <w:divsChild>
                <w:div w:id="11510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3499">
      <w:bodyDiv w:val="1"/>
      <w:marLeft w:val="0"/>
      <w:marRight w:val="0"/>
      <w:marTop w:val="0"/>
      <w:marBottom w:val="0"/>
      <w:divBdr>
        <w:top w:val="none" w:sz="0" w:space="0" w:color="auto"/>
        <w:left w:val="none" w:sz="0" w:space="0" w:color="auto"/>
        <w:bottom w:val="none" w:sz="0" w:space="0" w:color="auto"/>
        <w:right w:val="none" w:sz="0" w:space="0" w:color="auto"/>
      </w:divBdr>
      <w:divsChild>
        <w:div w:id="595675518">
          <w:marLeft w:val="0"/>
          <w:marRight w:val="0"/>
          <w:marTop w:val="0"/>
          <w:marBottom w:val="0"/>
          <w:divBdr>
            <w:top w:val="none" w:sz="0" w:space="0" w:color="auto"/>
            <w:left w:val="none" w:sz="0" w:space="0" w:color="auto"/>
            <w:bottom w:val="none" w:sz="0" w:space="0" w:color="auto"/>
            <w:right w:val="none" w:sz="0" w:space="0" w:color="auto"/>
          </w:divBdr>
          <w:divsChild>
            <w:div w:id="682710146">
              <w:marLeft w:val="0"/>
              <w:marRight w:val="0"/>
              <w:marTop w:val="0"/>
              <w:marBottom w:val="0"/>
              <w:divBdr>
                <w:top w:val="none" w:sz="0" w:space="0" w:color="auto"/>
                <w:left w:val="none" w:sz="0" w:space="0" w:color="auto"/>
                <w:bottom w:val="none" w:sz="0" w:space="0" w:color="auto"/>
                <w:right w:val="none" w:sz="0" w:space="0" w:color="auto"/>
              </w:divBdr>
              <w:divsChild>
                <w:div w:id="9805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578">
      <w:bodyDiv w:val="1"/>
      <w:marLeft w:val="0"/>
      <w:marRight w:val="0"/>
      <w:marTop w:val="0"/>
      <w:marBottom w:val="0"/>
      <w:divBdr>
        <w:top w:val="none" w:sz="0" w:space="0" w:color="auto"/>
        <w:left w:val="none" w:sz="0" w:space="0" w:color="auto"/>
        <w:bottom w:val="none" w:sz="0" w:space="0" w:color="auto"/>
        <w:right w:val="none" w:sz="0" w:space="0" w:color="auto"/>
      </w:divBdr>
      <w:divsChild>
        <w:div w:id="1043948635">
          <w:marLeft w:val="0"/>
          <w:marRight w:val="0"/>
          <w:marTop w:val="0"/>
          <w:marBottom w:val="0"/>
          <w:divBdr>
            <w:top w:val="none" w:sz="0" w:space="0" w:color="auto"/>
            <w:left w:val="none" w:sz="0" w:space="0" w:color="auto"/>
            <w:bottom w:val="none" w:sz="0" w:space="0" w:color="auto"/>
            <w:right w:val="none" w:sz="0" w:space="0" w:color="auto"/>
          </w:divBdr>
          <w:divsChild>
            <w:div w:id="943341097">
              <w:marLeft w:val="0"/>
              <w:marRight w:val="0"/>
              <w:marTop w:val="0"/>
              <w:marBottom w:val="0"/>
              <w:divBdr>
                <w:top w:val="none" w:sz="0" w:space="0" w:color="auto"/>
                <w:left w:val="none" w:sz="0" w:space="0" w:color="auto"/>
                <w:bottom w:val="none" w:sz="0" w:space="0" w:color="auto"/>
                <w:right w:val="none" w:sz="0" w:space="0" w:color="auto"/>
              </w:divBdr>
              <w:divsChild>
                <w:div w:id="388306927">
                  <w:marLeft w:val="0"/>
                  <w:marRight w:val="0"/>
                  <w:marTop w:val="0"/>
                  <w:marBottom w:val="0"/>
                  <w:divBdr>
                    <w:top w:val="none" w:sz="0" w:space="0" w:color="auto"/>
                    <w:left w:val="none" w:sz="0" w:space="0" w:color="auto"/>
                    <w:bottom w:val="none" w:sz="0" w:space="0" w:color="auto"/>
                    <w:right w:val="none" w:sz="0" w:space="0" w:color="auto"/>
                  </w:divBdr>
                  <w:divsChild>
                    <w:div w:id="10133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5075">
      <w:bodyDiv w:val="1"/>
      <w:marLeft w:val="0"/>
      <w:marRight w:val="0"/>
      <w:marTop w:val="0"/>
      <w:marBottom w:val="0"/>
      <w:divBdr>
        <w:top w:val="none" w:sz="0" w:space="0" w:color="auto"/>
        <w:left w:val="none" w:sz="0" w:space="0" w:color="auto"/>
        <w:bottom w:val="none" w:sz="0" w:space="0" w:color="auto"/>
        <w:right w:val="none" w:sz="0" w:space="0" w:color="auto"/>
      </w:divBdr>
      <w:divsChild>
        <w:div w:id="2134665047">
          <w:marLeft w:val="0"/>
          <w:marRight w:val="0"/>
          <w:marTop w:val="0"/>
          <w:marBottom w:val="0"/>
          <w:divBdr>
            <w:top w:val="none" w:sz="0" w:space="0" w:color="auto"/>
            <w:left w:val="none" w:sz="0" w:space="0" w:color="auto"/>
            <w:bottom w:val="none" w:sz="0" w:space="0" w:color="auto"/>
            <w:right w:val="none" w:sz="0" w:space="0" w:color="auto"/>
          </w:divBdr>
          <w:divsChild>
            <w:div w:id="2058311836">
              <w:marLeft w:val="0"/>
              <w:marRight w:val="0"/>
              <w:marTop w:val="0"/>
              <w:marBottom w:val="0"/>
              <w:divBdr>
                <w:top w:val="none" w:sz="0" w:space="0" w:color="auto"/>
                <w:left w:val="none" w:sz="0" w:space="0" w:color="auto"/>
                <w:bottom w:val="none" w:sz="0" w:space="0" w:color="auto"/>
                <w:right w:val="none" w:sz="0" w:space="0" w:color="auto"/>
              </w:divBdr>
              <w:divsChild>
                <w:div w:id="92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4587">
      <w:bodyDiv w:val="1"/>
      <w:marLeft w:val="0"/>
      <w:marRight w:val="0"/>
      <w:marTop w:val="0"/>
      <w:marBottom w:val="0"/>
      <w:divBdr>
        <w:top w:val="none" w:sz="0" w:space="0" w:color="auto"/>
        <w:left w:val="none" w:sz="0" w:space="0" w:color="auto"/>
        <w:bottom w:val="none" w:sz="0" w:space="0" w:color="auto"/>
        <w:right w:val="none" w:sz="0" w:space="0" w:color="auto"/>
      </w:divBdr>
      <w:divsChild>
        <w:div w:id="1388147194">
          <w:marLeft w:val="0"/>
          <w:marRight w:val="0"/>
          <w:marTop w:val="0"/>
          <w:marBottom w:val="0"/>
          <w:divBdr>
            <w:top w:val="none" w:sz="0" w:space="0" w:color="auto"/>
            <w:left w:val="none" w:sz="0" w:space="0" w:color="auto"/>
            <w:bottom w:val="none" w:sz="0" w:space="0" w:color="auto"/>
            <w:right w:val="none" w:sz="0" w:space="0" w:color="auto"/>
          </w:divBdr>
          <w:divsChild>
            <w:div w:id="1017345344">
              <w:marLeft w:val="0"/>
              <w:marRight w:val="0"/>
              <w:marTop w:val="0"/>
              <w:marBottom w:val="0"/>
              <w:divBdr>
                <w:top w:val="none" w:sz="0" w:space="0" w:color="auto"/>
                <w:left w:val="none" w:sz="0" w:space="0" w:color="auto"/>
                <w:bottom w:val="none" w:sz="0" w:space="0" w:color="auto"/>
                <w:right w:val="none" w:sz="0" w:space="0" w:color="auto"/>
              </w:divBdr>
              <w:divsChild>
                <w:div w:id="4674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641">
      <w:bodyDiv w:val="1"/>
      <w:marLeft w:val="0"/>
      <w:marRight w:val="0"/>
      <w:marTop w:val="0"/>
      <w:marBottom w:val="0"/>
      <w:divBdr>
        <w:top w:val="none" w:sz="0" w:space="0" w:color="auto"/>
        <w:left w:val="none" w:sz="0" w:space="0" w:color="auto"/>
        <w:bottom w:val="none" w:sz="0" w:space="0" w:color="auto"/>
        <w:right w:val="none" w:sz="0" w:space="0" w:color="auto"/>
      </w:divBdr>
      <w:divsChild>
        <w:div w:id="808984178">
          <w:marLeft w:val="0"/>
          <w:marRight w:val="0"/>
          <w:marTop w:val="0"/>
          <w:marBottom w:val="0"/>
          <w:divBdr>
            <w:top w:val="none" w:sz="0" w:space="0" w:color="auto"/>
            <w:left w:val="none" w:sz="0" w:space="0" w:color="auto"/>
            <w:bottom w:val="none" w:sz="0" w:space="0" w:color="auto"/>
            <w:right w:val="none" w:sz="0" w:space="0" w:color="auto"/>
          </w:divBdr>
          <w:divsChild>
            <w:div w:id="383334829">
              <w:marLeft w:val="0"/>
              <w:marRight w:val="0"/>
              <w:marTop w:val="0"/>
              <w:marBottom w:val="0"/>
              <w:divBdr>
                <w:top w:val="none" w:sz="0" w:space="0" w:color="auto"/>
                <w:left w:val="none" w:sz="0" w:space="0" w:color="auto"/>
                <w:bottom w:val="none" w:sz="0" w:space="0" w:color="auto"/>
                <w:right w:val="none" w:sz="0" w:space="0" w:color="auto"/>
              </w:divBdr>
              <w:divsChild>
                <w:div w:id="6571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96253176">
      <w:bodyDiv w:val="1"/>
      <w:marLeft w:val="0"/>
      <w:marRight w:val="0"/>
      <w:marTop w:val="0"/>
      <w:marBottom w:val="0"/>
      <w:divBdr>
        <w:top w:val="none" w:sz="0" w:space="0" w:color="auto"/>
        <w:left w:val="none" w:sz="0" w:space="0" w:color="auto"/>
        <w:bottom w:val="none" w:sz="0" w:space="0" w:color="auto"/>
        <w:right w:val="none" w:sz="0" w:space="0" w:color="auto"/>
      </w:divBdr>
      <w:divsChild>
        <w:div w:id="916937522">
          <w:marLeft w:val="0"/>
          <w:marRight w:val="0"/>
          <w:marTop w:val="0"/>
          <w:marBottom w:val="0"/>
          <w:divBdr>
            <w:top w:val="none" w:sz="0" w:space="0" w:color="auto"/>
            <w:left w:val="none" w:sz="0" w:space="0" w:color="auto"/>
            <w:bottom w:val="none" w:sz="0" w:space="0" w:color="auto"/>
            <w:right w:val="none" w:sz="0" w:space="0" w:color="auto"/>
          </w:divBdr>
          <w:divsChild>
            <w:div w:id="1224098779">
              <w:marLeft w:val="0"/>
              <w:marRight w:val="0"/>
              <w:marTop w:val="0"/>
              <w:marBottom w:val="0"/>
              <w:divBdr>
                <w:top w:val="none" w:sz="0" w:space="0" w:color="auto"/>
                <w:left w:val="none" w:sz="0" w:space="0" w:color="auto"/>
                <w:bottom w:val="none" w:sz="0" w:space="0" w:color="auto"/>
                <w:right w:val="none" w:sz="0" w:space="0" w:color="auto"/>
              </w:divBdr>
              <w:divsChild>
                <w:div w:id="17834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18807">
      <w:bodyDiv w:val="1"/>
      <w:marLeft w:val="0"/>
      <w:marRight w:val="0"/>
      <w:marTop w:val="0"/>
      <w:marBottom w:val="0"/>
      <w:divBdr>
        <w:top w:val="none" w:sz="0" w:space="0" w:color="auto"/>
        <w:left w:val="none" w:sz="0" w:space="0" w:color="auto"/>
        <w:bottom w:val="none" w:sz="0" w:space="0" w:color="auto"/>
        <w:right w:val="none" w:sz="0" w:space="0" w:color="auto"/>
      </w:divBdr>
      <w:divsChild>
        <w:div w:id="1130706715">
          <w:marLeft w:val="0"/>
          <w:marRight w:val="0"/>
          <w:marTop w:val="0"/>
          <w:marBottom w:val="0"/>
          <w:divBdr>
            <w:top w:val="none" w:sz="0" w:space="0" w:color="auto"/>
            <w:left w:val="none" w:sz="0" w:space="0" w:color="auto"/>
            <w:bottom w:val="none" w:sz="0" w:space="0" w:color="auto"/>
            <w:right w:val="none" w:sz="0" w:space="0" w:color="auto"/>
          </w:divBdr>
          <w:divsChild>
            <w:div w:id="392195238">
              <w:marLeft w:val="0"/>
              <w:marRight w:val="0"/>
              <w:marTop w:val="0"/>
              <w:marBottom w:val="0"/>
              <w:divBdr>
                <w:top w:val="none" w:sz="0" w:space="0" w:color="auto"/>
                <w:left w:val="none" w:sz="0" w:space="0" w:color="auto"/>
                <w:bottom w:val="none" w:sz="0" w:space="0" w:color="auto"/>
                <w:right w:val="none" w:sz="0" w:space="0" w:color="auto"/>
              </w:divBdr>
              <w:divsChild>
                <w:div w:id="11467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77945">
      <w:bodyDiv w:val="1"/>
      <w:marLeft w:val="0"/>
      <w:marRight w:val="0"/>
      <w:marTop w:val="0"/>
      <w:marBottom w:val="0"/>
      <w:divBdr>
        <w:top w:val="none" w:sz="0" w:space="0" w:color="auto"/>
        <w:left w:val="none" w:sz="0" w:space="0" w:color="auto"/>
        <w:bottom w:val="none" w:sz="0" w:space="0" w:color="auto"/>
        <w:right w:val="none" w:sz="0" w:space="0" w:color="auto"/>
      </w:divBdr>
      <w:divsChild>
        <w:div w:id="380789638">
          <w:marLeft w:val="0"/>
          <w:marRight w:val="0"/>
          <w:marTop w:val="0"/>
          <w:marBottom w:val="0"/>
          <w:divBdr>
            <w:top w:val="none" w:sz="0" w:space="0" w:color="auto"/>
            <w:left w:val="none" w:sz="0" w:space="0" w:color="auto"/>
            <w:bottom w:val="none" w:sz="0" w:space="0" w:color="auto"/>
            <w:right w:val="none" w:sz="0" w:space="0" w:color="auto"/>
          </w:divBdr>
          <w:divsChild>
            <w:div w:id="410002271">
              <w:marLeft w:val="0"/>
              <w:marRight w:val="0"/>
              <w:marTop w:val="0"/>
              <w:marBottom w:val="0"/>
              <w:divBdr>
                <w:top w:val="none" w:sz="0" w:space="0" w:color="auto"/>
                <w:left w:val="none" w:sz="0" w:space="0" w:color="auto"/>
                <w:bottom w:val="none" w:sz="0" w:space="0" w:color="auto"/>
                <w:right w:val="none" w:sz="0" w:space="0" w:color="auto"/>
              </w:divBdr>
              <w:divsChild>
                <w:div w:id="17139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2702">
      <w:bodyDiv w:val="1"/>
      <w:marLeft w:val="0"/>
      <w:marRight w:val="0"/>
      <w:marTop w:val="0"/>
      <w:marBottom w:val="0"/>
      <w:divBdr>
        <w:top w:val="none" w:sz="0" w:space="0" w:color="auto"/>
        <w:left w:val="none" w:sz="0" w:space="0" w:color="auto"/>
        <w:bottom w:val="none" w:sz="0" w:space="0" w:color="auto"/>
        <w:right w:val="none" w:sz="0" w:space="0" w:color="auto"/>
      </w:divBdr>
    </w:div>
    <w:div w:id="819271136">
      <w:bodyDiv w:val="1"/>
      <w:marLeft w:val="0"/>
      <w:marRight w:val="0"/>
      <w:marTop w:val="0"/>
      <w:marBottom w:val="0"/>
      <w:divBdr>
        <w:top w:val="none" w:sz="0" w:space="0" w:color="auto"/>
        <w:left w:val="none" w:sz="0" w:space="0" w:color="auto"/>
        <w:bottom w:val="none" w:sz="0" w:space="0" w:color="auto"/>
        <w:right w:val="none" w:sz="0" w:space="0" w:color="auto"/>
      </w:divBdr>
    </w:div>
    <w:div w:id="83276625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51864814">
      <w:bodyDiv w:val="1"/>
      <w:marLeft w:val="0"/>
      <w:marRight w:val="0"/>
      <w:marTop w:val="0"/>
      <w:marBottom w:val="0"/>
      <w:divBdr>
        <w:top w:val="none" w:sz="0" w:space="0" w:color="auto"/>
        <w:left w:val="none" w:sz="0" w:space="0" w:color="auto"/>
        <w:bottom w:val="none" w:sz="0" w:space="0" w:color="auto"/>
        <w:right w:val="none" w:sz="0" w:space="0" w:color="auto"/>
      </w:divBdr>
      <w:divsChild>
        <w:div w:id="2017805398">
          <w:marLeft w:val="0"/>
          <w:marRight w:val="0"/>
          <w:marTop w:val="0"/>
          <w:marBottom w:val="0"/>
          <w:divBdr>
            <w:top w:val="none" w:sz="0" w:space="0" w:color="auto"/>
            <w:left w:val="none" w:sz="0" w:space="0" w:color="auto"/>
            <w:bottom w:val="none" w:sz="0" w:space="0" w:color="auto"/>
            <w:right w:val="none" w:sz="0" w:space="0" w:color="auto"/>
          </w:divBdr>
          <w:divsChild>
            <w:div w:id="2096125434">
              <w:marLeft w:val="0"/>
              <w:marRight w:val="0"/>
              <w:marTop w:val="0"/>
              <w:marBottom w:val="0"/>
              <w:divBdr>
                <w:top w:val="none" w:sz="0" w:space="0" w:color="auto"/>
                <w:left w:val="none" w:sz="0" w:space="0" w:color="auto"/>
                <w:bottom w:val="none" w:sz="0" w:space="0" w:color="auto"/>
                <w:right w:val="none" w:sz="0" w:space="0" w:color="auto"/>
              </w:divBdr>
              <w:divsChild>
                <w:div w:id="1549878744">
                  <w:marLeft w:val="0"/>
                  <w:marRight w:val="0"/>
                  <w:marTop w:val="0"/>
                  <w:marBottom w:val="0"/>
                  <w:divBdr>
                    <w:top w:val="none" w:sz="0" w:space="0" w:color="auto"/>
                    <w:left w:val="none" w:sz="0" w:space="0" w:color="auto"/>
                    <w:bottom w:val="none" w:sz="0" w:space="0" w:color="auto"/>
                    <w:right w:val="none" w:sz="0" w:space="0" w:color="auto"/>
                  </w:divBdr>
                  <w:divsChild>
                    <w:div w:id="354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6712">
      <w:bodyDiv w:val="1"/>
      <w:marLeft w:val="0"/>
      <w:marRight w:val="0"/>
      <w:marTop w:val="0"/>
      <w:marBottom w:val="0"/>
      <w:divBdr>
        <w:top w:val="none" w:sz="0" w:space="0" w:color="auto"/>
        <w:left w:val="none" w:sz="0" w:space="0" w:color="auto"/>
        <w:bottom w:val="none" w:sz="0" w:space="0" w:color="auto"/>
        <w:right w:val="none" w:sz="0" w:space="0" w:color="auto"/>
      </w:divBdr>
    </w:div>
    <w:div w:id="1019500667">
      <w:bodyDiv w:val="1"/>
      <w:marLeft w:val="0"/>
      <w:marRight w:val="0"/>
      <w:marTop w:val="0"/>
      <w:marBottom w:val="0"/>
      <w:divBdr>
        <w:top w:val="none" w:sz="0" w:space="0" w:color="auto"/>
        <w:left w:val="none" w:sz="0" w:space="0" w:color="auto"/>
        <w:bottom w:val="none" w:sz="0" w:space="0" w:color="auto"/>
        <w:right w:val="none" w:sz="0" w:space="0" w:color="auto"/>
      </w:divBdr>
      <w:divsChild>
        <w:div w:id="710881625">
          <w:marLeft w:val="0"/>
          <w:marRight w:val="0"/>
          <w:marTop w:val="0"/>
          <w:marBottom w:val="0"/>
          <w:divBdr>
            <w:top w:val="none" w:sz="0" w:space="0" w:color="auto"/>
            <w:left w:val="none" w:sz="0" w:space="0" w:color="auto"/>
            <w:bottom w:val="none" w:sz="0" w:space="0" w:color="auto"/>
            <w:right w:val="none" w:sz="0" w:space="0" w:color="auto"/>
          </w:divBdr>
          <w:divsChild>
            <w:div w:id="1853908560">
              <w:marLeft w:val="0"/>
              <w:marRight w:val="0"/>
              <w:marTop w:val="0"/>
              <w:marBottom w:val="0"/>
              <w:divBdr>
                <w:top w:val="none" w:sz="0" w:space="0" w:color="auto"/>
                <w:left w:val="none" w:sz="0" w:space="0" w:color="auto"/>
                <w:bottom w:val="none" w:sz="0" w:space="0" w:color="auto"/>
                <w:right w:val="none" w:sz="0" w:space="0" w:color="auto"/>
              </w:divBdr>
              <w:divsChild>
                <w:div w:id="7298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067340245">
      <w:bodyDiv w:val="1"/>
      <w:marLeft w:val="0"/>
      <w:marRight w:val="0"/>
      <w:marTop w:val="0"/>
      <w:marBottom w:val="0"/>
      <w:divBdr>
        <w:top w:val="none" w:sz="0" w:space="0" w:color="auto"/>
        <w:left w:val="none" w:sz="0" w:space="0" w:color="auto"/>
        <w:bottom w:val="none" w:sz="0" w:space="0" w:color="auto"/>
        <w:right w:val="none" w:sz="0" w:space="0" w:color="auto"/>
      </w:divBdr>
    </w:div>
    <w:div w:id="1149057437">
      <w:bodyDiv w:val="1"/>
      <w:marLeft w:val="0"/>
      <w:marRight w:val="0"/>
      <w:marTop w:val="0"/>
      <w:marBottom w:val="0"/>
      <w:divBdr>
        <w:top w:val="none" w:sz="0" w:space="0" w:color="auto"/>
        <w:left w:val="none" w:sz="0" w:space="0" w:color="auto"/>
        <w:bottom w:val="none" w:sz="0" w:space="0" w:color="auto"/>
        <w:right w:val="none" w:sz="0" w:space="0" w:color="auto"/>
      </w:divBdr>
      <w:divsChild>
        <w:div w:id="1258947736">
          <w:marLeft w:val="0"/>
          <w:marRight w:val="0"/>
          <w:marTop w:val="0"/>
          <w:marBottom w:val="0"/>
          <w:divBdr>
            <w:top w:val="none" w:sz="0" w:space="0" w:color="auto"/>
            <w:left w:val="none" w:sz="0" w:space="0" w:color="auto"/>
            <w:bottom w:val="none" w:sz="0" w:space="0" w:color="auto"/>
            <w:right w:val="none" w:sz="0" w:space="0" w:color="auto"/>
          </w:divBdr>
          <w:divsChild>
            <w:div w:id="1271081922">
              <w:marLeft w:val="0"/>
              <w:marRight w:val="0"/>
              <w:marTop w:val="0"/>
              <w:marBottom w:val="0"/>
              <w:divBdr>
                <w:top w:val="none" w:sz="0" w:space="0" w:color="auto"/>
                <w:left w:val="none" w:sz="0" w:space="0" w:color="auto"/>
                <w:bottom w:val="none" w:sz="0" w:space="0" w:color="auto"/>
                <w:right w:val="none" w:sz="0" w:space="0" w:color="auto"/>
              </w:divBdr>
              <w:divsChild>
                <w:div w:id="2082363860">
                  <w:marLeft w:val="0"/>
                  <w:marRight w:val="0"/>
                  <w:marTop w:val="0"/>
                  <w:marBottom w:val="0"/>
                  <w:divBdr>
                    <w:top w:val="none" w:sz="0" w:space="0" w:color="auto"/>
                    <w:left w:val="none" w:sz="0" w:space="0" w:color="auto"/>
                    <w:bottom w:val="none" w:sz="0" w:space="0" w:color="auto"/>
                    <w:right w:val="none" w:sz="0" w:space="0" w:color="auto"/>
                  </w:divBdr>
                  <w:divsChild>
                    <w:div w:id="12320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08411">
      <w:bodyDiv w:val="1"/>
      <w:marLeft w:val="0"/>
      <w:marRight w:val="0"/>
      <w:marTop w:val="0"/>
      <w:marBottom w:val="0"/>
      <w:divBdr>
        <w:top w:val="none" w:sz="0" w:space="0" w:color="auto"/>
        <w:left w:val="none" w:sz="0" w:space="0" w:color="auto"/>
        <w:bottom w:val="none" w:sz="0" w:space="0" w:color="auto"/>
        <w:right w:val="none" w:sz="0" w:space="0" w:color="auto"/>
      </w:divBdr>
      <w:divsChild>
        <w:div w:id="1398670898">
          <w:marLeft w:val="0"/>
          <w:marRight w:val="0"/>
          <w:marTop w:val="0"/>
          <w:marBottom w:val="0"/>
          <w:divBdr>
            <w:top w:val="none" w:sz="0" w:space="0" w:color="auto"/>
            <w:left w:val="none" w:sz="0" w:space="0" w:color="auto"/>
            <w:bottom w:val="none" w:sz="0" w:space="0" w:color="auto"/>
            <w:right w:val="none" w:sz="0" w:space="0" w:color="auto"/>
          </w:divBdr>
          <w:divsChild>
            <w:div w:id="366610748">
              <w:marLeft w:val="0"/>
              <w:marRight w:val="0"/>
              <w:marTop w:val="0"/>
              <w:marBottom w:val="0"/>
              <w:divBdr>
                <w:top w:val="none" w:sz="0" w:space="0" w:color="auto"/>
                <w:left w:val="none" w:sz="0" w:space="0" w:color="auto"/>
                <w:bottom w:val="none" w:sz="0" w:space="0" w:color="auto"/>
                <w:right w:val="none" w:sz="0" w:space="0" w:color="auto"/>
              </w:divBdr>
              <w:divsChild>
                <w:div w:id="559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725">
      <w:bodyDiv w:val="1"/>
      <w:marLeft w:val="0"/>
      <w:marRight w:val="0"/>
      <w:marTop w:val="0"/>
      <w:marBottom w:val="0"/>
      <w:divBdr>
        <w:top w:val="none" w:sz="0" w:space="0" w:color="auto"/>
        <w:left w:val="none" w:sz="0" w:space="0" w:color="auto"/>
        <w:bottom w:val="none" w:sz="0" w:space="0" w:color="auto"/>
        <w:right w:val="none" w:sz="0" w:space="0" w:color="auto"/>
      </w:divBdr>
      <w:divsChild>
        <w:div w:id="1395348885">
          <w:marLeft w:val="0"/>
          <w:marRight w:val="0"/>
          <w:marTop w:val="0"/>
          <w:marBottom w:val="0"/>
          <w:divBdr>
            <w:top w:val="none" w:sz="0" w:space="0" w:color="auto"/>
            <w:left w:val="none" w:sz="0" w:space="0" w:color="auto"/>
            <w:bottom w:val="none" w:sz="0" w:space="0" w:color="auto"/>
            <w:right w:val="none" w:sz="0" w:space="0" w:color="auto"/>
          </w:divBdr>
          <w:divsChild>
            <w:div w:id="1127047751">
              <w:marLeft w:val="0"/>
              <w:marRight w:val="0"/>
              <w:marTop w:val="0"/>
              <w:marBottom w:val="0"/>
              <w:divBdr>
                <w:top w:val="none" w:sz="0" w:space="0" w:color="auto"/>
                <w:left w:val="none" w:sz="0" w:space="0" w:color="auto"/>
                <w:bottom w:val="none" w:sz="0" w:space="0" w:color="auto"/>
                <w:right w:val="none" w:sz="0" w:space="0" w:color="auto"/>
              </w:divBdr>
              <w:divsChild>
                <w:div w:id="17143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6294">
      <w:bodyDiv w:val="1"/>
      <w:marLeft w:val="0"/>
      <w:marRight w:val="0"/>
      <w:marTop w:val="0"/>
      <w:marBottom w:val="0"/>
      <w:divBdr>
        <w:top w:val="none" w:sz="0" w:space="0" w:color="auto"/>
        <w:left w:val="none" w:sz="0" w:space="0" w:color="auto"/>
        <w:bottom w:val="none" w:sz="0" w:space="0" w:color="auto"/>
        <w:right w:val="none" w:sz="0" w:space="0" w:color="auto"/>
      </w:divBdr>
    </w:div>
    <w:div w:id="1335453302">
      <w:bodyDiv w:val="1"/>
      <w:marLeft w:val="0"/>
      <w:marRight w:val="0"/>
      <w:marTop w:val="0"/>
      <w:marBottom w:val="0"/>
      <w:divBdr>
        <w:top w:val="none" w:sz="0" w:space="0" w:color="auto"/>
        <w:left w:val="none" w:sz="0" w:space="0" w:color="auto"/>
        <w:bottom w:val="none" w:sz="0" w:space="0" w:color="auto"/>
        <w:right w:val="none" w:sz="0" w:space="0" w:color="auto"/>
      </w:divBdr>
      <w:divsChild>
        <w:div w:id="285041693">
          <w:marLeft w:val="0"/>
          <w:marRight w:val="0"/>
          <w:marTop w:val="0"/>
          <w:marBottom w:val="0"/>
          <w:divBdr>
            <w:top w:val="none" w:sz="0" w:space="0" w:color="auto"/>
            <w:left w:val="none" w:sz="0" w:space="0" w:color="auto"/>
            <w:bottom w:val="none" w:sz="0" w:space="0" w:color="auto"/>
            <w:right w:val="none" w:sz="0" w:space="0" w:color="auto"/>
          </w:divBdr>
          <w:divsChild>
            <w:div w:id="760489570">
              <w:marLeft w:val="0"/>
              <w:marRight w:val="0"/>
              <w:marTop w:val="0"/>
              <w:marBottom w:val="0"/>
              <w:divBdr>
                <w:top w:val="none" w:sz="0" w:space="0" w:color="auto"/>
                <w:left w:val="none" w:sz="0" w:space="0" w:color="auto"/>
                <w:bottom w:val="none" w:sz="0" w:space="0" w:color="auto"/>
                <w:right w:val="none" w:sz="0" w:space="0" w:color="auto"/>
              </w:divBdr>
              <w:divsChild>
                <w:div w:id="750466330">
                  <w:marLeft w:val="0"/>
                  <w:marRight w:val="0"/>
                  <w:marTop w:val="0"/>
                  <w:marBottom w:val="0"/>
                  <w:divBdr>
                    <w:top w:val="none" w:sz="0" w:space="0" w:color="auto"/>
                    <w:left w:val="none" w:sz="0" w:space="0" w:color="auto"/>
                    <w:bottom w:val="none" w:sz="0" w:space="0" w:color="auto"/>
                    <w:right w:val="none" w:sz="0" w:space="0" w:color="auto"/>
                  </w:divBdr>
                  <w:divsChild>
                    <w:div w:id="50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38267">
      <w:bodyDiv w:val="1"/>
      <w:marLeft w:val="0"/>
      <w:marRight w:val="0"/>
      <w:marTop w:val="0"/>
      <w:marBottom w:val="0"/>
      <w:divBdr>
        <w:top w:val="none" w:sz="0" w:space="0" w:color="auto"/>
        <w:left w:val="none" w:sz="0" w:space="0" w:color="auto"/>
        <w:bottom w:val="none" w:sz="0" w:space="0" w:color="auto"/>
        <w:right w:val="none" w:sz="0" w:space="0" w:color="auto"/>
      </w:divBdr>
      <w:divsChild>
        <w:div w:id="1870607863">
          <w:marLeft w:val="0"/>
          <w:marRight w:val="0"/>
          <w:marTop w:val="0"/>
          <w:marBottom w:val="0"/>
          <w:divBdr>
            <w:top w:val="none" w:sz="0" w:space="0" w:color="auto"/>
            <w:left w:val="none" w:sz="0" w:space="0" w:color="auto"/>
            <w:bottom w:val="none" w:sz="0" w:space="0" w:color="auto"/>
            <w:right w:val="none" w:sz="0" w:space="0" w:color="auto"/>
          </w:divBdr>
          <w:divsChild>
            <w:div w:id="962227451">
              <w:marLeft w:val="0"/>
              <w:marRight w:val="0"/>
              <w:marTop w:val="0"/>
              <w:marBottom w:val="0"/>
              <w:divBdr>
                <w:top w:val="none" w:sz="0" w:space="0" w:color="auto"/>
                <w:left w:val="none" w:sz="0" w:space="0" w:color="auto"/>
                <w:bottom w:val="none" w:sz="0" w:space="0" w:color="auto"/>
                <w:right w:val="none" w:sz="0" w:space="0" w:color="auto"/>
              </w:divBdr>
              <w:divsChild>
                <w:div w:id="1837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7290">
      <w:bodyDiv w:val="1"/>
      <w:marLeft w:val="0"/>
      <w:marRight w:val="0"/>
      <w:marTop w:val="0"/>
      <w:marBottom w:val="0"/>
      <w:divBdr>
        <w:top w:val="none" w:sz="0" w:space="0" w:color="auto"/>
        <w:left w:val="none" w:sz="0" w:space="0" w:color="auto"/>
        <w:bottom w:val="none" w:sz="0" w:space="0" w:color="auto"/>
        <w:right w:val="none" w:sz="0" w:space="0" w:color="auto"/>
      </w:divBdr>
      <w:divsChild>
        <w:div w:id="897477232">
          <w:marLeft w:val="0"/>
          <w:marRight w:val="0"/>
          <w:marTop w:val="0"/>
          <w:marBottom w:val="0"/>
          <w:divBdr>
            <w:top w:val="none" w:sz="0" w:space="0" w:color="auto"/>
            <w:left w:val="none" w:sz="0" w:space="0" w:color="auto"/>
            <w:bottom w:val="none" w:sz="0" w:space="0" w:color="auto"/>
            <w:right w:val="none" w:sz="0" w:space="0" w:color="auto"/>
          </w:divBdr>
          <w:divsChild>
            <w:div w:id="1715158455">
              <w:marLeft w:val="0"/>
              <w:marRight w:val="0"/>
              <w:marTop w:val="0"/>
              <w:marBottom w:val="0"/>
              <w:divBdr>
                <w:top w:val="none" w:sz="0" w:space="0" w:color="auto"/>
                <w:left w:val="none" w:sz="0" w:space="0" w:color="auto"/>
                <w:bottom w:val="none" w:sz="0" w:space="0" w:color="auto"/>
                <w:right w:val="none" w:sz="0" w:space="0" w:color="auto"/>
              </w:divBdr>
              <w:divsChild>
                <w:div w:id="13260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00747407">
      <w:bodyDiv w:val="1"/>
      <w:marLeft w:val="0"/>
      <w:marRight w:val="0"/>
      <w:marTop w:val="0"/>
      <w:marBottom w:val="0"/>
      <w:divBdr>
        <w:top w:val="none" w:sz="0" w:space="0" w:color="auto"/>
        <w:left w:val="none" w:sz="0" w:space="0" w:color="auto"/>
        <w:bottom w:val="none" w:sz="0" w:space="0" w:color="auto"/>
        <w:right w:val="none" w:sz="0" w:space="0" w:color="auto"/>
      </w:divBdr>
      <w:divsChild>
        <w:div w:id="766072774">
          <w:marLeft w:val="0"/>
          <w:marRight w:val="0"/>
          <w:marTop w:val="0"/>
          <w:marBottom w:val="0"/>
          <w:divBdr>
            <w:top w:val="none" w:sz="0" w:space="0" w:color="auto"/>
            <w:left w:val="none" w:sz="0" w:space="0" w:color="auto"/>
            <w:bottom w:val="none" w:sz="0" w:space="0" w:color="auto"/>
            <w:right w:val="none" w:sz="0" w:space="0" w:color="auto"/>
          </w:divBdr>
          <w:divsChild>
            <w:div w:id="2088183665">
              <w:marLeft w:val="0"/>
              <w:marRight w:val="0"/>
              <w:marTop w:val="0"/>
              <w:marBottom w:val="0"/>
              <w:divBdr>
                <w:top w:val="none" w:sz="0" w:space="0" w:color="auto"/>
                <w:left w:val="none" w:sz="0" w:space="0" w:color="auto"/>
                <w:bottom w:val="none" w:sz="0" w:space="0" w:color="auto"/>
                <w:right w:val="none" w:sz="0" w:space="0" w:color="auto"/>
              </w:divBdr>
              <w:divsChild>
                <w:div w:id="14892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1971861501">
      <w:bodyDiv w:val="1"/>
      <w:marLeft w:val="0"/>
      <w:marRight w:val="0"/>
      <w:marTop w:val="0"/>
      <w:marBottom w:val="0"/>
      <w:divBdr>
        <w:top w:val="none" w:sz="0" w:space="0" w:color="auto"/>
        <w:left w:val="none" w:sz="0" w:space="0" w:color="auto"/>
        <w:bottom w:val="none" w:sz="0" w:space="0" w:color="auto"/>
        <w:right w:val="none" w:sz="0" w:space="0" w:color="auto"/>
      </w:divBdr>
      <w:divsChild>
        <w:div w:id="1248148607">
          <w:marLeft w:val="0"/>
          <w:marRight w:val="0"/>
          <w:marTop w:val="0"/>
          <w:marBottom w:val="0"/>
          <w:divBdr>
            <w:top w:val="none" w:sz="0" w:space="0" w:color="auto"/>
            <w:left w:val="none" w:sz="0" w:space="0" w:color="auto"/>
            <w:bottom w:val="none" w:sz="0" w:space="0" w:color="auto"/>
            <w:right w:val="none" w:sz="0" w:space="0" w:color="auto"/>
          </w:divBdr>
          <w:divsChild>
            <w:div w:id="339547122">
              <w:marLeft w:val="0"/>
              <w:marRight w:val="0"/>
              <w:marTop w:val="0"/>
              <w:marBottom w:val="0"/>
              <w:divBdr>
                <w:top w:val="none" w:sz="0" w:space="0" w:color="auto"/>
                <w:left w:val="none" w:sz="0" w:space="0" w:color="auto"/>
                <w:bottom w:val="none" w:sz="0" w:space="0" w:color="auto"/>
                <w:right w:val="none" w:sz="0" w:space="0" w:color="auto"/>
              </w:divBdr>
              <w:divsChild>
                <w:div w:id="12913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CN &amp; Avocats</cp:lastModifiedBy>
  <cp:revision>10</cp:revision>
  <cp:lastPrinted>2019-08-27T05:42:00Z</cp:lastPrinted>
  <dcterms:created xsi:type="dcterms:W3CDTF">2022-03-01T20:39:00Z</dcterms:created>
  <dcterms:modified xsi:type="dcterms:W3CDTF">2022-03-01T21:09:00Z</dcterms:modified>
</cp:coreProperties>
</file>