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w:t>
      </w:r>
      <w:proofErr w:type="gramStart"/>
      <w:r w:rsidRPr="009B5832">
        <w:rPr>
          <w:rFonts w:ascii="Arial" w:hAnsi="Arial" w:cs="Arial"/>
          <w:sz w:val="22"/>
          <w:szCs w:val="22"/>
          <w:lang w:val="en-GB"/>
        </w:rPr>
        <w:t>a</w:t>
      </w:r>
      <w:proofErr w:type="gramEnd"/>
      <w:r w:rsidRPr="009B5832">
        <w:rPr>
          <w:rFonts w:ascii="Arial" w:hAnsi="Arial" w:cs="Arial"/>
          <w:sz w:val="22"/>
          <w:szCs w:val="22"/>
          <w:lang w:val="en-GB"/>
        </w:rPr>
        <w:t xml:space="preserve">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proofErr w:type="gramStart"/>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w:t>
      </w:r>
      <w:proofErr w:type="gramStart"/>
      <w:r w:rsidRPr="009B5832">
        <w:rPr>
          <w:rFonts w:ascii="Arial" w:hAnsi="Arial" w:cs="Arial"/>
          <w:sz w:val="22"/>
          <w:szCs w:val="22"/>
          <w:lang w:val="en-GB"/>
        </w:rPr>
        <w:t>are</w:t>
      </w:r>
      <w:proofErr w:type="gramEnd"/>
      <w:r w:rsidRPr="009B5832">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0C28D5" w:rsidRDefault="0050157D" w:rsidP="00D45AEA">
      <w:pPr>
        <w:pStyle w:val="ListParagraph"/>
        <w:numPr>
          <w:ilvl w:val="0"/>
          <w:numId w:val="12"/>
        </w:numPr>
        <w:ind w:left="426"/>
        <w:jc w:val="both"/>
        <w:rPr>
          <w:rFonts w:ascii="Arial" w:hAnsi="Arial" w:cs="Arial"/>
          <w:sz w:val="22"/>
          <w:szCs w:val="22"/>
          <w:highlight w:val="yellow"/>
          <w:lang w:val="en-GB"/>
        </w:rPr>
      </w:pPr>
      <w:r w:rsidRPr="000C28D5">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0C28D5">
        <w:rPr>
          <w:rFonts w:ascii="Arial" w:hAnsi="Arial" w:cs="Arial"/>
          <w:sz w:val="22"/>
          <w:szCs w:val="22"/>
          <w:highlight w:val="yellow"/>
          <w:lang w:val="en-GB"/>
        </w:rPr>
        <w:t>,</w:t>
      </w:r>
      <w:r w:rsidRPr="000C28D5">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0C28D5" w:rsidRDefault="005F21F4" w:rsidP="005F21F4">
      <w:pPr>
        <w:pStyle w:val="ListParagraph"/>
        <w:numPr>
          <w:ilvl w:val="0"/>
          <w:numId w:val="14"/>
        </w:numPr>
        <w:ind w:left="426"/>
        <w:jc w:val="both"/>
        <w:rPr>
          <w:rFonts w:ascii="Arial" w:hAnsi="Arial" w:cs="Arial"/>
          <w:sz w:val="22"/>
          <w:szCs w:val="22"/>
          <w:highlight w:val="yellow"/>
          <w:lang w:val="en-GB"/>
        </w:rPr>
      </w:pPr>
      <w:r w:rsidRPr="000C28D5">
        <w:rPr>
          <w:rFonts w:ascii="Arial" w:hAnsi="Arial" w:cs="Arial"/>
          <w:sz w:val="22"/>
          <w:szCs w:val="22"/>
          <w:highlight w:val="yellow"/>
          <w:lang w:val="en-GB"/>
        </w:rPr>
        <w:t>The existence of a statutory basis in national (insolvency) laws for co</w:t>
      </w:r>
      <w:r w:rsidR="00B61419" w:rsidRPr="000C28D5">
        <w:rPr>
          <w:rFonts w:ascii="Arial" w:hAnsi="Arial" w:cs="Arial"/>
          <w:sz w:val="22"/>
          <w:szCs w:val="22"/>
          <w:highlight w:val="yellow"/>
          <w:lang w:val="en-GB"/>
        </w:rPr>
        <w:t>-</w:t>
      </w:r>
      <w:r w:rsidRPr="000C28D5">
        <w:rPr>
          <w:rFonts w:ascii="Arial" w:hAnsi="Arial" w:cs="Arial"/>
          <w:sz w:val="22"/>
          <w:szCs w:val="22"/>
          <w:highlight w:val="yellow"/>
          <w:lang w:val="en-GB"/>
        </w:rPr>
        <w:t>operation and co</w:t>
      </w:r>
      <w:r w:rsidR="00B61419" w:rsidRPr="000C28D5">
        <w:rPr>
          <w:rFonts w:ascii="Arial" w:hAnsi="Arial" w:cs="Arial"/>
          <w:sz w:val="22"/>
          <w:szCs w:val="22"/>
          <w:highlight w:val="yellow"/>
          <w:lang w:val="en-GB"/>
        </w:rPr>
        <w:t>-</w:t>
      </w:r>
      <w:r w:rsidRPr="000C28D5">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1B78DF" w:rsidRDefault="00853A74" w:rsidP="00853A74">
      <w:pPr>
        <w:pStyle w:val="ListParagraph"/>
        <w:numPr>
          <w:ilvl w:val="0"/>
          <w:numId w:val="16"/>
        </w:numPr>
        <w:ind w:left="426"/>
        <w:jc w:val="both"/>
        <w:rPr>
          <w:rFonts w:ascii="Arial" w:hAnsi="Arial" w:cs="Arial"/>
          <w:sz w:val="22"/>
          <w:szCs w:val="22"/>
          <w:highlight w:val="yellow"/>
          <w:lang w:val="en-GB"/>
        </w:rPr>
      </w:pPr>
      <w:r w:rsidRPr="001B78DF">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8D58F3" w:rsidRDefault="00E57410" w:rsidP="00322F3B">
      <w:pPr>
        <w:pStyle w:val="ListParagraph"/>
        <w:numPr>
          <w:ilvl w:val="0"/>
          <w:numId w:val="18"/>
        </w:numPr>
        <w:ind w:left="426"/>
        <w:jc w:val="both"/>
        <w:rPr>
          <w:rFonts w:ascii="Arial" w:hAnsi="Arial" w:cs="Arial"/>
          <w:sz w:val="22"/>
          <w:szCs w:val="22"/>
          <w:highlight w:val="yellow"/>
          <w:lang w:val="en-GB"/>
        </w:rPr>
      </w:pPr>
      <w:r w:rsidRPr="008D58F3">
        <w:rPr>
          <w:rFonts w:ascii="Arial" w:hAnsi="Arial" w:cs="Arial"/>
          <w:sz w:val="22"/>
          <w:szCs w:val="22"/>
          <w:highlight w:val="yellow"/>
          <w:lang w:val="en-GB"/>
        </w:rPr>
        <w:t xml:space="preserve">The </w:t>
      </w:r>
      <w:r w:rsidRPr="008D58F3">
        <w:rPr>
          <w:rFonts w:ascii="Arial" w:hAnsi="Arial" w:cs="Arial"/>
          <w:i/>
          <w:iCs/>
          <w:sz w:val="22"/>
          <w:szCs w:val="22"/>
          <w:highlight w:val="yellow"/>
          <w:lang w:val="en-GB"/>
        </w:rPr>
        <w:t>locus standi</w:t>
      </w:r>
      <w:r w:rsidRPr="008D58F3">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1B78DF" w:rsidRDefault="00C504E5" w:rsidP="00C504E5">
      <w:pPr>
        <w:pStyle w:val="ListParagraph"/>
        <w:numPr>
          <w:ilvl w:val="0"/>
          <w:numId w:val="20"/>
        </w:numPr>
        <w:ind w:left="426"/>
        <w:jc w:val="both"/>
        <w:rPr>
          <w:rFonts w:ascii="Arial" w:hAnsi="Arial" w:cs="Arial"/>
          <w:sz w:val="22"/>
          <w:szCs w:val="22"/>
          <w:highlight w:val="yellow"/>
          <w:lang w:val="en-GB"/>
        </w:rPr>
      </w:pPr>
      <w:r w:rsidRPr="001B78DF">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1B78DF">
        <w:rPr>
          <w:rFonts w:ascii="Arial" w:hAnsi="Arial" w:cs="Arial"/>
          <w:sz w:val="22"/>
          <w:szCs w:val="22"/>
          <w:highlight w:val="yellow"/>
          <w:lang w:val="en-GB"/>
        </w:rPr>
        <w:t>’</w:t>
      </w:r>
      <w:r w:rsidRPr="001B78DF">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1B78DF" w:rsidRDefault="00B72F5F" w:rsidP="00114082">
      <w:pPr>
        <w:pStyle w:val="ListParagraph"/>
        <w:numPr>
          <w:ilvl w:val="0"/>
          <w:numId w:val="26"/>
        </w:numPr>
        <w:ind w:left="426"/>
        <w:jc w:val="both"/>
        <w:rPr>
          <w:rFonts w:ascii="Arial" w:hAnsi="Arial" w:cs="Arial"/>
          <w:sz w:val="22"/>
          <w:szCs w:val="22"/>
          <w:highlight w:val="yellow"/>
          <w:lang w:val="en-GB"/>
        </w:rPr>
      </w:pPr>
      <w:r w:rsidRPr="001B78DF">
        <w:rPr>
          <w:rFonts w:ascii="Arial" w:hAnsi="Arial" w:cs="Arial"/>
          <w:sz w:val="22"/>
          <w:szCs w:val="22"/>
          <w:highlight w:val="yellow"/>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BB6C45" w:rsidRDefault="0067294B" w:rsidP="00114082">
      <w:pPr>
        <w:pStyle w:val="ListParagraph"/>
        <w:numPr>
          <w:ilvl w:val="0"/>
          <w:numId w:val="27"/>
        </w:numPr>
        <w:ind w:left="426"/>
        <w:jc w:val="both"/>
        <w:rPr>
          <w:rFonts w:ascii="Arial" w:hAnsi="Arial" w:cs="Arial"/>
          <w:sz w:val="22"/>
          <w:szCs w:val="22"/>
          <w:highlight w:val="yellow"/>
          <w:lang w:val="en-GB"/>
        </w:rPr>
      </w:pPr>
      <w:r w:rsidRPr="00BB6C45">
        <w:rPr>
          <w:rFonts w:ascii="Arial" w:hAnsi="Arial" w:cs="Arial"/>
          <w:sz w:val="22"/>
          <w:szCs w:val="22"/>
          <w:highlight w:val="yellow"/>
          <w:lang w:val="en-GB"/>
        </w:rPr>
        <w:t xml:space="preserve">Neither </w:t>
      </w:r>
      <w:r w:rsidR="00E73529" w:rsidRPr="00BB6C45">
        <w:rPr>
          <w:rFonts w:ascii="Arial" w:hAnsi="Arial" w:cs="Arial"/>
          <w:sz w:val="22"/>
          <w:szCs w:val="22"/>
          <w:highlight w:val="yellow"/>
          <w:lang w:val="en-GB"/>
        </w:rPr>
        <w:t>(</w:t>
      </w:r>
      <w:r w:rsidRPr="00BB6C45">
        <w:rPr>
          <w:rFonts w:ascii="Arial" w:hAnsi="Arial" w:cs="Arial"/>
          <w:sz w:val="22"/>
          <w:szCs w:val="22"/>
          <w:highlight w:val="yellow"/>
          <w:lang w:val="en-GB"/>
        </w:rPr>
        <w:t>a</w:t>
      </w:r>
      <w:r w:rsidR="00E73529" w:rsidRPr="00BB6C45">
        <w:rPr>
          <w:rFonts w:ascii="Arial" w:hAnsi="Arial" w:cs="Arial"/>
          <w:sz w:val="22"/>
          <w:szCs w:val="22"/>
          <w:highlight w:val="yellow"/>
          <w:lang w:val="en-GB"/>
        </w:rPr>
        <w:t>)</w:t>
      </w:r>
      <w:r w:rsidRPr="00BB6C45">
        <w:rPr>
          <w:rFonts w:ascii="Arial" w:hAnsi="Arial" w:cs="Arial"/>
          <w:sz w:val="22"/>
          <w:szCs w:val="22"/>
          <w:highlight w:val="yellow"/>
          <w:lang w:val="en-GB"/>
        </w:rPr>
        <w:t xml:space="preserve"> nor </w:t>
      </w:r>
      <w:r w:rsidR="00E73529" w:rsidRPr="00BB6C45">
        <w:rPr>
          <w:rFonts w:ascii="Arial" w:hAnsi="Arial" w:cs="Arial"/>
          <w:sz w:val="22"/>
          <w:szCs w:val="22"/>
          <w:highlight w:val="yellow"/>
          <w:lang w:val="en-GB"/>
        </w:rPr>
        <w:t>(</w:t>
      </w:r>
      <w:r w:rsidRPr="00BB6C45">
        <w:rPr>
          <w:rFonts w:ascii="Arial" w:hAnsi="Arial" w:cs="Arial"/>
          <w:sz w:val="22"/>
          <w:szCs w:val="22"/>
          <w:highlight w:val="yellow"/>
          <w:lang w:val="en-GB"/>
        </w:rPr>
        <w:t>b</w:t>
      </w:r>
      <w:r w:rsidR="00E73529" w:rsidRPr="00BB6C45">
        <w:rPr>
          <w:rFonts w:ascii="Arial" w:hAnsi="Arial" w:cs="Arial"/>
          <w:sz w:val="22"/>
          <w:szCs w:val="22"/>
          <w:highlight w:val="yellow"/>
          <w:lang w:val="en-GB"/>
        </w:rPr>
        <w:t>)</w:t>
      </w:r>
      <w:r w:rsidRPr="00BB6C45">
        <w:rPr>
          <w:rFonts w:ascii="Arial" w:hAnsi="Arial" w:cs="Arial"/>
          <w:sz w:val="22"/>
          <w:szCs w:val="22"/>
          <w:highlight w:val="yellow"/>
          <w:lang w:val="en-GB"/>
        </w:rPr>
        <w:t xml:space="preserve"> must be considered by the court.</w:t>
      </w:r>
      <w:r w:rsidRPr="00BB6C45">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BB6C45" w:rsidRDefault="004E0549" w:rsidP="00114082">
      <w:pPr>
        <w:pStyle w:val="ListParagraph"/>
        <w:numPr>
          <w:ilvl w:val="0"/>
          <w:numId w:val="28"/>
        </w:numPr>
        <w:ind w:left="426"/>
        <w:jc w:val="both"/>
        <w:rPr>
          <w:rFonts w:ascii="Arial" w:hAnsi="Arial" w:cs="Arial"/>
          <w:sz w:val="22"/>
          <w:szCs w:val="22"/>
          <w:highlight w:val="yellow"/>
          <w:lang w:val="en-GB"/>
        </w:rPr>
      </w:pPr>
      <w:r w:rsidRPr="00BB6C45">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BB6C45" w:rsidRDefault="00573E73" w:rsidP="00114082">
      <w:pPr>
        <w:pStyle w:val="ListParagraph"/>
        <w:numPr>
          <w:ilvl w:val="0"/>
          <w:numId w:val="29"/>
        </w:numPr>
        <w:ind w:left="426"/>
        <w:jc w:val="both"/>
        <w:rPr>
          <w:rFonts w:ascii="Arial" w:hAnsi="Arial" w:cs="Arial"/>
          <w:sz w:val="22"/>
          <w:szCs w:val="22"/>
          <w:highlight w:val="yellow"/>
          <w:lang w:val="en-GB"/>
        </w:rPr>
      </w:pPr>
      <w:r w:rsidRPr="00BB6C45">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BB6C45"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BB6C45">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313EFA73" w:rsidR="009B07AD" w:rsidRPr="00760877" w:rsidRDefault="00760877" w:rsidP="00EA75F5">
      <w:pPr>
        <w:jc w:val="both"/>
        <w:rPr>
          <w:rFonts w:ascii="Arial" w:hAnsi="Arial" w:cs="Arial"/>
          <w:color w:val="7B7B7B" w:themeColor="accent3" w:themeShade="BF"/>
          <w:sz w:val="22"/>
          <w:szCs w:val="22"/>
          <w:lang w:val="en-GB"/>
        </w:rPr>
      </w:pPr>
      <w:r w:rsidRPr="00760877">
        <w:rPr>
          <w:rFonts w:ascii="Arial" w:hAnsi="Arial" w:cs="Arial"/>
          <w:color w:val="7B7B7B" w:themeColor="accent3" w:themeShade="BF"/>
          <w:sz w:val="22"/>
          <w:szCs w:val="22"/>
          <w:lang w:val="en-GB"/>
        </w:rPr>
        <w:t>[</w:t>
      </w:r>
      <w:r w:rsidR="00EA75F5" w:rsidRPr="00760877">
        <w:rPr>
          <w:rFonts w:ascii="Arial" w:hAnsi="Arial" w:cs="Arial"/>
          <w:color w:val="7B7B7B" w:themeColor="accent3" w:themeShade="BF"/>
          <w:sz w:val="22"/>
          <w:szCs w:val="22"/>
          <w:lang w:val="en-GB"/>
        </w:rPr>
        <w:t>The date of beginning of the international process is the proper date for evaluating a debtor's COMI or if an establishment exists. The MLCBI, on the other hand, has not addressed the problem of a proper date. GEI, on the other hand, sheds some light on the same subject. Given the evidence required to accompany an application for recognition under article 15 and the relevance accorded to that decision, the GEI believes that the date of commencement of the foreign proceeding and the appointment of the foreign representative is the appropriate date for determining COMI.</w:t>
      </w:r>
      <w:r w:rsidRPr="00760877">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lastRenderedPageBreak/>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34DC43C3" w14:textId="194E05FC" w:rsidR="005A5395" w:rsidRDefault="009B07AD" w:rsidP="005A5395">
      <w:pPr>
        <w:ind w:left="720" w:hanging="6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5A5395">
        <w:rPr>
          <w:rFonts w:ascii="Arial" w:hAnsi="Arial" w:cs="Arial"/>
          <w:color w:val="7B7B7B" w:themeColor="accent3" w:themeShade="BF"/>
          <w:sz w:val="22"/>
          <w:szCs w:val="22"/>
          <w:lang w:val="en-GB"/>
        </w:rPr>
        <w:t>Statement 1</w:t>
      </w:r>
    </w:p>
    <w:p w14:paraId="01206410" w14:textId="2F1687CC" w:rsidR="005A5395" w:rsidRDefault="005A5395" w:rsidP="005A5395">
      <w:pPr>
        <w:ind w:left="1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30 </w:t>
      </w:r>
      <w:r>
        <w:rPr>
          <w:rFonts w:ascii="Arial" w:hAnsi="Arial" w:cs="Arial"/>
          <w:color w:val="7B7B7B" w:themeColor="accent3" w:themeShade="BF"/>
          <w:sz w:val="22"/>
          <w:szCs w:val="22"/>
          <w:lang w:val="en-GB"/>
        </w:rPr>
        <w:t>specifies</w:t>
      </w:r>
      <w:r>
        <w:rPr>
          <w:rFonts w:ascii="Arial" w:hAnsi="Arial" w:cs="Arial"/>
          <w:color w:val="7B7B7B" w:themeColor="accent3" w:themeShade="BF"/>
          <w:sz w:val="22"/>
          <w:szCs w:val="22"/>
          <w:lang w:val="en-GB"/>
        </w:rPr>
        <w:t xml:space="preserve"> the coordination of more than one foreign proceeding. Article 30(c) of the MLCBI specifically provides guidance in case of concurrence of two foreign non-main proceedings.</w:t>
      </w:r>
    </w:p>
    <w:p w14:paraId="52AB7395" w14:textId="77777777" w:rsidR="005A5395" w:rsidRDefault="005A5395" w:rsidP="005A5395">
      <w:pPr>
        <w:ind w:left="100"/>
        <w:jc w:val="both"/>
        <w:rPr>
          <w:rFonts w:ascii="Arial" w:hAnsi="Arial" w:cs="Arial"/>
          <w:color w:val="7B7B7B" w:themeColor="accent3" w:themeShade="BF"/>
          <w:sz w:val="22"/>
          <w:szCs w:val="22"/>
          <w:lang w:val="en-GB"/>
        </w:rPr>
      </w:pPr>
    </w:p>
    <w:p w14:paraId="167DF6B2" w14:textId="77777777" w:rsidR="005A5395" w:rsidRDefault="005A5395" w:rsidP="005A5395">
      <w:pPr>
        <w:ind w:left="1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w:t>
      </w:r>
    </w:p>
    <w:p w14:paraId="796DC840" w14:textId="3A8FFCBF" w:rsidR="005A5395" w:rsidRDefault="005A5395" w:rsidP="005A5395">
      <w:pPr>
        <w:ind w:left="1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13 of MLCBI deals with secured claims. The ant</w:t>
      </w:r>
      <w:r w:rsidR="00B44D26">
        <w:rPr>
          <w:rFonts w:ascii="Arial" w:hAnsi="Arial" w:cs="Arial"/>
          <w:color w:val="7B7B7B" w:themeColor="accent3" w:themeShade="BF"/>
          <w:sz w:val="22"/>
          <w:szCs w:val="22"/>
          <w:lang w:val="en-GB"/>
        </w:rPr>
        <w:t>i-discrimination principle</w:t>
      </w:r>
      <w:r>
        <w:rPr>
          <w:rFonts w:ascii="Arial" w:hAnsi="Arial" w:cs="Arial"/>
          <w:color w:val="7B7B7B" w:themeColor="accent3" w:themeShade="BF"/>
          <w:sz w:val="22"/>
          <w:szCs w:val="22"/>
          <w:lang w:val="en-GB"/>
        </w:rPr>
        <w:t xml:space="preserve"> states that the “Foreign creditors have the same rights as creditors domiciled in the enacting state”</w:t>
      </w:r>
      <w:r w:rsidR="00AF1293">
        <w:rPr>
          <w:rFonts w:ascii="Arial" w:hAnsi="Arial" w:cs="Arial"/>
          <w:color w:val="7B7B7B" w:themeColor="accent3" w:themeShade="BF"/>
          <w:sz w:val="22"/>
          <w:szCs w:val="22"/>
          <w:lang w:val="en-GB"/>
        </w:rPr>
        <w:t>. The abovementioned</w:t>
      </w:r>
      <w:r>
        <w:rPr>
          <w:rFonts w:ascii="Arial" w:hAnsi="Arial" w:cs="Arial"/>
          <w:color w:val="7B7B7B" w:themeColor="accent3" w:themeShade="BF"/>
          <w:sz w:val="22"/>
          <w:szCs w:val="22"/>
          <w:lang w:val="en-GB"/>
        </w:rPr>
        <w:t xml:space="preserve"> rule in Article 13 does not affect secured claims.</w:t>
      </w:r>
    </w:p>
    <w:p w14:paraId="03A84B4C" w14:textId="77777777" w:rsidR="005A5395" w:rsidRDefault="005A5395" w:rsidP="005A5395">
      <w:pPr>
        <w:ind w:left="100"/>
        <w:jc w:val="both"/>
        <w:rPr>
          <w:rFonts w:ascii="Arial" w:hAnsi="Arial" w:cs="Arial"/>
          <w:color w:val="7B7B7B" w:themeColor="accent3" w:themeShade="BF"/>
          <w:sz w:val="22"/>
          <w:szCs w:val="22"/>
          <w:lang w:val="en-GB"/>
        </w:rPr>
      </w:pPr>
    </w:p>
    <w:p w14:paraId="6A5D4274" w14:textId="77777777" w:rsidR="005A5395" w:rsidRDefault="005A5395" w:rsidP="005A5395">
      <w:pPr>
        <w:ind w:left="1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w:t>
      </w:r>
    </w:p>
    <w:p w14:paraId="16CB3D8D" w14:textId="3E1CC5BD" w:rsidR="005A5395" w:rsidRPr="009B5832" w:rsidRDefault="005A5395" w:rsidP="005A5395">
      <w:pPr>
        <w:ind w:left="100"/>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31 of the Model Law </w:t>
      </w:r>
      <w:r w:rsidR="008B3546">
        <w:rPr>
          <w:rFonts w:ascii="Arial" w:hAnsi="Arial" w:cs="Arial"/>
          <w:color w:val="7B7B7B" w:themeColor="accent3" w:themeShade="BF"/>
          <w:sz w:val="22"/>
          <w:szCs w:val="22"/>
          <w:lang w:val="en-GB"/>
        </w:rPr>
        <w:t>provides for</w:t>
      </w:r>
      <w:r>
        <w:rPr>
          <w:rFonts w:ascii="Arial" w:hAnsi="Arial" w:cs="Arial"/>
          <w:color w:val="7B7B7B" w:themeColor="accent3" w:themeShade="BF"/>
          <w:sz w:val="22"/>
          <w:szCs w:val="22"/>
          <w:lang w:val="en-GB"/>
        </w:rPr>
        <w:t xml:space="preserve"> a rebuttable presumption. It states that the recognition of a foreign main proceeding is proof that the debtor is insolvent.</w:t>
      </w:r>
      <w:r w:rsidRPr="009B5832">
        <w:rPr>
          <w:rFonts w:ascii="Arial" w:hAnsi="Arial" w:cs="Arial"/>
          <w:color w:val="7B7B7B" w:themeColor="accent3" w:themeShade="BF"/>
          <w:sz w:val="22"/>
          <w:szCs w:val="22"/>
          <w:lang w:val="en-GB"/>
        </w:rPr>
        <w:t>]</w:t>
      </w:r>
    </w:p>
    <w:p w14:paraId="039E27B5" w14:textId="43F06D19" w:rsidR="00C82D87" w:rsidRPr="009B5832" w:rsidRDefault="00C82D87" w:rsidP="005A5395">
      <w:pPr>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0C727B6B" w14:textId="77777777" w:rsidR="00F60CFF" w:rsidRDefault="00C72848" w:rsidP="00F60CFF">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F60CFF" w:rsidRPr="00F60CFF">
        <w:rPr>
          <w:rFonts w:ascii="Arial" w:hAnsi="Arial" w:cs="Arial"/>
          <w:color w:val="7B7B7B" w:themeColor="accent3" w:themeShade="BF"/>
          <w:sz w:val="22"/>
          <w:szCs w:val="22"/>
          <w:lang w:val="en-GB"/>
        </w:rPr>
        <w:t>The question in the IBA case was whether the court should not</w:t>
      </w:r>
      <w:r w:rsidR="00F60CFF">
        <w:rPr>
          <w:rFonts w:ascii="Arial" w:hAnsi="Arial" w:cs="Arial"/>
          <w:color w:val="7B7B7B" w:themeColor="accent3" w:themeShade="BF"/>
          <w:sz w:val="22"/>
          <w:szCs w:val="22"/>
          <w:lang w:val="en-GB"/>
        </w:rPr>
        <w:t xml:space="preserve"> use its discretion in granting </w:t>
      </w:r>
      <w:r w:rsidR="00F60CFF" w:rsidRPr="00F60CFF">
        <w:rPr>
          <w:rFonts w:ascii="Arial" w:hAnsi="Arial" w:cs="Arial"/>
          <w:color w:val="7B7B7B" w:themeColor="accent3" w:themeShade="BF"/>
          <w:sz w:val="22"/>
          <w:szCs w:val="22"/>
          <w:lang w:val="en-GB"/>
        </w:rPr>
        <w:t>the inde</w:t>
      </w:r>
      <w:r w:rsidR="00F60CFF">
        <w:rPr>
          <w:rFonts w:ascii="Arial" w:hAnsi="Arial" w:cs="Arial"/>
          <w:color w:val="7B7B7B" w:themeColor="accent3" w:themeShade="BF"/>
          <w:sz w:val="22"/>
          <w:szCs w:val="22"/>
          <w:lang w:val="en-GB"/>
        </w:rPr>
        <w:t>finite Moratorium Continuation.</w:t>
      </w:r>
      <w:r w:rsidR="00F60CFF" w:rsidRPr="00F60CFF">
        <w:rPr>
          <w:rFonts w:ascii="Arial" w:hAnsi="Arial" w:cs="Arial"/>
          <w:color w:val="7B7B7B" w:themeColor="accent3" w:themeShade="BF"/>
          <w:sz w:val="22"/>
          <w:szCs w:val="22"/>
          <w:lang w:val="en-GB"/>
        </w:rPr>
        <w:t xml:space="preserve"> Two conditions must be met in order for the indefinite Moratorium Continuation to be granted. The two conditions are as follows:</w:t>
      </w:r>
    </w:p>
    <w:p w14:paraId="496318A6" w14:textId="1305972B" w:rsidR="00F60CFF" w:rsidRPr="00F60CFF" w:rsidRDefault="00F60CFF" w:rsidP="00F60CFF">
      <w:pPr>
        <w:pStyle w:val="ListParagraph"/>
        <w:numPr>
          <w:ilvl w:val="0"/>
          <w:numId w:val="42"/>
        </w:numPr>
        <w:jc w:val="both"/>
        <w:rPr>
          <w:rFonts w:ascii="Arial" w:hAnsi="Arial" w:cs="Arial"/>
          <w:sz w:val="22"/>
          <w:szCs w:val="22"/>
          <w:lang w:val="en-GB"/>
        </w:rPr>
      </w:pPr>
      <w:r w:rsidRPr="00F60CFF">
        <w:rPr>
          <w:rFonts w:ascii="Arial" w:hAnsi="Arial" w:cs="Arial"/>
          <w:color w:val="7B7B7B" w:themeColor="accent3" w:themeShade="BF"/>
          <w:sz w:val="22"/>
          <w:szCs w:val="22"/>
          <w:lang w:val="en-GB"/>
        </w:rPr>
        <w:t>The stay, to protect the interests of IBA’s creditors, would have to be necessary.</w:t>
      </w:r>
    </w:p>
    <w:p w14:paraId="28234B58" w14:textId="3E1889D4" w:rsidR="00F60CFF" w:rsidRPr="00F60CFF" w:rsidRDefault="00F60CFF" w:rsidP="00F60CFF">
      <w:pPr>
        <w:pStyle w:val="ListParagraph"/>
        <w:numPr>
          <w:ilvl w:val="0"/>
          <w:numId w:val="42"/>
        </w:numPr>
        <w:jc w:val="both"/>
        <w:rPr>
          <w:rFonts w:ascii="Arial" w:hAnsi="Arial" w:cs="Arial"/>
          <w:sz w:val="22"/>
          <w:szCs w:val="22"/>
          <w:lang w:val="en-GB"/>
        </w:rPr>
      </w:pPr>
      <w:r w:rsidRPr="00F60CFF">
        <w:rPr>
          <w:rFonts w:ascii="Arial" w:hAnsi="Arial" w:cs="Arial"/>
          <w:color w:val="7B7B7B" w:themeColor="accent3" w:themeShade="BF"/>
          <w:sz w:val="22"/>
          <w:szCs w:val="22"/>
          <w:lang w:val="en-GB"/>
        </w:rPr>
        <w:t>The stay would have to be an appropriate way of achieving such protection</w:t>
      </w:r>
      <w:r>
        <w:rPr>
          <w:rFonts w:ascii="Arial" w:hAnsi="Arial" w:cs="Arial"/>
          <w:color w:val="7B7B7B" w:themeColor="accent3" w:themeShade="BF"/>
          <w:sz w:val="22"/>
          <w:szCs w:val="22"/>
          <w:lang w:val="en-GB"/>
        </w:rPr>
        <w:t>.</w:t>
      </w:r>
    </w:p>
    <w:p w14:paraId="3505E46A" w14:textId="77777777" w:rsidR="00F60CFF" w:rsidRPr="00F60CFF" w:rsidRDefault="00F60CFF" w:rsidP="00F60CFF">
      <w:pPr>
        <w:pStyle w:val="ListParagraph"/>
        <w:jc w:val="both"/>
        <w:rPr>
          <w:rFonts w:ascii="Arial" w:hAnsi="Arial" w:cs="Arial"/>
          <w:sz w:val="22"/>
          <w:szCs w:val="22"/>
          <w:lang w:val="en-GB"/>
        </w:rPr>
      </w:pPr>
    </w:p>
    <w:p w14:paraId="78DB9FD8" w14:textId="7D33B192" w:rsidR="00C72848" w:rsidRPr="00F60CFF" w:rsidRDefault="00F60CFF" w:rsidP="00F60CFF">
      <w:pPr>
        <w:jc w:val="both"/>
        <w:rPr>
          <w:rFonts w:ascii="Arial" w:hAnsi="Arial" w:cs="Arial"/>
          <w:sz w:val="22"/>
          <w:szCs w:val="22"/>
          <w:lang w:val="en-GB"/>
        </w:rPr>
      </w:pPr>
      <w:r w:rsidRPr="00F60CFF">
        <w:rPr>
          <w:rFonts w:ascii="Arial" w:hAnsi="Arial" w:cs="Arial"/>
          <w:color w:val="7B7B7B" w:themeColor="accent3" w:themeShade="BF"/>
          <w:sz w:val="22"/>
          <w:szCs w:val="22"/>
          <w:lang w:val="en-GB"/>
        </w:rPr>
        <w:t>Neither of the above conditions were satisfied. So the</w:t>
      </w:r>
      <w:r w:rsidRPr="00F60CFF">
        <w:rPr>
          <w:rFonts w:ascii="Arial" w:hAnsi="Arial" w:cs="Arial"/>
          <w:sz w:val="22"/>
          <w:szCs w:val="22"/>
          <w:lang w:val="en-GB"/>
        </w:rPr>
        <w:t xml:space="preserve"> </w:t>
      </w:r>
      <w:r w:rsidRPr="00F60CFF">
        <w:rPr>
          <w:rFonts w:ascii="Arial" w:hAnsi="Arial" w:cs="Arial"/>
          <w:color w:val="7B7B7B" w:themeColor="accent3" w:themeShade="BF"/>
          <w:sz w:val="22"/>
          <w:szCs w:val="22"/>
          <w:lang w:val="en-GB"/>
        </w:rPr>
        <w:t>English Court of Appeal upheld the decision that the court should not exercise its power to grant the indefinite Moratorium Continuation</w:t>
      </w:r>
      <w:r w:rsidRPr="00F60CFF">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2DB0717B" w14:textId="77777777" w:rsidR="0000732C" w:rsidRDefault="0000732C" w:rsidP="0000732C">
      <w:pPr>
        <w:jc w:val="both"/>
        <w:rPr>
          <w:rFonts w:ascii="Arial" w:hAnsi="Arial" w:cs="Arial"/>
          <w:color w:val="7B7B7B" w:themeColor="accent3" w:themeShade="BF"/>
          <w:sz w:val="22"/>
          <w:szCs w:val="22"/>
          <w:lang w:val="en-GB"/>
        </w:rPr>
      </w:pPr>
      <w:r w:rsidRPr="0000732C">
        <w:rPr>
          <w:rFonts w:ascii="Arial" w:hAnsi="Arial" w:cs="Arial"/>
          <w:color w:val="7B7B7B" w:themeColor="accent3" w:themeShade="BF"/>
          <w:sz w:val="22"/>
          <w:szCs w:val="22"/>
          <w:lang w:val="en-GB"/>
        </w:rPr>
        <w:t>As per article 17, the court in the enacting State must firs</w:t>
      </w:r>
      <w:r>
        <w:rPr>
          <w:rFonts w:ascii="Arial" w:hAnsi="Arial" w:cs="Arial"/>
          <w:color w:val="7B7B7B" w:themeColor="accent3" w:themeShade="BF"/>
          <w:sz w:val="22"/>
          <w:szCs w:val="22"/>
          <w:lang w:val="en-GB"/>
        </w:rPr>
        <w:t xml:space="preserve">t determine whether the foreign </w:t>
      </w:r>
      <w:r w:rsidRPr="0000732C">
        <w:rPr>
          <w:rFonts w:ascii="Arial" w:hAnsi="Arial" w:cs="Arial"/>
          <w:color w:val="7B7B7B" w:themeColor="accent3" w:themeShade="BF"/>
          <w:sz w:val="22"/>
          <w:szCs w:val="22"/>
          <w:lang w:val="en-GB"/>
        </w:rPr>
        <w:t>proceeding and the foreign representative have all of the required features as described in Article 2 of the Model Law, and the court may rely on the presumptions set forth in Article 16(1) of the Model Law in this regard. The court should decide whether the requirements of Article 17(1</w:t>
      </w:r>
      <w:proofErr w:type="gramStart"/>
      <w:r w:rsidRPr="0000732C">
        <w:rPr>
          <w:rFonts w:ascii="Arial" w:hAnsi="Arial" w:cs="Arial"/>
          <w:color w:val="7B7B7B" w:themeColor="accent3" w:themeShade="BF"/>
          <w:sz w:val="22"/>
          <w:szCs w:val="22"/>
          <w:lang w:val="en-GB"/>
        </w:rPr>
        <w:t>)(</w:t>
      </w:r>
      <w:proofErr w:type="gramEnd"/>
      <w:r w:rsidRPr="0000732C">
        <w:rPr>
          <w:rFonts w:ascii="Arial" w:hAnsi="Arial" w:cs="Arial"/>
          <w:color w:val="7B7B7B" w:themeColor="accent3" w:themeShade="BF"/>
          <w:sz w:val="22"/>
          <w:szCs w:val="22"/>
          <w:lang w:val="en-GB"/>
        </w:rPr>
        <w:t>c) are met assuming that both the international proceeding and the foreign representative meet all needed features and that there are no grounds to invoke the public policy exemption of Article 6 of the Model Law.</w:t>
      </w:r>
    </w:p>
    <w:p w14:paraId="20FBB881" w14:textId="77777777" w:rsidR="00E9481E" w:rsidRDefault="0000732C" w:rsidP="000073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enacting state will need to determine whether the debtor’s COMI is in the COMI is in the foreign State in which the foreign proceedings are opened.</w:t>
      </w:r>
    </w:p>
    <w:p w14:paraId="3EF77248" w14:textId="77777777" w:rsidR="00E9481E" w:rsidRDefault="00E9481E" w:rsidP="0000732C">
      <w:pPr>
        <w:jc w:val="both"/>
        <w:rPr>
          <w:rFonts w:ascii="Arial" w:hAnsi="Arial" w:cs="Arial"/>
          <w:color w:val="7B7B7B" w:themeColor="accent3" w:themeShade="BF"/>
          <w:sz w:val="22"/>
          <w:szCs w:val="22"/>
          <w:lang w:val="en-GB"/>
        </w:rPr>
      </w:pPr>
    </w:p>
    <w:p w14:paraId="678E4C01" w14:textId="7F2931C1" w:rsidR="00F17C87" w:rsidRPr="005A321A" w:rsidRDefault="005A321A" w:rsidP="00707FC8">
      <w:pPr>
        <w:jc w:val="both"/>
        <w:rPr>
          <w:rFonts w:ascii="Arial" w:hAnsi="Arial" w:cs="Arial"/>
          <w:color w:val="7B7B7B" w:themeColor="accent3" w:themeShade="BF"/>
          <w:sz w:val="22"/>
          <w:szCs w:val="22"/>
          <w:lang w:val="en-GB"/>
        </w:rPr>
      </w:pPr>
      <w:r w:rsidRPr="005A321A">
        <w:rPr>
          <w:rFonts w:ascii="Arial" w:hAnsi="Arial" w:cs="Arial"/>
          <w:color w:val="7B7B7B" w:themeColor="accent3" w:themeShade="BF"/>
          <w:sz w:val="22"/>
          <w:szCs w:val="22"/>
          <w:lang w:val="en-GB"/>
        </w:rPr>
        <w:t>The recognition application will be denied by the court in the enacting state if neither the COMI nor the debtor's establishment exists in the foreign state where the interna</w:t>
      </w:r>
      <w:r>
        <w:rPr>
          <w:rFonts w:ascii="Arial" w:hAnsi="Arial" w:cs="Arial"/>
          <w:color w:val="7B7B7B" w:themeColor="accent3" w:themeShade="BF"/>
          <w:sz w:val="22"/>
          <w:szCs w:val="22"/>
          <w:lang w:val="en-GB"/>
        </w:rPr>
        <w:t>tional proceedings were initiated</w:t>
      </w:r>
      <w:r w:rsidRPr="005A321A">
        <w:rPr>
          <w:rFonts w:ascii="Arial" w:hAnsi="Arial" w:cs="Arial"/>
          <w:color w:val="7B7B7B" w:themeColor="accent3" w:themeShade="BF"/>
          <w:sz w:val="22"/>
          <w:szCs w:val="22"/>
          <w:lang w:val="en-GB"/>
        </w:rPr>
        <w:t>.</w:t>
      </w: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4C70A8E" w14:textId="77777777" w:rsidR="009764C9"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97619" w:rsidRPr="00097619">
        <w:rPr>
          <w:rFonts w:ascii="Arial" w:hAnsi="Arial" w:cs="Arial"/>
          <w:color w:val="7B7B7B" w:themeColor="accent3" w:themeShade="BF"/>
          <w:sz w:val="22"/>
          <w:szCs w:val="22"/>
          <w:lang w:val="en-GB"/>
        </w:rPr>
        <w:t xml:space="preserve">Article 9 of the Model Law grants foreign representatives access to courts in the enacting state without needing the foreign proceeding to be recognised in the enacting state. Article 11 of the Model Law gives foreign representatives standing to begin domestic bankruptcy proceedings in the adopting state if all conditions are met. These access rights give international investors </w:t>
      </w:r>
      <w:r w:rsidR="00097619">
        <w:rPr>
          <w:rFonts w:ascii="Arial" w:hAnsi="Arial" w:cs="Arial"/>
          <w:color w:val="7B7B7B" w:themeColor="accent3" w:themeShade="BF"/>
          <w:sz w:val="22"/>
          <w:szCs w:val="22"/>
          <w:lang w:val="en-GB"/>
        </w:rPr>
        <w:t>reassurance</w:t>
      </w:r>
      <w:r w:rsidR="00097619" w:rsidRPr="00097619">
        <w:rPr>
          <w:rFonts w:ascii="Arial" w:hAnsi="Arial" w:cs="Arial"/>
          <w:color w:val="7B7B7B" w:themeColor="accent3" w:themeShade="BF"/>
          <w:sz w:val="22"/>
          <w:szCs w:val="22"/>
          <w:lang w:val="en-GB"/>
        </w:rPr>
        <w:t xml:space="preserve"> since they ensure that the foreign representative has access to local instruments without having to go through additional procedures in the enacting state. As a result, creditors fr</w:t>
      </w:r>
      <w:r w:rsidR="00097619">
        <w:rPr>
          <w:rFonts w:ascii="Arial" w:hAnsi="Arial" w:cs="Arial"/>
          <w:color w:val="7B7B7B" w:themeColor="accent3" w:themeShade="BF"/>
          <w:sz w:val="22"/>
          <w:szCs w:val="22"/>
          <w:lang w:val="en-GB"/>
        </w:rPr>
        <w:t>om other countries may feel secure having</w:t>
      </w:r>
      <w:r w:rsidR="00097619" w:rsidRPr="00097619">
        <w:rPr>
          <w:rFonts w:ascii="Arial" w:hAnsi="Arial" w:cs="Arial"/>
          <w:color w:val="7B7B7B" w:themeColor="accent3" w:themeShade="BF"/>
          <w:sz w:val="22"/>
          <w:szCs w:val="22"/>
          <w:lang w:val="en-GB"/>
        </w:rPr>
        <w:t xml:space="preserve"> the knowledge that recovery will be maximised without the need f</w:t>
      </w:r>
      <w:r w:rsidR="00097619">
        <w:rPr>
          <w:rFonts w:ascii="Arial" w:hAnsi="Arial" w:cs="Arial"/>
          <w:color w:val="7B7B7B" w:themeColor="accent3" w:themeShade="BF"/>
          <w:sz w:val="22"/>
          <w:szCs w:val="22"/>
          <w:lang w:val="en-GB"/>
        </w:rPr>
        <w:t xml:space="preserve">or unnecessary local procedures. The </w:t>
      </w:r>
      <w:r w:rsidR="00097619" w:rsidRPr="00097619">
        <w:rPr>
          <w:rFonts w:ascii="Arial" w:hAnsi="Arial" w:cs="Arial"/>
          <w:color w:val="7B7B7B" w:themeColor="accent3" w:themeShade="BF"/>
          <w:sz w:val="22"/>
          <w:szCs w:val="22"/>
          <w:lang w:val="en-GB"/>
        </w:rPr>
        <w:t>Foreign creditors will also be comforted by the fact that if foreign creditors are discriminated against, Model Law provisions established in the enacting state will be violated, and they will be able to protest such violations, providing them with further assurance.</w:t>
      </w:r>
    </w:p>
    <w:p w14:paraId="16A6ABF1" w14:textId="77777777" w:rsidR="009764C9" w:rsidRDefault="009764C9" w:rsidP="00707FC8">
      <w:pPr>
        <w:jc w:val="both"/>
        <w:rPr>
          <w:rFonts w:ascii="Arial" w:hAnsi="Arial" w:cs="Arial"/>
          <w:color w:val="7B7B7B" w:themeColor="accent3" w:themeShade="BF"/>
          <w:sz w:val="22"/>
          <w:szCs w:val="22"/>
          <w:lang w:val="en-GB"/>
        </w:rPr>
      </w:pPr>
    </w:p>
    <w:p w14:paraId="4024A332" w14:textId="3CB53772" w:rsidR="00544127" w:rsidRPr="009B5832" w:rsidRDefault="009764C9" w:rsidP="00707FC8">
      <w:pPr>
        <w:jc w:val="both"/>
        <w:rPr>
          <w:rFonts w:ascii="Arial" w:hAnsi="Arial" w:cs="Arial"/>
          <w:sz w:val="24"/>
          <w:lang w:val="en-GB"/>
        </w:rPr>
      </w:pPr>
      <w:r w:rsidRPr="009764C9">
        <w:rPr>
          <w:rFonts w:ascii="Arial" w:hAnsi="Arial" w:cs="Arial"/>
          <w:color w:val="7B7B7B" w:themeColor="accent3" w:themeShade="BF"/>
          <w:sz w:val="22"/>
          <w:szCs w:val="22"/>
          <w:lang w:val="en-GB"/>
        </w:rPr>
        <w:t>The coordination rights ensure that parties in cross-border insolvencies are treated consistently. When an insolvency proceeding in an enacting state runs concurrently with an insolvency procedure in a foreign state, it gives guidelines and comfort. It also specifies guidelines for the relief granted in the enacting state to assist two or more proceedings against the same debtor in another country.</w:t>
      </w:r>
      <w:r w:rsidR="00DF75F8"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7A033D9" w14:textId="33CACE35" w:rsidR="00B359A2"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1B78DF" w:rsidRPr="001B78DF">
        <w:rPr>
          <w:rFonts w:ascii="Arial" w:hAnsi="Arial" w:cs="Arial"/>
          <w:color w:val="7B7B7B" w:themeColor="accent3" w:themeShade="BF"/>
          <w:sz w:val="22"/>
          <w:szCs w:val="22"/>
          <w:lang w:val="en-GB"/>
        </w:rPr>
        <w:t xml:space="preserve">Abuse of Process - In the Agrokor case, the court stated that a breach of a foreign representative's full and fair disclosure obligation to the court to which a recognition application under the Model Law is brought may constitute an abuse of process. Furthermore, the court </w:t>
      </w:r>
      <w:r w:rsidR="001B78DF" w:rsidRPr="001B78DF">
        <w:rPr>
          <w:rFonts w:ascii="Arial" w:hAnsi="Arial" w:cs="Arial"/>
          <w:color w:val="7B7B7B" w:themeColor="accent3" w:themeShade="BF"/>
          <w:sz w:val="22"/>
          <w:szCs w:val="22"/>
          <w:lang w:val="en-GB"/>
        </w:rPr>
        <w:lastRenderedPageBreak/>
        <w:t>can use the public policy exception to justify rejecting the requested recognition. Falsely claiming the debtor's COMI in a specific state, for example, could be considered an abuse of process. Abuse of procedure may also occur if there are inappropriate alternative motives for the recognition application. It's also worth noting that abusing the application procedure should only be used as a last resort.</w:t>
      </w:r>
    </w:p>
    <w:p w14:paraId="79C4DE08" w14:textId="77777777" w:rsidR="00B359A2" w:rsidRDefault="00B359A2" w:rsidP="00707FC8">
      <w:pPr>
        <w:jc w:val="both"/>
        <w:rPr>
          <w:rFonts w:ascii="Arial" w:hAnsi="Arial" w:cs="Arial"/>
          <w:color w:val="7B7B7B" w:themeColor="accent3" w:themeShade="BF"/>
          <w:sz w:val="22"/>
          <w:szCs w:val="22"/>
          <w:lang w:val="en-GB"/>
        </w:rPr>
      </w:pPr>
    </w:p>
    <w:p w14:paraId="1086E447" w14:textId="77777777" w:rsidR="00B359A2" w:rsidRDefault="00B359A2" w:rsidP="00B359A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18 of the Model Law enlist some obligations in terms of informing the court in the enacting state of following:</w:t>
      </w:r>
    </w:p>
    <w:p w14:paraId="21F02594" w14:textId="77777777" w:rsidR="00B359A2" w:rsidRDefault="00B359A2" w:rsidP="00B359A2">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substantial change in the status of the recognised foreign proceeding or the status of the foreign representative’s appointment.</w:t>
      </w:r>
    </w:p>
    <w:p w14:paraId="14DE5192" w14:textId="77777777" w:rsidR="00B359A2" w:rsidRDefault="00B359A2" w:rsidP="00B359A2">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foreign proceeding regarding the same debtor that becomes known to the foreign representative. </w:t>
      </w:r>
    </w:p>
    <w:p w14:paraId="535A0C89" w14:textId="77777777" w:rsidR="00DF0933" w:rsidRDefault="00DF0933" w:rsidP="00707FC8">
      <w:pPr>
        <w:jc w:val="both"/>
        <w:rPr>
          <w:rFonts w:ascii="Arial" w:hAnsi="Arial" w:cs="Arial"/>
          <w:color w:val="7B7B7B" w:themeColor="accent3" w:themeShade="BF"/>
          <w:sz w:val="22"/>
          <w:szCs w:val="22"/>
          <w:lang w:val="en-GB"/>
        </w:rPr>
      </w:pPr>
      <w:r w:rsidRPr="00DF0933">
        <w:rPr>
          <w:rFonts w:ascii="Arial" w:hAnsi="Arial" w:cs="Arial"/>
          <w:color w:val="7B7B7B" w:themeColor="accent3" w:themeShade="BF"/>
          <w:sz w:val="22"/>
          <w:szCs w:val="22"/>
          <w:lang w:val="en-GB"/>
        </w:rPr>
        <w:t>If neither the COMI nor the debtor's establishment exists in the foreign state where the foreign proceedings were launched, the court can deny the recognition application.</w:t>
      </w:r>
    </w:p>
    <w:p w14:paraId="4AAA21CF" w14:textId="77777777" w:rsidR="00DF0933" w:rsidRDefault="00DF0933" w:rsidP="00707FC8">
      <w:pPr>
        <w:jc w:val="both"/>
        <w:rPr>
          <w:rFonts w:ascii="Arial" w:hAnsi="Arial" w:cs="Arial"/>
          <w:color w:val="7B7B7B" w:themeColor="accent3" w:themeShade="BF"/>
          <w:sz w:val="22"/>
          <w:szCs w:val="22"/>
          <w:lang w:val="en-GB"/>
        </w:rPr>
      </w:pPr>
    </w:p>
    <w:p w14:paraId="7E1DCEC1" w14:textId="77777777" w:rsidR="00DF0933" w:rsidRPr="00DF0933" w:rsidRDefault="00DF0933" w:rsidP="00DF0933">
      <w:pPr>
        <w:jc w:val="both"/>
        <w:rPr>
          <w:rFonts w:ascii="Arial" w:hAnsi="Arial" w:cs="Arial"/>
          <w:color w:val="7B7B7B" w:themeColor="accent3" w:themeShade="BF"/>
          <w:sz w:val="22"/>
          <w:szCs w:val="22"/>
          <w:lang w:val="en-GB"/>
        </w:rPr>
      </w:pPr>
      <w:r w:rsidRPr="00DF0933">
        <w:rPr>
          <w:rFonts w:ascii="Arial" w:hAnsi="Arial" w:cs="Arial"/>
          <w:color w:val="7B7B7B" w:themeColor="accent3" w:themeShade="BF"/>
          <w:sz w:val="22"/>
          <w:szCs w:val="22"/>
          <w:lang w:val="en-GB"/>
        </w:rPr>
        <w:t>According to Article 23, successful recognition is granted provided the applicant meets all of the requirements and no public policy exception applies.</w:t>
      </w:r>
    </w:p>
    <w:p w14:paraId="7940D274" w14:textId="1E7AE3B7" w:rsidR="00DF75F8" w:rsidRPr="009B5832" w:rsidRDefault="00DF0933" w:rsidP="00DF0933">
      <w:pPr>
        <w:jc w:val="both"/>
        <w:rPr>
          <w:rFonts w:ascii="Arial" w:hAnsi="Arial" w:cs="Arial"/>
          <w:sz w:val="22"/>
          <w:szCs w:val="22"/>
          <w:lang w:val="en-GB"/>
        </w:rPr>
      </w:pPr>
      <w:r w:rsidRPr="00DF0933">
        <w:rPr>
          <w:rFonts w:ascii="Arial" w:hAnsi="Arial" w:cs="Arial"/>
          <w:color w:val="7B7B7B" w:themeColor="accent3" w:themeShade="BF"/>
          <w:sz w:val="22"/>
          <w:szCs w:val="22"/>
          <w:lang w:val="en-GB"/>
        </w:rPr>
        <w:t xml:space="preserve">Successful recognition is given if there are no grounds to use the public policy exemption of Article 6 of the Model Law and the </w:t>
      </w:r>
      <w:r>
        <w:rPr>
          <w:rFonts w:ascii="Arial" w:hAnsi="Arial" w:cs="Arial"/>
          <w:color w:val="7B7B7B" w:themeColor="accent3" w:themeShade="BF"/>
          <w:sz w:val="22"/>
          <w:szCs w:val="22"/>
          <w:lang w:val="en-GB"/>
        </w:rPr>
        <w:t>requirements</w:t>
      </w:r>
      <w:r w:rsidRPr="00DF0933">
        <w:rPr>
          <w:rFonts w:ascii="Arial" w:hAnsi="Arial" w:cs="Arial"/>
          <w:color w:val="7B7B7B" w:themeColor="accent3" w:themeShade="BF"/>
          <w:sz w:val="22"/>
          <w:szCs w:val="22"/>
          <w:lang w:val="en-GB"/>
        </w:rPr>
        <w:t xml:space="preserve"> set forth in Article 17(1)(c) and (d) of the Model L</w:t>
      </w:r>
      <w:r>
        <w:rPr>
          <w:rFonts w:ascii="Arial" w:hAnsi="Arial" w:cs="Arial"/>
          <w:color w:val="7B7B7B" w:themeColor="accent3" w:themeShade="BF"/>
          <w:sz w:val="22"/>
          <w:szCs w:val="22"/>
          <w:lang w:val="en-GB"/>
        </w:rPr>
        <w:t>aw are met and COMI is established.</w:t>
      </w:r>
      <w:r w:rsidR="00DF75F8" w:rsidRPr="009B5832">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6AE38FA3" w14:textId="77777777" w:rsidR="00081605"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4D4970" w:rsidRPr="004D4970">
        <w:rPr>
          <w:rFonts w:ascii="Arial" w:hAnsi="Arial" w:cs="Arial"/>
          <w:color w:val="7B7B7B" w:themeColor="accent3" w:themeShade="BF"/>
          <w:sz w:val="22"/>
          <w:szCs w:val="22"/>
          <w:lang w:val="en-GB"/>
        </w:rPr>
        <w:t xml:space="preserve">Pre-recognition relief is </w:t>
      </w:r>
      <w:r w:rsidR="004D4970">
        <w:rPr>
          <w:rFonts w:ascii="Arial" w:hAnsi="Arial" w:cs="Arial"/>
          <w:color w:val="7B7B7B" w:themeColor="accent3" w:themeShade="BF"/>
          <w:sz w:val="22"/>
          <w:szCs w:val="22"/>
          <w:lang w:val="en-GB"/>
        </w:rPr>
        <w:t>specified</w:t>
      </w:r>
      <w:r w:rsidR="004D4970" w:rsidRPr="004D4970">
        <w:rPr>
          <w:rFonts w:ascii="Arial" w:hAnsi="Arial" w:cs="Arial"/>
          <w:color w:val="7B7B7B" w:themeColor="accent3" w:themeShade="BF"/>
          <w:sz w:val="22"/>
          <w:szCs w:val="22"/>
          <w:lang w:val="en-GB"/>
        </w:rPr>
        <w:t xml:space="preserve"> in Article 19 of the MLCBI. On the application of the forei</w:t>
      </w:r>
      <w:r w:rsidR="00E5717E">
        <w:rPr>
          <w:rFonts w:ascii="Arial" w:hAnsi="Arial" w:cs="Arial"/>
          <w:color w:val="7B7B7B" w:themeColor="accent3" w:themeShade="BF"/>
          <w:sz w:val="22"/>
          <w:szCs w:val="22"/>
          <w:lang w:val="en-GB"/>
        </w:rPr>
        <w:t>gn representative, the court may give</w:t>
      </w:r>
      <w:r w:rsidR="004D4970" w:rsidRPr="004D4970">
        <w:rPr>
          <w:rFonts w:ascii="Arial" w:hAnsi="Arial" w:cs="Arial"/>
          <w:color w:val="7B7B7B" w:themeColor="accent3" w:themeShade="BF"/>
          <w:sz w:val="22"/>
          <w:szCs w:val="22"/>
          <w:lang w:val="en-GB"/>
        </w:rPr>
        <w:t xml:space="preserve"> provisional relief to protect the interests of creditors or the assets of the debtor, </w:t>
      </w:r>
      <w:r w:rsidR="00E5717E">
        <w:rPr>
          <w:rFonts w:ascii="Arial" w:hAnsi="Arial" w:cs="Arial"/>
          <w:color w:val="7B7B7B" w:themeColor="accent3" w:themeShade="BF"/>
          <w:sz w:val="22"/>
          <w:szCs w:val="22"/>
          <w:lang w:val="en-GB"/>
        </w:rPr>
        <w:t>as per</w:t>
      </w:r>
      <w:r w:rsidR="004D4970" w:rsidRPr="004D4970">
        <w:rPr>
          <w:rFonts w:ascii="Arial" w:hAnsi="Arial" w:cs="Arial"/>
          <w:color w:val="7B7B7B" w:themeColor="accent3" w:themeShade="BF"/>
          <w:sz w:val="22"/>
          <w:szCs w:val="22"/>
          <w:lang w:val="en-GB"/>
        </w:rPr>
        <w:t xml:space="preserve"> Article 19 of the Model Law. Staying execution against the debtor's assets and delegating the administration or realisation of the debtor's assets to the foreign representative or another person authorised by the court are two examples of temporary reliefs. Whether the foreign proceeding is a main or non-main proceeding affects the effect of recognition.</w:t>
      </w:r>
    </w:p>
    <w:p w14:paraId="23726295" w14:textId="77777777" w:rsidR="00081605" w:rsidRDefault="00081605" w:rsidP="00707FC8">
      <w:pPr>
        <w:jc w:val="both"/>
        <w:rPr>
          <w:rFonts w:ascii="Arial" w:hAnsi="Arial" w:cs="Arial"/>
          <w:color w:val="7B7B7B" w:themeColor="accent3" w:themeShade="BF"/>
          <w:sz w:val="22"/>
          <w:szCs w:val="22"/>
          <w:lang w:val="en-GB"/>
        </w:rPr>
      </w:pPr>
    </w:p>
    <w:p w14:paraId="4E83D7AF" w14:textId="68367F63" w:rsidR="00DF75F8" w:rsidRPr="009B5832" w:rsidRDefault="00081605" w:rsidP="00707FC8">
      <w:pPr>
        <w:jc w:val="both"/>
        <w:rPr>
          <w:rFonts w:ascii="Arial" w:hAnsi="Arial" w:cs="Arial"/>
          <w:sz w:val="22"/>
          <w:szCs w:val="22"/>
          <w:lang w:val="en-GB"/>
        </w:rPr>
      </w:pPr>
      <w:r w:rsidRPr="00081605">
        <w:rPr>
          <w:rFonts w:ascii="Arial" w:hAnsi="Arial" w:cs="Arial"/>
          <w:color w:val="7B7B7B" w:themeColor="accent3" w:themeShade="BF"/>
          <w:sz w:val="22"/>
          <w:szCs w:val="22"/>
          <w:lang w:val="en-GB"/>
        </w:rPr>
        <w:t xml:space="preserve">The post-recognition relief is addressed in Article 21 of the MLCBI. Upon recognition of a foreign main or non-main procedure, Article 21 of the Model Law allows for the issuance of specific discretionary relief. Recent interpretations of the Model Law have created doubt about its application to the enforcement of judgements, as evidenced by the case of Rubin v. </w:t>
      </w:r>
      <w:proofErr w:type="spellStart"/>
      <w:r w:rsidRPr="00081605">
        <w:rPr>
          <w:rFonts w:ascii="Arial" w:hAnsi="Arial" w:cs="Arial"/>
          <w:color w:val="7B7B7B" w:themeColor="accent3" w:themeShade="BF"/>
          <w:sz w:val="22"/>
          <w:szCs w:val="22"/>
          <w:lang w:val="en-GB"/>
        </w:rPr>
        <w:t>Eurofinance</w:t>
      </w:r>
      <w:proofErr w:type="spellEnd"/>
      <w:r w:rsidRPr="00081605">
        <w:rPr>
          <w:rFonts w:ascii="Arial" w:hAnsi="Arial" w:cs="Arial"/>
          <w:color w:val="7B7B7B" w:themeColor="accent3" w:themeShade="BF"/>
          <w:sz w:val="22"/>
          <w:szCs w:val="22"/>
          <w:lang w:val="en-GB"/>
        </w:rPr>
        <w:t xml:space="preserve"> SA. Despite accepting the foreign action from which the judgement emanated, the UK Supreme Court refused to enforce a foreign judgement in this case. This case highlighted the fact that Article 21 of the Model Law does not specifically permit a court to enforce a ruling.</w:t>
      </w:r>
      <w:r>
        <w:rPr>
          <w:rFonts w:ascii="Arial" w:hAnsi="Arial" w:cs="Arial"/>
          <w:color w:val="7B7B7B" w:themeColor="accent3" w:themeShade="BF"/>
          <w:sz w:val="22"/>
          <w:szCs w:val="22"/>
          <w:lang w:val="en-GB"/>
        </w:rPr>
        <w:t xml:space="preserve"> </w:t>
      </w:r>
      <w:r w:rsidRPr="00081605">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scope</w:t>
      </w:r>
      <w:r w:rsidRPr="00081605">
        <w:rPr>
          <w:rFonts w:ascii="Arial" w:hAnsi="Arial" w:cs="Arial"/>
          <w:color w:val="7B7B7B" w:themeColor="accent3" w:themeShade="BF"/>
          <w:sz w:val="22"/>
          <w:szCs w:val="22"/>
          <w:lang w:val="en-GB"/>
        </w:rPr>
        <w:t xml:space="preserve"> of 'any appropriate remedies' that may be offered under Article 21 simply suggests such power. The court ruled in </w:t>
      </w:r>
      <w:proofErr w:type="spellStart"/>
      <w:r w:rsidRPr="00081605">
        <w:rPr>
          <w:rFonts w:ascii="Arial" w:hAnsi="Arial" w:cs="Arial"/>
          <w:color w:val="7B7B7B" w:themeColor="accent3" w:themeShade="BF"/>
          <w:sz w:val="22"/>
          <w:szCs w:val="22"/>
          <w:lang w:val="en-GB"/>
        </w:rPr>
        <w:t>Fibria</w:t>
      </w:r>
      <w:proofErr w:type="spellEnd"/>
      <w:r w:rsidRPr="00081605">
        <w:rPr>
          <w:rFonts w:ascii="Arial" w:hAnsi="Arial" w:cs="Arial"/>
          <w:color w:val="7B7B7B" w:themeColor="accent3" w:themeShade="BF"/>
          <w:sz w:val="22"/>
          <w:szCs w:val="22"/>
          <w:lang w:val="en-GB"/>
        </w:rPr>
        <w:t xml:space="preserve"> </w:t>
      </w:r>
      <w:proofErr w:type="spellStart"/>
      <w:r w:rsidRPr="00081605">
        <w:rPr>
          <w:rFonts w:ascii="Arial" w:hAnsi="Arial" w:cs="Arial"/>
          <w:color w:val="7B7B7B" w:themeColor="accent3" w:themeShade="BF"/>
          <w:sz w:val="22"/>
          <w:szCs w:val="22"/>
          <w:lang w:val="en-GB"/>
        </w:rPr>
        <w:t>Celulose</w:t>
      </w:r>
      <w:proofErr w:type="spellEnd"/>
      <w:r w:rsidRPr="00081605">
        <w:rPr>
          <w:rFonts w:ascii="Arial" w:hAnsi="Arial" w:cs="Arial"/>
          <w:color w:val="7B7B7B" w:themeColor="accent3" w:themeShade="BF"/>
          <w:sz w:val="22"/>
          <w:szCs w:val="22"/>
          <w:lang w:val="en-GB"/>
        </w:rPr>
        <w:t xml:space="preserve"> S/</w:t>
      </w:r>
      <w:proofErr w:type="gramStart"/>
      <w:r w:rsidRPr="00081605">
        <w:rPr>
          <w:rFonts w:ascii="Arial" w:hAnsi="Arial" w:cs="Arial"/>
          <w:color w:val="7B7B7B" w:themeColor="accent3" w:themeShade="BF"/>
          <w:sz w:val="22"/>
          <w:szCs w:val="22"/>
          <w:lang w:val="en-GB"/>
        </w:rPr>
        <w:t>A</w:t>
      </w:r>
      <w:proofErr w:type="gramEnd"/>
      <w:r w:rsidRPr="00081605">
        <w:rPr>
          <w:rFonts w:ascii="Arial" w:hAnsi="Arial" w:cs="Arial"/>
          <w:color w:val="7B7B7B" w:themeColor="accent3" w:themeShade="BF"/>
          <w:sz w:val="22"/>
          <w:szCs w:val="22"/>
          <w:lang w:val="en-GB"/>
        </w:rPr>
        <w:t xml:space="preserve"> v Pan Ocean Co Ltd that applying foreign insolvency law to an English law governed contract is outside the scope of appropriate remedies that an English court can award.</w:t>
      </w:r>
      <w:r w:rsidR="00DF75F8" w:rsidRPr="009B5832">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123AE33E" w:rsidR="00980314" w:rsidRPr="009B5832" w:rsidRDefault="00980314" w:rsidP="00980314">
      <w:pPr>
        <w:jc w:val="both"/>
        <w:rPr>
          <w:rFonts w:ascii="Arial" w:hAnsi="Arial" w:cs="Arial"/>
          <w:sz w:val="22"/>
          <w:szCs w:val="22"/>
          <w:lang w:val="en-GB"/>
        </w:rPr>
      </w:pPr>
      <w:r w:rsidRPr="009B5832">
        <w:rPr>
          <w:rFonts w:ascii="Arial" w:hAnsi="Arial" w:cs="Arial"/>
          <w:color w:val="7B7B7B" w:themeColor="accent3" w:themeShade="BF"/>
          <w:sz w:val="22"/>
          <w:szCs w:val="22"/>
          <w:lang w:val="en-GB"/>
        </w:rPr>
        <w:lastRenderedPageBreak/>
        <w:t>[</w:t>
      </w:r>
      <w:r w:rsidR="003515DD" w:rsidRPr="003515DD">
        <w:rPr>
          <w:rFonts w:ascii="Arial" w:hAnsi="Arial" w:cs="Arial"/>
          <w:color w:val="7B7B7B" w:themeColor="accent3" w:themeShade="BF"/>
          <w:sz w:val="22"/>
          <w:szCs w:val="22"/>
          <w:lang w:val="en-GB"/>
        </w:rPr>
        <w:t>The respite granted under Article 19 is only temporary. When the application for recognition is approved, the relief ends. The pre-recognition worldwide freezing order is unlikely to be maintained because it impedes the interests of the debtor's creditors and other interested parties.</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proofErr w:type="gramStart"/>
      <w:r w:rsidRPr="009B5832">
        <w:rPr>
          <w:rFonts w:ascii="Arial" w:hAnsi="Arial" w:cs="Arial"/>
          <w:color w:val="000000"/>
          <w:sz w:val="22"/>
          <w:szCs w:val="22"/>
          <w:lang w:val="en-GB" w:eastAsia="en-GB"/>
        </w:rPr>
        <w:t>the</w:t>
      </w:r>
      <w:proofErr w:type="gramEnd"/>
      <w:r w:rsidRPr="009B5832">
        <w:rPr>
          <w:rFonts w:ascii="Arial" w:hAnsi="Arial" w:cs="Arial"/>
          <w:color w:val="000000"/>
          <w:sz w:val="22"/>
          <w:szCs w:val="22"/>
          <w:lang w:val="en-GB" w:eastAsia="en-GB"/>
        </w:rPr>
        <w:t xml:space="preserv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w:t>
      </w:r>
      <w:proofErr w:type="gramStart"/>
      <w:r w:rsidRPr="009B5832">
        <w:rPr>
          <w:rFonts w:ascii="Arial" w:hAnsi="Arial" w:cs="Arial"/>
          <w:color w:val="000000"/>
          <w:sz w:val="22"/>
          <w:szCs w:val="22"/>
          <w:lang w:val="en-GB" w:eastAsia="en-GB"/>
        </w:rPr>
        <w:t>)(</w:t>
      </w:r>
      <w:proofErr w:type="gramEnd"/>
      <w:r w:rsidRPr="009B5832">
        <w:rPr>
          <w:rFonts w:ascii="Arial" w:hAnsi="Arial" w:cs="Arial"/>
          <w:color w:val="000000"/>
          <w:sz w:val="22"/>
          <w:szCs w:val="22"/>
          <w:lang w:val="en-GB" w:eastAsia="en-GB"/>
        </w:rPr>
        <w:t xml:space="preserve">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6CDDF100" w14:textId="19738556"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proofErr w:type="gramStart"/>
      <w:r w:rsidR="008A7470" w:rsidRPr="009B5832">
        <w:rPr>
          <w:rFonts w:ascii="Arial" w:hAnsi="Arial" w:cs="Arial"/>
          <w:color w:val="000000"/>
          <w:sz w:val="22"/>
          <w:szCs w:val="22"/>
          <w:lang w:val="en-GB" w:eastAsia="en-GB"/>
        </w:rPr>
        <w:t>whether</w:t>
      </w:r>
      <w:proofErr w:type="gramEnd"/>
      <w:r w:rsidR="008A7470" w:rsidRPr="009B5832">
        <w:rPr>
          <w:rFonts w:ascii="Arial" w:hAnsi="Arial" w:cs="Arial"/>
          <w:color w:val="000000"/>
          <w:sz w:val="22"/>
          <w:szCs w:val="22"/>
          <w:lang w:val="en-GB" w:eastAsia="en-GB"/>
        </w:rPr>
        <w:t xml:space="preserve">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099369EE" w14:textId="77777777" w:rsidR="00E13601" w:rsidRPr="00E13601" w:rsidRDefault="00387106" w:rsidP="00E13601">
      <w:pPr>
        <w:shd w:val="clear" w:color="auto" w:fill="FFFFFF"/>
        <w:jc w:val="both"/>
        <w:rPr>
          <w:rFonts w:ascii="Calibri" w:hAnsi="Calibri" w:cs="Calibri"/>
          <w:color w:val="222222"/>
          <w:szCs w:val="20"/>
          <w:lang w:val="en-IN" w:eastAsia="en-IN"/>
        </w:rPr>
      </w:pPr>
      <w:r w:rsidRPr="009B5832">
        <w:rPr>
          <w:rFonts w:ascii="Arial" w:hAnsi="Arial" w:cs="Arial"/>
          <w:color w:val="7B7B7B" w:themeColor="accent3" w:themeShade="BF"/>
          <w:sz w:val="22"/>
          <w:szCs w:val="22"/>
          <w:lang w:val="en-GB"/>
        </w:rPr>
        <w:t>[</w:t>
      </w:r>
      <w:r w:rsidR="00E13601" w:rsidRPr="00E13601">
        <w:rPr>
          <w:rFonts w:ascii="Arial" w:hAnsi="Arial" w:cs="Arial"/>
          <w:color w:val="7B7B7B"/>
          <w:sz w:val="22"/>
          <w:szCs w:val="22"/>
          <w:lang w:val="en-GB" w:eastAsia="en-IN"/>
        </w:rPr>
        <w:t>Answer 4.1.1</w:t>
      </w:r>
    </w:p>
    <w:p w14:paraId="775382C9" w14:textId="77777777" w:rsidR="00E13601" w:rsidRPr="00E13601" w:rsidRDefault="00E13601" w:rsidP="00E13601">
      <w:pPr>
        <w:shd w:val="clear" w:color="auto" w:fill="FFFFFF"/>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59CD431E" w14:textId="77777777" w:rsidR="00E13601" w:rsidRPr="00E13601" w:rsidRDefault="00E13601" w:rsidP="00E13601">
      <w:pPr>
        <w:shd w:val="clear" w:color="auto" w:fill="FFFFFF"/>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Following are the tests for the recognition of a foreign proceeding:</w:t>
      </w:r>
    </w:p>
    <w:p w14:paraId="3294B788" w14:textId="77777777" w:rsidR="00E13601" w:rsidRPr="00E13601" w:rsidRDefault="00E13601" w:rsidP="00E13601">
      <w:pPr>
        <w:shd w:val="clear" w:color="auto" w:fill="FFFFFF"/>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0E51A9E3" w14:textId="5E67935F" w:rsidR="00E13601" w:rsidRPr="00E13601" w:rsidRDefault="00E13601" w:rsidP="00E13601">
      <w:pPr>
        <w:pStyle w:val="ListParagraph"/>
        <w:numPr>
          <w:ilvl w:val="0"/>
          <w:numId w:val="44"/>
        </w:numPr>
        <w:shd w:val="clear" w:color="auto" w:fill="FFFFFF"/>
        <w:jc w:val="both"/>
        <w:rPr>
          <w:rFonts w:ascii="Arial" w:hAnsi="Arial" w:cs="Arial"/>
          <w:color w:val="7B7B7B"/>
          <w:sz w:val="22"/>
          <w:szCs w:val="22"/>
          <w:lang w:val="en-GB" w:eastAsia="en-IN"/>
        </w:rPr>
      </w:pPr>
      <w:r w:rsidRPr="00E13601">
        <w:rPr>
          <w:rFonts w:ascii="Arial" w:hAnsi="Arial" w:cs="Arial"/>
          <w:color w:val="7B7B7B"/>
          <w:sz w:val="22"/>
          <w:szCs w:val="22"/>
          <w:lang w:val="en-GB" w:eastAsia="en-IN"/>
        </w:rPr>
        <w:t>is a proceeding (including an interim proceeding);</w:t>
      </w:r>
    </w:p>
    <w:p w14:paraId="67D7D732" w14:textId="77777777" w:rsidR="00E13601" w:rsidRPr="00E13601" w:rsidRDefault="00E13601" w:rsidP="00E13601">
      <w:pPr>
        <w:pStyle w:val="ListParagraph"/>
        <w:shd w:val="clear" w:color="auto" w:fill="FFFFFF"/>
        <w:ind w:left="780"/>
        <w:jc w:val="both"/>
        <w:rPr>
          <w:rFonts w:ascii="Calibri" w:hAnsi="Calibri" w:cs="Calibri"/>
          <w:color w:val="222222"/>
          <w:szCs w:val="20"/>
          <w:lang w:val="en-IN" w:eastAsia="en-IN"/>
        </w:rPr>
      </w:pPr>
    </w:p>
    <w:p w14:paraId="6DEF15E5" w14:textId="1AEF0238" w:rsidR="00E13601" w:rsidRPr="00482039" w:rsidRDefault="005C56F5" w:rsidP="00482039">
      <w:pPr>
        <w:pStyle w:val="ListParagraph"/>
        <w:numPr>
          <w:ilvl w:val="0"/>
          <w:numId w:val="45"/>
        </w:numPr>
        <w:shd w:val="clear" w:color="auto" w:fill="FFFFFF"/>
        <w:jc w:val="both"/>
        <w:rPr>
          <w:rFonts w:ascii="Arial" w:hAnsi="Arial" w:cs="Arial"/>
          <w:color w:val="7B7B7B"/>
          <w:sz w:val="22"/>
          <w:szCs w:val="22"/>
          <w:lang w:val="en-GB" w:eastAsia="en-IN"/>
        </w:rPr>
      </w:pPr>
      <w:r w:rsidRPr="00482039">
        <w:rPr>
          <w:rFonts w:ascii="Arial" w:hAnsi="Arial" w:cs="Arial"/>
          <w:color w:val="7B7B7B"/>
          <w:sz w:val="22"/>
          <w:szCs w:val="22"/>
          <w:lang w:val="en-GB" w:eastAsia="en-IN"/>
        </w:rPr>
        <w:t>As per the abovementioned scenario</w:t>
      </w:r>
      <w:r w:rsidR="00E13601" w:rsidRPr="00482039">
        <w:rPr>
          <w:rFonts w:ascii="Arial" w:hAnsi="Arial" w:cs="Arial"/>
          <w:color w:val="7B7B7B"/>
          <w:sz w:val="22"/>
          <w:szCs w:val="22"/>
          <w:lang w:val="en-GB" w:eastAsia="en-IN"/>
        </w:rPr>
        <w:t>,</w:t>
      </w:r>
      <w:r w:rsidR="00E13601" w:rsidRPr="00482039">
        <w:rPr>
          <w:rFonts w:ascii="Arial" w:hAnsi="Arial" w:cs="Arial"/>
          <w:color w:val="000000"/>
          <w:sz w:val="22"/>
          <w:szCs w:val="22"/>
          <w:lang w:val="en-GB" w:eastAsia="en-IN"/>
        </w:rPr>
        <w:t> </w:t>
      </w:r>
      <w:r w:rsidR="00E13601" w:rsidRPr="00482039">
        <w:rPr>
          <w:rFonts w:ascii="Arial" w:hAnsi="Arial" w:cs="Arial"/>
          <w:color w:val="7B7B7B"/>
          <w:sz w:val="22"/>
          <w:szCs w:val="22"/>
          <w:lang w:val="en-GB" w:eastAsia="en-IN"/>
        </w:rPr>
        <w:t>The DGF has the power to act in a bank’s interim or provisional administration and its ultimate liquidation, thus it is proved that it is an interim proceeding.</w:t>
      </w:r>
    </w:p>
    <w:p w14:paraId="3899301F" w14:textId="77777777" w:rsidR="00E13601" w:rsidRPr="00E13601" w:rsidRDefault="00E13601" w:rsidP="00E13601">
      <w:pPr>
        <w:shd w:val="clear" w:color="auto" w:fill="FFFFFF"/>
        <w:ind w:left="420"/>
        <w:jc w:val="both"/>
        <w:rPr>
          <w:rFonts w:ascii="Calibri" w:hAnsi="Calibri" w:cs="Calibri"/>
          <w:color w:val="222222"/>
          <w:szCs w:val="20"/>
          <w:lang w:val="en-IN" w:eastAsia="en-IN"/>
        </w:rPr>
      </w:pPr>
    </w:p>
    <w:p w14:paraId="0827E762" w14:textId="77777777" w:rsidR="00E13601" w:rsidRPr="00E13601" w:rsidRDefault="00E13601" w:rsidP="00E13601">
      <w:pPr>
        <w:shd w:val="clear" w:color="auto" w:fill="FFFFFF"/>
        <w:ind w:left="420"/>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(2)</w:t>
      </w:r>
      <w:r w:rsidRPr="00E13601">
        <w:rPr>
          <w:rFonts w:ascii="Times New Roman" w:hAnsi="Times New Roman" w:cs="Times New Roman"/>
          <w:color w:val="7B7B7B"/>
          <w:sz w:val="14"/>
          <w:szCs w:val="14"/>
          <w:lang w:val="en-GB" w:eastAsia="en-IN"/>
        </w:rPr>
        <w:t>  </w:t>
      </w:r>
      <w:proofErr w:type="gramStart"/>
      <w:r w:rsidRPr="00E13601">
        <w:rPr>
          <w:rFonts w:ascii="Arial" w:hAnsi="Arial" w:cs="Arial"/>
          <w:color w:val="7B7B7B"/>
          <w:sz w:val="22"/>
          <w:szCs w:val="22"/>
          <w:lang w:val="en-GB" w:eastAsia="en-IN"/>
        </w:rPr>
        <w:t>That</w:t>
      </w:r>
      <w:proofErr w:type="gramEnd"/>
      <w:r w:rsidRPr="00E13601">
        <w:rPr>
          <w:rFonts w:ascii="Arial" w:hAnsi="Arial" w:cs="Arial"/>
          <w:color w:val="7B7B7B"/>
          <w:sz w:val="22"/>
          <w:szCs w:val="22"/>
          <w:lang w:val="en-GB" w:eastAsia="en-IN"/>
        </w:rPr>
        <w:t xml:space="preserve"> is either judicial or administrative;</w:t>
      </w:r>
    </w:p>
    <w:p w14:paraId="7DE4515F" w14:textId="77777777" w:rsidR="00E13601" w:rsidRPr="00E13601" w:rsidRDefault="00E13601" w:rsidP="00E13601">
      <w:pPr>
        <w:shd w:val="clear" w:color="auto" w:fill="FFFFFF"/>
        <w:ind w:left="420"/>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3B12A13F" w14:textId="5459CD1A" w:rsidR="00E13601" w:rsidRPr="00482039" w:rsidRDefault="00E13601" w:rsidP="00482039">
      <w:pPr>
        <w:pStyle w:val="ListParagraph"/>
        <w:numPr>
          <w:ilvl w:val="0"/>
          <w:numId w:val="45"/>
        </w:numPr>
        <w:shd w:val="clear" w:color="auto" w:fill="FFFFFF"/>
        <w:rPr>
          <w:rFonts w:ascii="Calibri" w:hAnsi="Calibri" w:cs="Calibri"/>
          <w:color w:val="222222"/>
          <w:szCs w:val="20"/>
          <w:lang w:val="en-IN" w:eastAsia="en-IN"/>
        </w:rPr>
      </w:pPr>
      <w:r w:rsidRPr="00482039">
        <w:rPr>
          <w:rFonts w:ascii="Arial" w:hAnsi="Arial" w:cs="Arial"/>
          <w:color w:val="7B7B7B"/>
          <w:sz w:val="22"/>
          <w:szCs w:val="22"/>
          <w:lang w:val="en-GB" w:eastAsia="en-IN"/>
        </w:rPr>
        <w:t xml:space="preserve">As per the </w:t>
      </w:r>
      <w:r w:rsidR="005C56F5" w:rsidRPr="00482039">
        <w:rPr>
          <w:rFonts w:ascii="Arial" w:hAnsi="Arial" w:cs="Arial"/>
          <w:color w:val="7B7B7B"/>
          <w:sz w:val="22"/>
          <w:szCs w:val="22"/>
          <w:lang w:val="en-GB" w:eastAsia="en-IN"/>
        </w:rPr>
        <w:t>abovementioned scenario</w:t>
      </w:r>
      <w:r w:rsidRPr="00482039">
        <w:rPr>
          <w:rFonts w:ascii="Arial" w:hAnsi="Arial" w:cs="Arial"/>
          <w:color w:val="7B7B7B"/>
          <w:sz w:val="22"/>
          <w:szCs w:val="22"/>
          <w:lang w:val="en-GB" w:eastAsia="en-IN"/>
        </w:rPr>
        <w:t>, the proceedings were issued in the High Court of England and Wales. Hence, it is proved that the proceeding is judicial.</w:t>
      </w:r>
    </w:p>
    <w:p w14:paraId="54C0D1EA" w14:textId="77777777" w:rsidR="00E13601" w:rsidRPr="00E13601" w:rsidRDefault="00E13601" w:rsidP="00E13601">
      <w:pPr>
        <w:shd w:val="clear" w:color="auto" w:fill="FFFFFF"/>
        <w:ind w:left="420"/>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0441EAA8" w14:textId="364B8E7D" w:rsidR="00E13601" w:rsidRPr="005C56F5" w:rsidRDefault="00E13601" w:rsidP="005C56F5">
      <w:pPr>
        <w:pStyle w:val="ListParagraph"/>
        <w:numPr>
          <w:ilvl w:val="0"/>
          <w:numId w:val="44"/>
        </w:numPr>
        <w:shd w:val="clear" w:color="auto" w:fill="FFFFFF"/>
        <w:jc w:val="both"/>
        <w:rPr>
          <w:rFonts w:ascii="Arial" w:hAnsi="Arial" w:cs="Arial"/>
          <w:color w:val="7B7B7B"/>
          <w:sz w:val="22"/>
          <w:szCs w:val="22"/>
          <w:lang w:val="en-GB" w:eastAsia="en-IN"/>
        </w:rPr>
      </w:pPr>
      <w:r w:rsidRPr="005C56F5">
        <w:rPr>
          <w:rFonts w:ascii="Arial" w:hAnsi="Arial" w:cs="Arial"/>
          <w:color w:val="7B7B7B"/>
          <w:sz w:val="22"/>
          <w:szCs w:val="22"/>
          <w:lang w:val="en-GB" w:eastAsia="en-IN"/>
        </w:rPr>
        <w:t>That is collective in nature;</w:t>
      </w:r>
    </w:p>
    <w:p w14:paraId="3688B9C5" w14:textId="77777777" w:rsidR="005C56F5" w:rsidRPr="005C56F5" w:rsidRDefault="005C56F5" w:rsidP="005C56F5">
      <w:pPr>
        <w:pStyle w:val="ListParagraph"/>
        <w:shd w:val="clear" w:color="auto" w:fill="FFFFFF"/>
        <w:ind w:left="780"/>
        <w:jc w:val="both"/>
        <w:rPr>
          <w:rFonts w:ascii="Calibri" w:hAnsi="Calibri" w:cs="Calibri"/>
          <w:color w:val="222222"/>
          <w:szCs w:val="20"/>
          <w:lang w:val="en-IN" w:eastAsia="en-IN"/>
        </w:rPr>
      </w:pPr>
    </w:p>
    <w:p w14:paraId="6FD3F10A" w14:textId="69B7D3C8" w:rsidR="00E13601" w:rsidRPr="00482039" w:rsidRDefault="00E13601" w:rsidP="00482039">
      <w:pPr>
        <w:pStyle w:val="ListParagraph"/>
        <w:numPr>
          <w:ilvl w:val="0"/>
          <w:numId w:val="45"/>
        </w:numPr>
        <w:shd w:val="clear" w:color="auto" w:fill="FFFFFF"/>
        <w:jc w:val="both"/>
        <w:rPr>
          <w:rFonts w:ascii="Calibri" w:hAnsi="Calibri" w:cs="Calibri"/>
          <w:color w:val="222222"/>
          <w:szCs w:val="20"/>
          <w:lang w:val="en-IN" w:eastAsia="en-IN"/>
        </w:rPr>
      </w:pPr>
      <w:r w:rsidRPr="00482039">
        <w:rPr>
          <w:rFonts w:ascii="Arial" w:hAnsi="Arial" w:cs="Arial"/>
          <w:color w:val="7B7B7B"/>
          <w:sz w:val="22"/>
          <w:szCs w:val="22"/>
          <w:lang w:val="en-GB" w:eastAsia="en-IN"/>
        </w:rPr>
        <w:t xml:space="preserve">As per the </w:t>
      </w:r>
      <w:r w:rsidR="005C56F5" w:rsidRPr="00482039">
        <w:rPr>
          <w:rFonts w:ascii="Arial" w:hAnsi="Arial" w:cs="Arial"/>
          <w:color w:val="7B7B7B"/>
          <w:sz w:val="22"/>
          <w:szCs w:val="22"/>
          <w:lang w:val="en-GB" w:eastAsia="en-IN"/>
        </w:rPr>
        <w:t>abovementioned scenario</w:t>
      </w:r>
      <w:r w:rsidRPr="00482039">
        <w:rPr>
          <w:rFonts w:ascii="Arial" w:hAnsi="Arial" w:cs="Arial"/>
          <w:color w:val="7B7B7B"/>
          <w:sz w:val="22"/>
          <w:szCs w:val="22"/>
          <w:lang w:val="en-GB" w:eastAsia="en-IN"/>
        </w:rPr>
        <w:t>, all the assets and liabilities of the debtor are dealt with in the proceeding. It is related to the debtor and its own creditors. So it is collective in nature.</w:t>
      </w:r>
    </w:p>
    <w:p w14:paraId="30D30DCF" w14:textId="77777777" w:rsidR="00E13601" w:rsidRPr="00E13601" w:rsidRDefault="00E13601" w:rsidP="00E13601">
      <w:pPr>
        <w:shd w:val="clear" w:color="auto" w:fill="FFFFFF"/>
        <w:ind w:left="420"/>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2BC59DBC" w14:textId="77ED4BCC" w:rsidR="00E13601" w:rsidRPr="005C56F5" w:rsidRDefault="00E13601" w:rsidP="005C56F5">
      <w:pPr>
        <w:pStyle w:val="ListParagraph"/>
        <w:numPr>
          <w:ilvl w:val="0"/>
          <w:numId w:val="44"/>
        </w:numPr>
        <w:shd w:val="clear" w:color="auto" w:fill="FFFFFF"/>
        <w:jc w:val="both"/>
        <w:rPr>
          <w:rFonts w:ascii="Arial" w:hAnsi="Arial" w:cs="Arial"/>
          <w:color w:val="7B7B7B"/>
          <w:sz w:val="22"/>
          <w:szCs w:val="22"/>
          <w:lang w:val="en-GB" w:eastAsia="en-IN"/>
        </w:rPr>
      </w:pPr>
      <w:r w:rsidRPr="005C56F5">
        <w:rPr>
          <w:rFonts w:ascii="Arial" w:hAnsi="Arial" w:cs="Arial"/>
          <w:color w:val="7B7B7B"/>
          <w:sz w:val="22"/>
          <w:szCs w:val="22"/>
          <w:lang w:val="en-GB" w:eastAsia="en-IN"/>
        </w:rPr>
        <w:t>That is in a foreign state</w:t>
      </w:r>
    </w:p>
    <w:p w14:paraId="6BDF7DE3" w14:textId="77777777" w:rsidR="005C56F5" w:rsidRPr="005C56F5" w:rsidRDefault="005C56F5" w:rsidP="005C56F5">
      <w:pPr>
        <w:pStyle w:val="ListParagraph"/>
        <w:shd w:val="clear" w:color="auto" w:fill="FFFFFF"/>
        <w:ind w:left="780"/>
        <w:jc w:val="both"/>
        <w:rPr>
          <w:rFonts w:ascii="Calibri" w:hAnsi="Calibri" w:cs="Calibri"/>
          <w:color w:val="222222"/>
          <w:szCs w:val="20"/>
          <w:lang w:val="en-IN" w:eastAsia="en-IN"/>
        </w:rPr>
      </w:pPr>
    </w:p>
    <w:p w14:paraId="5740FF7A" w14:textId="7A71693F" w:rsidR="00E13601" w:rsidRPr="00482039" w:rsidRDefault="00E13601" w:rsidP="00482039">
      <w:pPr>
        <w:pStyle w:val="ListParagraph"/>
        <w:numPr>
          <w:ilvl w:val="0"/>
          <w:numId w:val="45"/>
        </w:numPr>
        <w:shd w:val="clear" w:color="auto" w:fill="FFFFFF"/>
        <w:jc w:val="both"/>
        <w:rPr>
          <w:rFonts w:ascii="Calibri" w:hAnsi="Calibri" w:cs="Calibri"/>
          <w:color w:val="222222"/>
          <w:szCs w:val="20"/>
          <w:lang w:val="en-IN" w:eastAsia="en-IN"/>
        </w:rPr>
      </w:pPr>
      <w:r w:rsidRPr="00482039">
        <w:rPr>
          <w:rFonts w:ascii="Arial" w:hAnsi="Arial" w:cs="Arial"/>
          <w:color w:val="7B7B7B"/>
          <w:sz w:val="22"/>
          <w:szCs w:val="22"/>
          <w:lang w:val="en-GB" w:eastAsia="en-IN"/>
        </w:rPr>
        <w:t xml:space="preserve">As per the </w:t>
      </w:r>
      <w:r w:rsidR="005C56F5" w:rsidRPr="00482039">
        <w:rPr>
          <w:rFonts w:ascii="Arial" w:hAnsi="Arial" w:cs="Arial"/>
          <w:color w:val="7B7B7B"/>
          <w:sz w:val="22"/>
          <w:szCs w:val="22"/>
          <w:lang w:val="en-GB" w:eastAsia="en-IN"/>
        </w:rPr>
        <w:t>abovementioned scenario</w:t>
      </w:r>
      <w:r w:rsidRPr="00482039">
        <w:rPr>
          <w:rFonts w:ascii="Arial" w:hAnsi="Arial" w:cs="Arial"/>
          <w:color w:val="7B7B7B"/>
          <w:sz w:val="22"/>
          <w:szCs w:val="22"/>
          <w:lang w:val="en-GB" w:eastAsia="en-IN"/>
        </w:rPr>
        <w:t>, it is clear that the proceedings were issued in the High Court of England and Wales.</w:t>
      </w:r>
    </w:p>
    <w:p w14:paraId="7395BE6A" w14:textId="77777777" w:rsidR="00E13601" w:rsidRPr="00E13601" w:rsidRDefault="00E13601" w:rsidP="00E13601">
      <w:pPr>
        <w:shd w:val="clear" w:color="auto" w:fill="FFFFFF"/>
        <w:ind w:left="420"/>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52B6D334" w14:textId="1836E145" w:rsidR="00E13601" w:rsidRPr="005C56F5" w:rsidRDefault="00E13601" w:rsidP="005C56F5">
      <w:pPr>
        <w:pStyle w:val="ListParagraph"/>
        <w:numPr>
          <w:ilvl w:val="0"/>
          <w:numId w:val="44"/>
        </w:numPr>
        <w:shd w:val="clear" w:color="auto" w:fill="FFFFFF"/>
        <w:jc w:val="both"/>
        <w:rPr>
          <w:rFonts w:ascii="Arial" w:hAnsi="Arial" w:cs="Arial"/>
          <w:color w:val="7B7B7B"/>
          <w:sz w:val="22"/>
          <w:szCs w:val="22"/>
          <w:lang w:val="en-GB" w:eastAsia="en-IN"/>
        </w:rPr>
      </w:pPr>
      <w:r w:rsidRPr="005C56F5">
        <w:rPr>
          <w:rFonts w:ascii="Arial" w:hAnsi="Arial" w:cs="Arial"/>
          <w:color w:val="7B7B7B"/>
          <w:sz w:val="22"/>
          <w:szCs w:val="22"/>
          <w:lang w:val="en-GB" w:eastAsia="en-IN"/>
        </w:rPr>
        <w:t>That is authorised or conducted under a law relating to insolvency.</w:t>
      </w:r>
    </w:p>
    <w:p w14:paraId="43511246" w14:textId="77777777" w:rsidR="005C56F5" w:rsidRPr="005C56F5" w:rsidRDefault="005C56F5" w:rsidP="005C56F5">
      <w:pPr>
        <w:pStyle w:val="ListParagraph"/>
        <w:shd w:val="clear" w:color="auto" w:fill="FFFFFF"/>
        <w:ind w:left="780"/>
        <w:jc w:val="both"/>
        <w:rPr>
          <w:rFonts w:ascii="Calibri" w:hAnsi="Calibri" w:cs="Calibri"/>
          <w:color w:val="222222"/>
          <w:szCs w:val="20"/>
          <w:lang w:val="en-IN" w:eastAsia="en-IN"/>
        </w:rPr>
      </w:pPr>
    </w:p>
    <w:p w14:paraId="4AD164E8" w14:textId="7D6C6AFB" w:rsidR="00E13601" w:rsidRPr="00482039" w:rsidRDefault="005C56F5" w:rsidP="00482039">
      <w:pPr>
        <w:pStyle w:val="ListParagraph"/>
        <w:numPr>
          <w:ilvl w:val="0"/>
          <w:numId w:val="45"/>
        </w:numPr>
        <w:shd w:val="clear" w:color="auto" w:fill="FFFFFF"/>
        <w:jc w:val="both"/>
        <w:rPr>
          <w:rFonts w:ascii="Calibri" w:hAnsi="Calibri" w:cs="Calibri"/>
          <w:color w:val="222222"/>
          <w:szCs w:val="20"/>
          <w:lang w:val="en-IN" w:eastAsia="en-IN"/>
        </w:rPr>
      </w:pPr>
      <w:r w:rsidRPr="00482039">
        <w:rPr>
          <w:rFonts w:ascii="Arial" w:hAnsi="Arial" w:cs="Arial"/>
          <w:color w:val="7B7B7B"/>
          <w:sz w:val="22"/>
          <w:szCs w:val="22"/>
          <w:lang w:val="en-GB" w:eastAsia="en-IN"/>
        </w:rPr>
        <w:t>As per the abovementioned scenario</w:t>
      </w:r>
      <w:r w:rsidR="00E13601" w:rsidRPr="00482039">
        <w:rPr>
          <w:rFonts w:ascii="Arial" w:hAnsi="Arial" w:cs="Arial"/>
          <w:color w:val="7B7B7B"/>
          <w:sz w:val="22"/>
          <w:szCs w:val="22"/>
          <w:lang w:val="en-GB" w:eastAsia="en-IN"/>
        </w:rPr>
        <w:t xml:space="preserve">, it is clear that the debtor is in severe financial </w:t>
      </w:r>
      <w:proofErr w:type="gramStart"/>
      <w:r w:rsidR="00E13601" w:rsidRPr="00482039">
        <w:rPr>
          <w:rFonts w:ascii="Arial" w:hAnsi="Arial" w:cs="Arial"/>
          <w:color w:val="7B7B7B"/>
          <w:sz w:val="22"/>
          <w:szCs w:val="22"/>
          <w:lang w:val="en-GB" w:eastAsia="en-IN"/>
        </w:rPr>
        <w:t>stress</w:t>
      </w:r>
      <w:proofErr w:type="gramEnd"/>
      <w:r w:rsidR="00E13601" w:rsidRPr="00482039">
        <w:rPr>
          <w:rFonts w:ascii="Arial" w:hAnsi="Arial" w:cs="Arial"/>
          <w:color w:val="7B7B7B"/>
          <w:sz w:val="22"/>
          <w:szCs w:val="22"/>
          <w:lang w:val="en-GB" w:eastAsia="en-IN"/>
        </w:rPr>
        <w:t>. Insolvency is one of the grounds on which the proceeding could be commenced so it is justified that it is authorised and conducted under a law relating to insolvency.</w:t>
      </w:r>
    </w:p>
    <w:p w14:paraId="5E18EB27" w14:textId="77777777" w:rsidR="00E13601" w:rsidRPr="00E13601" w:rsidRDefault="00E13601" w:rsidP="00E13601">
      <w:pPr>
        <w:shd w:val="clear" w:color="auto" w:fill="FFFFFF"/>
        <w:ind w:left="420"/>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7D020CF5" w14:textId="5E3FB4D3" w:rsidR="00E13601" w:rsidRPr="00482039" w:rsidRDefault="00E13601" w:rsidP="00482039">
      <w:pPr>
        <w:pStyle w:val="ListParagraph"/>
        <w:numPr>
          <w:ilvl w:val="0"/>
          <w:numId w:val="44"/>
        </w:numPr>
        <w:shd w:val="clear" w:color="auto" w:fill="FFFFFF"/>
        <w:jc w:val="both"/>
        <w:rPr>
          <w:rFonts w:ascii="Arial" w:hAnsi="Arial" w:cs="Arial"/>
          <w:color w:val="7B7B7B"/>
          <w:sz w:val="22"/>
          <w:szCs w:val="22"/>
          <w:lang w:val="en-GB" w:eastAsia="en-IN"/>
        </w:rPr>
      </w:pPr>
      <w:r w:rsidRPr="00482039">
        <w:rPr>
          <w:rFonts w:ascii="Arial" w:hAnsi="Arial" w:cs="Arial"/>
          <w:color w:val="7B7B7B"/>
          <w:sz w:val="22"/>
          <w:szCs w:val="22"/>
          <w:lang w:val="en-GB" w:eastAsia="en-IN"/>
        </w:rPr>
        <w:t>In which the assets and affairs of the debtor are subject to control or su</w:t>
      </w:r>
      <w:r w:rsidR="00482039" w:rsidRPr="00482039">
        <w:rPr>
          <w:rFonts w:ascii="Arial" w:hAnsi="Arial" w:cs="Arial"/>
          <w:color w:val="7B7B7B"/>
          <w:sz w:val="22"/>
          <w:szCs w:val="22"/>
          <w:lang w:val="en-GB" w:eastAsia="en-IN"/>
        </w:rPr>
        <w:t>pervision by a foreign court;</w:t>
      </w:r>
    </w:p>
    <w:p w14:paraId="78869644" w14:textId="77777777" w:rsidR="00482039" w:rsidRPr="00482039" w:rsidRDefault="00482039" w:rsidP="00482039">
      <w:pPr>
        <w:pStyle w:val="ListParagraph"/>
        <w:shd w:val="clear" w:color="auto" w:fill="FFFFFF"/>
        <w:ind w:left="780"/>
        <w:jc w:val="both"/>
        <w:rPr>
          <w:rFonts w:ascii="Calibri" w:hAnsi="Calibri" w:cs="Calibri"/>
          <w:color w:val="222222"/>
          <w:szCs w:val="20"/>
          <w:lang w:val="en-IN" w:eastAsia="en-IN"/>
        </w:rPr>
      </w:pPr>
    </w:p>
    <w:p w14:paraId="52B81262" w14:textId="26A73AC6" w:rsidR="00E13601" w:rsidRPr="00482039" w:rsidRDefault="00482039" w:rsidP="00482039">
      <w:pPr>
        <w:pStyle w:val="ListParagraph"/>
        <w:numPr>
          <w:ilvl w:val="0"/>
          <w:numId w:val="45"/>
        </w:numPr>
        <w:shd w:val="clear" w:color="auto" w:fill="FFFFFF"/>
        <w:jc w:val="both"/>
        <w:rPr>
          <w:rFonts w:ascii="Calibri" w:hAnsi="Calibri" w:cs="Calibri"/>
          <w:color w:val="222222"/>
          <w:szCs w:val="20"/>
          <w:lang w:val="en-IN" w:eastAsia="en-IN"/>
        </w:rPr>
      </w:pPr>
      <w:r w:rsidRPr="00482039">
        <w:rPr>
          <w:rFonts w:ascii="Arial" w:hAnsi="Arial" w:cs="Arial"/>
          <w:color w:val="7B7B7B"/>
          <w:sz w:val="22"/>
          <w:szCs w:val="22"/>
          <w:lang w:val="en-GB" w:eastAsia="en-IN"/>
        </w:rPr>
        <w:t>In the present case</w:t>
      </w:r>
      <w:r w:rsidR="00E13601" w:rsidRPr="00482039">
        <w:rPr>
          <w:rFonts w:ascii="Arial" w:hAnsi="Arial" w:cs="Arial"/>
          <w:color w:val="7B7B7B"/>
          <w:sz w:val="22"/>
          <w:szCs w:val="22"/>
          <w:lang w:val="en-GB" w:eastAsia="en-IN"/>
        </w:rPr>
        <w:t>, the assets and affairs of the debtor are in supervision of the high court.</w:t>
      </w:r>
    </w:p>
    <w:p w14:paraId="7AA60B58" w14:textId="77777777" w:rsidR="00E13601" w:rsidRPr="00E13601" w:rsidRDefault="00E13601" w:rsidP="00E13601">
      <w:pPr>
        <w:shd w:val="clear" w:color="auto" w:fill="FFFFFF"/>
        <w:ind w:left="420"/>
        <w:jc w:val="both"/>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4F0E35B0" w14:textId="77777777" w:rsidR="00E13601" w:rsidRDefault="00E13601" w:rsidP="00E13601">
      <w:pPr>
        <w:shd w:val="clear" w:color="auto" w:fill="FFFFFF"/>
        <w:ind w:left="420"/>
        <w:jc w:val="both"/>
        <w:rPr>
          <w:rFonts w:ascii="Arial" w:hAnsi="Arial" w:cs="Arial"/>
          <w:color w:val="7B7B7B"/>
          <w:sz w:val="22"/>
          <w:szCs w:val="22"/>
          <w:lang w:val="en-GB" w:eastAsia="en-IN"/>
        </w:rPr>
      </w:pPr>
      <w:r w:rsidRPr="00E13601">
        <w:rPr>
          <w:rFonts w:ascii="Arial" w:hAnsi="Arial" w:cs="Arial"/>
          <w:color w:val="7B7B7B"/>
          <w:sz w:val="22"/>
          <w:szCs w:val="22"/>
          <w:lang w:val="en-GB" w:eastAsia="en-IN"/>
        </w:rPr>
        <w:t>(7)</w:t>
      </w:r>
      <w:r w:rsidRPr="00E13601">
        <w:rPr>
          <w:rFonts w:ascii="Times New Roman" w:hAnsi="Times New Roman" w:cs="Times New Roman"/>
          <w:color w:val="7B7B7B"/>
          <w:sz w:val="14"/>
          <w:szCs w:val="14"/>
          <w:lang w:val="en-GB" w:eastAsia="en-IN"/>
        </w:rPr>
        <w:t>  </w:t>
      </w:r>
      <w:r w:rsidRPr="00E13601">
        <w:rPr>
          <w:rFonts w:ascii="Arial" w:hAnsi="Arial" w:cs="Arial"/>
          <w:color w:val="7B7B7B"/>
          <w:sz w:val="22"/>
          <w:szCs w:val="22"/>
          <w:lang w:val="en-GB" w:eastAsia="en-IN"/>
        </w:rPr>
        <w:t xml:space="preserve">Which proceeding is for the purpose of reorganisation or </w:t>
      </w:r>
      <w:proofErr w:type="gramStart"/>
      <w:r w:rsidRPr="00E13601">
        <w:rPr>
          <w:rFonts w:ascii="Arial" w:hAnsi="Arial" w:cs="Arial"/>
          <w:color w:val="7B7B7B"/>
          <w:sz w:val="22"/>
          <w:szCs w:val="22"/>
          <w:lang w:val="en-GB" w:eastAsia="en-IN"/>
        </w:rPr>
        <w:t>liquidation</w:t>
      </w:r>
      <w:proofErr w:type="gramEnd"/>
    </w:p>
    <w:p w14:paraId="324D9B37" w14:textId="77777777" w:rsidR="005C56F5" w:rsidRPr="00E13601" w:rsidRDefault="005C56F5" w:rsidP="005C56F5">
      <w:pPr>
        <w:shd w:val="clear" w:color="auto" w:fill="FFFFFF"/>
        <w:jc w:val="both"/>
        <w:rPr>
          <w:rFonts w:ascii="Calibri" w:hAnsi="Calibri" w:cs="Calibri"/>
          <w:color w:val="222222"/>
          <w:szCs w:val="20"/>
          <w:lang w:val="en-IN" w:eastAsia="en-IN"/>
        </w:rPr>
      </w:pPr>
    </w:p>
    <w:p w14:paraId="6F2E918D" w14:textId="01612631" w:rsidR="00E13601" w:rsidRPr="00482039" w:rsidRDefault="005C56F5" w:rsidP="00482039">
      <w:pPr>
        <w:pStyle w:val="ListParagraph"/>
        <w:numPr>
          <w:ilvl w:val="0"/>
          <w:numId w:val="45"/>
        </w:numPr>
        <w:shd w:val="clear" w:color="auto" w:fill="FFFFFF"/>
        <w:rPr>
          <w:rFonts w:ascii="Calibri" w:hAnsi="Calibri" w:cs="Calibri"/>
          <w:color w:val="222222"/>
          <w:szCs w:val="20"/>
          <w:lang w:val="en-IN" w:eastAsia="en-IN"/>
        </w:rPr>
      </w:pPr>
      <w:r w:rsidRPr="00482039">
        <w:rPr>
          <w:rFonts w:ascii="Arial" w:hAnsi="Arial" w:cs="Arial"/>
          <w:color w:val="7B7B7B"/>
          <w:sz w:val="22"/>
          <w:szCs w:val="22"/>
          <w:lang w:val="en-GB" w:eastAsia="en-IN"/>
        </w:rPr>
        <w:t>As per the abovementioned scenario</w:t>
      </w:r>
      <w:r w:rsidR="00E13601" w:rsidRPr="00482039">
        <w:rPr>
          <w:rFonts w:ascii="Arial" w:hAnsi="Arial" w:cs="Arial"/>
          <w:color w:val="7B7B7B"/>
          <w:sz w:val="22"/>
          <w:szCs w:val="22"/>
          <w:lang w:val="en-GB" w:eastAsia="en-IN"/>
        </w:rPr>
        <w:t>, it is clear the debtor has gone into liquidation and hence the proceeding is for the purpose of reorganisation or liquidation.</w:t>
      </w:r>
    </w:p>
    <w:p w14:paraId="6892CEA6" w14:textId="77777777" w:rsidR="00E13601" w:rsidRPr="00E13601" w:rsidRDefault="00E13601" w:rsidP="00E13601">
      <w:pPr>
        <w:shd w:val="clear" w:color="auto" w:fill="FFFFFF"/>
        <w:ind w:left="420"/>
        <w:rPr>
          <w:rFonts w:ascii="Calibri" w:hAnsi="Calibri" w:cs="Calibri"/>
          <w:color w:val="222222"/>
          <w:szCs w:val="20"/>
          <w:lang w:val="en-IN" w:eastAsia="en-IN"/>
        </w:rPr>
      </w:pPr>
      <w:r w:rsidRPr="00E13601">
        <w:rPr>
          <w:rFonts w:ascii="Arial" w:hAnsi="Arial" w:cs="Arial"/>
          <w:color w:val="7B7B7B"/>
          <w:sz w:val="22"/>
          <w:szCs w:val="22"/>
          <w:lang w:val="en-GB" w:eastAsia="en-IN"/>
        </w:rPr>
        <w:t> </w:t>
      </w:r>
    </w:p>
    <w:p w14:paraId="6E6B9AA4" w14:textId="1236D767" w:rsidR="00387106" w:rsidRDefault="005C56F5" w:rsidP="00E13601">
      <w:pPr>
        <w:shd w:val="clear" w:color="auto" w:fill="FFFFFF"/>
        <w:ind w:left="420"/>
        <w:rPr>
          <w:rFonts w:ascii="Arial" w:hAnsi="Arial" w:cs="Arial"/>
          <w:color w:val="7B7B7B" w:themeColor="accent3" w:themeShade="BF"/>
          <w:sz w:val="22"/>
          <w:szCs w:val="22"/>
          <w:lang w:val="en-GB"/>
        </w:rPr>
      </w:pPr>
      <w:r>
        <w:rPr>
          <w:rFonts w:ascii="Arial" w:hAnsi="Arial" w:cs="Arial"/>
          <w:color w:val="7B7B7B"/>
          <w:sz w:val="22"/>
          <w:szCs w:val="22"/>
          <w:lang w:val="en-GB" w:eastAsia="en-IN"/>
        </w:rPr>
        <w:t>Thus, it satisfies</w:t>
      </w:r>
      <w:r w:rsidR="00E13601" w:rsidRPr="00E13601">
        <w:rPr>
          <w:rFonts w:ascii="Arial" w:hAnsi="Arial" w:cs="Arial"/>
          <w:color w:val="7B7B7B"/>
          <w:sz w:val="22"/>
          <w:szCs w:val="22"/>
          <w:lang w:val="en-GB" w:eastAsia="en-IN"/>
        </w:rPr>
        <w:t xml:space="preserve"> all the tests required for the recognition of a foreign proceeding.</w:t>
      </w:r>
      <w:r w:rsidR="00387106" w:rsidRPr="009B5832">
        <w:rPr>
          <w:rFonts w:ascii="Arial" w:hAnsi="Arial" w:cs="Arial"/>
          <w:color w:val="7B7B7B" w:themeColor="accent3" w:themeShade="BF"/>
          <w:sz w:val="22"/>
          <w:szCs w:val="22"/>
          <w:lang w:val="en-GB"/>
        </w:rPr>
        <w:t>]</w:t>
      </w:r>
    </w:p>
    <w:p w14:paraId="4EFC4D7F" w14:textId="77777777" w:rsidR="00525D56" w:rsidRDefault="00525D56" w:rsidP="00E13601">
      <w:pPr>
        <w:shd w:val="clear" w:color="auto" w:fill="FFFFFF"/>
        <w:ind w:left="420"/>
        <w:rPr>
          <w:rFonts w:ascii="Calibri" w:hAnsi="Calibri" w:cs="Calibri"/>
          <w:color w:val="222222"/>
          <w:szCs w:val="20"/>
          <w:lang w:val="en-IN" w:eastAsia="en-IN"/>
        </w:rPr>
      </w:pPr>
    </w:p>
    <w:p w14:paraId="6D29733A" w14:textId="77777777" w:rsidR="00525D56" w:rsidRPr="00525D56" w:rsidRDefault="00525D56" w:rsidP="00525D56">
      <w:pPr>
        <w:shd w:val="clear" w:color="auto" w:fill="FFFFFF"/>
        <w:jc w:val="both"/>
        <w:rPr>
          <w:rFonts w:ascii="Calibri" w:hAnsi="Calibri" w:cs="Calibri"/>
          <w:color w:val="222222"/>
          <w:szCs w:val="20"/>
          <w:lang w:val="en-IN" w:eastAsia="en-IN"/>
        </w:rPr>
      </w:pPr>
      <w:r w:rsidRPr="00525D56">
        <w:rPr>
          <w:rFonts w:ascii="Arial" w:hAnsi="Arial" w:cs="Arial"/>
          <w:color w:val="7B7B7B"/>
          <w:sz w:val="22"/>
          <w:szCs w:val="22"/>
          <w:lang w:val="en-GB" w:eastAsia="en-IN"/>
        </w:rPr>
        <w:lastRenderedPageBreak/>
        <w:t>Answer 4.1.2</w:t>
      </w:r>
    </w:p>
    <w:p w14:paraId="6A36762C" w14:textId="77777777" w:rsidR="00525D56" w:rsidRPr="00525D56" w:rsidRDefault="00525D56" w:rsidP="00525D56">
      <w:pPr>
        <w:shd w:val="clear" w:color="auto" w:fill="FFFFFF"/>
        <w:jc w:val="both"/>
        <w:rPr>
          <w:rFonts w:ascii="Calibri" w:hAnsi="Calibri" w:cs="Calibri"/>
          <w:color w:val="222222"/>
          <w:szCs w:val="20"/>
          <w:lang w:val="en-IN" w:eastAsia="en-IN"/>
        </w:rPr>
      </w:pPr>
      <w:r w:rsidRPr="00525D56">
        <w:rPr>
          <w:rFonts w:ascii="Arial" w:hAnsi="Arial" w:cs="Arial"/>
          <w:color w:val="7B7B7B"/>
          <w:sz w:val="22"/>
          <w:szCs w:val="22"/>
          <w:lang w:val="en-GB" w:eastAsia="en-IN"/>
        </w:rPr>
        <w:t> </w:t>
      </w:r>
    </w:p>
    <w:p w14:paraId="46606ACC" w14:textId="77777777" w:rsidR="00525D56" w:rsidRPr="00525D56" w:rsidRDefault="00525D56" w:rsidP="00525D56">
      <w:pPr>
        <w:shd w:val="clear" w:color="auto" w:fill="FFFFFF"/>
        <w:jc w:val="both"/>
        <w:rPr>
          <w:rFonts w:ascii="Calibri" w:hAnsi="Calibri" w:cs="Calibri"/>
          <w:color w:val="222222"/>
          <w:szCs w:val="20"/>
          <w:lang w:val="en-IN" w:eastAsia="en-IN"/>
        </w:rPr>
      </w:pPr>
      <w:r w:rsidRPr="00525D56">
        <w:rPr>
          <w:rFonts w:ascii="Arial" w:hAnsi="Arial" w:cs="Arial"/>
          <w:color w:val="7B7B7B"/>
          <w:sz w:val="22"/>
          <w:szCs w:val="22"/>
          <w:lang w:val="en-GB" w:eastAsia="en-IN"/>
        </w:rPr>
        <w:t>“Foreign representative” has following elements:</w:t>
      </w:r>
    </w:p>
    <w:p w14:paraId="7BEDF4C3" w14:textId="77777777" w:rsidR="00525D56" w:rsidRPr="00525D56" w:rsidRDefault="00525D56" w:rsidP="00525D56">
      <w:pPr>
        <w:shd w:val="clear" w:color="auto" w:fill="FFFFFF"/>
        <w:jc w:val="both"/>
        <w:rPr>
          <w:rFonts w:ascii="Calibri" w:hAnsi="Calibri" w:cs="Calibri"/>
          <w:color w:val="222222"/>
          <w:szCs w:val="20"/>
          <w:lang w:val="en-IN" w:eastAsia="en-IN"/>
        </w:rPr>
      </w:pPr>
      <w:r w:rsidRPr="00525D56">
        <w:rPr>
          <w:rFonts w:ascii="Arial" w:hAnsi="Arial" w:cs="Arial"/>
          <w:color w:val="7B7B7B"/>
          <w:sz w:val="22"/>
          <w:szCs w:val="22"/>
          <w:lang w:val="en-GB" w:eastAsia="en-IN"/>
        </w:rPr>
        <w:t> </w:t>
      </w:r>
    </w:p>
    <w:p w14:paraId="72D3E92E" w14:textId="77777777" w:rsidR="00525D56" w:rsidRPr="00525D56" w:rsidRDefault="00525D56" w:rsidP="00525D56">
      <w:pPr>
        <w:shd w:val="clear" w:color="auto" w:fill="FFFFFF"/>
        <w:ind w:left="720"/>
        <w:jc w:val="both"/>
        <w:rPr>
          <w:rFonts w:ascii="Calibri" w:hAnsi="Calibri" w:cs="Calibri"/>
          <w:color w:val="222222"/>
          <w:szCs w:val="20"/>
          <w:lang w:val="en-IN" w:eastAsia="en-IN"/>
        </w:rPr>
      </w:pPr>
      <w:r w:rsidRPr="00525D56">
        <w:rPr>
          <w:rFonts w:ascii="Arial" w:hAnsi="Arial" w:cs="Arial"/>
          <w:color w:val="7B7B7B"/>
          <w:sz w:val="22"/>
          <w:szCs w:val="22"/>
          <w:lang w:val="en-GB" w:eastAsia="en-IN"/>
        </w:rPr>
        <w:t>(1)</w:t>
      </w:r>
      <w:r w:rsidRPr="00525D56">
        <w:rPr>
          <w:rFonts w:ascii="Times New Roman" w:hAnsi="Times New Roman" w:cs="Times New Roman"/>
          <w:color w:val="7B7B7B"/>
          <w:sz w:val="14"/>
          <w:szCs w:val="14"/>
          <w:lang w:val="en-GB" w:eastAsia="en-IN"/>
        </w:rPr>
        <w:t>  </w:t>
      </w:r>
      <w:r w:rsidRPr="00525D56">
        <w:rPr>
          <w:rFonts w:ascii="Arial" w:hAnsi="Arial" w:cs="Arial"/>
          <w:color w:val="7B7B7B"/>
          <w:sz w:val="22"/>
          <w:szCs w:val="22"/>
          <w:lang w:val="en-GB" w:eastAsia="en-IN"/>
        </w:rPr>
        <w:t>A person or body, including one appointed on an interim basis</w:t>
      </w:r>
    </w:p>
    <w:p w14:paraId="46A56BCB" w14:textId="77777777" w:rsidR="00525D56" w:rsidRPr="00525D56" w:rsidRDefault="00525D56" w:rsidP="00525D56">
      <w:pPr>
        <w:shd w:val="clear" w:color="auto" w:fill="FFFFFF"/>
        <w:ind w:left="720"/>
        <w:jc w:val="both"/>
        <w:rPr>
          <w:rFonts w:ascii="Calibri" w:hAnsi="Calibri" w:cs="Calibri"/>
          <w:color w:val="222222"/>
          <w:szCs w:val="20"/>
          <w:lang w:val="en-IN" w:eastAsia="en-IN"/>
        </w:rPr>
      </w:pPr>
      <w:r w:rsidRPr="00525D56">
        <w:rPr>
          <w:rFonts w:ascii="Arial" w:hAnsi="Arial" w:cs="Arial"/>
          <w:color w:val="7B7B7B"/>
          <w:sz w:val="22"/>
          <w:szCs w:val="22"/>
          <w:lang w:val="en-GB" w:eastAsia="en-IN"/>
        </w:rPr>
        <w:t>(2)</w:t>
      </w:r>
      <w:r w:rsidRPr="00525D56">
        <w:rPr>
          <w:rFonts w:ascii="Times New Roman" w:hAnsi="Times New Roman" w:cs="Times New Roman"/>
          <w:color w:val="7B7B7B"/>
          <w:sz w:val="14"/>
          <w:szCs w:val="14"/>
          <w:lang w:val="en-GB" w:eastAsia="en-IN"/>
        </w:rPr>
        <w:t>  </w:t>
      </w:r>
      <w:r w:rsidRPr="00525D56">
        <w:rPr>
          <w:rFonts w:ascii="Arial" w:hAnsi="Arial" w:cs="Arial"/>
          <w:color w:val="7B7B7B"/>
          <w:sz w:val="22"/>
          <w:szCs w:val="22"/>
          <w:lang w:val="en-GB" w:eastAsia="en-IN"/>
        </w:rPr>
        <w:t>Authorised in a foreign proceeding</w:t>
      </w:r>
    </w:p>
    <w:p w14:paraId="53251BBE" w14:textId="77777777" w:rsidR="00525D56" w:rsidRPr="00525D56" w:rsidRDefault="00525D56" w:rsidP="00525D56">
      <w:pPr>
        <w:shd w:val="clear" w:color="auto" w:fill="FFFFFF"/>
        <w:ind w:left="720"/>
        <w:jc w:val="both"/>
        <w:rPr>
          <w:rFonts w:ascii="Calibri" w:hAnsi="Calibri" w:cs="Calibri"/>
          <w:color w:val="222222"/>
          <w:szCs w:val="20"/>
          <w:lang w:val="en-IN" w:eastAsia="en-IN"/>
        </w:rPr>
      </w:pPr>
      <w:r w:rsidRPr="00525D56">
        <w:rPr>
          <w:rFonts w:ascii="Arial" w:hAnsi="Arial" w:cs="Arial"/>
          <w:color w:val="7B7B7B"/>
          <w:sz w:val="22"/>
          <w:szCs w:val="22"/>
          <w:lang w:val="en-GB" w:eastAsia="en-IN"/>
        </w:rPr>
        <w:t>(3)</w:t>
      </w:r>
      <w:r w:rsidRPr="00525D56">
        <w:rPr>
          <w:rFonts w:ascii="Times New Roman" w:hAnsi="Times New Roman" w:cs="Times New Roman"/>
          <w:color w:val="7B7B7B"/>
          <w:sz w:val="14"/>
          <w:szCs w:val="14"/>
          <w:lang w:val="en-GB" w:eastAsia="en-IN"/>
        </w:rPr>
        <w:t>  </w:t>
      </w:r>
      <w:r w:rsidRPr="00525D56">
        <w:rPr>
          <w:rFonts w:ascii="Arial" w:hAnsi="Arial" w:cs="Arial"/>
          <w:color w:val="7B7B7B"/>
          <w:sz w:val="22"/>
          <w:szCs w:val="22"/>
          <w:lang w:val="en-GB" w:eastAsia="en-IN"/>
        </w:rPr>
        <w:t>To administer the reorganisation or liquidation of the debtor’s assets or to act as representative of the foreign proceeding.</w:t>
      </w:r>
    </w:p>
    <w:p w14:paraId="4035DF79" w14:textId="77777777" w:rsidR="00525D56" w:rsidRPr="00E13601" w:rsidRDefault="00525D56" w:rsidP="00E13601">
      <w:pPr>
        <w:shd w:val="clear" w:color="auto" w:fill="FFFFFF"/>
        <w:ind w:left="420"/>
        <w:rPr>
          <w:rFonts w:ascii="Calibri" w:hAnsi="Calibri" w:cs="Calibri"/>
          <w:color w:val="222222"/>
          <w:szCs w:val="20"/>
          <w:lang w:val="en-IN" w:eastAsia="en-IN"/>
        </w:rPr>
      </w:pPr>
      <w:bookmarkStart w:id="30" w:name="_GoBack"/>
      <w:bookmarkEnd w:id="30"/>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13D70" w14:textId="77777777" w:rsidR="00732317" w:rsidRDefault="00732317" w:rsidP="00241B44">
      <w:r>
        <w:separator/>
      </w:r>
    </w:p>
  </w:endnote>
  <w:endnote w:type="continuationSeparator" w:id="0">
    <w:p w14:paraId="3313B3FF" w14:textId="77777777" w:rsidR="00732317" w:rsidRDefault="007323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525D56">
          <w:rPr>
            <w:rStyle w:val="PageNumber"/>
            <w:rFonts w:ascii="Arial" w:hAnsi="Arial" w:cs="Arial"/>
            <w:noProof/>
            <w:sz w:val="18"/>
            <w:szCs w:val="18"/>
          </w:rPr>
          <w:t>15</w:t>
        </w:r>
        <w:r w:rsidR="0036760B" w:rsidRPr="00784B4B">
          <w:rPr>
            <w:rStyle w:val="PageNumber"/>
            <w:rFonts w:ascii="Arial" w:hAnsi="Arial" w:cs="Arial"/>
            <w:sz w:val="18"/>
            <w:szCs w:val="18"/>
          </w:rPr>
          <w:fldChar w:fldCharType="end"/>
        </w:r>
      </w:p>
    </w:sdtContent>
  </w:sdt>
  <w:p w14:paraId="0322F639" w14:textId="09261198" w:rsidR="00A10374" w:rsidRPr="009B4976" w:rsidRDefault="00A10374" w:rsidP="00A10374">
    <w:pPr>
      <w:pStyle w:val="Footer"/>
      <w:ind w:right="360"/>
      <w:rPr>
        <w:rFonts w:ascii="Arial" w:hAnsi="Arial" w:cs="Arial"/>
        <w:sz w:val="18"/>
        <w:szCs w:val="18"/>
        <w:lang w:val="en-GB"/>
      </w:rPr>
    </w:pPr>
    <w:r w:rsidRPr="00894AF6">
      <w:rPr>
        <w:rFonts w:ascii="Arial" w:hAnsi="Arial" w:cs="Arial"/>
        <w:sz w:val="18"/>
        <w:szCs w:val="18"/>
        <w:lang w:val="en-GB"/>
      </w:rPr>
      <w:t>202122-493</w:t>
    </w:r>
    <w:r w:rsidRPr="009B4976">
      <w:rPr>
        <w:rFonts w:ascii="Arial" w:hAnsi="Arial" w:cs="Arial"/>
        <w:sz w:val="18"/>
        <w:szCs w:val="18"/>
        <w:lang w:val="en-GB"/>
      </w:rPr>
      <w:t>.assessment</w:t>
    </w:r>
    <w:r>
      <w:rPr>
        <w:rFonts w:ascii="Arial" w:hAnsi="Arial" w:cs="Arial"/>
        <w:sz w:val="18"/>
        <w:szCs w:val="18"/>
        <w:lang w:val="en-GB"/>
      </w:rPr>
      <w:t>2A</w:t>
    </w:r>
  </w:p>
  <w:p w14:paraId="7E7C1A9B" w14:textId="12092025" w:rsidR="0036760B" w:rsidRPr="00784B4B" w:rsidRDefault="0036760B" w:rsidP="00A10374">
    <w:pPr>
      <w:pStyle w:val="Footer"/>
      <w:ind w:right="360" w:firstLine="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2DCF" w14:textId="77777777" w:rsidR="00784B4B" w:rsidRPr="00784B4B" w:rsidRDefault="00784B4B" w:rsidP="00784B4B">
    <w:pPr>
      <w:pStyle w:val="Footer"/>
      <w:ind w:right="360"/>
      <w:rPr>
        <w:rFonts w:ascii="Arial" w:hAnsi="Arial" w:cs="Arial"/>
        <w:sz w:val="22"/>
        <w:szCs w:val="22"/>
      </w:rPr>
    </w:pPr>
    <w:proofErr w:type="gramStart"/>
    <w:r>
      <w:t>student</w:t>
    </w:r>
    <w:proofErr w:type="gramEnd"/>
    <w:r>
      <w:t xml:space="preserve"> number.assessment2A.docx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56330" w14:textId="77777777" w:rsidR="00732317" w:rsidRDefault="00732317" w:rsidP="00241B44">
      <w:r>
        <w:separator/>
      </w:r>
    </w:p>
  </w:footnote>
  <w:footnote w:type="continuationSeparator" w:id="0">
    <w:p w14:paraId="476887A2" w14:textId="77777777" w:rsidR="00732317" w:rsidRDefault="00732317"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35106"/>
    <w:multiLevelType w:val="hybridMultilevel"/>
    <w:tmpl w:val="0442B166"/>
    <w:lvl w:ilvl="0" w:tplc="EA6841C2">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B37252"/>
    <w:multiLevelType w:val="hybridMultilevel"/>
    <w:tmpl w:val="06625F78"/>
    <w:lvl w:ilvl="0" w:tplc="67A0CB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8C3E86"/>
    <w:multiLevelType w:val="hybridMultilevel"/>
    <w:tmpl w:val="B1C45398"/>
    <w:lvl w:ilvl="0" w:tplc="A7A85FCC">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4">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884054F"/>
    <w:multiLevelType w:val="hybridMultilevel"/>
    <w:tmpl w:val="407EA99C"/>
    <w:lvl w:ilvl="0" w:tplc="BEF2C4B8">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1D44C8A"/>
    <w:multiLevelType w:val="hybridMultilevel"/>
    <w:tmpl w:val="E85A5988"/>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31">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4"/>
  </w:num>
  <w:num w:numId="3">
    <w:abstractNumId w:val="31"/>
  </w:num>
  <w:num w:numId="4">
    <w:abstractNumId w:val="40"/>
  </w:num>
  <w:num w:numId="5">
    <w:abstractNumId w:val="7"/>
  </w:num>
  <w:num w:numId="6">
    <w:abstractNumId w:val="38"/>
  </w:num>
  <w:num w:numId="7">
    <w:abstractNumId w:val="14"/>
  </w:num>
  <w:num w:numId="8">
    <w:abstractNumId w:val="33"/>
  </w:num>
  <w:num w:numId="9">
    <w:abstractNumId w:val="17"/>
  </w:num>
  <w:num w:numId="10">
    <w:abstractNumId w:val="10"/>
  </w:num>
  <w:num w:numId="11">
    <w:abstractNumId w:val="20"/>
  </w:num>
  <w:num w:numId="12">
    <w:abstractNumId w:val="37"/>
  </w:num>
  <w:num w:numId="13">
    <w:abstractNumId w:val="5"/>
  </w:num>
  <w:num w:numId="14">
    <w:abstractNumId w:val="27"/>
  </w:num>
  <w:num w:numId="15">
    <w:abstractNumId w:val="11"/>
  </w:num>
  <w:num w:numId="16">
    <w:abstractNumId w:val="12"/>
  </w:num>
  <w:num w:numId="17">
    <w:abstractNumId w:val="22"/>
  </w:num>
  <w:num w:numId="18">
    <w:abstractNumId w:val="6"/>
  </w:num>
  <w:num w:numId="19">
    <w:abstractNumId w:val="21"/>
  </w:num>
  <w:num w:numId="20">
    <w:abstractNumId w:val="43"/>
  </w:num>
  <w:num w:numId="21">
    <w:abstractNumId w:val="13"/>
  </w:num>
  <w:num w:numId="22">
    <w:abstractNumId w:val="36"/>
  </w:num>
  <w:num w:numId="23">
    <w:abstractNumId w:val="41"/>
  </w:num>
  <w:num w:numId="24">
    <w:abstractNumId w:val="35"/>
  </w:num>
  <w:num w:numId="25">
    <w:abstractNumId w:val="26"/>
  </w:num>
  <w:num w:numId="26">
    <w:abstractNumId w:val="42"/>
  </w:num>
  <w:num w:numId="27">
    <w:abstractNumId w:val="39"/>
  </w:num>
  <w:num w:numId="28">
    <w:abstractNumId w:val="8"/>
  </w:num>
  <w:num w:numId="29">
    <w:abstractNumId w:val="9"/>
  </w:num>
  <w:num w:numId="30">
    <w:abstractNumId w:val="24"/>
  </w:num>
  <w:num w:numId="31">
    <w:abstractNumId w:val="3"/>
  </w:num>
  <w:num w:numId="32">
    <w:abstractNumId w:val="25"/>
  </w:num>
  <w:num w:numId="33">
    <w:abstractNumId w:val="0"/>
  </w:num>
  <w:num w:numId="34">
    <w:abstractNumId w:val="32"/>
  </w:num>
  <w:num w:numId="35">
    <w:abstractNumId w:val="16"/>
  </w:num>
  <w:num w:numId="36">
    <w:abstractNumId w:val="34"/>
  </w:num>
  <w:num w:numId="37">
    <w:abstractNumId w:val="19"/>
  </w:num>
  <w:num w:numId="38">
    <w:abstractNumId w:val="29"/>
  </w:num>
  <w:num w:numId="39">
    <w:abstractNumId w:val="4"/>
  </w:num>
  <w:num w:numId="40">
    <w:abstractNumId w:val="15"/>
  </w:num>
  <w:num w:numId="41">
    <w:abstractNumId w:val="2"/>
  </w:num>
  <w:num w:numId="42">
    <w:abstractNumId w:val="28"/>
  </w:num>
  <w:num w:numId="43">
    <w:abstractNumId w:val="18"/>
  </w:num>
  <w:num w:numId="44">
    <w:abstractNumId w:val="23"/>
  </w:num>
  <w:num w:numId="4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32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1605"/>
    <w:rsid w:val="00082609"/>
    <w:rsid w:val="000851CC"/>
    <w:rsid w:val="00093BE8"/>
    <w:rsid w:val="00097619"/>
    <w:rsid w:val="000A3F15"/>
    <w:rsid w:val="000A68ED"/>
    <w:rsid w:val="000B4FEB"/>
    <w:rsid w:val="000B5FF1"/>
    <w:rsid w:val="000B609F"/>
    <w:rsid w:val="000C147F"/>
    <w:rsid w:val="000C28D5"/>
    <w:rsid w:val="000C6BB9"/>
    <w:rsid w:val="000D55A8"/>
    <w:rsid w:val="000E4841"/>
    <w:rsid w:val="000E6325"/>
    <w:rsid w:val="000F1677"/>
    <w:rsid w:val="000F368A"/>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B78DF"/>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8FF"/>
    <w:rsid w:val="00264FFF"/>
    <w:rsid w:val="002650D7"/>
    <w:rsid w:val="0026647A"/>
    <w:rsid w:val="002668D3"/>
    <w:rsid w:val="002675BE"/>
    <w:rsid w:val="0027271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2C3"/>
    <w:rsid w:val="002D5C95"/>
    <w:rsid w:val="002E00F8"/>
    <w:rsid w:val="002E1BB5"/>
    <w:rsid w:val="002E2322"/>
    <w:rsid w:val="002E38E2"/>
    <w:rsid w:val="002F1956"/>
    <w:rsid w:val="002F3440"/>
    <w:rsid w:val="002F38CB"/>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15DD"/>
    <w:rsid w:val="00354B1A"/>
    <w:rsid w:val="00361A0A"/>
    <w:rsid w:val="0036565C"/>
    <w:rsid w:val="0036625E"/>
    <w:rsid w:val="0036760B"/>
    <w:rsid w:val="003709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3F33"/>
    <w:rsid w:val="0045446F"/>
    <w:rsid w:val="0045683E"/>
    <w:rsid w:val="0047025B"/>
    <w:rsid w:val="00482039"/>
    <w:rsid w:val="00491675"/>
    <w:rsid w:val="00493855"/>
    <w:rsid w:val="0049508F"/>
    <w:rsid w:val="0049702A"/>
    <w:rsid w:val="004A171E"/>
    <w:rsid w:val="004A57DD"/>
    <w:rsid w:val="004A7B51"/>
    <w:rsid w:val="004A7D71"/>
    <w:rsid w:val="004A7EF3"/>
    <w:rsid w:val="004B11FD"/>
    <w:rsid w:val="004B23A2"/>
    <w:rsid w:val="004D1A5A"/>
    <w:rsid w:val="004D2FFF"/>
    <w:rsid w:val="004D3721"/>
    <w:rsid w:val="004D4970"/>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25D56"/>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93280"/>
    <w:rsid w:val="005A0CCA"/>
    <w:rsid w:val="005A321A"/>
    <w:rsid w:val="005A5395"/>
    <w:rsid w:val="005A726D"/>
    <w:rsid w:val="005B34CA"/>
    <w:rsid w:val="005B67AC"/>
    <w:rsid w:val="005C2C94"/>
    <w:rsid w:val="005C4865"/>
    <w:rsid w:val="005C56F5"/>
    <w:rsid w:val="005D43E0"/>
    <w:rsid w:val="005D5423"/>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54C"/>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4309"/>
    <w:rsid w:val="006F734A"/>
    <w:rsid w:val="00700D83"/>
    <w:rsid w:val="00704852"/>
    <w:rsid w:val="00706297"/>
    <w:rsid w:val="00706AD5"/>
    <w:rsid w:val="007074E9"/>
    <w:rsid w:val="00707FC8"/>
    <w:rsid w:val="00713DA4"/>
    <w:rsid w:val="00714BF1"/>
    <w:rsid w:val="00721383"/>
    <w:rsid w:val="0072554C"/>
    <w:rsid w:val="00725911"/>
    <w:rsid w:val="00731DBD"/>
    <w:rsid w:val="00732317"/>
    <w:rsid w:val="007333CC"/>
    <w:rsid w:val="0073399A"/>
    <w:rsid w:val="007603F5"/>
    <w:rsid w:val="007605D0"/>
    <w:rsid w:val="00760877"/>
    <w:rsid w:val="00764DB0"/>
    <w:rsid w:val="0076764D"/>
    <w:rsid w:val="0077498C"/>
    <w:rsid w:val="00784128"/>
    <w:rsid w:val="00784B4B"/>
    <w:rsid w:val="007854ED"/>
    <w:rsid w:val="00792F3F"/>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BD9"/>
    <w:rsid w:val="00817D57"/>
    <w:rsid w:val="00822764"/>
    <w:rsid w:val="0082483F"/>
    <w:rsid w:val="008264CB"/>
    <w:rsid w:val="008279C0"/>
    <w:rsid w:val="00835FD1"/>
    <w:rsid w:val="0084683C"/>
    <w:rsid w:val="00853A74"/>
    <w:rsid w:val="00860E61"/>
    <w:rsid w:val="0086213C"/>
    <w:rsid w:val="008723F3"/>
    <w:rsid w:val="00881DE6"/>
    <w:rsid w:val="008837A6"/>
    <w:rsid w:val="0089145D"/>
    <w:rsid w:val="008A0C6E"/>
    <w:rsid w:val="008A4DF2"/>
    <w:rsid w:val="008A6CFE"/>
    <w:rsid w:val="008A7470"/>
    <w:rsid w:val="008A77DB"/>
    <w:rsid w:val="008B1A08"/>
    <w:rsid w:val="008B2DE3"/>
    <w:rsid w:val="008B3546"/>
    <w:rsid w:val="008B5333"/>
    <w:rsid w:val="008B6223"/>
    <w:rsid w:val="008C66E0"/>
    <w:rsid w:val="008D58F3"/>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336F"/>
    <w:rsid w:val="00956085"/>
    <w:rsid w:val="00957951"/>
    <w:rsid w:val="00962045"/>
    <w:rsid w:val="009634F7"/>
    <w:rsid w:val="00967EDA"/>
    <w:rsid w:val="00970897"/>
    <w:rsid w:val="009764C9"/>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0374"/>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A5DF7"/>
    <w:rsid w:val="00AB685C"/>
    <w:rsid w:val="00AB6C2D"/>
    <w:rsid w:val="00AC08F7"/>
    <w:rsid w:val="00AC3839"/>
    <w:rsid w:val="00AC7082"/>
    <w:rsid w:val="00AD3FEA"/>
    <w:rsid w:val="00AD7BBD"/>
    <w:rsid w:val="00AF1293"/>
    <w:rsid w:val="00AF228E"/>
    <w:rsid w:val="00B04137"/>
    <w:rsid w:val="00B11D19"/>
    <w:rsid w:val="00B12936"/>
    <w:rsid w:val="00B14819"/>
    <w:rsid w:val="00B17AA9"/>
    <w:rsid w:val="00B32DE4"/>
    <w:rsid w:val="00B33578"/>
    <w:rsid w:val="00B359A2"/>
    <w:rsid w:val="00B370C3"/>
    <w:rsid w:val="00B411AE"/>
    <w:rsid w:val="00B44D26"/>
    <w:rsid w:val="00B60190"/>
    <w:rsid w:val="00B6029A"/>
    <w:rsid w:val="00B61419"/>
    <w:rsid w:val="00B72F5F"/>
    <w:rsid w:val="00B736DF"/>
    <w:rsid w:val="00B74FBD"/>
    <w:rsid w:val="00B82586"/>
    <w:rsid w:val="00B829A3"/>
    <w:rsid w:val="00B86DB1"/>
    <w:rsid w:val="00B87869"/>
    <w:rsid w:val="00BA0E44"/>
    <w:rsid w:val="00BA47C5"/>
    <w:rsid w:val="00BB0F2B"/>
    <w:rsid w:val="00BB6C45"/>
    <w:rsid w:val="00BC3C21"/>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1251"/>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C546B"/>
    <w:rsid w:val="00DD0802"/>
    <w:rsid w:val="00DD0A50"/>
    <w:rsid w:val="00DD2E11"/>
    <w:rsid w:val="00DE03AF"/>
    <w:rsid w:val="00DE121C"/>
    <w:rsid w:val="00DE2A27"/>
    <w:rsid w:val="00DE3705"/>
    <w:rsid w:val="00DE6633"/>
    <w:rsid w:val="00DF0933"/>
    <w:rsid w:val="00DF75F8"/>
    <w:rsid w:val="00DF7A3A"/>
    <w:rsid w:val="00E00C00"/>
    <w:rsid w:val="00E04A7C"/>
    <w:rsid w:val="00E059FB"/>
    <w:rsid w:val="00E069C4"/>
    <w:rsid w:val="00E07275"/>
    <w:rsid w:val="00E07866"/>
    <w:rsid w:val="00E07C5A"/>
    <w:rsid w:val="00E13601"/>
    <w:rsid w:val="00E15BA9"/>
    <w:rsid w:val="00E26E19"/>
    <w:rsid w:val="00E31DF3"/>
    <w:rsid w:val="00E32814"/>
    <w:rsid w:val="00E33486"/>
    <w:rsid w:val="00E450A4"/>
    <w:rsid w:val="00E506BE"/>
    <w:rsid w:val="00E55547"/>
    <w:rsid w:val="00E5717E"/>
    <w:rsid w:val="00E57410"/>
    <w:rsid w:val="00E6302B"/>
    <w:rsid w:val="00E6452F"/>
    <w:rsid w:val="00E64619"/>
    <w:rsid w:val="00E64F45"/>
    <w:rsid w:val="00E6742D"/>
    <w:rsid w:val="00E71CB0"/>
    <w:rsid w:val="00E7291D"/>
    <w:rsid w:val="00E73529"/>
    <w:rsid w:val="00E77C3D"/>
    <w:rsid w:val="00E850FE"/>
    <w:rsid w:val="00E909F0"/>
    <w:rsid w:val="00E90D47"/>
    <w:rsid w:val="00E93993"/>
    <w:rsid w:val="00E9481E"/>
    <w:rsid w:val="00E9597C"/>
    <w:rsid w:val="00EA0913"/>
    <w:rsid w:val="00EA0A2F"/>
    <w:rsid w:val="00EA75F5"/>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0CFF"/>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341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804745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3627-E034-4512-8C85-1EAE8081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15</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113</cp:revision>
  <cp:lastPrinted>2019-08-27T05:42:00Z</cp:lastPrinted>
  <dcterms:created xsi:type="dcterms:W3CDTF">2021-08-31T13:05:00Z</dcterms:created>
  <dcterms:modified xsi:type="dcterms:W3CDTF">2022-03-01T19:46:00Z</dcterms:modified>
</cp:coreProperties>
</file>