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0874" w:rsidRDefault="007B0809" w:rsidP="004F49B5">
      <w:pPr>
        <w:pStyle w:val="AODocTxt"/>
        <w:numPr>
          <w:ilvl w:val="0"/>
          <w:numId w:val="2"/>
        </w:numPr>
        <w:spacing w:before="0" w:line="240" w:lineRule="auto"/>
        <w:ind w:left="426"/>
        <w:rPr>
          <w:rFonts w:ascii="Arial" w:hAnsi="Arial" w:cs="Arial"/>
          <w:highlight w:val="yellow"/>
        </w:rPr>
      </w:pPr>
      <w:r w:rsidRPr="00E10874">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Pr="00E10874" w:rsidRDefault="007B0809" w:rsidP="004F49B5">
      <w:pPr>
        <w:pStyle w:val="AODocTxt"/>
        <w:numPr>
          <w:ilvl w:val="0"/>
          <w:numId w:val="2"/>
        </w:numPr>
        <w:spacing w:before="0" w:line="240" w:lineRule="auto"/>
        <w:ind w:left="426"/>
        <w:rPr>
          <w:rFonts w:ascii="Arial" w:hAnsi="Arial" w:cs="Arial"/>
        </w:rPr>
      </w:pPr>
      <w:r w:rsidRPr="00E10874">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6A7D1E" w:rsidRDefault="007B0809" w:rsidP="004F49B5">
      <w:pPr>
        <w:pStyle w:val="AODocTxt"/>
        <w:numPr>
          <w:ilvl w:val="0"/>
          <w:numId w:val="3"/>
        </w:numPr>
        <w:spacing w:before="0" w:line="240" w:lineRule="auto"/>
        <w:ind w:left="426"/>
        <w:rPr>
          <w:rFonts w:ascii="Arial" w:hAnsi="Arial" w:cs="Arial"/>
          <w:highlight w:val="yellow"/>
        </w:rPr>
      </w:pPr>
      <w:r w:rsidRPr="006A7D1E">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F73852" w:rsidRDefault="007B0809" w:rsidP="004F49B5">
      <w:pPr>
        <w:pStyle w:val="AODocTxt"/>
        <w:numPr>
          <w:ilvl w:val="0"/>
          <w:numId w:val="4"/>
        </w:numPr>
        <w:spacing w:before="0" w:line="240" w:lineRule="auto"/>
        <w:ind w:left="426"/>
        <w:rPr>
          <w:rFonts w:ascii="Arial" w:hAnsi="Arial" w:cs="Arial"/>
          <w:highlight w:val="yellow"/>
        </w:rPr>
      </w:pPr>
      <w:r w:rsidRPr="00F73852">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D8497E" w:rsidRDefault="007B0809" w:rsidP="004F49B5">
      <w:pPr>
        <w:pStyle w:val="AODocTxt"/>
        <w:numPr>
          <w:ilvl w:val="0"/>
          <w:numId w:val="5"/>
        </w:numPr>
        <w:spacing w:before="0" w:line="240" w:lineRule="auto"/>
        <w:ind w:left="426"/>
        <w:rPr>
          <w:rFonts w:ascii="Arial" w:hAnsi="Arial" w:cs="Arial"/>
          <w:highlight w:val="yellow"/>
        </w:rPr>
      </w:pPr>
      <w:r w:rsidRPr="00D8497E">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w:t>
      </w:r>
      <w:proofErr w:type="spellStart"/>
      <w:r w:rsidRPr="007B0809">
        <w:rPr>
          <w:rFonts w:ascii="Arial" w:hAnsi="Arial" w:cs="Arial"/>
        </w:rPr>
        <w:t>cramdowns</w:t>
      </w:r>
      <w:proofErr w:type="spellEnd"/>
      <w:r w:rsidRPr="007B0809">
        <w:rPr>
          <w:rFonts w:ascii="Arial" w:hAnsi="Arial" w:cs="Arial"/>
        </w:rPr>
        <w:t xml:space="preserve">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Because </w:t>
      </w:r>
      <w:proofErr w:type="spellStart"/>
      <w:r w:rsidRPr="007B0809">
        <w:rPr>
          <w:rFonts w:ascii="Arial" w:hAnsi="Arial" w:cs="Arial"/>
        </w:rPr>
        <w:t>cramdowns</w:t>
      </w:r>
      <w:proofErr w:type="spellEnd"/>
      <w:r w:rsidRPr="007B0809">
        <w:rPr>
          <w:rFonts w:ascii="Arial" w:hAnsi="Arial" w:cs="Arial"/>
        </w:rPr>
        <w:t xml:space="preserve">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303523" w:rsidRDefault="007B0809" w:rsidP="004F49B5">
      <w:pPr>
        <w:pStyle w:val="AODocTxt"/>
        <w:numPr>
          <w:ilvl w:val="0"/>
          <w:numId w:val="6"/>
        </w:numPr>
        <w:spacing w:before="0" w:line="240" w:lineRule="auto"/>
        <w:ind w:left="426"/>
        <w:rPr>
          <w:rFonts w:ascii="Arial" w:hAnsi="Arial" w:cs="Arial"/>
          <w:highlight w:val="yellow"/>
        </w:rPr>
      </w:pPr>
      <w:r w:rsidRPr="00303523">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4B4B9D">
        <w:rPr>
          <w:rFonts w:ascii="Arial" w:hAnsi="Arial" w:cs="Arial"/>
          <w:highlight w:val="yellow"/>
        </w:rPr>
        <w:t>During the exclusivity period, only the debtor may propose a plan of reorganization</w:t>
      </w:r>
      <w:r w:rsidRPr="00E12EC4">
        <w:rPr>
          <w:rFonts w:ascii="Arial" w:hAnsi="Arial" w:cs="Arial"/>
        </w:rPr>
        <w:t>.</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A71CE3" w:rsidRDefault="007B0809" w:rsidP="004F49B5">
      <w:pPr>
        <w:pStyle w:val="AODocTxt"/>
        <w:numPr>
          <w:ilvl w:val="0"/>
          <w:numId w:val="8"/>
        </w:numPr>
        <w:spacing w:before="0" w:line="240" w:lineRule="auto"/>
        <w:ind w:left="426"/>
        <w:rPr>
          <w:rFonts w:ascii="Arial" w:hAnsi="Arial" w:cs="Arial"/>
          <w:highlight w:val="yellow"/>
        </w:rPr>
      </w:pPr>
      <w:r w:rsidRPr="00A71CE3">
        <w:rPr>
          <w:rFonts w:ascii="Arial" w:hAnsi="Arial" w:cs="Arial"/>
          <w:highlight w:val="yellow"/>
        </w:rPr>
        <w:t>The automatic stay applies upon the filing of a petition for recognition.</w:t>
      </w:r>
      <w:r w:rsidR="00F92140" w:rsidRPr="00A71CE3">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4B4B9D" w:rsidRDefault="007B0809" w:rsidP="004F49B5">
      <w:pPr>
        <w:pStyle w:val="AODocTxt"/>
        <w:numPr>
          <w:ilvl w:val="0"/>
          <w:numId w:val="9"/>
        </w:numPr>
        <w:spacing w:before="0" w:line="240" w:lineRule="auto"/>
        <w:ind w:left="426"/>
        <w:rPr>
          <w:rFonts w:ascii="Arial" w:hAnsi="Arial" w:cs="Arial"/>
          <w:highlight w:val="yellow"/>
        </w:rPr>
      </w:pPr>
      <w:r w:rsidRPr="004B4B9D">
        <w:rPr>
          <w:rFonts w:ascii="Arial" w:hAnsi="Arial" w:cs="Arial"/>
          <w:highlight w:val="yellow"/>
        </w:rPr>
        <w:t>A creditor’s lien on assets sold in a 363 sale attaches to the proceeds of the sale.</w:t>
      </w:r>
      <w:r w:rsidR="00F92140" w:rsidRPr="004B4B9D">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8337CE" w:rsidRDefault="007B0809" w:rsidP="004F49B5">
      <w:pPr>
        <w:pStyle w:val="AODocTxt"/>
        <w:numPr>
          <w:ilvl w:val="0"/>
          <w:numId w:val="10"/>
        </w:numPr>
        <w:spacing w:before="0" w:line="240" w:lineRule="auto"/>
        <w:ind w:left="426"/>
        <w:rPr>
          <w:rFonts w:ascii="Arial" w:hAnsi="Arial" w:cs="Arial"/>
          <w:highlight w:val="yellow"/>
        </w:rPr>
      </w:pPr>
      <w:r w:rsidRPr="008337CE">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bookmarkStart w:id="0" w:name="_GoBack"/>
      <w:bookmarkEnd w:id="0"/>
    </w:p>
    <w:p w14:paraId="3203F38E" w14:textId="4E47F3DA" w:rsidR="007B0809" w:rsidRPr="006B6865" w:rsidRDefault="007B0809" w:rsidP="004F49B5">
      <w:pPr>
        <w:pStyle w:val="AODocTxt"/>
        <w:numPr>
          <w:ilvl w:val="0"/>
          <w:numId w:val="11"/>
        </w:numPr>
        <w:spacing w:before="0" w:line="240" w:lineRule="auto"/>
        <w:ind w:left="426"/>
        <w:rPr>
          <w:rFonts w:ascii="Arial" w:hAnsi="Arial" w:cs="Arial"/>
          <w:highlight w:val="yellow"/>
        </w:rPr>
      </w:pPr>
      <w:r w:rsidRPr="006B6865">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1"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6BA4ABD7" w14:textId="77777777" w:rsidR="00362DE2" w:rsidRDefault="00D27FAC"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voluntary petition for bankruptcy, the insolvency of corporation is not a mandatory criteria for filing of petition</w:t>
      </w:r>
      <w:r w:rsidR="003A2DED">
        <w:rPr>
          <w:rFonts w:ascii="Arial" w:hAnsi="Arial" w:cs="Arial"/>
          <w:color w:val="7B7B7B" w:themeColor="accent3" w:themeShade="BF"/>
          <w:sz w:val="22"/>
          <w:szCs w:val="22"/>
          <w:lang w:val="en-GB"/>
        </w:rPr>
        <w:t xml:space="preserve">. </w:t>
      </w:r>
      <w:r w:rsidR="004B627D">
        <w:rPr>
          <w:rFonts w:ascii="Arial" w:hAnsi="Arial" w:cs="Arial"/>
          <w:color w:val="7B7B7B" w:themeColor="accent3" w:themeShade="BF"/>
          <w:sz w:val="22"/>
          <w:szCs w:val="22"/>
          <w:lang w:val="en-GB"/>
        </w:rPr>
        <w:t>Further, a</w:t>
      </w:r>
      <w:r w:rsidR="003A2DED">
        <w:rPr>
          <w:rFonts w:ascii="Arial" w:hAnsi="Arial" w:cs="Arial"/>
          <w:color w:val="7B7B7B" w:themeColor="accent3" w:themeShade="BF"/>
          <w:sz w:val="22"/>
          <w:szCs w:val="22"/>
          <w:lang w:val="en-GB"/>
        </w:rPr>
        <w:t xml:space="preserve"> number of schedules</w:t>
      </w:r>
      <w:r w:rsidR="001C6FA3">
        <w:rPr>
          <w:rFonts w:ascii="Arial" w:hAnsi="Arial" w:cs="Arial"/>
          <w:color w:val="7B7B7B" w:themeColor="accent3" w:themeShade="BF"/>
          <w:sz w:val="22"/>
          <w:szCs w:val="22"/>
          <w:lang w:val="en-GB"/>
        </w:rPr>
        <w:t xml:space="preserve"> (list of assets and creditors, </w:t>
      </w:r>
      <w:proofErr w:type="spellStart"/>
      <w:r w:rsidR="001C6FA3">
        <w:rPr>
          <w:rFonts w:ascii="Arial" w:hAnsi="Arial" w:cs="Arial"/>
          <w:color w:val="7B7B7B" w:themeColor="accent3" w:themeShade="BF"/>
          <w:sz w:val="22"/>
          <w:szCs w:val="22"/>
          <w:lang w:val="en-GB"/>
        </w:rPr>
        <w:t>etc</w:t>
      </w:r>
      <w:proofErr w:type="spellEnd"/>
      <w:r w:rsidR="001C6FA3">
        <w:rPr>
          <w:rFonts w:ascii="Arial" w:hAnsi="Arial" w:cs="Arial"/>
          <w:color w:val="7B7B7B" w:themeColor="accent3" w:themeShade="BF"/>
          <w:sz w:val="22"/>
          <w:szCs w:val="22"/>
          <w:lang w:val="en-GB"/>
        </w:rPr>
        <w:t>)</w:t>
      </w:r>
      <w:r w:rsidR="003A2DED">
        <w:rPr>
          <w:rFonts w:ascii="Arial" w:hAnsi="Arial" w:cs="Arial"/>
          <w:color w:val="7B7B7B" w:themeColor="accent3" w:themeShade="BF"/>
          <w:sz w:val="22"/>
          <w:szCs w:val="22"/>
          <w:lang w:val="en-GB"/>
        </w:rPr>
        <w:t xml:space="preserve"> are to be filed with voluntary petition</w:t>
      </w:r>
      <w:r w:rsidR="001C6FA3">
        <w:rPr>
          <w:rFonts w:ascii="Arial" w:hAnsi="Arial" w:cs="Arial"/>
          <w:color w:val="7B7B7B" w:themeColor="accent3" w:themeShade="BF"/>
          <w:sz w:val="22"/>
          <w:szCs w:val="22"/>
          <w:lang w:val="en-GB"/>
        </w:rPr>
        <w:t>, however even if they are absent, a naked petition is sufficient to invoke the automatic stay and commence a case under the Bankruptcy Code.</w:t>
      </w:r>
      <w:r w:rsidR="00805E0A">
        <w:rPr>
          <w:rFonts w:ascii="Arial" w:hAnsi="Arial" w:cs="Arial"/>
          <w:color w:val="7B7B7B" w:themeColor="accent3" w:themeShade="BF"/>
          <w:sz w:val="22"/>
          <w:szCs w:val="22"/>
          <w:lang w:val="en-GB"/>
        </w:rPr>
        <w:t xml:space="preserve"> </w:t>
      </w:r>
      <w:r w:rsidR="007B0187">
        <w:rPr>
          <w:rFonts w:ascii="Arial" w:hAnsi="Arial" w:cs="Arial"/>
          <w:color w:val="7B7B7B" w:themeColor="accent3" w:themeShade="BF"/>
          <w:sz w:val="22"/>
          <w:szCs w:val="22"/>
          <w:lang w:val="en-GB"/>
        </w:rPr>
        <w:t>However, t</w:t>
      </w:r>
      <w:r w:rsidR="00805E0A">
        <w:rPr>
          <w:rFonts w:ascii="Arial" w:hAnsi="Arial" w:cs="Arial"/>
          <w:color w:val="7B7B7B" w:themeColor="accent3" w:themeShade="BF"/>
          <w:sz w:val="22"/>
          <w:szCs w:val="22"/>
          <w:lang w:val="en-GB"/>
        </w:rPr>
        <w:t xml:space="preserve">he petition can be dismissed if it has been filed for an improper purpose. </w:t>
      </w:r>
    </w:p>
    <w:p w14:paraId="5C22E63C" w14:textId="77777777" w:rsidR="00362DE2" w:rsidRDefault="00362DE2" w:rsidP="00E12EC4">
      <w:pPr>
        <w:jc w:val="both"/>
        <w:rPr>
          <w:rFonts w:ascii="Arial" w:hAnsi="Arial" w:cs="Arial"/>
          <w:color w:val="7B7B7B" w:themeColor="accent3" w:themeShade="BF"/>
          <w:sz w:val="22"/>
          <w:szCs w:val="22"/>
          <w:lang w:val="en-GB"/>
        </w:rPr>
      </w:pPr>
    </w:p>
    <w:p w14:paraId="6618C9C5" w14:textId="77777777" w:rsidR="00B247BD" w:rsidRDefault="00362DE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Involuntary bankruptcy proceedings </w:t>
      </w:r>
      <w:r w:rsidR="00C5013B">
        <w:rPr>
          <w:rFonts w:ascii="Arial" w:hAnsi="Arial" w:cs="Arial"/>
          <w:color w:val="7B7B7B" w:themeColor="accent3" w:themeShade="BF"/>
          <w:sz w:val="22"/>
          <w:szCs w:val="22"/>
          <w:lang w:val="en-GB"/>
        </w:rPr>
        <w:t xml:space="preserve">can be commenced against eligible debtors either under chapter 7 or chapter 11. Further, the filing of the petition is dependent on the petitioning creditors, i.e., if it has more than </w:t>
      </w:r>
      <w:r w:rsidR="00AF7913">
        <w:rPr>
          <w:rFonts w:ascii="Arial" w:hAnsi="Arial" w:cs="Arial"/>
          <w:color w:val="7B7B7B" w:themeColor="accent3" w:themeShade="BF"/>
          <w:sz w:val="22"/>
          <w:szCs w:val="22"/>
          <w:lang w:val="en-GB"/>
        </w:rPr>
        <w:t xml:space="preserve">12 creditors, then atleast three qualifying creditors must join in the petition, and if it has less than 12 creditors, then only one is required to file an involuntary petition. </w:t>
      </w:r>
    </w:p>
    <w:p w14:paraId="164E4725" w14:textId="3AF0D18D" w:rsidR="00E12EC4" w:rsidRPr="00FF5098" w:rsidRDefault="0084691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to qualify as a petitioning creditor, </w:t>
      </w:r>
      <w:r w:rsidR="00DD6BB5">
        <w:rPr>
          <w:rFonts w:ascii="Arial" w:hAnsi="Arial" w:cs="Arial"/>
          <w:color w:val="7B7B7B" w:themeColor="accent3" w:themeShade="BF"/>
          <w:sz w:val="22"/>
          <w:szCs w:val="22"/>
          <w:lang w:val="en-GB"/>
        </w:rPr>
        <w:t xml:space="preserve">the creditor must have a claim against the debtor that is non- contingent and not the subject of bona fide dispute </w:t>
      </w:r>
      <w:r w:rsidR="00B247BD">
        <w:rPr>
          <w:rFonts w:ascii="Arial" w:hAnsi="Arial" w:cs="Arial"/>
          <w:color w:val="7B7B7B" w:themeColor="accent3" w:themeShade="BF"/>
          <w:sz w:val="22"/>
          <w:szCs w:val="22"/>
          <w:lang w:val="en-GB"/>
        </w:rPr>
        <w:t>as to liability or amount. Further, unlike the voluntary petition (requiring no allegation of insolvency),</w:t>
      </w:r>
      <w:r w:rsidR="00486C46">
        <w:rPr>
          <w:rFonts w:ascii="Arial" w:hAnsi="Arial" w:cs="Arial"/>
          <w:color w:val="7B7B7B" w:themeColor="accent3" w:themeShade="BF"/>
          <w:sz w:val="22"/>
          <w:szCs w:val="22"/>
          <w:lang w:val="en-GB"/>
        </w:rPr>
        <w:t xml:space="preserve"> the involuntary petition form mandates that the petitioning creditors must allege that the dues ar</w:t>
      </w:r>
      <w:r w:rsidR="00F51EA6">
        <w:rPr>
          <w:rFonts w:ascii="Arial" w:hAnsi="Arial" w:cs="Arial"/>
          <w:color w:val="7B7B7B" w:themeColor="accent3" w:themeShade="BF"/>
          <w:sz w:val="22"/>
          <w:szCs w:val="22"/>
          <w:lang w:val="en-GB"/>
        </w:rPr>
        <w:t>e not being paid by the debtor.</w:t>
      </w:r>
      <w:r w:rsidR="00E12EC4" w:rsidRPr="00FF5098">
        <w:rPr>
          <w:rFonts w:ascii="Arial" w:hAnsi="Arial" w:cs="Arial"/>
          <w:color w:val="7B7B7B" w:themeColor="accent3" w:themeShade="BF"/>
          <w:sz w:val="22"/>
          <w:szCs w:val="22"/>
          <w:lang w:val="en-GB"/>
        </w:rPr>
        <w: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A471C5" w:rsidRDefault="00E12EC4" w:rsidP="00323167">
      <w:pPr>
        <w:pStyle w:val="AODocTxt"/>
        <w:spacing w:before="0" w:line="240" w:lineRule="auto"/>
        <w:rPr>
          <w:rFonts w:ascii="Arial" w:hAnsi="Arial" w:cs="Arial"/>
          <w:lang w:val="en-IN"/>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470A7068" w:rsidR="00E12EC4" w:rsidRPr="00FF5098" w:rsidRDefault="00A471C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action taken which is in violation of the automatic stay has consequences attached to it. An act against the automatic stay would be considered as contempt of court and would be considered as void or voidable. Further, if relief is not obtained, it may also </w:t>
      </w:r>
      <w:r w:rsidR="0055649E">
        <w:rPr>
          <w:rFonts w:ascii="Arial" w:hAnsi="Arial" w:cs="Arial"/>
          <w:color w:val="7B7B7B" w:themeColor="accent3" w:themeShade="BF"/>
          <w:sz w:val="22"/>
          <w:szCs w:val="22"/>
          <w:lang w:val="en-GB"/>
        </w:rPr>
        <w:t>result in sanctions against the stay violator including the payment of debtors’ attorneys’ fees. Actions should also be taken to undo the effects of its violations</w:t>
      </w:r>
      <w:r w:rsidR="00CC1050">
        <w:rPr>
          <w:rFonts w:ascii="Arial" w:hAnsi="Arial" w:cs="Arial"/>
          <w:color w:val="7B7B7B" w:themeColor="accent3" w:themeShade="BF"/>
          <w:sz w:val="22"/>
          <w:szCs w:val="22"/>
          <w:lang w:val="en-GB"/>
        </w:rPr>
        <w:t>.</w:t>
      </w:r>
      <w:r w:rsidR="00E12EC4" w:rsidRPr="00FF5098">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0D896833" w14:textId="77777777" w:rsidR="00B655B7" w:rsidRDefault="00B655B7" w:rsidP="00323167">
      <w:pPr>
        <w:pStyle w:val="AODocTxt"/>
        <w:spacing w:before="0" w:line="240" w:lineRule="auto"/>
        <w:rPr>
          <w:rFonts w:ascii="Arial" w:hAnsi="Arial" w:cs="Arial"/>
          <w:b/>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1B18C5">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154D018" w14:textId="77777777" w:rsidR="001B18C5" w:rsidRDefault="006B30F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is considered as “impaired”</w:t>
      </w:r>
      <w:r w:rsidR="00EF350F">
        <w:rPr>
          <w:rFonts w:ascii="Arial" w:hAnsi="Arial" w:cs="Arial"/>
          <w:color w:val="7B7B7B" w:themeColor="accent3" w:themeShade="BF"/>
          <w:sz w:val="22"/>
          <w:szCs w:val="22"/>
          <w:lang w:val="en-GB"/>
        </w:rPr>
        <w:t xml:space="preserve"> whose contractual rights are to be modified, i.e., the legal equitable or contractual rights are altered or who would be paid less than the value of the claims under the proposed plan.</w:t>
      </w:r>
      <w:r w:rsidR="001B18C5">
        <w:rPr>
          <w:rFonts w:ascii="Arial" w:hAnsi="Arial" w:cs="Arial"/>
          <w:color w:val="7B7B7B" w:themeColor="accent3" w:themeShade="BF"/>
          <w:sz w:val="22"/>
          <w:szCs w:val="22"/>
          <w:lang w:val="en-GB"/>
        </w:rPr>
        <w:t xml:space="preserve"> Only one consenting impaired class is required for the approval of the plan and it would be sufficient to invoke the cramdown of all other dissenting creditors. </w:t>
      </w:r>
    </w:p>
    <w:p w14:paraId="3A0B4207" w14:textId="1DC003E9" w:rsidR="00E12EC4" w:rsidRPr="00FF5098" w:rsidRDefault="001B18C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holder of an impaired claim is not entitled to vote on a proposed plan of reorganisation when the impaired class is an insider and thereafter the plan would not deemed to have been accepted.</w:t>
      </w:r>
      <w:r w:rsidR="00E12EC4" w:rsidRPr="00FF5098">
        <w:rPr>
          <w:rFonts w:ascii="Arial" w:hAnsi="Arial" w:cs="Arial"/>
          <w:color w:val="7B7B7B" w:themeColor="accent3" w:themeShade="BF"/>
          <w:sz w:val="22"/>
          <w:szCs w:val="22"/>
          <w:lang w:val="en-GB"/>
        </w:rPr>
        <w:t>]</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A9B24FE" w:rsidR="00E12EC4" w:rsidRDefault="00C262BA"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[Transfer made on account of antecedent debt- Preference.</w:t>
      </w:r>
      <w:r w:rsidR="00E12EC4" w:rsidRPr="00E12EC4">
        <w:rPr>
          <w:rFonts w:ascii="Arial" w:hAnsi="Arial" w:cs="Arial"/>
          <w:color w:val="7B7B7B" w:themeColor="accent3" w:themeShade="BF"/>
          <w:sz w:val="22"/>
          <w:szCs w:val="22"/>
          <w:lang w:val="en-GB"/>
        </w:rPr>
        <w:t>]</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1C24AC27" w:rsidR="005B2A9B" w:rsidRPr="00FF5098" w:rsidRDefault="005E7F84"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[Constructive fraudulent conveyance</w:t>
      </w:r>
      <w:r w:rsidR="005B2A9B" w:rsidRPr="00FF5098">
        <w:rPr>
          <w:rFonts w:ascii="Arial" w:hAnsi="Arial" w:cs="Arial"/>
          <w:color w:val="7B7B7B" w:themeColor="accent3" w:themeShade="BF"/>
          <w:sz w:val="22"/>
          <w:szCs w:val="22"/>
          <w:lang w:val="en-GB"/>
        </w:rPr>
        <w:t>]</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34DD2D7D" w:rsidR="005B2A9B" w:rsidRPr="00FF5098" w:rsidRDefault="005E7F84"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w:t>
      </w:r>
      <w:r w:rsidR="005B2A9B" w:rsidRPr="00FF5098">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133654D0" w14:textId="77777777" w:rsidR="008D35D4" w:rsidRDefault="00C0548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Stern v Marshall, the US Supreme Court shocked the bankruptcy practitioners by stating that even in core proceedings, a final order cannot be issued by the bankruptcy courts that would be against Article III jurisdiction. </w:t>
      </w:r>
    </w:p>
    <w:p w14:paraId="3B86E8E2" w14:textId="77777777" w:rsidR="00285F2E" w:rsidRDefault="00C0548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aforementioned case, a bankruptcy claim was filed against the debtor and the debtor filed a counterclaim. Simultaneously, the issues related to counter claim were the subject of separate state court proceedings. As per the US laws, a parallel proceeding is permitted in state and federal courts and the first judgment passed would be binding on the parties. </w:t>
      </w:r>
      <w:r w:rsidR="00183D7B">
        <w:rPr>
          <w:rFonts w:ascii="Arial" w:hAnsi="Arial" w:cs="Arial"/>
          <w:color w:val="7B7B7B" w:themeColor="accent3" w:themeShade="BF"/>
          <w:sz w:val="22"/>
          <w:szCs w:val="22"/>
          <w:lang w:val="en-GB"/>
        </w:rPr>
        <w:t xml:space="preserve">The judgment was passed by the bankruptcy court first awarding USD 400 million to the debtor, however, the state court case was still continuing while the bankruptcy court judgment was appealed to the district court. </w:t>
      </w:r>
      <w:r w:rsidR="008D35D4">
        <w:rPr>
          <w:rFonts w:ascii="Arial" w:hAnsi="Arial" w:cs="Arial"/>
          <w:color w:val="7B7B7B" w:themeColor="accent3" w:themeShade="BF"/>
          <w:sz w:val="22"/>
          <w:szCs w:val="22"/>
          <w:lang w:val="en-GB"/>
        </w:rPr>
        <w:t xml:space="preserve">The district court judgment affirmed the bankruptcy court’s </w:t>
      </w:r>
      <w:r w:rsidR="008D35D4">
        <w:rPr>
          <w:rFonts w:ascii="Arial" w:hAnsi="Arial" w:cs="Arial"/>
          <w:color w:val="7B7B7B" w:themeColor="accent3" w:themeShade="BF"/>
          <w:sz w:val="22"/>
          <w:szCs w:val="22"/>
          <w:lang w:val="en-GB"/>
        </w:rPr>
        <w:lastRenderedPageBreak/>
        <w:t xml:space="preserve">decision, however, the state court’s verdict was passed before in favor of the claimant. Finally, the US Supreme Court held that the bankruptcy court’s final order over a state law court was unconstitutional under article III, even though the law provides that a counterclaim is a core proceeding as to which a bankruptcy court can issue a final order. Hence, the verdict given by the jury was the first final judgment and was conclusive </w:t>
      </w:r>
      <w:r w:rsidR="0078518C">
        <w:rPr>
          <w:rFonts w:ascii="Arial" w:hAnsi="Arial" w:cs="Arial"/>
          <w:color w:val="7B7B7B" w:themeColor="accent3" w:themeShade="BF"/>
          <w:sz w:val="22"/>
          <w:szCs w:val="22"/>
          <w:lang w:val="en-GB"/>
        </w:rPr>
        <w:t>of the issues.</w:t>
      </w:r>
    </w:p>
    <w:p w14:paraId="4B6F7DE7" w14:textId="6D009F0D" w:rsidR="005B2A9B" w:rsidRDefault="00285F2E" w:rsidP="00FB113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Stern v Marshall changed the law of bankruptcy court jurisdiction and the auth</w:t>
      </w:r>
      <w:r w:rsidR="00611A0C">
        <w:rPr>
          <w:rFonts w:ascii="Arial" w:hAnsi="Arial" w:cs="Arial"/>
          <w:color w:val="7B7B7B" w:themeColor="accent3" w:themeShade="BF"/>
          <w:sz w:val="22"/>
          <w:szCs w:val="22"/>
          <w:lang w:val="en-GB"/>
        </w:rPr>
        <w:t>ority to enter the final order.</w:t>
      </w:r>
      <w:r w:rsidR="005B2A9B" w:rsidRPr="00FF5098">
        <w:rPr>
          <w:rFonts w:ascii="Arial" w:hAnsi="Arial" w:cs="Arial"/>
          <w:color w:val="7B7B7B" w:themeColor="accent3" w:themeShade="BF"/>
          <w:sz w:val="22"/>
          <w:szCs w:val="22"/>
          <w:lang w:val="en-GB"/>
        </w:rPr>
        <w:t>]</w:t>
      </w:r>
    </w:p>
    <w:p w14:paraId="66ED1152" w14:textId="77777777" w:rsidR="001634EB" w:rsidRPr="00FB1136" w:rsidRDefault="001634EB" w:rsidP="00FB1136">
      <w:pPr>
        <w:jc w:val="both"/>
        <w:rPr>
          <w:rFonts w:ascii="Arial" w:hAnsi="Arial" w:cs="Arial"/>
          <w:color w:val="7B7B7B" w:themeColor="accent3" w:themeShade="BF"/>
          <w:sz w:val="22"/>
          <w:szCs w:val="22"/>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2AFB1C03" w14:textId="77777777" w:rsidR="00053EC2" w:rsidRDefault="00F25A5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chapter 15 proceedings, the proceedings are commenced when a petition is filed by the foreign representative</w:t>
      </w:r>
      <w:r w:rsidR="00C37373">
        <w:rPr>
          <w:rFonts w:ascii="Arial" w:hAnsi="Arial" w:cs="Arial"/>
          <w:color w:val="7B7B7B" w:themeColor="accent3" w:themeShade="BF"/>
          <w:sz w:val="22"/>
          <w:szCs w:val="22"/>
          <w:lang w:val="en-GB"/>
        </w:rPr>
        <w:t xml:space="preserve"> of the debtor, i.e., the debtor cannot be placed involuntary by the creditor filing</w:t>
      </w:r>
      <w:r w:rsidR="00053EC2">
        <w:rPr>
          <w:rFonts w:ascii="Arial" w:hAnsi="Arial" w:cs="Arial"/>
          <w:color w:val="7B7B7B" w:themeColor="accent3" w:themeShade="BF"/>
          <w:sz w:val="22"/>
          <w:szCs w:val="22"/>
          <w:lang w:val="en-GB"/>
        </w:rPr>
        <w:t xml:space="preserve"> under chapter 15</w:t>
      </w:r>
      <w:r w:rsidR="00C37373">
        <w:rPr>
          <w:rFonts w:ascii="Arial" w:hAnsi="Arial" w:cs="Arial"/>
          <w:color w:val="7B7B7B" w:themeColor="accent3" w:themeShade="BF"/>
          <w:sz w:val="22"/>
          <w:szCs w:val="22"/>
          <w:lang w:val="en-GB"/>
        </w:rPr>
        <w:t>.</w:t>
      </w:r>
      <w:r w:rsidR="00053EC2">
        <w:rPr>
          <w:rFonts w:ascii="Arial" w:hAnsi="Arial" w:cs="Arial"/>
          <w:color w:val="7B7B7B" w:themeColor="accent3" w:themeShade="BF"/>
          <w:sz w:val="22"/>
          <w:szCs w:val="22"/>
          <w:lang w:val="en-GB"/>
        </w:rPr>
        <w:t xml:space="preserve"> </w:t>
      </w:r>
    </w:p>
    <w:p w14:paraId="1C52EA1D" w14:textId="4BC1ABAD" w:rsidR="00F657A4" w:rsidRPr="00CB5C98" w:rsidRDefault="00053EC2" w:rsidP="00CB5C98">
      <w:pPr>
        <w:pStyle w:val="ListParagraph"/>
        <w:numPr>
          <w:ilvl w:val="0"/>
          <w:numId w:val="14"/>
        </w:numPr>
        <w:jc w:val="both"/>
        <w:rPr>
          <w:rFonts w:ascii="Arial" w:hAnsi="Arial" w:cs="Arial"/>
          <w:color w:val="7B7B7B" w:themeColor="accent3" w:themeShade="BF"/>
          <w:sz w:val="22"/>
          <w:szCs w:val="22"/>
          <w:lang w:val="en-GB"/>
        </w:rPr>
      </w:pPr>
      <w:r w:rsidRPr="00CB5C98">
        <w:rPr>
          <w:rFonts w:ascii="Arial" w:hAnsi="Arial" w:cs="Arial"/>
          <w:color w:val="7B7B7B" w:themeColor="accent3" w:themeShade="BF"/>
          <w:sz w:val="22"/>
          <w:szCs w:val="22"/>
          <w:lang w:val="en-GB"/>
        </w:rPr>
        <w:t>The provisions of bankruptcy code, with regard to automatic stay, may not be invoked by a foreign representative in a chapter 15 proceeding. The filing of the petition does not automatically invoke the stay of creditor action</w:t>
      </w:r>
      <w:r w:rsidR="00CB5C98">
        <w:rPr>
          <w:rFonts w:ascii="Arial" w:hAnsi="Arial" w:cs="Arial"/>
          <w:color w:val="7B7B7B" w:themeColor="accent3" w:themeShade="BF"/>
          <w:sz w:val="22"/>
          <w:szCs w:val="22"/>
          <w:lang w:val="en-GB"/>
        </w:rPr>
        <w:t xml:space="preserve">. </w:t>
      </w:r>
      <w:r w:rsidR="00CB5C98" w:rsidRPr="00CB5C98">
        <w:rPr>
          <w:rFonts w:ascii="Arial" w:hAnsi="Arial" w:cs="Arial"/>
          <w:color w:val="7B7B7B" w:themeColor="accent3" w:themeShade="BF"/>
          <w:sz w:val="22"/>
          <w:szCs w:val="22"/>
          <w:lang w:val="en-GB"/>
        </w:rPr>
        <w:t>Also, it is limited to the property of the debtor within the territorial jurisdiction of the United States.</w:t>
      </w:r>
      <w:r w:rsidR="00CB5C98">
        <w:rPr>
          <w:rFonts w:ascii="Arial" w:hAnsi="Arial" w:cs="Arial"/>
          <w:b/>
          <w:color w:val="7B7B7B" w:themeColor="accent3" w:themeShade="BF"/>
          <w:sz w:val="22"/>
          <w:szCs w:val="22"/>
          <w:lang w:val="en-GB"/>
        </w:rPr>
        <w:t xml:space="preserve"> T</w:t>
      </w:r>
      <w:r w:rsidRPr="00CB5C98">
        <w:rPr>
          <w:rFonts w:ascii="Arial" w:hAnsi="Arial" w:cs="Arial"/>
          <w:b/>
          <w:color w:val="7B7B7B" w:themeColor="accent3" w:themeShade="BF"/>
          <w:sz w:val="22"/>
          <w:szCs w:val="22"/>
          <w:lang w:val="en-GB"/>
        </w:rPr>
        <w:t xml:space="preserve">he stay is granted only when the </w:t>
      </w:r>
      <w:r w:rsidR="00391E17" w:rsidRPr="00CB5C98">
        <w:rPr>
          <w:rFonts w:ascii="Arial" w:hAnsi="Arial" w:cs="Arial"/>
          <w:b/>
          <w:color w:val="7B7B7B" w:themeColor="accent3" w:themeShade="BF"/>
          <w:sz w:val="22"/>
          <w:szCs w:val="22"/>
          <w:lang w:val="en-GB"/>
        </w:rPr>
        <w:t>petition for the recognition of the foreign main proceedings is allowed.</w:t>
      </w:r>
      <w:r w:rsidR="00391E17" w:rsidRPr="00CB5C98">
        <w:rPr>
          <w:rFonts w:ascii="Arial" w:hAnsi="Arial" w:cs="Arial"/>
          <w:color w:val="7B7B7B" w:themeColor="accent3" w:themeShade="BF"/>
          <w:sz w:val="22"/>
          <w:szCs w:val="22"/>
          <w:lang w:val="en-GB"/>
        </w:rPr>
        <w:t xml:space="preserve"> </w:t>
      </w:r>
    </w:p>
    <w:p w14:paraId="4268B1B6" w14:textId="3EF071B5" w:rsidR="005B2A9B" w:rsidRPr="00CB5C98" w:rsidRDefault="00CB5C98" w:rsidP="00CB5C98">
      <w:pPr>
        <w:pStyle w:val="ListParagraph"/>
        <w:numPr>
          <w:ilvl w:val="0"/>
          <w:numId w:val="14"/>
        </w:numPr>
        <w:jc w:val="both"/>
        <w:rPr>
          <w:rFonts w:ascii="Arial" w:hAnsi="Arial" w:cs="Arial"/>
          <w:color w:val="7B7B7B" w:themeColor="accent3" w:themeShade="BF"/>
          <w:sz w:val="22"/>
          <w:szCs w:val="22"/>
          <w:lang w:val="en-GB"/>
        </w:rPr>
      </w:pPr>
      <w:r w:rsidRPr="00CB5C98">
        <w:rPr>
          <w:rFonts w:ascii="Arial" w:hAnsi="Arial" w:cs="Arial"/>
          <w:color w:val="7B7B7B" w:themeColor="accent3" w:themeShade="BF"/>
          <w:sz w:val="22"/>
          <w:szCs w:val="22"/>
          <w:lang w:val="en-GB"/>
        </w:rPr>
        <w:t xml:space="preserve">Further, </w:t>
      </w:r>
      <w:r w:rsidR="00F657A4" w:rsidRPr="00CB5C98">
        <w:rPr>
          <w:rFonts w:ascii="Arial" w:hAnsi="Arial" w:cs="Arial"/>
          <w:color w:val="7B7B7B" w:themeColor="accent3" w:themeShade="BF"/>
          <w:sz w:val="22"/>
          <w:szCs w:val="22"/>
          <w:lang w:val="en-GB"/>
        </w:rPr>
        <w:t>Chapter 15 also does not provides the rights granted to foreign representatives for using the avoidance powers as provided by the bankruptcy code.</w:t>
      </w:r>
      <w:r>
        <w:rPr>
          <w:rFonts w:ascii="Arial" w:hAnsi="Arial" w:cs="Arial"/>
          <w:color w:val="7B7B7B" w:themeColor="accent3" w:themeShade="BF"/>
          <w:sz w:val="22"/>
          <w:szCs w:val="22"/>
          <w:lang w:val="en-GB"/>
        </w:rPr>
        <w:t xml:space="preserve"> </w:t>
      </w:r>
      <w:r w:rsidRPr="004831F8">
        <w:rPr>
          <w:rFonts w:ascii="Arial" w:hAnsi="Arial" w:cs="Arial"/>
          <w:b/>
          <w:color w:val="7B7B7B" w:themeColor="accent3" w:themeShade="BF"/>
          <w:sz w:val="22"/>
          <w:szCs w:val="22"/>
          <w:lang w:val="en-GB"/>
        </w:rPr>
        <w:t>However, the foreign representative can choose to initiate a plenary proceeding after the recognition of the foreign proceeding under chapter 15 under bankruptcy code.</w:t>
      </w:r>
      <w:r w:rsidR="00F657A4" w:rsidRPr="00CB5C98">
        <w:rPr>
          <w:rFonts w:ascii="Arial" w:hAnsi="Arial" w:cs="Arial"/>
          <w:color w:val="7B7B7B" w:themeColor="accent3" w:themeShade="BF"/>
          <w:sz w:val="22"/>
          <w:szCs w:val="22"/>
          <w:lang w:val="en-GB"/>
        </w:rPr>
        <w:t xml:space="preserve"> </w:t>
      </w:r>
      <w:r w:rsidR="004831F8">
        <w:rPr>
          <w:rFonts w:ascii="Arial" w:hAnsi="Arial" w:cs="Arial"/>
          <w:color w:val="7B7B7B" w:themeColor="accent3" w:themeShade="BF"/>
          <w:sz w:val="22"/>
          <w:szCs w:val="22"/>
          <w:lang w:val="en-GB"/>
        </w:rPr>
        <w:t xml:space="preserve">Also, the foreign representative can commence plenary proceedings for obtaining access to bankruptcy code’s avoiding powers where reliefs granted under other laws are unsatisfactory. </w:t>
      </w:r>
      <w:r w:rsidR="00F657A4" w:rsidRPr="00CB5C98">
        <w:rPr>
          <w:rFonts w:ascii="Arial" w:hAnsi="Arial" w:cs="Arial"/>
          <w:color w:val="7B7B7B" w:themeColor="accent3" w:themeShade="BF"/>
          <w:sz w:val="22"/>
          <w:szCs w:val="22"/>
          <w:lang w:val="en-GB"/>
        </w:rPr>
        <w:t>]</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7AC07F06" w14:textId="382C8CB9" w:rsidR="009A1605" w:rsidRDefault="00E1452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[Interlocutory orders resolves only some issues or claims whereas Final orders disposes all the issues leaving nothing to be resolved under the US non-bankruptcy procedure. Interlocutory orders can be appealed only with the leave of the appellate court whereas the final order may be appealed as of right. Under the bankruptcy </w:t>
      </w:r>
      <w:r w:rsidR="00434387">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the same framework is applicable</w:t>
      </w:r>
      <w:r w:rsidR="00765C3B">
        <w:rPr>
          <w:rFonts w:ascii="Arial" w:hAnsi="Arial" w:cs="Arial"/>
          <w:color w:val="7B7B7B" w:themeColor="accent3" w:themeShade="BF"/>
          <w:sz w:val="22"/>
          <w:szCs w:val="22"/>
          <w:lang w:val="en-GB"/>
        </w:rPr>
        <w:t xml:space="preserve"> except for the orders extending the period of exclusivity to propose a plan which are appealable as of right. The distinction between the interlocutory and final order can be a difficult since the court resolves not simply the claims between the two parties but an issue of broad applicability, such as the post-petition interest rate applicable to the debtor’s </w:t>
      </w:r>
      <w:r w:rsidR="00027011">
        <w:rPr>
          <w:rFonts w:ascii="Arial" w:hAnsi="Arial" w:cs="Arial"/>
          <w:color w:val="7B7B7B" w:themeColor="accent3" w:themeShade="BF"/>
          <w:sz w:val="22"/>
          <w:szCs w:val="22"/>
          <w:lang w:val="en-GB"/>
        </w:rPr>
        <w:t>obligation. Also</w:t>
      </w:r>
      <w:r w:rsidR="00762B2B">
        <w:rPr>
          <w:rFonts w:ascii="Arial" w:hAnsi="Arial" w:cs="Arial"/>
          <w:color w:val="7B7B7B" w:themeColor="accent3" w:themeShade="BF"/>
          <w:sz w:val="22"/>
          <w:szCs w:val="22"/>
          <w:lang w:val="en-GB"/>
        </w:rPr>
        <w:t>, an order can be constitutionally final cannot be considered as final for the purpose of appeal if it does not resolve the entire issue in dispute</w:t>
      </w:r>
      <w:r w:rsidR="008118E0">
        <w:rPr>
          <w:rFonts w:ascii="Arial" w:hAnsi="Arial" w:cs="Arial"/>
          <w:color w:val="7B7B7B" w:themeColor="accent3" w:themeShade="BF"/>
          <w:sz w:val="22"/>
          <w:szCs w:val="22"/>
          <w:lang w:val="en-GB"/>
        </w:rPr>
        <w:t>. Similarly, an order that resolves an entire dispute would be final for the purpose of appeal, but the same would not be considered as final constitutionally if the parties had not consented to bankruptcy court’s jurisdiction.</w:t>
      </w:r>
    </w:p>
    <w:p w14:paraId="4B0336A1" w14:textId="68EAB671" w:rsidR="005B2A9B" w:rsidRPr="00FF5098" w:rsidRDefault="009A160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general, appeals from the bankruptcy court decisions are heard by the district court for the district in which they are situated, however, in certain appeals, the bankruptcy appeals are heard by Bankruptcy Appellate Panel (BAP) comprising of judges of bankruptcy court within the circuit.</w:t>
      </w:r>
      <w:r w:rsidR="000B4AAF">
        <w:rPr>
          <w:rFonts w:ascii="Arial" w:hAnsi="Arial" w:cs="Arial"/>
          <w:color w:val="7B7B7B" w:themeColor="accent3" w:themeShade="BF"/>
          <w:sz w:val="22"/>
          <w:szCs w:val="22"/>
          <w:lang w:val="en-GB"/>
        </w:rPr>
        <w:t xml:space="preserve"> In some circumstance, an appeal from the bankruptcy court goes directly to the court of appeal and the court of appeal has discretion to accept the case. </w:t>
      </w:r>
      <w:r w:rsidR="008118E0">
        <w:rPr>
          <w:rFonts w:ascii="Arial" w:hAnsi="Arial" w:cs="Arial"/>
          <w:color w:val="7B7B7B" w:themeColor="accent3" w:themeShade="BF"/>
          <w:sz w:val="22"/>
          <w:szCs w:val="22"/>
          <w:lang w:val="en-GB"/>
        </w:rPr>
        <w:t>]</w:t>
      </w: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78E52373" w14:textId="77777777" w:rsidR="00842D03" w:rsidRDefault="009D753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liability in US is more limited than anywhere else. The directors of Delaware corporations owe a </w:t>
      </w:r>
      <w:r w:rsidRPr="00E1305A">
        <w:rPr>
          <w:rFonts w:ascii="Arial" w:hAnsi="Arial" w:cs="Arial"/>
          <w:b/>
          <w:color w:val="7B7B7B" w:themeColor="accent3" w:themeShade="BF"/>
          <w:sz w:val="22"/>
          <w:szCs w:val="22"/>
          <w:lang w:val="en-GB"/>
        </w:rPr>
        <w:t>fiduciary duty of loyalty to corporation’s best interest and duty of care in the decision making process</w:t>
      </w:r>
      <w:r>
        <w:rPr>
          <w:rFonts w:ascii="Arial" w:hAnsi="Arial" w:cs="Arial"/>
          <w:color w:val="7B7B7B" w:themeColor="accent3" w:themeShade="BF"/>
          <w:sz w:val="22"/>
          <w:szCs w:val="22"/>
          <w:lang w:val="en-GB"/>
        </w:rPr>
        <w:t xml:space="preserve"> but are protected from the liability for errors of judgment by the business judgment rule. The directors are presumed to have acted in good faith on the basis of the reasonable information under the business judgment rule. </w:t>
      </w:r>
      <w:r w:rsidR="007F2AE9">
        <w:rPr>
          <w:rFonts w:ascii="Arial" w:hAnsi="Arial" w:cs="Arial"/>
          <w:color w:val="7B7B7B" w:themeColor="accent3" w:themeShade="BF"/>
          <w:sz w:val="22"/>
          <w:szCs w:val="22"/>
          <w:lang w:val="en-GB"/>
        </w:rPr>
        <w:t>Under the following conditions the presumption can be rebutted, i.e., by showing that the majority of the board were not reasonably informed, did not honestly believed that the decision was in the corporation’s best interest or they were not acting in good faith.</w:t>
      </w:r>
      <w:r w:rsidR="006A6BEB">
        <w:rPr>
          <w:rFonts w:ascii="Arial" w:hAnsi="Arial" w:cs="Arial"/>
          <w:color w:val="7B7B7B" w:themeColor="accent3" w:themeShade="BF"/>
          <w:sz w:val="22"/>
          <w:szCs w:val="22"/>
          <w:lang w:val="en-GB"/>
        </w:rPr>
        <w:t xml:space="preserve"> Unless the presumption is rebutted, the directors would not be liable in the absence of gross negligence.</w:t>
      </w:r>
    </w:p>
    <w:p w14:paraId="36B34266" w14:textId="1A344B01" w:rsidR="008B3F65" w:rsidRDefault="00842D0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ordinary course of business, the duties is to safeguard the interest of the creditors as a whole and the interest of the equity holders </w:t>
      </w:r>
      <w:r w:rsidR="00E14644">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not be preferred. </w:t>
      </w:r>
      <w:r w:rsidR="006A6BEB">
        <w:rPr>
          <w:rFonts w:ascii="Arial" w:hAnsi="Arial" w:cs="Arial"/>
          <w:color w:val="7B7B7B" w:themeColor="accent3" w:themeShade="BF"/>
          <w:sz w:val="22"/>
          <w:szCs w:val="22"/>
          <w:lang w:val="en-GB"/>
        </w:rPr>
        <w:t xml:space="preserve"> </w:t>
      </w:r>
    </w:p>
    <w:p w14:paraId="19935379" w14:textId="23E25B36" w:rsidR="005B2A9B" w:rsidRPr="00FF5098" w:rsidRDefault="008B3F6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circumstances where the corporation is pot</w:t>
      </w:r>
      <w:r w:rsidR="00283125">
        <w:rPr>
          <w:rFonts w:ascii="Arial" w:hAnsi="Arial" w:cs="Arial"/>
          <w:color w:val="7B7B7B" w:themeColor="accent3" w:themeShade="BF"/>
          <w:sz w:val="22"/>
          <w:szCs w:val="22"/>
          <w:lang w:val="en-GB"/>
        </w:rPr>
        <w:t xml:space="preserve">entially or actually insolvent, the directors’ duties are owed to the corporation and its shareholders and not to its creditors and therefore, the shareholders would not receive anything in case of bankruptcy. </w:t>
      </w:r>
      <w:r w:rsidR="00691561">
        <w:rPr>
          <w:rFonts w:ascii="Arial" w:hAnsi="Arial" w:cs="Arial"/>
          <w:color w:val="7B7B7B" w:themeColor="accent3" w:themeShade="BF"/>
          <w:sz w:val="22"/>
          <w:szCs w:val="22"/>
          <w:lang w:val="en-GB"/>
        </w:rPr>
        <w:t>It has been further clarified by the Delaware Supreme court that no duties are owed by the directors to its creditors when the company is insolvent or is operating in the zone of insolvency. Hence, the duties are towards the corporation and its shareholders and not to the creditors.</w:t>
      </w:r>
      <w:r w:rsidR="005B2A9B" w:rsidRPr="00FF5098">
        <w:rPr>
          <w:rFonts w:ascii="Arial" w:hAnsi="Arial" w:cs="Arial"/>
          <w:color w:val="7B7B7B" w:themeColor="accent3" w:themeShade="BF"/>
          <w:sz w:val="22"/>
          <w:szCs w:val="22"/>
          <w:lang w:val="en-GB"/>
        </w:rPr>
        <w: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E053E1B" w14:textId="77777777" w:rsidR="00FD09AB" w:rsidRDefault="008040E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CB7FBB">
        <w:rPr>
          <w:rFonts w:ascii="Arial" w:hAnsi="Arial" w:cs="Arial"/>
          <w:color w:val="7B7B7B" w:themeColor="accent3" w:themeShade="BF"/>
          <w:sz w:val="22"/>
          <w:szCs w:val="22"/>
          <w:lang w:val="en-GB"/>
        </w:rPr>
        <w:t>As per the aforementioned facts, the casino is situated within the territorial jurisdiction of the United States, thus, the petition for recognition of foreign main proceeding, if granted</w:t>
      </w:r>
      <w:r w:rsidR="00FD09AB">
        <w:rPr>
          <w:rFonts w:ascii="Arial" w:hAnsi="Arial" w:cs="Arial"/>
          <w:color w:val="7B7B7B" w:themeColor="accent3" w:themeShade="BF"/>
          <w:sz w:val="22"/>
          <w:szCs w:val="22"/>
          <w:lang w:val="en-GB"/>
        </w:rPr>
        <w:t xml:space="preserve"> would invoke the stay of creditor actions.</w:t>
      </w:r>
    </w:p>
    <w:p w14:paraId="7DF6EA44" w14:textId="1B4DBD1F" w:rsidR="005B2A9B" w:rsidRPr="00FF5098" w:rsidRDefault="00FD09A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purpose of recognition, </w:t>
      </w:r>
      <w:r w:rsidR="0019526D">
        <w:rPr>
          <w:rFonts w:ascii="Arial" w:hAnsi="Arial" w:cs="Arial"/>
          <w:color w:val="7B7B7B" w:themeColor="accent3" w:themeShade="BF"/>
          <w:sz w:val="22"/>
          <w:szCs w:val="22"/>
          <w:lang w:val="en-GB"/>
        </w:rPr>
        <w:t xml:space="preserve">it is not mandatory for </w:t>
      </w:r>
      <w:r>
        <w:rPr>
          <w:rFonts w:ascii="Arial" w:hAnsi="Arial" w:cs="Arial"/>
          <w:color w:val="7B7B7B" w:themeColor="accent3" w:themeShade="BF"/>
          <w:sz w:val="22"/>
          <w:szCs w:val="22"/>
          <w:lang w:val="en-GB"/>
        </w:rPr>
        <w:t>a foreign proceeding</w:t>
      </w:r>
      <w:r w:rsidR="0019526D">
        <w:rPr>
          <w:rFonts w:ascii="Arial" w:hAnsi="Arial" w:cs="Arial"/>
          <w:color w:val="7B7B7B" w:themeColor="accent3" w:themeShade="BF"/>
          <w:sz w:val="22"/>
          <w:szCs w:val="22"/>
          <w:lang w:val="en-GB"/>
        </w:rPr>
        <w:t xml:space="preserve"> to resemble US bankruptcy case.</w:t>
      </w:r>
      <w:r w:rsidR="002614D4">
        <w:rPr>
          <w:rFonts w:ascii="Arial" w:hAnsi="Arial" w:cs="Arial"/>
          <w:color w:val="7B7B7B" w:themeColor="accent3" w:themeShade="BF"/>
          <w:sz w:val="22"/>
          <w:szCs w:val="22"/>
          <w:lang w:val="en-GB"/>
        </w:rPr>
        <w:t xml:space="preserve"> A foreign proceeding is defined under the Bankruptcy Code as</w:t>
      </w:r>
      <w:r w:rsidR="00030525">
        <w:rPr>
          <w:rFonts w:ascii="Arial" w:hAnsi="Arial" w:cs="Arial"/>
          <w:color w:val="7B7B7B" w:themeColor="accent3" w:themeShade="BF"/>
          <w:sz w:val="22"/>
          <w:szCs w:val="22"/>
          <w:lang w:val="en-GB"/>
        </w:rPr>
        <w:t xml:space="preserve"> “a collective judicial or administrative proceeding in a foreign country….under a law relating to insolvency or adjustment of debt in which proceeding the assets and affairs of the debtor are subject to control or supervision by a foreign court</w:t>
      </w:r>
      <w:r w:rsidR="00E13D76">
        <w:rPr>
          <w:rFonts w:ascii="Arial" w:hAnsi="Arial" w:cs="Arial"/>
          <w:color w:val="7B7B7B" w:themeColor="accent3" w:themeShade="BF"/>
          <w:sz w:val="22"/>
          <w:szCs w:val="22"/>
          <w:lang w:val="en-GB"/>
        </w:rPr>
        <w:t xml:space="preserve">, for the purpose of reorganisation or liquidation. As per the abovementioned definition, proceedings as diverse as English Schemes of arrangement, Australian creditor- appointed receivers amongst others </w:t>
      </w:r>
      <w:r w:rsidR="00A972D3">
        <w:rPr>
          <w:rFonts w:ascii="Arial" w:hAnsi="Arial" w:cs="Arial"/>
          <w:color w:val="7B7B7B" w:themeColor="accent3" w:themeShade="BF"/>
          <w:sz w:val="22"/>
          <w:szCs w:val="22"/>
          <w:lang w:val="en-GB"/>
        </w:rPr>
        <w:t>were</w:t>
      </w:r>
      <w:r w:rsidR="00E13D76">
        <w:rPr>
          <w:rFonts w:ascii="Arial" w:hAnsi="Arial" w:cs="Arial"/>
          <w:color w:val="7B7B7B" w:themeColor="accent3" w:themeShade="BF"/>
          <w:sz w:val="22"/>
          <w:szCs w:val="22"/>
          <w:lang w:val="en-GB"/>
        </w:rPr>
        <w:t xml:space="preserve"> granted arrangement.</w:t>
      </w:r>
      <w:r w:rsidR="00FC44FC">
        <w:rPr>
          <w:rFonts w:ascii="Arial" w:hAnsi="Arial" w:cs="Arial"/>
          <w:color w:val="7B7B7B" w:themeColor="accent3" w:themeShade="BF"/>
          <w:sz w:val="22"/>
          <w:szCs w:val="22"/>
          <w:lang w:val="en-GB"/>
        </w:rPr>
        <w:t xml:space="preserve"> Hence, the English Scheme of arrangement could be granted recognition under the US chapter 15 as a foreign main proceedings.</w:t>
      </w:r>
      <w:proofErr w:type="gramStart"/>
      <w:r w:rsidR="00030525">
        <w:rPr>
          <w:rFonts w:ascii="Arial" w:hAnsi="Arial" w:cs="Arial"/>
          <w:color w:val="7B7B7B" w:themeColor="accent3" w:themeShade="BF"/>
          <w:sz w:val="22"/>
          <w:szCs w:val="22"/>
          <w:lang w:val="en-GB"/>
        </w:rPr>
        <w:t>”</w:t>
      </w:r>
      <w:r w:rsidR="0019526D">
        <w:rPr>
          <w:rFonts w:ascii="Arial" w:hAnsi="Arial" w:cs="Arial"/>
          <w:color w:val="7B7B7B" w:themeColor="accent3" w:themeShade="BF"/>
          <w:sz w:val="22"/>
          <w:szCs w:val="22"/>
          <w:lang w:val="en-GB"/>
        </w:rPr>
        <w:t xml:space="preserve"> ]</w:t>
      </w:r>
      <w:proofErr w:type="gramEnd"/>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lastRenderedPageBreak/>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40ABB8FB" w:rsidR="005B2A9B" w:rsidRDefault="005C4C0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D3341F">
        <w:rPr>
          <w:rFonts w:ascii="Arial" w:hAnsi="Arial" w:cs="Arial"/>
          <w:color w:val="7B7B7B" w:themeColor="accent3" w:themeShade="BF"/>
          <w:sz w:val="22"/>
          <w:szCs w:val="22"/>
          <w:lang w:val="en-GB"/>
        </w:rPr>
        <w:t xml:space="preserve">Venue would be proper for all the members of the group in any of Delaware, Texas, Philippines, Houston as long as the first petition filed </w:t>
      </w:r>
      <w:r w:rsidR="00F85512">
        <w:rPr>
          <w:rFonts w:ascii="Arial" w:hAnsi="Arial" w:cs="Arial"/>
          <w:color w:val="7B7B7B" w:themeColor="accent3" w:themeShade="BF"/>
          <w:sz w:val="22"/>
          <w:szCs w:val="22"/>
          <w:lang w:val="en-GB"/>
        </w:rPr>
        <w:t>in a given jurisdiction is on behalf of the entity incorporated, headquartered or having its principal assets in that jurisdiction.</w:t>
      </w:r>
      <w:r w:rsidR="00806C3A">
        <w:rPr>
          <w:rFonts w:ascii="Arial" w:hAnsi="Arial" w:cs="Arial"/>
          <w:color w:val="7B7B7B" w:themeColor="accent3" w:themeShade="BF"/>
          <w:sz w:val="22"/>
          <w:szCs w:val="22"/>
          <w:lang w:val="en-GB"/>
        </w:rPr>
        <w:t xml:space="preserve"> Filing in Delaware where the venue is proper only on the basis of incorporation of one entity can attract a motion by the creditors for transfer of venue to a jurisdiction with a greater connection to the assets of the estates</w:t>
      </w:r>
      <w:r w:rsidR="00CB0FE2">
        <w:rPr>
          <w:rFonts w:ascii="Arial" w:hAnsi="Arial" w:cs="Arial"/>
          <w:color w:val="7B7B7B" w:themeColor="accent3" w:themeShade="BF"/>
          <w:sz w:val="22"/>
          <w:szCs w:val="22"/>
          <w:lang w:val="en-GB"/>
        </w:rPr>
        <w:t xml:space="preserve"> and the creditors as a whole.</w:t>
      </w:r>
      <w:r w:rsidR="00F85512">
        <w:rPr>
          <w:rFonts w:ascii="Arial" w:hAnsi="Arial" w:cs="Arial"/>
          <w:color w:val="7B7B7B" w:themeColor="accent3" w:themeShade="BF"/>
          <w:sz w:val="22"/>
          <w:szCs w:val="22"/>
          <w:lang w:val="en-GB"/>
        </w:rPr>
        <w:t>]</w:t>
      </w:r>
    </w:p>
    <w:p w14:paraId="7B60D178" w14:textId="77777777" w:rsidR="00E8232F" w:rsidRPr="00FF5098" w:rsidRDefault="00E8232F" w:rsidP="005B2A9B">
      <w:pPr>
        <w:jc w:val="both"/>
        <w:rPr>
          <w:rFonts w:ascii="Arial" w:hAnsi="Arial" w:cs="Arial"/>
          <w:color w:val="7B7B7B" w:themeColor="accent3" w:themeShade="BF"/>
          <w:sz w:val="22"/>
          <w:szCs w:val="22"/>
          <w:lang w:val="en-GB"/>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9CEAA" w14:textId="77777777" w:rsidR="00D70EC9" w:rsidRDefault="00D70EC9" w:rsidP="00241B44">
      <w:r>
        <w:separator/>
      </w:r>
    </w:p>
  </w:endnote>
  <w:endnote w:type="continuationSeparator" w:id="0">
    <w:p w14:paraId="33388A77" w14:textId="77777777" w:rsidR="00D70EC9" w:rsidRDefault="00D70EC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6B6865">
          <w:rPr>
            <w:rStyle w:val="PageNumber"/>
            <w:rFonts w:ascii="Arial" w:hAnsi="Arial" w:cs="Arial"/>
            <w:noProof/>
            <w:sz w:val="18"/>
            <w:szCs w:val="18"/>
          </w:rPr>
          <w:t>10</w:t>
        </w:r>
        <w:r w:rsidRPr="009B4976">
          <w:rPr>
            <w:rStyle w:val="PageNumber"/>
            <w:rFonts w:ascii="Arial" w:hAnsi="Arial" w:cs="Arial"/>
            <w:sz w:val="18"/>
            <w:szCs w:val="18"/>
          </w:rPr>
          <w:fldChar w:fldCharType="end"/>
        </w:r>
      </w:p>
    </w:sdtContent>
  </w:sdt>
  <w:p w14:paraId="30F05E79" w14:textId="1F3D9292" w:rsidR="00241FA3" w:rsidRPr="009B4976" w:rsidRDefault="00894AF6" w:rsidP="009B4976">
    <w:pPr>
      <w:pStyle w:val="Footer"/>
      <w:ind w:right="360"/>
      <w:rPr>
        <w:rFonts w:ascii="Arial" w:hAnsi="Arial" w:cs="Arial"/>
        <w:sz w:val="18"/>
        <w:szCs w:val="18"/>
        <w:lang w:val="en-GB"/>
      </w:rPr>
    </w:pPr>
    <w:r w:rsidRPr="00894AF6">
      <w:rPr>
        <w:rFonts w:ascii="Arial" w:hAnsi="Arial" w:cs="Arial"/>
        <w:sz w:val="18"/>
        <w:szCs w:val="18"/>
        <w:lang w:val="en-GB"/>
      </w:rPr>
      <w:t>202122-493</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D1CFB" w14:textId="77777777" w:rsidR="00D70EC9" w:rsidRDefault="00D70EC9" w:rsidP="00241B44">
      <w:r>
        <w:separator/>
      </w:r>
    </w:p>
  </w:footnote>
  <w:footnote w:type="continuationSeparator" w:id="0">
    <w:p w14:paraId="59E9F94F" w14:textId="77777777" w:rsidR="00D70EC9" w:rsidRDefault="00D70EC9"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705A31"/>
    <w:multiLevelType w:val="hybridMultilevel"/>
    <w:tmpl w:val="D6FE66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10"/>
  </w:num>
  <w:num w:numId="11">
    <w:abstractNumId w:val="6"/>
  </w:num>
  <w:num w:numId="12">
    <w:abstractNumId w:val="8"/>
  </w:num>
  <w:num w:numId="13">
    <w:abstractNumId w:val="0"/>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F16"/>
    <w:rsid w:val="00027011"/>
    <w:rsid w:val="00030525"/>
    <w:rsid w:val="00037621"/>
    <w:rsid w:val="00037671"/>
    <w:rsid w:val="00044D46"/>
    <w:rsid w:val="00045088"/>
    <w:rsid w:val="00045904"/>
    <w:rsid w:val="000502FD"/>
    <w:rsid w:val="00053EC2"/>
    <w:rsid w:val="00065166"/>
    <w:rsid w:val="00082609"/>
    <w:rsid w:val="000851CC"/>
    <w:rsid w:val="00093BE8"/>
    <w:rsid w:val="00097B45"/>
    <w:rsid w:val="000A407B"/>
    <w:rsid w:val="000A636A"/>
    <w:rsid w:val="000A68ED"/>
    <w:rsid w:val="000B4AAF"/>
    <w:rsid w:val="000B5FF1"/>
    <w:rsid w:val="000B609F"/>
    <w:rsid w:val="000C4C5B"/>
    <w:rsid w:val="000D55A8"/>
    <w:rsid w:val="000E4841"/>
    <w:rsid w:val="000F1677"/>
    <w:rsid w:val="000F3D6C"/>
    <w:rsid w:val="000F7FC2"/>
    <w:rsid w:val="00101707"/>
    <w:rsid w:val="00101956"/>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634EB"/>
    <w:rsid w:val="00180548"/>
    <w:rsid w:val="00180AC4"/>
    <w:rsid w:val="00180CCE"/>
    <w:rsid w:val="0018267A"/>
    <w:rsid w:val="00182779"/>
    <w:rsid w:val="001830DF"/>
    <w:rsid w:val="00183D7B"/>
    <w:rsid w:val="0019526D"/>
    <w:rsid w:val="001966D9"/>
    <w:rsid w:val="001A368C"/>
    <w:rsid w:val="001A7E9A"/>
    <w:rsid w:val="001B0F70"/>
    <w:rsid w:val="001B18C5"/>
    <w:rsid w:val="001B5016"/>
    <w:rsid w:val="001C45FC"/>
    <w:rsid w:val="001C6FA3"/>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14D4"/>
    <w:rsid w:val="002638B0"/>
    <w:rsid w:val="0026647A"/>
    <w:rsid w:val="002668D3"/>
    <w:rsid w:val="0027299F"/>
    <w:rsid w:val="00283125"/>
    <w:rsid w:val="00284EBE"/>
    <w:rsid w:val="00285F2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523"/>
    <w:rsid w:val="00303C2F"/>
    <w:rsid w:val="003144EF"/>
    <w:rsid w:val="00323167"/>
    <w:rsid w:val="00326292"/>
    <w:rsid w:val="00326415"/>
    <w:rsid w:val="00330937"/>
    <w:rsid w:val="00330F31"/>
    <w:rsid w:val="00334648"/>
    <w:rsid w:val="0033768C"/>
    <w:rsid w:val="00337938"/>
    <w:rsid w:val="0034034A"/>
    <w:rsid w:val="00340769"/>
    <w:rsid w:val="00341AA6"/>
    <w:rsid w:val="003502EB"/>
    <w:rsid w:val="00361A0A"/>
    <w:rsid w:val="00362DE2"/>
    <w:rsid w:val="00364836"/>
    <w:rsid w:val="0036565C"/>
    <w:rsid w:val="0036625E"/>
    <w:rsid w:val="0037465A"/>
    <w:rsid w:val="00382C98"/>
    <w:rsid w:val="0038533C"/>
    <w:rsid w:val="00386568"/>
    <w:rsid w:val="00390B57"/>
    <w:rsid w:val="00391E17"/>
    <w:rsid w:val="003948D5"/>
    <w:rsid w:val="00396821"/>
    <w:rsid w:val="00397D3A"/>
    <w:rsid w:val="003A051E"/>
    <w:rsid w:val="003A2DED"/>
    <w:rsid w:val="003A75F4"/>
    <w:rsid w:val="003B170F"/>
    <w:rsid w:val="003B3C5F"/>
    <w:rsid w:val="003B4DEC"/>
    <w:rsid w:val="003B7184"/>
    <w:rsid w:val="003C4471"/>
    <w:rsid w:val="003C53FE"/>
    <w:rsid w:val="003D0A6D"/>
    <w:rsid w:val="003E0B16"/>
    <w:rsid w:val="003E67D1"/>
    <w:rsid w:val="00404329"/>
    <w:rsid w:val="00405DC1"/>
    <w:rsid w:val="00415F1F"/>
    <w:rsid w:val="0042108F"/>
    <w:rsid w:val="004248F6"/>
    <w:rsid w:val="004273B0"/>
    <w:rsid w:val="00430FED"/>
    <w:rsid w:val="00434387"/>
    <w:rsid w:val="00434A8C"/>
    <w:rsid w:val="00437297"/>
    <w:rsid w:val="00444284"/>
    <w:rsid w:val="00445CE6"/>
    <w:rsid w:val="004534C2"/>
    <w:rsid w:val="0045446F"/>
    <w:rsid w:val="00455018"/>
    <w:rsid w:val="0045683E"/>
    <w:rsid w:val="00477C72"/>
    <w:rsid w:val="004831F8"/>
    <w:rsid w:val="00486C46"/>
    <w:rsid w:val="00491675"/>
    <w:rsid w:val="00493855"/>
    <w:rsid w:val="00495E79"/>
    <w:rsid w:val="004A57DD"/>
    <w:rsid w:val="004A7B51"/>
    <w:rsid w:val="004A7D71"/>
    <w:rsid w:val="004A7EF3"/>
    <w:rsid w:val="004B11FD"/>
    <w:rsid w:val="004B23A2"/>
    <w:rsid w:val="004B4B9D"/>
    <w:rsid w:val="004B627D"/>
    <w:rsid w:val="004D1A5A"/>
    <w:rsid w:val="004D2FFF"/>
    <w:rsid w:val="004D3721"/>
    <w:rsid w:val="004D64F9"/>
    <w:rsid w:val="004E3441"/>
    <w:rsid w:val="004E3A6B"/>
    <w:rsid w:val="004E5AF5"/>
    <w:rsid w:val="004E622C"/>
    <w:rsid w:val="004F49B5"/>
    <w:rsid w:val="004F5FDF"/>
    <w:rsid w:val="004F7B99"/>
    <w:rsid w:val="00515810"/>
    <w:rsid w:val="00515F92"/>
    <w:rsid w:val="005177FE"/>
    <w:rsid w:val="0052263B"/>
    <w:rsid w:val="00523162"/>
    <w:rsid w:val="005232FE"/>
    <w:rsid w:val="00524728"/>
    <w:rsid w:val="005331CA"/>
    <w:rsid w:val="00537970"/>
    <w:rsid w:val="00540E3A"/>
    <w:rsid w:val="00544127"/>
    <w:rsid w:val="005463A9"/>
    <w:rsid w:val="00553EB2"/>
    <w:rsid w:val="0055649E"/>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C4C0A"/>
    <w:rsid w:val="005D1293"/>
    <w:rsid w:val="005D43E0"/>
    <w:rsid w:val="005D58A3"/>
    <w:rsid w:val="005D6642"/>
    <w:rsid w:val="005E1B79"/>
    <w:rsid w:val="005E6076"/>
    <w:rsid w:val="005E7008"/>
    <w:rsid w:val="005E7F84"/>
    <w:rsid w:val="005F026D"/>
    <w:rsid w:val="005F2AEA"/>
    <w:rsid w:val="005F2D0B"/>
    <w:rsid w:val="005F46A8"/>
    <w:rsid w:val="005F4B31"/>
    <w:rsid w:val="00610388"/>
    <w:rsid w:val="00610AC7"/>
    <w:rsid w:val="00611A0C"/>
    <w:rsid w:val="00612CA5"/>
    <w:rsid w:val="006153EC"/>
    <w:rsid w:val="00621A17"/>
    <w:rsid w:val="006245E3"/>
    <w:rsid w:val="00627CC9"/>
    <w:rsid w:val="00627E7B"/>
    <w:rsid w:val="00630542"/>
    <w:rsid w:val="00632E44"/>
    <w:rsid w:val="00634622"/>
    <w:rsid w:val="00635ACC"/>
    <w:rsid w:val="00636808"/>
    <w:rsid w:val="00641515"/>
    <w:rsid w:val="006507BF"/>
    <w:rsid w:val="00654C2F"/>
    <w:rsid w:val="00657087"/>
    <w:rsid w:val="006639DB"/>
    <w:rsid w:val="006661EF"/>
    <w:rsid w:val="00677AEB"/>
    <w:rsid w:val="00680EF2"/>
    <w:rsid w:val="00687A1D"/>
    <w:rsid w:val="00691561"/>
    <w:rsid w:val="006925A4"/>
    <w:rsid w:val="00695890"/>
    <w:rsid w:val="00697EA1"/>
    <w:rsid w:val="006A2646"/>
    <w:rsid w:val="006A6530"/>
    <w:rsid w:val="006A6BEB"/>
    <w:rsid w:val="006A7D1E"/>
    <w:rsid w:val="006B30F2"/>
    <w:rsid w:val="006B3571"/>
    <w:rsid w:val="006B435A"/>
    <w:rsid w:val="006B4C64"/>
    <w:rsid w:val="006B6865"/>
    <w:rsid w:val="006D676D"/>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44004"/>
    <w:rsid w:val="007603F5"/>
    <w:rsid w:val="00762B2B"/>
    <w:rsid w:val="00764DB0"/>
    <w:rsid w:val="00765C3B"/>
    <w:rsid w:val="0076764D"/>
    <w:rsid w:val="0077498C"/>
    <w:rsid w:val="007749E3"/>
    <w:rsid w:val="00777C53"/>
    <w:rsid w:val="007809BC"/>
    <w:rsid w:val="00784128"/>
    <w:rsid w:val="0078518C"/>
    <w:rsid w:val="00787BCC"/>
    <w:rsid w:val="00793173"/>
    <w:rsid w:val="007940C1"/>
    <w:rsid w:val="007A2A33"/>
    <w:rsid w:val="007B0187"/>
    <w:rsid w:val="007B0809"/>
    <w:rsid w:val="007B5C89"/>
    <w:rsid w:val="007C1FCC"/>
    <w:rsid w:val="007C6201"/>
    <w:rsid w:val="007D0192"/>
    <w:rsid w:val="007D7C92"/>
    <w:rsid w:val="007E1154"/>
    <w:rsid w:val="007E6BA4"/>
    <w:rsid w:val="007F12AB"/>
    <w:rsid w:val="007F2AE9"/>
    <w:rsid w:val="007F41F8"/>
    <w:rsid w:val="007F659B"/>
    <w:rsid w:val="008040EF"/>
    <w:rsid w:val="0080454E"/>
    <w:rsid w:val="00804C32"/>
    <w:rsid w:val="00805305"/>
    <w:rsid w:val="00805E0A"/>
    <w:rsid w:val="00806302"/>
    <w:rsid w:val="00806C3A"/>
    <w:rsid w:val="00807119"/>
    <w:rsid w:val="008118E0"/>
    <w:rsid w:val="0082483F"/>
    <w:rsid w:val="008279C0"/>
    <w:rsid w:val="008337CE"/>
    <w:rsid w:val="00834F92"/>
    <w:rsid w:val="00842D03"/>
    <w:rsid w:val="0084691F"/>
    <w:rsid w:val="008723F3"/>
    <w:rsid w:val="00881DE6"/>
    <w:rsid w:val="008837A6"/>
    <w:rsid w:val="0089145D"/>
    <w:rsid w:val="00894AF6"/>
    <w:rsid w:val="00895EF1"/>
    <w:rsid w:val="008A4DF2"/>
    <w:rsid w:val="008A6CFE"/>
    <w:rsid w:val="008A771D"/>
    <w:rsid w:val="008B3F65"/>
    <w:rsid w:val="008B5333"/>
    <w:rsid w:val="008B6223"/>
    <w:rsid w:val="008C66E0"/>
    <w:rsid w:val="008D35D4"/>
    <w:rsid w:val="008E2289"/>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5FE1"/>
    <w:rsid w:val="00996691"/>
    <w:rsid w:val="009A1605"/>
    <w:rsid w:val="009B0723"/>
    <w:rsid w:val="009B07AD"/>
    <w:rsid w:val="009B0883"/>
    <w:rsid w:val="009B15E2"/>
    <w:rsid w:val="009B4976"/>
    <w:rsid w:val="009C0B8E"/>
    <w:rsid w:val="009C1BC8"/>
    <w:rsid w:val="009C2442"/>
    <w:rsid w:val="009D0811"/>
    <w:rsid w:val="009D0EE1"/>
    <w:rsid w:val="009D7533"/>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471C5"/>
    <w:rsid w:val="00A5117B"/>
    <w:rsid w:val="00A56D34"/>
    <w:rsid w:val="00A60074"/>
    <w:rsid w:val="00A6627C"/>
    <w:rsid w:val="00A71019"/>
    <w:rsid w:val="00A71CE3"/>
    <w:rsid w:val="00A81029"/>
    <w:rsid w:val="00A94F58"/>
    <w:rsid w:val="00A95463"/>
    <w:rsid w:val="00A96489"/>
    <w:rsid w:val="00A972D3"/>
    <w:rsid w:val="00AA1F9D"/>
    <w:rsid w:val="00AA7BE3"/>
    <w:rsid w:val="00AB1B65"/>
    <w:rsid w:val="00AB2425"/>
    <w:rsid w:val="00AB685C"/>
    <w:rsid w:val="00AB6C2D"/>
    <w:rsid w:val="00AC08F7"/>
    <w:rsid w:val="00AC3839"/>
    <w:rsid w:val="00AC7082"/>
    <w:rsid w:val="00AD4BE8"/>
    <w:rsid w:val="00AF228E"/>
    <w:rsid w:val="00AF7913"/>
    <w:rsid w:val="00B016A8"/>
    <w:rsid w:val="00B10961"/>
    <w:rsid w:val="00B14819"/>
    <w:rsid w:val="00B15E2F"/>
    <w:rsid w:val="00B17AA9"/>
    <w:rsid w:val="00B247BD"/>
    <w:rsid w:val="00B27E6E"/>
    <w:rsid w:val="00B44713"/>
    <w:rsid w:val="00B56103"/>
    <w:rsid w:val="00B64929"/>
    <w:rsid w:val="00B655B7"/>
    <w:rsid w:val="00B736DF"/>
    <w:rsid w:val="00B743D6"/>
    <w:rsid w:val="00B74FBD"/>
    <w:rsid w:val="00B77F46"/>
    <w:rsid w:val="00B82586"/>
    <w:rsid w:val="00B829A3"/>
    <w:rsid w:val="00B86DB1"/>
    <w:rsid w:val="00B87869"/>
    <w:rsid w:val="00B9639B"/>
    <w:rsid w:val="00BB0F2B"/>
    <w:rsid w:val="00BD3FAA"/>
    <w:rsid w:val="00BD4A58"/>
    <w:rsid w:val="00BD7337"/>
    <w:rsid w:val="00BE4FF3"/>
    <w:rsid w:val="00BF50F7"/>
    <w:rsid w:val="00C02F29"/>
    <w:rsid w:val="00C05488"/>
    <w:rsid w:val="00C20AFE"/>
    <w:rsid w:val="00C22A25"/>
    <w:rsid w:val="00C262BA"/>
    <w:rsid w:val="00C35671"/>
    <w:rsid w:val="00C35B77"/>
    <w:rsid w:val="00C362AA"/>
    <w:rsid w:val="00C37373"/>
    <w:rsid w:val="00C376EB"/>
    <w:rsid w:val="00C46A92"/>
    <w:rsid w:val="00C46EC1"/>
    <w:rsid w:val="00C5013B"/>
    <w:rsid w:val="00C52796"/>
    <w:rsid w:val="00C53E2C"/>
    <w:rsid w:val="00C550C8"/>
    <w:rsid w:val="00C56B61"/>
    <w:rsid w:val="00C606C3"/>
    <w:rsid w:val="00C620F4"/>
    <w:rsid w:val="00C651D6"/>
    <w:rsid w:val="00C72848"/>
    <w:rsid w:val="00C734AF"/>
    <w:rsid w:val="00C7736C"/>
    <w:rsid w:val="00C82D87"/>
    <w:rsid w:val="00C8712A"/>
    <w:rsid w:val="00C87E0A"/>
    <w:rsid w:val="00C902C8"/>
    <w:rsid w:val="00C919D1"/>
    <w:rsid w:val="00C963D3"/>
    <w:rsid w:val="00CA164B"/>
    <w:rsid w:val="00CB0FE2"/>
    <w:rsid w:val="00CB1983"/>
    <w:rsid w:val="00CB2CBB"/>
    <w:rsid w:val="00CB5C98"/>
    <w:rsid w:val="00CB6578"/>
    <w:rsid w:val="00CB7CAC"/>
    <w:rsid w:val="00CB7FBB"/>
    <w:rsid w:val="00CC1050"/>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27FAC"/>
    <w:rsid w:val="00D316F2"/>
    <w:rsid w:val="00D3341F"/>
    <w:rsid w:val="00D53719"/>
    <w:rsid w:val="00D63EFD"/>
    <w:rsid w:val="00D70EC9"/>
    <w:rsid w:val="00D745EA"/>
    <w:rsid w:val="00D82DA4"/>
    <w:rsid w:val="00D84752"/>
    <w:rsid w:val="00D8497E"/>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D6BB5"/>
    <w:rsid w:val="00DE03AF"/>
    <w:rsid w:val="00DE121C"/>
    <w:rsid w:val="00DE5357"/>
    <w:rsid w:val="00DE6633"/>
    <w:rsid w:val="00DF158F"/>
    <w:rsid w:val="00DF75F8"/>
    <w:rsid w:val="00DF7A3A"/>
    <w:rsid w:val="00E00C00"/>
    <w:rsid w:val="00E07C5A"/>
    <w:rsid w:val="00E10874"/>
    <w:rsid w:val="00E12EC4"/>
    <w:rsid w:val="00E1305A"/>
    <w:rsid w:val="00E13D76"/>
    <w:rsid w:val="00E14521"/>
    <w:rsid w:val="00E14644"/>
    <w:rsid w:val="00E15BA9"/>
    <w:rsid w:val="00E26E10"/>
    <w:rsid w:val="00E26E19"/>
    <w:rsid w:val="00E30E60"/>
    <w:rsid w:val="00E31DF3"/>
    <w:rsid w:val="00E450A4"/>
    <w:rsid w:val="00E45884"/>
    <w:rsid w:val="00E5027F"/>
    <w:rsid w:val="00E506BE"/>
    <w:rsid w:val="00E55547"/>
    <w:rsid w:val="00E6302B"/>
    <w:rsid w:val="00E6452F"/>
    <w:rsid w:val="00E64C66"/>
    <w:rsid w:val="00E64F45"/>
    <w:rsid w:val="00E6742D"/>
    <w:rsid w:val="00E71CB0"/>
    <w:rsid w:val="00E77C3D"/>
    <w:rsid w:val="00E8232F"/>
    <w:rsid w:val="00E90991"/>
    <w:rsid w:val="00E909F0"/>
    <w:rsid w:val="00E90D47"/>
    <w:rsid w:val="00E922D9"/>
    <w:rsid w:val="00E93993"/>
    <w:rsid w:val="00E9597C"/>
    <w:rsid w:val="00EA0913"/>
    <w:rsid w:val="00EA103F"/>
    <w:rsid w:val="00EA5B00"/>
    <w:rsid w:val="00EB146B"/>
    <w:rsid w:val="00EB45AC"/>
    <w:rsid w:val="00EC441F"/>
    <w:rsid w:val="00EC4755"/>
    <w:rsid w:val="00ED0BC4"/>
    <w:rsid w:val="00ED447D"/>
    <w:rsid w:val="00ED738F"/>
    <w:rsid w:val="00ED74BC"/>
    <w:rsid w:val="00EE4971"/>
    <w:rsid w:val="00EF090E"/>
    <w:rsid w:val="00EF350F"/>
    <w:rsid w:val="00EF5572"/>
    <w:rsid w:val="00F033DA"/>
    <w:rsid w:val="00F10B60"/>
    <w:rsid w:val="00F13691"/>
    <w:rsid w:val="00F13FB1"/>
    <w:rsid w:val="00F25A52"/>
    <w:rsid w:val="00F27CD8"/>
    <w:rsid w:val="00F30351"/>
    <w:rsid w:val="00F3323E"/>
    <w:rsid w:val="00F341F4"/>
    <w:rsid w:val="00F34F9D"/>
    <w:rsid w:val="00F35CCE"/>
    <w:rsid w:val="00F51EA6"/>
    <w:rsid w:val="00F5524B"/>
    <w:rsid w:val="00F60538"/>
    <w:rsid w:val="00F61DD2"/>
    <w:rsid w:val="00F657A4"/>
    <w:rsid w:val="00F66AFF"/>
    <w:rsid w:val="00F71433"/>
    <w:rsid w:val="00F73852"/>
    <w:rsid w:val="00F85512"/>
    <w:rsid w:val="00F92140"/>
    <w:rsid w:val="00F97C5B"/>
    <w:rsid w:val="00FA3D50"/>
    <w:rsid w:val="00FB1136"/>
    <w:rsid w:val="00FB7FBD"/>
    <w:rsid w:val="00FC374A"/>
    <w:rsid w:val="00FC43EC"/>
    <w:rsid w:val="00FC44FC"/>
    <w:rsid w:val="00FC7AC7"/>
    <w:rsid w:val="00FC7B47"/>
    <w:rsid w:val="00FD035C"/>
    <w:rsid w:val="00FD09AB"/>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87DC-30A8-4CEA-88C5-ED5202D9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10</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89</cp:revision>
  <cp:lastPrinted>2019-08-27T05:42:00Z</cp:lastPrinted>
  <dcterms:created xsi:type="dcterms:W3CDTF">2021-08-17T15:55:00Z</dcterms:created>
  <dcterms:modified xsi:type="dcterms:W3CDTF">2022-03-01T19:49:00Z</dcterms:modified>
</cp:coreProperties>
</file>