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D3176D" w:rsidRDefault="007B0809" w:rsidP="004F49B5">
      <w:pPr>
        <w:pStyle w:val="AODocTxt"/>
        <w:numPr>
          <w:ilvl w:val="0"/>
          <w:numId w:val="2"/>
        </w:numPr>
        <w:spacing w:before="0" w:line="240" w:lineRule="auto"/>
        <w:ind w:left="426"/>
        <w:rPr>
          <w:rFonts w:ascii="Arial" w:hAnsi="Arial" w:cs="Arial"/>
          <w:highlight w:val="yellow"/>
        </w:rPr>
      </w:pPr>
      <w:r w:rsidRPr="00D3176D">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FC229F" w:rsidRDefault="007B0809" w:rsidP="004F49B5">
      <w:pPr>
        <w:pStyle w:val="AODocTxt"/>
        <w:numPr>
          <w:ilvl w:val="0"/>
          <w:numId w:val="3"/>
        </w:numPr>
        <w:spacing w:before="0" w:line="240" w:lineRule="auto"/>
        <w:ind w:left="426"/>
        <w:rPr>
          <w:rFonts w:ascii="Arial" w:hAnsi="Arial" w:cs="Arial"/>
          <w:highlight w:val="yellow"/>
        </w:rPr>
      </w:pPr>
      <w:r w:rsidRPr="00FC229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B82C04" w:rsidRDefault="007B0809" w:rsidP="004F49B5">
      <w:pPr>
        <w:pStyle w:val="AODocTxt"/>
        <w:numPr>
          <w:ilvl w:val="0"/>
          <w:numId w:val="4"/>
        </w:numPr>
        <w:spacing w:before="0" w:line="240" w:lineRule="auto"/>
        <w:ind w:left="426"/>
        <w:rPr>
          <w:rFonts w:ascii="Arial" w:hAnsi="Arial" w:cs="Arial"/>
          <w:highlight w:val="yellow"/>
        </w:rPr>
      </w:pPr>
      <w:r w:rsidRPr="00B82C04">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526582" w:rsidRDefault="007B0809" w:rsidP="004F49B5">
      <w:pPr>
        <w:pStyle w:val="AODocTxt"/>
        <w:numPr>
          <w:ilvl w:val="0"/>
          <w:numId w:val="5"/>
        </w:numPr>
        <w:spacing w:before="0" w:line="240" w:lineRule="auto"/>
        <w:ind w:left="426"/>
        <w:rPr>
          <w:rFonts w:ascii="Arial" w:hAnsi="Arial" w:cs="Arial"/>
          <w:highlight w:val="yellow"/>
        </w:rPr>
      </w:pPr>
      <w:r w:rsidRPr="00526582">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Pr="00C64AB0" w:rsidRDefault="007B0809" w:rsidP="004F49B5">
      <w:pPr>
        <w:pStyle w:val="AODocTxt"/>
        <w:numPr>
          <w:ilvl w:val="0"/>
          <w:numId w:val="5"/>
        </w:numPr>
        <w:spacing w:before="0" w:line="240" w:lineRule="auto"/>
        <w:ind w:left="426"/>
        <w:rPr>
          <w:rFonts w:ascii="Arial" w:hAnsi="Arial" w:cs="Arial"/>
          <w:highlight w:val="yellow"/>
        </w:rPr>
      </w:pPr>
      <w:r w:rsidRPr="00C64AB0">
        <w:rPr>
          <w:rFonts w:ascii="Arial" w:hAnsi="Arial" w:cs="Arial"/>
          <w:highlight w:val="yellow"/>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1537BDEE"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If one insider creditor approves of the plan of reorganization, all other impaired classes may be crammed down.</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64AB0" w:rsidRDefault="007B0809" w:rsidP="004F49B5">
      <w:pPr>
        <w:pStyle w:val="AODocTxt"/>
        <w:numPr>
          <w:ilvl w:val="0"/>
          <w:numId w:val="6"/>
        </w:numPr>
        <w:spacing w:before="0" w:line="240" w:lineRule="auto"/>
        <w:ind w:left="426"/>
        <w:rPr>
          <w:rFonts w:ascii="Arial" w:hAnsi="Arial" w:cs="Arial"/>
          <w:highlight w:val="yellow"/>
        </w:rPr>
      </w:pPr>
      <w:r w:rsidRPr="00C64AB0">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Pr="00E505F5" w:rsidRDefault="007B0809" w:rsidP="004F49B5">
      <w:pPr>
        <w:pStyle w:val="AODocTxt"/>
        <w:numPr>
          <w:ilvl w:val="0"/>
          <w:numId w:val="7"/>
        </w:numPr>
        <w:spacing w:before="0" w:line="240" w:lineRule="auto"/>
        <w:ind w:left="426"/>
        <w:rPr>
          <w:rFonts w:ascii="Arial" w:hAnsi="Arial" w:cs="Arial"/>
        </w:rPr>
      </w:pPr>
      <w:r w:rsidRPr="00E505F5">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505F5" w:rsidRDefault="007B0809" w:rsidP="004F49B5">
      <w:pPr>
        <w:pStyle w:val="AODocTxt"/>
        <w:numPr>
          <w:ilvl w:val="0"/>
          <w:numId w:val="7"/>
        </w:numPr>
        <w:spacing w:before="0" w:line="240" w:lineRule="auto"/>
        <w:ind w:left="426"/>
        <w:rPr>
          <w:rFonts w:ascii="Arial" w:hAnsi="Arial" w:cs="Arial"/>
          <w:highlight w:val="yellow"/>
        </w:rPr>
      </w:pPr>
      <w:r w:rsidRPr="00E505F5">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C32173" w:rsidRDefault="007B0809" w:rsidP="004F49B5">
      <w:pPr>
        <w:pStyle w:val="AODocTxt"/>
        <w:numPr>
          <w:ilvl w:val="0"/>
          <w:numId w:val="8"/>
        </w:numPr>
        <w:spacing w:before="0" w:line="240" w:lineRule="auto"/>
        <w:ind w:left="426"/>
        <w:rPr>
          <w:rFonts w:ascii="Arial" w:hAnsi="Arial" w:cs="Arial"/>
          <w:highlight w:val="yellow"/>
        </w:rPr>
      </w:pPr>
      <w:r w:rsidRPr="00C32173">
        <w:rPr>
          <w:rFonts w:ascii="Arial" w:hAnsi="Arial" w:cs="Arial"/>
          <w:highlight w:val="yellow"/>
        </w:rPr>
        <w:t>The automatic stay applies upon the filing of a petition for recognition.</w:t>
      </w:r>
      <w:r w:rsidR="00F92140" w:rsidRPr="00C32173">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D37B7C" w:rsidRDefault="007B0809" w:rsidP="004F49B5">
      <w:pPr>
        <w:pStyle w:val="AODocTxt"/>
        <w:numPr>
          <w:ilvl w:val="0"/>
          <w:numId w:val="9"/>
        </w:numPr>
        <w:spacing w:before="0" w:line="240" w:lineRule="auto"/>
        <w:ind w:left="426"/>
        <w:rPr>
          <w:rFonts w:ascii="Arial" w:hAnsi="Arial" w:cs="Arial"/>
          <w:highlight w:val="yellow"/>
        </w:rPr>
      </w:pPr>
      <w:r w:rsidRPr="00D37B7C">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5A31C7" w:rsidRDefault="007B0809" w:rsidP="004F49B5">
      <w:pPr>
        <w:pStyle w:val="AODocTxt"/>
        <w:numPr>
          <w:ilvl w:val="0"/>
          <w:numId w:val="9"/>
        </w:numPr>
        <w:spacing w:before="0" w:line="240" w:lineRule="auto"/>
        <w:ind w:left="426"/>
        <w:rPr>
          <w:rFonts w:ascii="Arial" w:hAnsi="Arial" w:cs="Arial"/>
        </w:rPr>
      </w:pPr>
      <w:r w:rsidRPr="005A31C7">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413DC4" w:rsidRDefault="007B0809" w:rsidP="004F49B5">
      <w:pPr>
        <w:pStyle w:val="AODocTxt"/>
        <w:numPr>
          <w:ilvl w:val="0"/>
          <w:numId w:val="10"/>
        </w:numPr>
        <w:spacing w:before="0" w:line="240" w:lineRule="auto"/>
        <w:ind w:left="426"/>
        <w:rPr>
          <w:rFonts w:ascii="Arial" w:hAnsi="Arial" w:cs="Arial"/>
          <w:highlight w:val="yellow"/>
        </w:rPr>
      </w:pPr>
      <w:r w:rsidRPr="00413DC4">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413DC4" w:rsidRDefault="007B0809" w:rsidP="004F49B5">
      <w:pPr>
        <w:pStyle w:val="AODocTxt"/>
        <w:numPr>
          <w:ilvl w:val="0"/>
          <w:numId w:val="11"/>
        </w:numPr>
        <w:spacing w:before="0" w:line="240" w:lineRule="auto"/>
        <w:ind w:left="426"/>
        <w:rPr>
          <w:rFonts w:ascii="Arial" w:hAnsi="Arial" w:cs="Arial"/>
          <w:highlight w:val="yellow"/>
        </w:rPr>
      </w:pPr>
      <w:r w:rsidRPr="00413DC4">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EFB5850" w14:textId="36C08436" w:rsidR="00323167" w:rsidRDefault="00323167" w:rsidP="00323167">
      <w:pPr>
        <w:pStyle w:val="AODocTxt"/>
        <w:spacing w:before="0" w:line="240" w:lineRule="auto"/>
        <w:rPr>
          <w:rFonts w:ascii="Arial" w:hAnsi="Arial" w:cs="Arial"/>
        </w:rPr>
      </w:pPr>
    </w:p>
    <w:p w14:paraId="129CDAF8" w14:textId="5678D4DD" w:rsidR="00413DC4" w:rsidRDefault="002E0880" w:rsidP="00323167">
      <w:pPr>
        <w:pStyle w:val="AODocTxt"/>
        <w:spacing w:before="0" w:line="240" w:lineRule="auto"/>
        <w:rPr>
          <w:rFonts w:ascii="Arial" w:hAnsi="Arial" w:cs="Arial"/>
        </w:rPr>
      </w:pPr>
      <w:r>
        <w:rPr>
          <w:rFonts w:ascii="Arial" w:hAnsi="Arial" w:cs="Arial"/>
        </w:rPr>
        <w:t>A voluntary petition is filed by a debtor.  A debtor does not need to be insolvent to file a voluntary petition for bankruptcy.  The petition may be dismissed if it has been filed for an improper purpose.</w:t>
      </w:r>
    </w:p>
    <w:p w14:paraId="748B0B42" w14:textId="41E7B717" w:rsidR="002E0880" w:rsidRDefault="002E0880" w:rsidP="00323167">
      <w:pPr>
        <w:pStyle w:val="AODocTxt"/>
        <w:spacing w:before="0" w:line="240" w:lineRule="auto"/>
        <w:rPr>
          <w:rFonts w:ascii="Arial" w:hAnsi="Arial" w:cs="Arial"/>
        </w:rPr>
      </w:pPr>
    </w:p>
    <w:p w14:paraId="7167CE16" w14:textId="50760F7A" w:rsidR="002E0880" w:rsidRDefault="002E0880" w:rsidP="00323167">
      <w:pPr>
        <w:pStyle w:val="AODocTxt"/>
        <w:spacing w:before="0" w:line="240" w:lineRule="auto"/>
        <w:rPr>
          <w:rFonts w:ascii="Arial" w:hAnsi="Arial" w:cs="Arial"/>
        </w:rPr>
      </w:pPr>
      <w:r>
        <w:rPr>
          <w:rFonts w:ascii="Arial" w:hAnsi="Arial" w:cs="Arial"/>
        </w:rPr>
        <w:t>An involuntary petition is filed by a creditor or creditors</w:t>
      </w:r>
      <w:r w:rsidR="00FF4BA9">
        <w:rPr>
          <w:rFonts w:ascii="Arial" w:hAnsi="Arial" w:cs="Arial"/>
        </w:rPr>
        <w:t xml:space="preserve">.  </w:t>
      </w:r>
      <w:r>
        <w:rPr>
          <w:rFonts w:ascii="Arial" w:hAnsi="Arial" w:cs="Arial"/>
        </w:rPr>
        <w:t>An involuntary petition requires an allegation of insolvency.</w:t>
      </w:r>
    </w:p>
    <w:p w14:paraId="3287AFEA" w14:textId="1A747130" w:rsidR="002E0880" w:rsidRDefault="002E0880" w:rsidP="00323167">
      <w:pPr>
        <w:pStyle w:val="AODocTxt"/>
        <w:spacing w:before="0" w:line="240" w:lineRule="auto"/>
        <w:rPr>
          <w:rFonts w:ascii="Arial" w:hAnsi="Arial" w:cs="Arial"/>
        </w:rPr>
      </w:pPr>
    </w:p>
    <w:p w14:paraId="564F5094" w14:textId="77777777" w:rsidR="002E0880" w:rsidRDefault="002E0880" w:rsidP="00323167">
      <w:pPr>
        <w:pStyle w:val="AODocTxt"/>
        <w:spacing w:before="0" w:line="240" w:lineRule="auto"/>
        <w:rPr>
          <w:rFonts w:ascii="Arial" w:hAnsi="Arial" w:cs="Arial"/>
        </w:rPr>
      </w:pPr>
      <w:r>
        <w:rPr>
          <w:rFonts w:ascii="Arial" w:hAnsi="Arial" w:cs="Arial"/>
        </w:rPr>
        <w:t>Accordingly, the pertinent differences are:</w:t>
      </w:r>
    </w:p>
    <w:p w14:paraId="2D263C82" w14:textId="77777777" w:rsidR="002E0880" w:rsidRDefault="002E0880" w:rsidP="00323167">
      <w:pPr>
        <w:pStyle w:val="AODocTxt"/>
        <w:spacing w:before="0" w:line="240" w:lineRule="auto"/>
        <w:rPr>
          <w:rFonts w:ascii="Arial" w:hAnsi="Arial" w:cs="Arial"/>
        </w:rPr>
      </w:pPr>
    </w:p>
    <w:p w14:paraId="0026F55D" w14:textId="58FF1A87" w:rsidR="002E0880" w:rsidRDefault="002E0880" w:rsidP="002E0880">
      <w:pPr>
        <w:pStyle w:val="AODocTxt"/>
        <w:spacing w:before="0" w:line="240" w:lineRule="auto"/>
        <w:ind w:left="720" w:hanging="720"/>
        <w:rPr>
          <w:rFonts w:ascii="Arial" w:hAnsi="Arial" w:cs="Arial"/>
        </w:rPr>
      </w:pPr>
      <w:r>
        <w:rPr>
          <w:rFonts w:ascii="Arial" w:hAnsi="Arial" w:cs="Arial"/>
        </w:rPr>
        <w:t>(i)</w:t>
      </w:r>
      <w:r>
        <w:rPr>
          <w:rFonts w:ascii="Arial" w:hAnsi="Arial" w:cs="Arial"/>
        </w:rPr>
        <w:tab/>
        <w:t>that a voluntary petition is filed by a debtor and a involuntary petition is filed by a creditor(s).</w:t>
      </w:r>
    </w:p>
    <w:p w14:paraId="4DA995DE" w14:textId="70B26FD9" w:rsidR="002E0880" w:rsidRDefault="002E0880" w:rsidP="002E0880">
      <w:pPr>
        <w:pStyle w:val="AODocTxt"/>
        <w:spacing w:before="0" w:line="240" w:lineRule="auto"/>
        <w:ind w:left="720" w:hanging="720"/>
        <w:rPr>
          <w:rFonts w:ascii="Arial" w:hAnsi="Arial" w:cs="Arial"/>
        </w:rPr>
      </w:pPr>
      <w:r>
        <w:rPr>
          <w:rFonts w:ascii="Arial" w:hAnsi="Arial" w:cs="Arial"/>
        </w:rPr>
        <w:t>(ii)</w:t>
      </w:r>
      <w:r>
        <w:rPr>
          <w:rFonts w:ascii="Arial" w:hAnsi="Arial" w:cs="Arial"/>
        </w:rPr>
        <w:tab/>
        <w:t>the debtor of a voluntary petition may be solvent or insolvent.  An involuntary petition requires an allegation of insolvency.</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40C7F05" w14:textId="5367F3A5" w:rsidR="00323167" w:rsidRDefault="00323167" w:rsidP="00323167">
      <w:pPr>
        <w:pStyle w:val="AODocTxt"/>
        <w:spacing w:before="0" w:line="240" w:lineRule="auto"/>
        <w:rPr>
          <w:rFonts w:ascii="Arial" w:hAnsi="Arial" w:cs="Arial"/>
        </w:rPr>
      </w:pPr>
    </w:p>
    <w:p w14:paraId="55FAD324" w14:textId="6347E9F5" w:rsidR="001610B0" w:rsidRDefault="005B1F75" w:rsidP="00323167">
      <w:pPr>
        <w:pStyle w:val="AODocTxt"/>
        <w:spacing w:before="0" w:line="240" w:lineRule="auto"/>
        <w:rPr>
          <w:rFonts w:ascii="Arial" w:hAnsi="Arial" w:cs="Arial"/>
        </w:rPr>
      </w:pPr>
      <w:r>
        <w:rPr>
          <w:rFonts w:ascii="Arial" w:hAnsi="Arial" w:cs="Arial"/>
        </w:rPr>
        <w:t xml:space="preserve">Pursuant to </w:t>
      </w:r>
      <w:r w:rsidR="00FF4BA9">
        <w:rPr>
          <w:rFonts w:ascii="Arial" w:hAnsi="Arial" w:cs="Arial"/>
        </w:rPr>
        <w:t xml:space="preserve">title 11 </w:t>
      </w:r>
      <w:r>
        <w:rPr>
          <w:rFonts w:ascii="Arial" w:hAnsi="Arial" w:cs="Arial"/>
        </w:rPr>
        <w:t xml:space="preserve">section 362(h) of the United States Code, </w:t>
      </w:r>
      <w:r w:rsidR="00D914E7">
        <w:rPr>
          <w:rFonts w:ascii="Arial" w:hAnsi="Arial" w:cs="Arial"/>
        </w:rPr>
        <w:t xml:space="preserve">a </w:t>
      </w:r>
      <w:r>
        <w:rPr>
          <w:rFonts w:ascii="Arial" w:hAnsi="Arial" w:cs="Arial"/>
        </w:rPr>
        <w:t>violation of the automatic stay may lead to:</w:t>
      </w:r>
    </w:p>
    <w:p w14:paraId="04B5A303" w14:textId="473B6462" w:rsidR="005B1F75" w:rsidRDefault="005B1F75" w:rsidP="00323167">
      <w:pPr>
        <w:pStyle w:val="AODocTxt"/>
        <w:spacing w:before="0" w:line="240" w:lineRule="auto"/>
        <w:rPr>
          <w:rFonts w:ascii="Arial" w:hAnsi="Arial" w:cs="Arial"/>
        </w:rPr>
      </w:pPr>
    </w:p>
    <w:p w14:paraId="370D6182" w14:textId="58E73C96" w:rsidR="005B1F75" w:rsidRDefault="005B1F75" w:rsidP="00323167">
      <w:pPr>
        <w:pStyle w:val="AODocTxt"/>
        <w:spacing w:before="0" w:line="240" w:lineRule="auto"/>
        <w:rPr>
          <w:rFonts w:ascii="Arial" w:hAnsi="Arial" w:cs="Arial"/>
        </w:rPr>
      </w:pPr>
      <w:r>
        <w:rPr>
          <w:rFonts w:ascii="Arial" w:hAnsi="Arial" w:cs="Arial"/>
        </w:rPr>
        <w:t>(i)</w:t>
      </w:r>
      <w:r>
        <w:rPr>
          <w:rFonts w:ascii="Arial" w:hAnsi="Arial" w:cs="Arial"/>
        </w:rPr>
        <w:tab/>
        <w:t>Recovery of actual damages including costs and attorney’s fees; and</w:t>
      </w:r>
    </w:p>
    <w:p w14:paraId="382C0EA5" w14:textId="64175885" w:rsidR="005B1F75" w:rsidRDefault="005B1F75" w:rsidP="00323167">
      <w:pPr>
        <w:pStyle w:val="AODocTxt"/>
        <w:spacing w:before="0" w:line="240" w:lineRule="auto"/>
        <w:rPr>
          <w:rFonts w:ascii="Arial" w:hAnsi="Arial" w:cs="Arial"/>
        </w:rPr>
      </w:pPr>
      <w:r>
        <w:rPr>
          <w:rFonts w:ascii="Arial" w:hAnsi="Arial" w:cs="Arial"/>
        </w:rPr>
        <w:t>(ii)</w:t>
      </w:r>
      <w:r>
        <w:rPr>
          <w:rFonts w:ascii="Arial" w:hAnsi="Arial" w:cs="Arial"/>
        </w:rPr>
        <w:tab/>
        <w:t>in appropriate circumstances, punitive damages.</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lastRenderedPageBreak/>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E58133A" w14:textId="0BAC8435" w:rsidR="00323167" w:rsidRDefault="00323167" w:rsidP="00323167">
      <w:pPr>
        <w:pStyle w:val="AODocTxt"/>
        <w:spacing w:before="0" w:line="240" w:lineRule="auto"/>
        <w:rPr>
          <w:rFonts w:ascii="Arial" w:hAnsi="Arial" w:cs="Arial"/>
        </w:rPr>
      </w:pPr>
    </w:p>
    <w:p w14:paraId="7458A205" w14:textId="15D38F59" w:rsidR="00D914E7" w:rsidRDefault="00C008F7" w:rsidP="00323167">
      <w:pPr>
        <w:pStyle w:val="AODocTxt"/>
        <w:spacing w:before="0" w:line="240" w:lineRule="auto"/>
        <w:rPr>
          <w:rFonts w:ascii="Arial" w:hAnsi="Arial" w:cs="Arial"/>
        </w:rPr>
      </w:pPr>
      <w:r>
        <w:rPr>
          <w:rFonts w:ascii="Arial" w:hAnsi="Arial" w:cs="Arial"/>
        </w:rPr>
        <w:t xml:space="preserve">Pursuant to </w:t>
      </w:r>
      <w:r w:rsidR="00FF4BA9">
        <w:rPr>
          <w:rFonts w:ascii="Arial" w:hAnsi="Arial" w:cs="Arial"/>
        </w:rPr>
        <w:t xml:space="preserve">title 11 </w:t>
      </w:r>
      <w:r>
        <w:rPr>
          <w:rFonts w:ascii="Arial" w:hAnsi="Arial" w:cs="Arial"/>
        </w:rPr>
        <w:t xml:space="preserve">section 1124 of the United States Code, a class of claims or interests is considered impaired unless, as to every claim or interest in the class, the </w:t>
      </w:r>
      <w:r w:rsidR="00A60A1F">
        <w:rPr>
          <w:rFonts w:ascii="Arial" w:hAnsi="Arial" w:cs="Arial"/>
        </w:rPr>
        <w:t xml:space="preserve">proposed </w:t>
      </w:r>
      <w:r w:rsidR="00607561">
        <w:rPr>
          <w:rFonts w:ascii="Arial" w:hAnsi="Arial" w:cs="Arial"/>
        </w:rPr>
        <w:t>reorganisation</w:t>
      </w:r>
      <w:r w:rsidR="00A60A1F">
        <w:rPr>
          <w:rFonts w:ascii="Arial" w:hAnsi="Arial" w:cs="Arial"/>
        </w:rPr>
        <w:t xml:space="preserve"> </w:t>
      </w:r>
      <w:r>
        <w:rPr>
          <w:rFonts w:ascii="Arial" w:hAnsi="Arial" w:cs="Arial"/>
        </w:rPr>
        <w:t xml:space="preserve">plan </w:t>
      </w:r>
      <w:r w:rsidR="00A60A1F">
        <w:rPr>
          <w:rFonts w:ascii="Arial" w:hAnsi="Arial" w:cs="Arial"/>
        </w:rPr>
        <w:t xml:space="preserve">(“the plan”) </w:t>
      </w:r>
      <w:r>
        <w:rPr>
          <w:rFonts w:ascii="Arial" w:hAnsi="Arial" w:cs="Arial"/>
        </w:rPr>
        <w:t xml:space="preserve">leaves the holder’s </w:t>
      </w:r>
      <w:r w:rsidR="00A60A1F">
        <w:rPr>
          <w:rFonts w:ascii="Arial" w:hAnsi="Arial" w:cs="Arial"/>
        </w:rPr>
        <w:t xml:space="preserve">legal, equitable, and contractual rights unaltered, </w:t>
      </w:r>
      <w:r w:rsidR="00FF4BA9">
        <w:rPr>
          <w:rFonts w:ascii="Arial" w:hAnsi="Arial" w:cs="Arial"/>
        </w:rPr>
        <w:t xml:space="preserve">except </w:t>
      </w:r>
      <w:r w:rsidR="00A60A1F">
        <w:rPr>
          <w:rFonts w:ascii="Arial" w:hAnsi="Arial" w:cs="Arial"/>
        </w:rPr>
        <w:t>that a class may be deemed unimpaired where the plan reverses contractual acceleration by curing any monetary default or compensating the holder for any damages.</w:t>
      </w:r>
    </w:p>
    <w:p w14:paraId="546F04FF" w14:textId="7C0A1078" w:rsidR="00E12EC4" w:rsidRDefault="00E12EC4" w:rsidP="00323167">
      <w:pPr>
        <w:pStyle w:val="AODocTxt"/>
        <w:spacing w:before="0" w:line="240" w:lineRule="auto"/>
        <w:rPr>
          <w:rFonts w:ascii="Arial" w:hAnsi="Arial" w:cs="Arial"/>
        </w:rPr>
      </w:pPr>
    </w:p>
    <w:p w14:paraId="14F20777" w14:textId="09CBF699" w:rsidR="00C008F7" w:rsidRDefault="00A60A1F" w:rsidP="00323167">
      <w:pPr>
        <w:pStyle w:val="AODocTxt"/>
        <w:spacing w:before="0" w:line="240" w:lineRule="auto"/>
        <w:rPr>
          <w:rFonts w:ascii="Arial" w:hAnsi="Arial" w:cs="Arial"/>
        </w:rPr>
      </w:pPr>
      <w:r>
        <w:rPr>
          <w:rFonts w:ascii="Arial" w:hAnsi="Arial" w:cs="Arial"/>
        </w:rPr>
        <w:t xml:space="preserve">Only impaired classes have the right to vote on the plan. </w:t>
      </w:r>
      <w:r w:rsidR="00A56906">
        <w:rPr>
          <w:rFonts w:ascii="Arial" w:hAnsi="Arial" w:cs="Arial"/>
        </w:rPr>
        <w:t xml:space="preserve"> Any holder </w:t>
      </w:r>
      <w:r w:rsidR="00A56906" w:rsidRPr="00A56906">
        <w:rPr>
          <w:rFonts w:ascii="Arial" w:hAnsi="Arial" w:cs="Arial"/>
        </w:rPr>
        <w:t xml:space="preserve">of a claim or interest to which an objection has been filed does not have the right to vote </w:t>
      </w:r>
      <w:r w:rsidR="00FF4BA9">
        <w:rPr>
          <w:rFonts w:ascii="Arial" w:hAnsi="Arial" w:cs="Arial"/>
        </w:rPr>
        <w:t xml:space="preserve">for </w:t>
      </w:r>
      <w:r w:rsidR="00A56906" w:rsidRPr="00A56906">
        <w:rPr>
          <w:rFonts w:ascii="Arial" w:hAnsi="Arial" w:cs="Arial"/>
        </w:rPr>
        <w:t>the portion of the claim or interest objected to</w:t>
      </w:r>
      <w:r w:rsidR="00A56906">
        <w:rPr>
          <w:rFonts w:ascii="Arial" w:hAnsi="Arial" w:cs="Arial"/>
        </w:rPr>
        <w:t>.  The holder may obtain an order temporarily allowing the claim or interest for voting purposes pending a resolution on the merits of the objection.</w:t>
      </w:r>
    </w:p>
    <w:p w14:paraId="57121EE4" w14:textId="77777777" w:rsidR="00C008F7" w:rsidRPr="00323167" w:rsidRDefault="00C008F7"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47C7AC7"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[Type your answer here]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52720221" w:rsidR="00E12EC4" w:rsidRPr="005D67A2" w:rsidRDefault="00607561" w:rsidP="00C971CA">
      <w:pPr>
        <w:ind w:left="426"/>
        <w:jc w:val="both"/>
        <w:rPr>
          <w:rFonts w:ascii="Arial" w:hAnsi="Arial" w:cs="Arial"/>
          <w:i/>
          <w:iCs/>
          <w:sz w:val="22"/>
          <w:szCs w:val="22"/>
          <w:lang w:val="en-GB"/>
        </w:rPr>
      </w:pPr>
      <w:r>
        <w:rPr>
          <w:rFonts w:ascii="Arial" w:hAnsi="Arial" w:cs="Arial"/>
          <w:sz w:val="22"/>
          <w:szCs w:val="22"/>
          <w:lang w:val="en-GB"/>
        </w:rPr>
        <w:t xml:space="preserve">Preferences </w:t>
      </w:r>
      <w:r w:rsidR="00C971CA">
        <w:rPr>
          <w:rFonts w:ascii="Arial" w:hAnsi="Arial" w:cs="Arial"/>
          <w:sz w:val="22"/>
          <w:szCs w:val="22"/>
          <w:lang w:val="en-GB"/>
        </w:rPr>
        <w:t>–</w:t>
      </w:r>
      <w:r>
        <w:rPr>
          <w:rFonts w:ascii="Arial" w:hAnsi="Arial" w:cs="Arial"/>
          <w:sz w:val="22"/>
          <w:szCs w:val="22"/>
          <w:lang w:val="en-GB"/>
        </w:rPr>
        <w:t xml:space="preserve"> </w:t>
      </w:r>
      <w:r w:rsidR="00C971CA">
        <w:rPr>
          <w:rFonts w:ascii="Arial" w:hAnsi="Arial" w:cs="Arial"/>
          <w:sz w:val="22"/>
          <w:szCs w:val="22"/>
          <w:lang w:val="en-GB"/>
        </w:rPr>
        <w:t>pursuant to</w:t>
      </w:r>
      <w:r w:rsidR="00FF4BA9">
        <w:rPr>
          <w:rFonts w:ascii="Arial" w:hAnsi="Arial" w:cs="Arial"/>
          <w:sz w:val="22"/>
          <w:szCs w:val="22"/>
          <w:lang w:val="en-GB"/>
        </w:rPr>
        <w:t xml:space="preserve"> title 11</w:t>
      </w:r>
      <w:r w:rsidR="00C971CA">
        <w:rPr>
          <w:rFonts w:ascii="Arial" w:hAnsi="Arial" w:cs="Arial"/>
          <w:sz w:val="22"/>
          <w:szCs w:val="22"/>
          <w:lang w:val="en-GB"/>
        </w:rPr>
        <w:t xml:space="preserve"> section 547</w:t>
      </w:r>
      <w:r w:rsidR="00D55034">
        <w:rPr>
          <w:rFonts w:ascii="Arial" w:hAnsi="Arial" w:cs="Arial"/>
          <w:sz w:val="22"/>
          <w:szCs w:val="22"/>
          <w:lang w:val="en-GB"/>
        </w:rPr>
        <w:t>(b)(2)</w:t>
      </w:r>
      <w:r w:rsidR="00C971CA">
        <w:rPr>
          <w:rFonts w:ascii="Arial" w:hAnsi="Arial" w:cs="Arial"/>
          <w:sz w:val="22"/>
          <w:szCs w:val="22"/>
          <w:lang w:val="en-GB"/>
        </w:rPr>
        <w:t xml:space="preserve"> of the United States Code, </w:t>
      </w:r>
      <w:r w:rsidR="005D67A2">
        <w:rPr>
          <w:rFonts w:ascii="Arial" w:hAnsi="Arial" w:cs="Arial"/>
          <w:sz w:val="22"/>
          <w:szCs w:val="22"/>
          <w:lang w:val="en-GB"/>
        </w:rPr>
        <w:t xml:space="preserve">the criteria for a transaction to be considered a </w:t>
      </w:r>
      <w:r w:rsidR="00C971CA">
        <w:rPr>
          <w:rFonts w:ascii="Arial" w:hAnsi="Arial" w:cs="Arial"/>
          <w:sz w:val="22"/>
          <w:szCs w:val="22"/>
          <w:lang w:val="en-GB"/>
        </w:rPr>
        <w:t xml:space="preserve">preference </w:t>
      </w:r>
      <w:r w:rsidR="005D67A2">
        <w:rPr>
          <w:rFonts w:ascii="Arial" w:hAnsi="Arial" w:cs="Arial"/>
          <w:sz w:val="22"/>
          <w:szCs w:val="22"/>
          <w:lang w:val="en-GB"/>
        </w:rPr>
        <w:t xml:space="preserve">includes the payment or transfer of property being made </w:t>
      </w:r>
      <w:r w:rsidR="005D67A2">
        <w:rPr>
          <w:rFonts w:ascii="Arial" w:hAnsi="Arial" w:cs="Arial"/>
          <w:i/>
          <w:iCs/>
          <w:sz w:val="22"/>
          <w:szCs w:val="22"/>
          <w:lang w:val="en-GB"/>
        </w:rPr>
        <w:t>“for or on account of an antecedent debt owed by the debtor before such transfer was made”.</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6059889" w14:textId="6D6C955D" w:rsidR="00DC359F" w:rsidRPr="0046453F" w:rsidRDefault="00DC359F" w:rsidP="00DC359F">
      <w:pPr>
        <w:pStyle w:val="AODocTxt"/>
        <w:spacing w:before="0" w:line="240" w:lineRule="auto"/>
        <w:ind w:firstLine="426"/>
        <w:rPr>
          <w:rFonts w:ascii="Arial" w:hAnsi="Arial" w:cs="Arial"/>
        </w:rPr>
      </w:pPr>
    </w:p>
    <w:p w14:paraId="79AAFF4D" w14:textId="1D6F63B4" w:rsidR="005D67A2" w:rsidRDefault="0046453F" w:rsidP="0046453F">
      <w:pPr>
        <w:pStyle w:val="AODocTxt"/>
        <w:spacing w:before="0" w:line="240" w:lineRule="auto"/>
        <w:ind w:left="426"/>
        <w:rPr>
          <w:rFonts w:ascii="Arial" w:hAnsi="Arial" w:cs="Arial"/>
          <w:highlight w:val="yellow"/>
        </w:rPr>
      </w:pPr>
      <w:r w:rsidRPr="0046453F">
        <w:rPr>
          <w:rFonts w:ascii="Arial" w:hAnsi="Arial" w:cs="Arial"/>
        </w:rPr>
        <w:t xml:space="preserve">Preferences - </w:t>
      </w:r>
      <w:r w:rsidRPr="0046453F">
        <w:rPr>
          <w:rFonts w:ascii="Arial" w:hAnsi="Arial" w:cs="Arial"/>
          <w:lang w:val="en-GB"/>
        </w:rPr>
        <w:t xml:space="preserve">pursuant to </w:t>
      </w:r>
      <w:r w:rsidR="00FF4BA9">
        <w:rPr>
          <w:rFonts w:ascii="Arial" w:hAnsi="Arial" w:cs="Arial"/>
          <w:lang w:val="en-GB"/>
        </w:rPr>
        <w:t xml:space="preserve">title 11 </w:t>
      </w:r>
      <w:r w:rsidRPr="0046453F">
        <w:rPr>
          <w:rFonts w:ascii="Arial" w:hAnsi="Arial" w:cs="Arial"/>
          <w:lang w:val="en-GB"/>
        </w:rPr>
        <w:t>section 547</w:t>
      </w:r>
      <w:r w:rsidR="00FF4BA9">
        <w:rPr>
          <w:rFonts w:ascii="Arial" w:hAnsi="Arial" w:cs="Arial"/>
          <w:lang w:val="en-GB"/>
        </w:rPr>
        <w:t>(b)(3)</w:t>
      </w:r>
      <w:r w:rsidRPr="0046453F">
        <w:rPr>
          <w:rFonts w:ascii="Arial" w:hAnsi="Arial" w:cs="Arial"/>
          <w:lang w:val="en-GB"/>
        </w:rPr>
        <w:t xml:space="preserve"> of the United States Bankruptcy Code, the criteria for a transaction</w:t>
      </w:r>
      <w:r>
        <w:rPr>
          <w:rFonts w:ascii="Arial" w:hAnsi="Arial" w:cs="Arial"/>
          <w:lang w:val="en-GB"/>
        </w:rPr>
        <w:t xml:space="preserve"> to be considered a preference includes the debtor to be insolvent at the time of the transaction.</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A32F1E1" w14:textId="7C7889C3" w:rsidR="00323167" w:rsidRDefault="00323167" w:rsidP="00323167">
      <w:pPr>
        <w:pStyle w:val="AODocTxt"/>
        <w:spacing w:before="0" w:line="240" w:lineRule="auto"/>
        <w:rPr>
          <w:rFonts w:ascii="Arial" w:hAnsi="Arial" w:cs="Arial"/>
        </w:rPr>
      </w:pPr>
    </w:p>
    <w:p w14:paraId="3749EBC3" w14:textId="367C3EF8" w:rsidR="0046453F" w:rsidRPr="005F0878" w:rsidRDefault="005F0878" w:rsidP="0046453F">
      <w:pPr>
        <w:pStyle w:val="AODocTxt"/>
        <w:spacing w:before="0" w:line="240" w:lineRule="auto"/>
        <w:ind w:left="426"/>
        <w:rPr>
          <w:rFonts w:ascii="Arial" w:hAnsi="Arial" w:cs="Arial"/>
          <w:i/>
          <w:iCs/>
        </w:rPr>
      </w:pPr>
      <w:r>
        <w:rPr>
          <w:rFonts w:ascii="Arial" w:hAnsi="Arial" w:cs="Arial"/>
        </w:rPr>
        <w:t xml:space="preserve">Actual Fraudulent Conveyance – pursuant to section 548(a) of the United States Bankruptcy Code, an actual fraudulent conveyance is proven by showing tat the debtor made a transfer or incurred an obligation </w:t>
      </w:r>
      <w:r>
        <w:rPr>
          <w:rFonts w:ascii="Arial" w:hAnsi="Arial" w:cs="Arial"/>
          <w:i/>
          <w:iCs/>
        </w:rPr>
        <w:t>“with actual intent to hinder, delay, or defraud any entity to which the debtor was or became… indebted”.</w:t>
      </w: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0A9EFB" w14:textId="7E45EF2D" w:rsidR="00DC359F" w:rsidRDefault="00DC359F" w:rsidP="00323167">
      <w:pPr>
        <w:pStyle w:val="AODocTxt"/>
        <w:spacing w:before="0" w:line="240" w:lineRule="auto"/>
        <w:rPr>
          <w:rFonts w:ascii="Arial" w:hAnsi="Arial" w:cs="Arial"/>
          <w:lang w:val="en-GB"/>
        </w:rPr>
      </w:pPr>
    </w:p>
    <w:p w14:paraId="5BF591D9" w14:textId="2E56DF54" w:rsidR="003072B3" w:rsidRDefault="00CC0C59" w:rsidP="00323167">
      <w:pPr>
        <w:pStyle w:val="AODocTxt"/>
        <w:spacing w:before="0" w:line="240" w:lineRule="auto"/>
        <w:rPr>
          <w:rFonts w:ascii="Arial" w:hAnsi="Arial" w:cs="Arial"/>
          <w:lang w:val="en-GB"/>
        </w:rPr>
      </w:pPr>
      <w:r w:rsidRPr="00CC0C59">
        <w:rPr>
          <w:rFonts w:ascii="Arial" w:hAnsi="Arial" w:cs="Arial"/>
          <w:i/>
          <w:iCs/>
          <w:lang w:val="en-GB"/>
        </w:rPr>
        <w:t>Stern v Marshall</w:t>
      </w:r>
      <w:r>
        <w:rPr>
          <w:rFonts w:ascii="Arial" w:hAnsi="Arial" w:cs="Arial"/>
          <w:lang w:val="en-GB"/>
        </w:rPr>
        <w:t xml:space="preserve"> was a United </w:t>
      </w:r>
      <w:r w:rsidR="006516CD">
        <w:rPr>
          <w:rFonts w:ascii="Arial" w:hAnsi="Arial" w:cs="Arial"/>
          <w:lang w:val="en-GB"/>
        </w:rPr>
        <w:t>S</w:t>
      </w:r>
      <w:r>
        <w:rPr>
          <w:rFonts w:ascii="Arial" w:hAnsi="Arial" w:cs="Arial"/>
          <w:lang w:val="en-GB"/>
        </w:rPr>
        <w:t xml:space="preserve">tates Supreme Court case that considered whether a bankruptcy court, as a non-Article III court, could provide first judgement (the first order is </w:t>
      </w:r>
      <w:r w:rsidR="006516CD">
        <w:rPr>
          <w:rFonts w:ascii="Arial" w:hAnsi="Arial" w:cs="Arial"/>
          <w:lang w:val="en-GB"/>
        </w:rPr>
        <w:t xml:space="preserve">generally </w:t>
      </w:r>
      <w:r>
        <w:rPr>
          <w:rFonts w:ascii="Arial" w:hAnsi="Arial" w:cs="Arial"/>
          <w:lang w:val="en-GB"/>
        </w:rPr>
        <w:t xml:space="preserve">considered binding on the parties) on a counter-claim which contained issues subject to separate state court proceedings.  </w:t>
      </w:r>
      <w:r w:rsidR="008E2616">
        <w:rPr>
          <w:rFonts w:ascii="Arial" w:hAnsi="Arial" w:cs="Arial"/>
          <w:lang w:val="en-GB"/>
        </w:rPr>
        <w:t>It was found that although the United States Code Title 28 section 157(c) provides that a counterclaim is a core proceeding as to which a bankruptcy court can issue a final order, the US Supreme Court held that the bankruptcy court’s issuance of a final order over a state law was unconstitutional under Article III.</w:t>
      </w:r>
    </w:p>
    <w:p w14:paraId="4B6F7DE7" w14:textId="44036A1B" w:rsidR="005B2A9B" w:rsidRDefault="005B2A9B" w:rsidP="00323167">
      <w:pPr>
        <w:pStyle w:val="AODocTxt"/>
        <w:spacing w:before="0" w:line="240" w:lineRule="auto"/>
        <w:rPr>
          <w:rFonts w:ascii="Arial" w:hAnsi="Arial" w:cs="Arial"/>
          <w:lang w:val="en-GB"/>
        </w:rPr>
      </w:pPr>
    </w:p>
    <w:p w14:paraId="520A5CEF" w14:textId="3E5286B2" w:rsidR="00CC0C59" w:rsidRPr="00CC0C59" w:rsidRDefault="00D03320" w:rsidP="00323167">
      <w:pPr>
        <w:pStyle w:val="AODocTxt"/>
        <w:spacing w:before="0" w:line="240" w:lineRule="auto"/>
        <w:rPr>
          <w:rFonts w:ascii="Arial" w:hAnsi="Arial" w:cs="Arial"/>
          <w:lang w:val="en-GB"/>
        </w:rPr>
      </w:pPr>
      <w:r>
        <w:rPr>
          <w:rFonts w:ascii="Arial" w:hAnsi="Arial" w:cs="Arial"/>
          <w:lang w:val="en-GB"/>
        </w:rPr>
        <w:t xml:space="preserve">Accordingly, </w:t>
      </w:r>
      <w:r w:rsidR="00CC0C59">
        <w:rPr>
          <w:rFonts w:ascii="Arial" w:hAnsi="Arial" w:cs="Arial"/>
          <w:i/>
          <w:iCs/>
          <w:lang w:val="en-GB"/>
        </w:rPr>
        <w:t xml:space="preserve">Stern v Marshall </w:t>
      </w:r>
      <w:r w:rsidR="00CC0C59">
        <w:rPr>
          <w:rFonts w:ascii="Arial" w:hAnsi="Arial" w:cs="Arial"/>
          <w:lang w:val="en-GB"/>
        </w:rPr>
        <w:t xml:space="preserve">set the precedent that </w:t>
      </w:r>
      <w:r>
        <w:rPr>
          <w:rFonts w:ascii="Arial" w:hAnsi="Arial" w:cs="Arial"/>
          <w:lang w:val="en-GB"/>
        </w:rPr>
        <w:t xml:space="preserve">even in core proceedings, a bankruptcy court cannot issue final orders that invade an Article III jurisdiction.  </w:t>
      </w:r>
    </w:p>
    <w:p w14:paraId="680A55D8" w14:textId="77777777" w:rsidR="00CC0C59" w:rsidRPr="00323167" w:rsidRDefault="00CC0C59"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4844DDA4" w14:textId="4DA79E56" w:rsidR="00DC359F" w:rsidRDefault="00DC359F" w:rsidP="00323167">
      <w:pPr>
        <w:pStyle w:val="AODocTxt"/>
        <w:spacing w:before="0" w:line="240" w:lineRule="auto"/>
        <w:rPr>
          <w:rFonts w:ascii="Arial" w:hAnsi="Arial" w:cs="Arial"/>
        </w:rPr>
      </w:pPr>
    </w:p>
    <w:p w14:paraId="32721BAA" w14:textId="1C9096DC" w:rsidR="009E4A01" w:rsidRDefault="003B21F2" w:rsidP="00323167">
      <w:pPr>
        <w:pStyle w:val="AODocTxt"/>
        <w:spacing w:before="0" w:line="240" w:lineRule="auto"/>
        <w:rPr>
          <w:rFonts w:ascii="Arial" w:hAnsi="Arial" w:cs="Arial"/>
        </w:rPr>
      </w:pPr>
      <w:r>
        <w:rPr>
          <w:rFonts w:ascii="Arial" w:hAnsi="Arial" w:cs="Arial"/>
        </w:rPr>
        <w:t>A foreign representative in a chapter 15 proceeding may not invoke the avoidance powers provided by the United States Bankruptcy Code, being:</w:t>
      </w:r>
    </w:p>
    <w:p w14:paraId="71F82CB1" w14:textId="58D77A09" w:rsidR="003B21F2" w:rsidRDefault="003B21F2" w:rsidP="00323167">
      <w:pPr>
        <w:pStyle w:val="AODocTxt"/>
        <w:spacing w:before="0" w:line="240" w:lineRule="auto"/>
        <w:rPr>
          <w:rFonts w:ascii="Arial" w:hAnsi="Arial" w:cs="Arial"/>
        </w:rPr>
      </w:pPr>
    </w:p>
    <w:p w14:paraId="5D718F4C" w14:textId="65BC0801" w:rsidR="003B21F2" w:rsidRDefault="003B21F2" w:rsidP="00323167">
      <w:pPr>
        <w:pStyle w:val="AODocTxt"/>
        <w:spacing w:before="0" w:line="240" w:lineRule="auto"/>
        <w:rPr>
          <w:rFonts w:ascii="Arial" w:hAnsi="Arial" w:cs="Arial"/>
        </w:rPr>
      </w:pPr>
      <w:r>
        <w:rPr>
          <w:rFonts w:ascii="Arial" w:hAnsi="Arial" w:cs="Arial"/>
        </w:rPr>
        <w:t>(i)</w:t>
      </w:r>
      <w:r>
        <w:rPr>
          <w:rFonts w:ascii="Arial" w:hAnsi="Arial" w:cs="Arial"/>
        </w:rPr>
        <w:tab/>
        <w:t>avoidance of preferences; and</w:t>
      </w:r>
    </w:p>
    <w:p w14:paraId="59C20C2C" w14:textId="5AD74F5F" w:rsidR="003B21F2" w:rsidRDefault="003B21F2" w:rsidP="00323167">
      <w:pPr>
        <w:pStyle w:val="AODocTxt"/>
        <w:spacing w:before="0" w:line="240" w:lineRule="auto"/>
        <w:rPr>
          <w:rFonts w:ascii="Arial" w:hAnsi="Arial" w:cs="Arial"/>
        </w:rPr>
      </w:pPr>
      <w:r>
        <w:rPr>
          <w:rFonts w:ascii="Arial" w:hAnsi="Arial" w:cs="Arial"/>
        </w:rPr>
        <w:t>(ii)</w:t>
      </w:r>
      <w:r>
        <w:rPr>
          <w:rFonts w:ascii="Arial" w:hAnsi="Arial" w:cs="Arial"/>
        </w:rPr>
        <w:tab/>
        <w:t>fraudulent conveyances.</w:t>
      </w:r>
    </w:p>
    <w:p w14:paraId="110CC84E" w14:textId="326D152E" w:rsidR="003B21F2" w:rsidRDefault="003B21F2" w:rsidP="00323167">
      <w:pPr>
        <w:pStyle w:val="AODocTxt"/>
        <w:spacing w:before="0" w:line="240" w:lineRule="auto"/>
        <w:rPr>
          <w:rFonts w:ascii="Arial" w:hAnsi="Arial" w:cs="Arial"/>
        </w:rPr>
      </w:pPr>
    </w:p>
    <w:p w14:paraId="6BEE0CCC" w14:textId="33C14539" w:rsidR="003B21F2" w:rsidRDefault="003B21F2" w:rsidP="00323167">
      <w:pPr>
        <w:pStyle w:val="AODocTxt"/>
        <w:spacing w:before="0" w:line="240" w:lineRule="auto"/>
        <w:rPr>
          <w:rFonts w:ascii="Arial" w:hAnsi="Arial" w:cs="Arial"/>
        </w:rPr>
      </w:pPr>
      <w:r>
        <w:rPr>
          <w:rFonts w:ascii="Arial" w:hAnsi="Arial" w:cs="Arial"/>
        </w:rPr>
        <w:t xml:space="preserve">A foreign representative may invoke the United States Bankruptcy Code avoidance powers in a plenary proceeding such as chapter 7 or 11 proceedings.  In some circumstances, such proceedings are commenced prior to the foreign representatives application for recognition.  Or pursuant to </w:t>
      </w:r>
      <w:r w:rsidR="006516CD">
        <w:rPr>
          <w:rFonts w:ascii="Arial" w:hAnsi="Arial" w:cs="Arial"/>
        </w:rPr>
        <w:t xml:space="preserve">title 11 </w:t>
      </w:r>
      <w:r>
        <w:rPr>
          <w:rFonts w:ascii="Arial" w:hAnsi="Arial" w:cs="Arial"/>
        </w:rPr>
        <w:t>section 1511 of the United States Code, the foreign representative may choose to commence a plenary proceeding under the United States Bankruptcy Code after recognition of the foreign proceedings under chapter 15.</w:t>
      </w:r>
    </w:p>
    <w:p w14:paraId="62DABF1E" w14:textId="77777777" w:rsidR="003B21F2" w:rsidRPr="00323167" w:rsidRDefault="003B21F2"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1EA3F29" w14:textId="5E9C1B1A" w:rsidR="00DC359F" w:rsidRDefault="00DC359F" w:rsidP="00323167">
      <w:pPr>
        <w:pStyle w:val="AODocTxt"/>
        <w:spacing w:before="0" w:line="240" w:lineRule="auto"/>
        <w:rPr>
          <w:rFonts w:ascii="Arial" w:hAnsi="Arial" w:cs="Arial"/>
        </w:rPr>
      </w:pPr>
    </w:p>
    <w:p w14:paraId="4D1678EC" w14:textId="473AB4D8" w:rsidR="006C3B6D" w:rsidRDefault="006C3B6D" w:rsidP="00323167">
      <w:pPr>
        <w:pStyle w:val="AODocTxt"/>
        <w:spacing w:before="0" w:line="240" w:lineRule="auto"/>
        <w:rPr>
          <w:rFonts w:ascii="Arial" w:hAnsi="Arial" w:cs="Arial"/>
        </w:rPr>
      </w:pPr>
      <w:r>
        <w:rPr>
          <w:rFonts w:ascii="Arial" w:hAnsi="Arial" w:cs="Arial"/>
        </w:rPr>
        <w:t>Interlocutory orders resolve only some issues or claims.  Interlocutory orders can be appealed only with leave of the appellate court.</w:t>
      </w:r>
    </w:p>
    <w:p w14:paraId="4C996335" w14:textId="77777777" w:rsidR="006C3B6D" w:rsidRDefault="006C3B6D" w:rsidP="00323167">
      <w:pPr>
        <w:pStyle w:val="AODocTxt"/>
        <w:spacing w:before="0" w:line="240" w:lineRule="auto"/>
        <w:rPr>
          <w:rFonts w:ascii="Arial" w:hAnsi="Arial" w:cs="Arial"/>
        </w:rPr>
      </w:pPr>
    </w:p>
    <w:p w14:paraId="2B68EE0F" w14:textId="5483B6BD" w:rsidR="006C3B6D" w:rsidRDefault="006C3B6D" w:rsidP="00323167">
      <w:pPr>
        <w:pStyle w:val="AODocTxt"/>
        <w:spacing w:before="0" w:line="240" w:lineRule="auto"/>
        <w:rPr>
          <w:rFonts w:ascii="Arial" w:hAnsi="Arial" w:cs="Arial"/>
        </w:rPr>
      </w:pPr>
      <w:r>
        <w:rPr>
          <w:rFonts w:ascii="Arial" w:hAnsi="Arial" w:cs="Arial"/>
        </w:rPr>
        <w:t>Final orders dispose of all issues and leave nothing further to be decided.  Final orders may be appealed as of right</w:t>
      </w:r>
      <w:r w:rsidR="00B021C8">
        <w:rPr>
          <w:rFonts w:ascii="Arial" w:hAnsi="Arial" w:cs="Arial"/>
        </w:rPr>
        <w:t>, meaning the appeal does not require permission of the appellate court as a prerequisite of taking the appeal</w:t>
      </w:r>
      <w:r>
        <w:rPr>
          <w:rFonts w:ascii="Arial" w:hAnsi="Arial" w:cs="Arial"/>
        </w:rPr>
        <w:t>.</w:t>
      </w:r>
    </w:p>
    <w:p w14:paraId="0A3B4F2E" w14:textId="20595E5F" w:rsidR="006C3B6D" w:rsidRDefault="006C3B6D" w:rsidP="00323167">
      <w:pPr>
        <w:pStyle w:val="AODocTxt"/>
        <w:spacing w:before="0" w:line="240" w:lineRule="auto"/>
        <w:rPr>
          <w:rFonts w:ascii="Arial" w:hAnsi="Arial" w:cs="Arial"/>
        </w:rPr>
      </w:pPr>
    </w:p>
    <w:p w14:paraId="1F862101" w14:textId="1BD03539" w:rsidR="006C3B6D" w:rsidRDefault="006C3B6D" w:rsidP="00323167">
      <w:pPr>
        <w:pStyle w:val="AODocTxt"/>
        <w:spacing w:before="0" w:line="240" w:lineRule="auto"/>
        <w:rPr>
          <w:rFonts w:ascii="Arial" w:hAnsi="Arial" w:cs="Arial"/>
        </w:rPr>
      </w:pPr>
      <w:r>
        <w:rPr>
          <w:rFonts w:ascii="Arial" w:hAnsi="Arial" w:cs="Arial"/>
        </w:rPr>
        <w:t>In bankruptcy proceedings the same framework applies.  One exception that applies is that orders extending the period of exclusivity to propose a plan are appealable as of right.</w:t>
      </w:r>
    </w:p>
    <w:p w14:paraId="14D04922" w14:textId="1D969EF4" w:rsidR="005B2A9B" w:rsidRDefault="005B2A9B" w:rsidP="00323167">
      <w:pPr>
        <w:pStyle w:val="AODocTxt"/>
        <w:spacing w:before="0" w:line="240" w:lineRule="auto"/>
        <w:rPr>
          <w:rFonts w:ascii="Arial" w:hAnsi="Arial" w:cs="Arial"/>
        </w:rPr>
      </w:pPr>
    </w:p>
    <w:p w14:paraId="365CC8EA" w14:textId="6BA61695" w:rsidR="006C3B6D" w:rsidRDefault="006C3B6D" w:rsidP="00323167">
      <w:pPr>
        <w:pStyle w:val="AODocTxt"/>
        <w:spacing w:before="0" w:line="240" w:lineRule="auto"/>
        <w:rPr>
          <w:rFonts w:ascii="Arial" w:hAnsi="Arial" w:cs="Arial"/>
        </w:rPr>
      </w:pPr>
      <w:r>
        <w:rPr>
          <w:rFonts w:ascii="Arial" w:hAnsi="Arial" w:cs="Arial"/>
        </w:rPr>
        <w:t xml:space="preserve">Pursuant to </w:t>
      </w:r>
      <w:r w:rsidR="006516CD">
        <w:rPr>
          <w:rFonts w:ascii="Arial" w:hAnsi="Arial" w:cs="Arial"/>
        </w:rPr>
        <w:t>t</w:t>
      </w:r>
      <w:r>
        <w:rPr>
          <w:rFonts w:ascii="Arial" w:hAnsi="Arial" w:cs="Arial"/>
        </w:rPr>
        <w:t>itle 28 section 158(a) the district courts of the United States have jurisdiction to hear bankruptcy court order appeals.</w:t>
      </w:r>
    </w:p>
    <w:p w14:paraId="7B9C457D" w14:textId="77777777" w:rsidR="006C3B6D" w:rsidRPr="00323167" w:rsidRDefault="006C3B6D"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D9F18C4" w14:textId="1D9C4EF0" w:rsidR="00323167" w:rsidRDefault="00323167" w:rsidP="00323167">
      <w:pPr>
        <w:pStyle w:val="AODocTxt"/>
        <w:spacing w:before="0" w:line="240" w:lineRule="auto"/>
        <w:rPr>
          <w:rFonts w:ascii="Arial" w:hAnsi="Arial" w:cs="Arial"/>
          <w:lang w:val="en-GB"/>
        </w:rPr>
      </w:pPr>
    </w:p>
    <w:p w14:paraId="5C9783D7" w14:textId="4D85BD69" w:rsidR="00760096" w:rsidRDefault="007259CD" w:rsidP="00323167">
      <w:pPr>
        <w:pStyle w:val="AODocTxt"/>
        <w:spacing w:before="0" w:line="240" w:lineRule="auto"/>
        <w:rPr>
          <w:rFonts w:ascii="Arial" w:hAnsi="Arial" w:cs="Arial"/>
          <w:lang w:val="en-GB"/>
        </w:rPr>
      </w:pPr>
      <w:r>
        <w:rPr>
          <w:rFonts w:ascii="Arial" w:hAnsi="Arial" w:cs="Arial"/>
          <w:lang w:val="en-GB"/>
        </w:rPr>
        <w:t xml:space="preserve">Directors of Delaware corporations owe a fiduciary duty of loyalty to the corporation’s best interest and a duty of care in educated decision making.  </w:t>
      </w:r>
      <w:r w:rsidR="00760096">
        <w:rPr>
          <w:rFonts w:ascii="Arial" w:hAnsi="Arial" w:cs="Arial"/>
          <w:lang w:val="en-GB"/>
        </w:rPr>
        <w:t xml:space="preserve">Directors of Delaware corporations are protected from liability for errors of judgement by the business judgement rule.  Under the business judgement rule it is presumed that the Board of Directors has acted in </w:t>
      </w:r>
      <w:r w:rsidR="00684866">
        <w:rPr>
          <w:rFonts w:ascii="Arial" w:hAnsi="Arial" w:cs="Arial"/>
          <w:lang w:val="en-GB"/>
        </w:rPr>
        <w:t>g</w:t>
      </w:r>
      <w:r w:rsidR="00760096">
        <w:rPr>
          <w:rFonts w:ascii="Arial" w:hAnsi="Arial" w:cs="Arial"/>
          <w:lang w:val="en-GB"/>
        </w:rPr>
        <w:t>ood faith on the basis of reasonable information.</w:t>
      </w:r>
    </w:p>
    <w:p w14:paraId="7A0A77D2" w14:textId="77777777" w:rsidR="00760096" w:rsidRDefault="00760096" w:rsidP="00323167">
      <w:pPr>
        <w:pStyle w:val="AODocTxt"/>
        <w:spacing w:before="0" w:line="240" w:lineRule="auto"/>
        <w:rPr>
          <w:rFonts w:ascii="Arial" w:hAnsi="Arial" w:cs="Arial"/>
          <w:lang w:val="en-GB"/>
        </w:rPr>
      </w:pPr>
    </w:p>
    <w:p w14:paraId="108D1C51" w14:textId="7EA3A4F4" w:rsidR="009E4A01" w:rsidRDefault="007259CD" w:rsidP="00323167">
      <w:pPr>
        <w:pStyle w:val="AODocTxt"/>
        <w:spacing w:before="0" w:line="240" w:lineRule="auto"/>
        <w:rPr>
          <w:rFonts w:ascii="Arial" w:hAnsi="Arial" w:cs="Arial"/>
          <w:lang w:val="en-GB"/>
        </w:rPr>
      </w:pPr>
      <w:r>
        <w:rPr>
          <w:rFonts w:ascii="Arial" w:hAnsi="Arial" w:cs="Arial"/>
          <w:lang w:val="en-GB"/>
        </w:rPr>
        <w:t xml:space="preserve">In the ordinary course of business these fiduciary duties are owed to the corporation and its shareholders.  As evidenced in </w:t>
      </w:r>
      <w:r>
        <w:rPr>
          <w:rFonts w:ascii="Arial" w:hAnsi="Arial" w:cs="Arial"/>
          <w:i/>
          <w:iCs/>
          <w:lang w:val="en-GB"/>
        </w:rPr>
        <w:t xml:space="preserve">North Am Catholic Educational Programming Foundation, Inc v Gheewalla </w:t>
      </w:r>
      <w:r>
        <w:rPr>
          <w:rFonts w:ascii="Arial" w:hAnsi="Arial" w:cs="Arial"/>
          <w:lang w:val="en-GB"/>
        </w:rPr>
        <w:t>this remains unchanged even in circumstances where the corporation is operating in the “zone of insolvency”.</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C6FF013" w14:textId="5888A19B" w:rsidR="00323167" w:rsidRDefault="00323167" w:rsidP="00323167">
      <w:pPr>
        <w:pStyle w:val="AODocTxt"/>
        <w:spacing w:before="0" w:line="240" w:lineRule="auto"/>
        <w:rPr>
          <w:rFonts w:ascii="Arial" w:hAnsi="Arial" w:cs="Arial"/>
        </w:rPr>
      </w:pPr>
    </w:p>
    <w:p w14:paraId="0CACA994" w14:textId="349D78AB" w:rsidR="00441272" w:rsidRDefault="00D16B93" w:rsidP="00323167">
      <w:pPr>
        <w:pStyle w:val="AODocTxt"/>
        <w:spacing w:before="0" w:line="240" w:lineRule="auto"/>
        <w:rPr>
          <w:rFonts w:ascii="Arial" w:hAnsi="Arial" w:cs="Arial"/>
        </w:rPr>
      </w:pPr>
      <w:r>
        <w:rPr>
          <w:rFonts w:ascii="Arial" w:hAnsi="Arial" w:cs="Arial"/>
        </w:rPr>
        <w:t>To commence a case under chapter 15 of the United States Bankruptcy Code, Gambling Corporation would be required to file a petition.  The requirements of recognition pursuant to chapter 15 are minimal:</w:t>
      </w:r>
    </w:p>
    <w:p w14:paraId="182B079F" w14:textId="45D02DE3" w:rsidR="00D16B93" w:rsidRDefault="00D16B93" w:rsidP="00323167">
      <w:pPr>
        <w:pStyle w:val="AODocTxt"/>
        <w:spacing w:before="0" w:line="240" w:lineRule="auto"/>
        <w:rPr>
          <w:rFonts w:ascii="Arial" w:hAnsi="Arial" w:cs="Arial"/>
        </w:rPr>
      </w:pPr>
    </w:p>
    <w:p w14:paraId="5E7D301C" w14:textId="579E92AD" w:rsidR="00D16B93" w:rsidRDefault="00D16B93" w:rsidP="00D16B93">
      <w:pPr>
        <w:pStyle w:val="AODocTxt"/>
        <w:spacing w:before="0" w:line="240" w:lineRule="auto"/>
        <w:ind w:left="720" w:hanging="720"/>
        <w:rPr>
          <w:rFonts w:ascii="Arial" w:hAnsi="Arial" w:cs="Arial"/>
        </w:rPr>
      </w:pPr>
      <w:r>
        <w:rPr>
          <w:rFonts w:ascii="Arial" w:hAnsi="Arial" w:cs="Arial"/>
        </w:rPr>
        <w:t>(i)</w:t>
      </w:r>
      <w:r>
        <w:rPr>
          <w:rFonts w:ascii="Arial" w:hAnsi="Arial" w:cs="Arial"/>
        </w:rPr>
        <w:tab/>
        <w:t>Gambling Corporation must establish that a foreign court or administrative proceeding with respect to Gambling Corporation is pending; and</w:t>
      </w:r>
    </w:p>
    <w:p w14:paraId="796DE793" w14:textId="0859EA24" w:rsidR="00D16B93" w:rsidRDefault="00D16B93" w:rsidP="00323167">
      <w:pPr>
        <w:pStyle w:val="AODocTxt"/>
        <w:spacing w:before="0" w:line="240" w:lineRule="auto"/>
        <w:rPr>
          <w:rFonts w:ascii="Arial" w:hAnsi="Arial" w:cs="Arial"/>
        </w:rPr>
      </w:pPr>
    </w:p>
    <w:p w14:paraId="7C7824BE" w14:textId="057ACEC5" w:rsidR="00D16B93" w:rsidRDefault="00D16B93" w:rsidP="00D16B93">
      <w:pPr>
        <w:pStyle w:val="AODocTxt"/>
        <w:spacing w:before="0" w:line="240" w:lineRule="auto"/>
        <w:ind w:left="720" w:hanging="720"/>
        <w:rPr>
          <w:rFonts w:ascii="Arial" w:hAnsi="Arial" w:cs="Arial"/>
        </w:rPr>
      </w:pPr>
      <w:r>
        <w:rPr>
          <w:rFonts w:ascii="Arial" w:hAnsi="Arial" w:cs="Arial"/>
        </w:rPr>
        <w:t>(ii)</w:t>
      </w:r>
      <w:r>
        <w:rPr>
          <w:rFonts w:ascii="Arial" w:hAnsi="Arial" w:cs="Arial"/>
        </w:rPr>
        <w:tab/>
        <w:t>that the foreign representative appointed to Gambling Corporation to facilitate the proposed scheme of arrangement is empowered to act by the foreign proceeding, in this instance the proceeding in the English Court.</w:t>
      </w:r>
    </w:p>
    <w:p w14:paraId="2AA1E732" w14:textId="35A1E2F2" w:rsidR="005B2A9B" w:rsidRDefault="005B2A9B" w:rsidP="00323167">
      <w:pPr>
        <w:pStyle w:val="AODocTxt"/>
        <w:spacing w:before="0" w:line="240" w:lineRule="auto"/>
        <w:rPr>
          <w:rFonts w:ascii="Arial" w:hAnsi="Arial" w:cs="Arial"/>
        </w:rPr>
      </w:pPr>
    </w:p>
    <w:p w14:paraId="1E8C2759" w14:textId="51BB6A05" w:rsidR="00563F33" w:rsidRDefault="00563F33" w:rsidP="00323167">
      <w:pPr>
        <w:pStyle w:val="AODocTxt"/>
        <w:spacing w:before="0" w:line="240" w:lineRule="auto"/>
        <w:rPr>
          <w:rFonts w:ascii="Arial" w:hAnsi="Arial" w:cs="Arial"/>
        </w:rPr>
      </w:pPr>
      <w:r>
        <w:rPr>
          <w:rFonts w:ascii="Arial" w:hAnsi="Arial" w:cs="Arial"/>
        </w:rPr>
        <w:t xml:space="preserve">A foreign proceeding does not need to resemble a US bankruptcy case to be granted recognition and proceedings as diverse as English schemes of arrangement </w:t>
      </w:r>
      <w:r w:rsidR="00E0580A">
        <w:rPr>
          <w:rFonts w:ascii="Arial" w:hAnsi="Arial" w:cs="Arial"/>
        </w:rPr>
        <w:t>can be recogni</w:t>
      </w:r>
      <w:r w:rsidR="00684866">
        <w:rPr>
          <w:rFonts w:ascii="Arial" w:hAnsi="Arial" w:cs="Arial"/>
        </w:rPr>
        <w:t>s</w:t>
      </w:r>
      <w:r w:rsidR="00E0580A">
        <w:rPr>
          <w:rFonts w:ascii="Arial" w:hAnsi="Arial" w:cs="Arial"/>
        </w:rPr>
        <w:t>ed, given the minimal requirements are met</w:t>
      </w:r>
      <w:r>
        <w:rPr>
          <w:rFonts w:ascii="Arial" w:hAnsi="Arial" w:cs="Arial"/>
        </w:rPr>
        <w:t>.</w:t>
      </w:r>
    </w:p>
    <w:p w14:paraId="62764CE9" w14:textId="6F717B61" w:rsidR="00563F33" w:rsidRDefault="00563F33" w:rsidP="00323167">
      <w:pPr>
        <w:pStyle w:val="AODocTxt"/>
        <w:spacing w:before="0" w:line="240" w:lineRule="auto"/>
        <w:rPr>
          <w:rFonts w:ascii="Arial" w:hAnsi="Arial" w:cs="Arial"/>
        </w:rPr>
      </w:pPr>
    </w:p>
    <w:p w14:paraId="39CFE07E" w14:textId="77777777" w:rsidR="00563F33" w:rsidRPr="00563F33" w:rsidRDefault="00563F33" w:rsidP="00563F33">
      <w:pPr>
        <w:pStyle w:val="AODocTxt"/>
        <w:spacing w:before="0" w:line="240" w:lineRule="auto"/>
        <w:rPr>
          <w:rFonts w:ascii="Arial" w:hAnsi="Arial" w:cs="Arial"/>
        </w:rPr>
      </w:pPr>
      <w:r>
        <w:rPr>
          <w:rFonts w:ascii="Arial" w:hAnsi="Arial" w:cs="Arial"/>
        </w:rPr>
        <w:t xml:space="preserve">Foreign main proceedings are those that are commenced in the debtor’s Centre of Main Interest (“COMI”).  COMI is a concept foreign to United States law.  A debtor’s COMI is presumed to be its place of incorporation, but this is rebuttable.  Pursuant to the </w:t>
      </w:r>
      <w:r>
        <w:rPr>
          <w:rFonts w:ascii="Arial" w:hAnsi="Arial" w:cs="Arial"/>
          <w:i/>
          <w:iCs/>
        </w:rPr>
        <w:t xml:space="preserve">Bear Stearns </w:t>
      </w:r>
      <w:r>
        <w:rPr>
          <w:rFonts w:ascii="Arial" w:hAnsi="Arial" w:cs="Arial"/>
        </w:rPr>
        <w:t>case, COMI is to be assessed as of the date of the US petition, not the commencement of foreign proceedings.</w:t>
      </w:r>
    </w:p>
    <w:p w14:paraId="131B2B1E" w14:textId="77777777" w:rsidR="00563F33" w:rsidRDefault="00563F33" w:rsidP="00323167">
      <w:pPr>
        <w:pStyle w:val="AODocTxt"/>
        <w:spacing w:before="0" w:line="240" w:lineRule="auto"/>
        <w:rPr>
          <w:rFonts w:ascii="Arial" w:hAnsi="Arial" w:cs="Arial"/>
        </w:rPr>
      </w:pPr>
    </w:p>
    <w:p w14:paraId="6F97384A" w14:textId="288861C2" w:rsidR="00563F33" w:rsidRDefault="00563F33" w:rsidP="00323167">
      <w:pPr>
        <w:pStyle w:val="AODocTxt"/>
        <w:spacing w:before="0" w:line="240" w:lineRule="auto"/>
        <w:rPr>
          <w:rFonts w:ascii="Arial" w:hAnsi="Arial" w:cs="Arial"/>
        </w:rPr>
      </w:pPr>
      <w:r>
        <w:rPr>
          <w:rFonts w:ascii="Arial" w:hAnsi="Arial" w:cs="Arial"/>
        </w:rPr>
        <w:lastRenderedPageBreak/>
        <w:t>Relevant factors in the COMI analysis include:</w:t>
      </w:r>
    </w:p>
    <w:p w14:paraId="29B3C691" w14:textId="70D570C1" w:rsidR="00563F33" w:rsidRDefault="00563F33" w:rsidP="00323167">
      <w:pPr>
        <w:pStyle w:val="AODocTxt"/>
        <w:spacing w:before="0" w:line="240" w:lineRule="auto"/>
        <w:rPr>
          <w:rFonts w:ascii="Arial" w:hAnsi="Arial" w:cs="Arial"/>
        </w:rPr>
      </w:pPr>
    </w:p>
    <w:p w14:paraId="7F1D5573" w14:textId="76B96B8E" w:rsidR="00E0580A" w:rsidRDefault="00E0580A" w:rsidP="00E0580A">
      <w:pPr>
        <w:pStyle w:val="AODocTxt"/>
        <w:spacing w:before="0" w:line="240" w:lineRule="auto"/>
        <w:ind w:left="720" w:hanging="720"/>
        <w:rPr>
          <w:rFonts w:ascii="Arial" w:hAnsi="Arial" w:cs="Arial"/>
        </w:rPr>
      </w:pPr>
      <w:r>
        <w:rPr>
          <w:rFonts w:ascii="Arial" w:hAnsi="Arial" w:cs="Arial"/>
        </w:rPr>
        <w:t>(i)</w:t>
      </w:r>
      <w:r>
        <w:rPr>
          <w:rFonts w:ascii="Arial" w:hAnsi="Arial" w:cs="Arial"/>
        </w:rPr>
        <w:tab/>
        <w:t>place of incorporation – Gambling Corporation was incorporated in Greece.</w:t>
      </w:r>
    </w:p>
    <w:p w14:paraId="47539246" w14:textId="218B637E" w:rsidR="00563F33" w:rsidRDefault="00563F33" w:rsidP="00E0580A">
      <w:pPr>
        <w:pStyle w:val="AODocTxt"/>
        <w:spacing w:before="0" w:line="240" w:lineRule="auto"/>
        <w:ind w:left="720" w:hanging="720"/>
        <w:rPr>
          <w:rFonts w:ascii="Arial" w:hAnsi="Arial" w:cs="Arial"/>
        </w:rPr>
      </w:pPr>
      <w:r>
        <w:rPr>
          <w:rFonts w:ascii="Arial" w:hAnsi="Arial" w:cs="Arial"/>
        </w:rPr>
        <w:t>(</w:t>
      </w:r>
      <w:r w:rsidR="00E0580A">
        <w:rPr>
          <w:rFonts w:ascii="Arial" w:hAnsi="Arial" w:cs="Arial"/>
        </w:rPr>
        <w:t>ii</w:t>
      </w:r>
      <w:r>
        <w:rPr>
          <w:rFonts w:ascii="Arial" w:hAnsi="Arial" w:cs="Arial"/>
        </w:rPr>
        <w:t>)</w:t>
      </w:r>
      <w:r>
        <w:rPr>
          <w:rFonts w:ascii="Arial" w:hAnsi="Arial" w:cs="Arial"/>
        </w:rPr>
        <w:tab/>
        <w:t xml:space="preserve">location of headquarters </w:t>
      </w:r>
      <w:r w:rsidR="00E0580A">
        <w:rPr>
          <w:rFonts w:ascii="Arial" w:hAnsi="Arial" w:cs="Arial"/>
        </w:rPr>
        <w:t>–</w:t>
      </w:r>
      <w:r>
        <w:rPr>
          <w:rFonts w:ascii="Arial" w:hAnsi="Arial" w:cs="Arial"/>
        </w:rPr>
        <w:t xml:space="preserve"> </w:t>
      </w:r>
      <w:r w:rsidR="00E0580A">
        <w:rPr>
          <w:rFonts w:ascii="Arial" w:hAnsi="Arial" w:cs="Arial"/>
        </w:rPr>
        <w:t>Gambling Corporation’s principal place of business is in Greece.</w:t>
      </w:r>
    </w:p>
    <w:p w14:paraId="5ED83A5A" w14:textId="7B74928A" w:rsidR="00563F33" w:rsidRDefault="00563F33" w:rsidP="00E0580A">
      <w:pPr>
        <w:pStyle w:val="AODocTxt"/>
        <w:spacing w:before="0" w:line="240" w:lineRule="auto"/>
        <w:ind w:left="720" w:hanging="720"/>
        <w:rPr>
          <w:rFonts w:ascii="Arial" w:hAnsi="Arial" w:cs="Arial"/>
        </w:rPr>
      </w:pPr>
      <w:r>
        <w:rPr>
          <w:rFonts w:ascii="Arial" w:hAnsi="Arial" w:cs="Arial"/>
        </w:rPr>
        <w:t>(ii</w:t>
      </w:r>
      <w:r w:rsidR="00E0580A">
        <w:rPr>
          <w:rFonts w:ascii="Arial" w:hAnsi="Arial" w:cs="Arial"/>
        </w:rPr>
        <w:t>i</w:t>
      </w:r>
      <w:r>
        <w:rPr>
          <w:rFonts w:ascii="Arial" w:hAnsi="Arial" w:cs="Arial"/>
        </w:rPr>
        <w:t>)</w:t>
      </w:r>
      <w:r>
        <w:rPr>
          <w:rFonts w:ascii="Arial" w:hAnsi="Arial" w:cs="Arial"/>
        </w:rPr>
        <w:tab/>
        <w:t xml:space="preserve">location of management – </w:t>
      </w:r>
      <w:r w:rsidR="00E0580A">
        <w:rPr>
          <w:rFonts w:ascii="Arial" w:hAnsi="Arial" w:cs="Arial"/>
        </w:rPr>
        <w:t xml:space="preserve">Gambling Corporation </w:t>
      </w:r>
      <w:r w:rsidR="00E0580A" w:rsidRPr="00323167">
        <w:rPr>
          <w:rFonts w:ascii="Arial" w:hAnsi="Arial" w:cs="Arial"/>
        </w:rPr>
        <w:t>operates casinos and betting parlors in Athens, Las Vegas, London and Macau</w:t>
      </w:r>
      <w:r w:rsidR="00E0580A">
        <w:rPr>
          <w:rFonts w:ascii="Arial" w:hAnsi="Arial" w:cs="Arial"/>
        </w:rPr>
        <w:t>.  It could be assumed that Gambling Corporation’s management is split across these jurisdictions.</w:t>
      </w:r>
    </w:p>
    <w:p w14:paraId="3FBF6D57" w14:textId="6AF9B1D3" w:rsidR="00563F33" w:rsidRDefault="00563F33" w:rsidP="00E0580A">
      <w:pPr>
        <w:pStyle w:val="AODocTxt"/>
        <w:spacing w:before="0" w:line="240" w:lineRule="auto"/>
        <w:ind w:left="720" w:hanging="720"/>
        <w:rPr>
          <w:rFonts w:ascii="Arial" w:hAnsi="Arial" w:cs="Arial"/>
        </w:rPr>
      </w:pPr>
      <w:r>
        <w:rPr>
          <w:rFonts w:ascii="Arial" w:hAnsi="Arial" w:cs="Arial"/>
        </w:rPr>
        <w:t>(i</w:t>
      </w:r>
      <w:r w:rsidR="00E0580A">
        <w:rPr>
          <w:rFonts w:ascii="Arial" w:hAnsi="Arial" w:cs="Arial"/>
        </w:rPr>
        <w:t>v</w:t>
      </w:r>
      <w:r>
        <w:rPr>
          <w:rFonts w:ascii="Arial" w:hAnsi="Arial" w:cs="Arial"/>
        </w:rPr>
        <w:t xml:space="preserve">) </w:t>
      </w:r>
      <w:r>
        <w:rPr>
          <w:rFonts w:ascii="Arial" w:hAnsi="Arial" w:cs="Arial"/>
        </w:rPr>
        <w:tab/>
        <w:t xml:space="preserve">location of primary assets – </w:t>
      </w:r>
      <w:r w:rsidR="00E0580A">
        <w:rPr>
          <w:rFonts w:ascii="Arial" w:hAnsi="Arial" w:cs="Arial"/>
        </w:rPr>
        <w:t>Gambling Corporation’s bonds, which will be the subject of the scheme of arrangement, are governed by English law.</w:t>
      </w:r>
    </w:p>
    <w:p w14:paraId="5F7A1675" w14:textId="3F9E6497" w:rsidR="00563F33" w:rsidRDefault="00563F33" w:rsidP="00E0580A">
      <w:pPr>
        <w:pStyle w:val="AODocTxt"/>
        <w:spacing w:before="0" w:line="240" w:lineRule="auto"/>
        <w:ind w:left="720" w:hanging="720"/>
        <w:rPr>
          <w:rFonts w:ascii="Arial" w:hAnsi="Arial" w:cs="Arial"/>
        </w:rPr>
      </w:pPr>
      <w:r>
        <w:rPr>
          <w:rFonts w:ascii="Arial" w:hAnsi="Arial" w:cs="Arial"/>
        </w:rPr>
        <w:t>(v)</w:t>
      </w:r>
      <w:r>
        <w:rPr>
          <w:rFonts w:ascii="Arial" w:hAnsi="Arial" w:cs="Arial"/>
        </w:rPr>
        <w:tab/>
      </w:r>
      <w:r w:rsidR="00E0580A">
        <w:rPr>
          <w:rFonts w:ascii="Arial" w:hAnsi="Arial" w:cs="Arial"/>
        </w:rPr>
        <w:t xml:space="preserve">location of a majority of the debtor’s creditors or a majority of the creditors that will be affected by the relief requested by the foreign representative – It is unclear from the facts of the question the jurisdiction of the majority of Gambling Corporation’s creditors.  Given Gambling Corporation operates in Greece, </w:t>
      </w:r>
      <w:r w:rsidR="00E0580A" w:rsidRPr="00323167">
        <w:rPr>
          <w:rFonts w:ascii="Arial" w:hAnsi="Arial" w:cs="Arial"/>
        </w:rPr>
        <w:t>Athens, Las Vegas, London and Macau</w:t>
      </w:r>
      <w:r w:rsidR="00E0580A">
        <w:rPr>
          <w:rFonts w:ascii="Arial" w:hAnsi="Arial" w:cs="Arial"/>
        </w:rPr>
        <w:t>; it could be presumed the creditors are spread across these jurisdictions.</w:t>
      </w:r>
    </w:p>
    <w:p w14:paraId="72B6C7A7" w14:textId="54D50DA9" w:rsidR="00563F33" w:rsidRDefault="00E0580A" w:rsidP="007B04B5">
      <w:pPr>
        <w:pStyle w:val="AODocTxt"/>
        <w:spacing w:before="0" w:line="240" w:lineRule="auto"/>
        <w:ind w:left="720" w:hanging="720"/>
        <w:rPr>
          <w:rFonts w:ascii="Arial" w:hAnsi="Arial" w:cs="Arial"/>
        </w:rPr>
      </w:pPr>
      <w:r>
        <w:rPr>
          <w:rFonts w:ascii="Arial" w:hAnsi="Arial" w:cs="Arial"/>
        </w:rPr>
        <w:t>(vi)</w:t>
      </w:r>
      <w:r>
        <w:rPr>
          <w:rFonts w:ascii="Arial" w:hAnsi="Arial" w:cs="Arial"/>
        </w:rPr>
        <w:tab/>
        <w:t xml:space="preserve">jurisdiction whose law will apply to most disputes </w:t>
      </w:r>
      <w:r w:rsidR="00CB759C">
        <w:rPr>
          <w:rFonts w:ascii="Arial" w:hAnsi="Arial" w:cs="Arial"/>
        </w:rPr>
        <w:t>–</w:t>
      </w:r>
      <w:r>
        <w:rPr>
          <w:rFonts w:ascii="Arial" w:hAnsi="Arial" w:cs="Arial"/>
        </w:rPr>
        <w:t xml:space="preserve"> </w:t>
      </w:r>
      <w:r w:rsidR="00CB759C">
        <w:rPr>
          <w:rFonts w:ascii="Arial" w:hAnsi="Arial" w:cs="Arial"/>
        </w:rPr>
        <w:t>Gambling Corporation’s bonds are subject to English law and therefore disputes in relation to same will be subject to English law.</w:t>
      </w:r>
    </w:p>
    <w:p w14:paraId="39BFC324" w14:textId="77777777" w:rsidR="00563F33" w:rsidRPr="00323167" w:rsidRDefault="00563F33"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742B999" w14:textId="4B5FFE3D" w:rsidR="00323167" w:rsidRDefault="00323167" w:rsidP="00323167">
      <w:pPr>
        <w:pStyle w:val="AODocTxt"/>
        <w:spacing w:before="0" w:line="240" w:lineRule="auto"/>
        <w:rPr>
          <w:rFonts w:ascii="Arial" w:hAnsi="Arial" w:cs="Arial"/>
        </w:rPr>
      </w:pPr>
    </w:p>
    <w:p w14:paraId="3CA959F4" w14:textId="07228FE8" w:rsidR="007B04B5" w:rsidRDefault="00996637" w:rsidP="00323167">
      <w:pPr>
        <w:pStyle w:val="AODocTxt"/>
        <w:spacing w:before="0" w:line="240" w:lineRule="auto"/>
        <w:rPr>
          <w:rFonts w:ascii="Arial" w:hAnsi="Arial" w:cs="Arial"/>
        </w:rPr>
      </w:pPr>
      <w:r>
        <w:rPr>
          <w:rFonts w:ascii="Arial" w:hAnsi="Arial" w:cs="Arial"/>
        </w:rPr>
        <w:t>Pursuant to title 11 section 362 of the Untied States Code an automatic stay would become effective on Oil Corp’s filing of the chapter 11 petition.</w:t>
      </w:r>
    </w:p>
    <w:p w14:paraId="608622D6" w14:textId="77777777" w:rsidR="007B04B5" w:rsidRDefault="007B04B5" w:rsidP="00323167">
      <w:pPr>
        <w:pStyle w:val="AODocTxt"/>
        <w:spacing w:before="0" w:line="240" w:lineRule="auto"/>
        <w:rPr>
          <w:rFonts w:ascii="Arial" w:hAnsi="Arial" w:cs="Arial"/>
        </w:rPr>
      </w:pPr>
    </w:p>
    <w:p w14:paraId="3DB2E440" w14:textId="0BBF4350" w:rsidR="007B04B5" w:rsidRPr="007B04B5" w:rsidRDefault="007B04B5" w:rsidP="00323167">
      <w:pPr>
        <w:pStyle w:val="AODocTxt"/>
        <w:spacing w:before="0" w:line="240" w:lineRule="auto"/>
        <w:rPr>
          <w:rFonts w:ascii="Arial" w:hAnsi="Arial" w:cs="Arial"/>
          <w:u w:val="single"/>
        </w:rPr>
      </w:pPr>
      <w:r w:rsidRPr="007B04B5">
        <w:rPr>
          <w:rFonts w:ascii="Arial" w:hAnsi="Arial" w:cs="Arial"/>
          <w:u w:val="single"/>
        </w:rPr>
        <w:t>ShipCo Lawsuit in Texas</w:t>
      </w:r>
    </w:p>
    <w:p w14:paraId="4385F987" w14:textId="05C282FE" w:rsidR="007B04B5" w:rsidRDefault="007B04B5" w:rsidP="00323167">
      <w:pPr>
        <w:pStyle w:val="AODocTxt"/>
        <w:spacing w:before="0" w:line="240" w:lineRule="auto"/>
        <w:rPr>
          <w:rFonts w:ascii="Arial" w:hAnsi="Arial" w:cs="Arial"/>
        </w:rPr>
      </w:pPr>
    </w:p>
    <w:p w14:paraId="122800AD" w14:textId="1A760EBC" w:rsidR="007B04B5" w:rsidRDefault="00B2241A" w:rsidP="00323167">
      <w:pPr>
        <w:pStyle w:val="AODocTxt"/>
        <w:spacing w:before="0" w:line="240" w:lineRule="auto"/>
        <w:rPr>
          <w:rFonts w:ascii="Arial" w:hAnsi="Arial" w:cs="Arial"/>
        </w:rPr>
      </w:pPr>
      <w:r>
        <w:rPr>
          <w:rFonts w:ascii="Arial" w:hAnsi="Arial" w:cs="Arial"/>
        </w:rPr>
        <w:t xml:space="preserve">Pursuant to title 11 section 362(a), </w:t>
      </w:r>
      <w:r w:rsidR="00670D7B">
        <w:rPr>
          <w:rFonts w:ascii="Arial" w:hAnsi="Arial" w:cs="Arial"/>
        </w:rPr>
        <w:t>t</w:t>
      </w:r>
      <w:r w:rsidR="00996637">
        <w:rPr>
          <w:rFonts w:ascii="Arial" w:hAnsi="Arial" w:cs="Arial"/>
        </w:rPr>
        <w:t xml:space="preserve">he automatic stay specifically prohibits enforcement of pre-petition judgements against Oil Corp. The lawsuit filed by ShipCo would be stayed until such time that Oil Corp </w:t>
      </w:r>
      <w:r w:rsidR="003B62A1">
        <w:rPr>
          <w:rFonts w:ascii="Arial" w:hAnsi="Arial" w:cs="Arial"/>
        </w:rPr>
        <w:t>proposes a plan within the 120 day exclusivity period.</w:t>
      </w:r>
    </w:p>
    <w:p w14:paraId="7C8BAA5B" w14:textId="15136843" w:rsidR="007B04B5" w:rsidRDefault="007B04B5" w:rsidP="00323167">
      <w:pPr>
        <w:pStyle w:val="AODocTxt"/>
        <w:spacing w:before="0" w:line="240" w:lineRule="auto"/>
        <w:rPr>
          <w:rFonts w:ascii="Arial" w:hAnsi="Arial" w:cs="Arial"/>
        </w:rPr>
      </w:pPr>
    </w:p>
    <w:p w14:paraId="249387EA" w14:textId="71EF8E52" w:rsidR="007B04B5" w:rsidRPr="007B04B5" w:rsidRDefault="007B04B5" w:rsidP="00323167">
      <w:pPr>
        <w:pStyle w:val="AODocTxt"/>
        <w:spacing w:before="0" w:line="240" w:lineRule="auto"/>
        <w:rPr>
          <w:rFonts w:ascii="Arial" w:hAnsi="Arial" w:cs="Arial"/>
          <w:u w:val="single"/>
        </w:rPr>
      </w:pPr>
      <w:r w:rsidRPr="007B04B5">
        <w:rPr>
          <w:rFonts w:ascii="Arial" w:hAnsi="Arial" w:cs="Arial"/>
          <w:u w:val="single"/>
        </w:rPr>
        <w:t>US Department of Justice Investigation</w:t>
      </w:r>
    </w:p>
    <w:p w14:paraId="0E33CE63" w14:textId="74816355" w:rsidR="007B04B5" w:rsidRDefault="007B04B5" w:rsidP="00323167">
      <w:pPr>
        <w:pStyle w:val="AODocTxt"/>
        <w:spacing w:before="0" w:line="240" w:lineRule="auto"/>
        <w:rPr>
          <w:rFonts w:ascii="Arial" w:hAnsi="Arial" w:cs="Arial"/>
        </w:rPr>
      </w:pPr>
    </w:p>
    <w:p w14:paraId="22CCBD00" w14:textId="0BFC23C4" w:rsidR="007B04B5" w:rsidRDefault="00670D7B" w:rsidP="00323167">
      <w:pPr>
        <w:pStyle w:val="AODocTxt"/>
        <w:spacing w:before="0" w:line="240" w:lineRule="auto"/>
        <w:rPr>
          <w:rFonts w:ascii="Arial" w:hAnsi="Arial" w:cs="Arial"/>
        </w:rPr>
      </w:pPr>
      <w:r>
        <w:rPr>
          <w:rFonts w:ascii="Arial" w:hAnsi="Arial" w:cs="Arial"/>
        </w:rPr>
        <w:t>Pursuant to title 11 section 362(b), t</w:t>
      </w:r>
      <w:r w:rsidR="003B62A1">
        <w:rPr>
          <w:rFonts w:ascii="Arial" w:hAnsi="Arial" w:cs="Arial"/>
        </w:rPr>
        <w:t xml:space="preserve">he automatic stay is subject to certain statutory exceptions including criminal proceedings and regulatory investigations.  Accordingly, the US Department of Justice’s investigation into whether Oil Corp illegally purchased oil from countries subject to US sanctions </w:t>
      </w:r>
      <w:r w:rsidR="00684866">
        <w:rPr>
          <w:rFonts w:ascii="Arial" w:hAnsi="Arial" w:cs="Arial"/>
        </w:rPr>
        <w:t>w</w:t>
      </w:r>
      <w:r w:rsidR="003B62A1">
        <w:rPr>
          <w:rFonts w:ascii="Arial" w:hAnsi="Arial" w:cs="Arial"/>
        </w:rPr>
        <w:t xml:space="preserve">ould continue.  If grounds were found which led to criminal charges being filed, these filings would </w:t>
      </w:r>
      <w:r w:rsidR="00684866">
        <w:rPr>
          <w:rFonts w:ascii="Arial" w:hAnsi="Arial" w:cs="Arial"/>
        </w:rPr>
        <w:t xml:space="preserve">also </w:t>
      </w:r>
      <w:r w:rsidR="003B62A1">
        <w:rPr>
          <w:rFonts w:ascii="Arial" w:hAnsi="Arial" w:cs="Arial"/>
        </w:rPr>
        <w:t>be permitted.</w:t>
      </w:r>
    </w:p>
    <w:p w14:paraId="50ED6B17" w14:textId="3F3243EC" w:rsidR="007B04B5" w:rsidRDefault="007B04B5" w:rsidP="00323167">
      <w:pPr>
        <w:pStyle w:val="AODocTxt"/>
        <w:spacing w:before="0" w:line="240" w:lineRule="auto"/>
        <w:rPr>
          <w:rFonts w:ascii="Arial" w:hAnsi="Arial" w:cs="Arial"/>
        </w:rPr>
      </w:pPr>
    </w:p>
    <w:p w14:paraId="0664842A" w14:textId="77BF9454" w:rsidR="007B04B5" w:rsidRPr="007B04B5" w:rsidRDefault="007B04B5" w:rsidP="00323167">
      <w:pPr>
        <w:pStyle w:val="AODocTxt"/>
        <w:spacing w:before="0" w:line="240" w:lineRule="auto"/>
        <w:rPr>
          <w:rFonts w:ascii="Arial" w:hAnsi="Arial" w:cs="Arial"/>
          <w:u w:val="single"/>
        </w:rPr>
      </w:pPr>
      <w:r w:rsidRPr="007B04B5">
        <w:rPr>
          <w:rFonts w:ascii="Arial" w:hAnsi="Arial" w:cs="Arial"/>
          <w:u w:val="single"/>
        </w:rPr>
        <w:t>Secured Loan from USA Bank</w:t>
      </w:r>
    </w:p>
    <w:p w14:paraId="0BAA42E5" w14:textId="1DD4FFB8" w:rsidR="007B04B5" w:rsidRDefault="007B04B5" w:rsidP="00323167">
      <w:pPr>
        <w:pStyle w:val="AODocTxt"/>
        <w:spacing w:before="0" w:line="240" w:lineRule="auto"/>
        <w:rPr>
          <w:rFonts w:ascii="Arial" w:hAnsi="Arial" w:cs="Arial"/>
        </w:rPr>
      </w:pPr>
    </w:p>
    <w:p w14:paraId="0F62F5FC" w14:textId="10DB4E84" w:rsidR="007B04B5" w:rsidRDefault="00B2241A" w:rsidP="00323167">
      <w:pPr>
        <w:pStyle w:val="AODocTxt"/>
        <w:spacing w:before="0" w:line="240" w:lineRule="auto"/>
        <w:rPr>
          <w:rFonts w:ascii="Arial" w:hAnsi="Arial" w:cs="Arial"/>
        </w:rPr>
      </w:pPr>
      <w:r>
        <w:rPr>
          <w:rFonts w:ascii="Arial" w:hAnsi="Arial" w:cs="Arial"/>
        </w:rPr>
        <w:t xml:space="preserve">Pursuant to title 11 section 362(a), the stay prohibits any act to obtain possession or control of property of the estate.  Pursuant to title 11 section 362(d), a relief from the stay may be </w:t>
      </w:r>
      <w:r>
        <w:rPr>
          <w:rFonts w:ascii="Arial" w:hAnsi="Arial" w:cs="Arial"/>
        </w:rPr>
        <w:lastRenderedPageBreak/>
        <w:t>granted under certain conditions.  In this scenario, US Bank may apply for relief of the stay based on lack of adequate protection</w:t>
      </w:r>
      <w:r w:rsidR="00684866">
        <w:rPr>
          <w:rFonts w:ascii="Arial" w:hAnsi="Arial" w:cs="Arial"/>
        </w:rPr>
        <w:t>,</w:t>
      </w:r>
      <w:r>
        <w:rPr>
          <w:rFonts w:ascii="Arial" w:hAnsi="Arial" w:cs="Arial"/>
        </w:rPr>
        <w:t xml:space="preserve"> or if Oil Crop has no equity in the Philippines Oil Refinery </w:t>
      </w:r>
      <w:r w:rsidR="00684866">
        <w:rPr>
          <w:rFonts w:ascii="Arial" w:hAnsi="Arial" w:cs="Arial"/>
        </w:rPr>
        <w:t>and the asset</w:t>
      </w:r>
      <w:r>
        <w:rPr>
          <w:rFonts w:ascii="Arial" w:hAnsi="Arial" w:cs="Arial"/>
        </w:rPr>
        <w:t xml:space="preserve"> is not necessary for the reorganis</w:t>
      </w:r>
      <w:r w:rsidR="00787201">
        <w:rPr>
          <w:rFonts w:ascii="Arial" w:hAnsi="Arial" w:cs="Arial"/>
        </w:rPr>
        <w:t>a</w:t>
      </w:r>
      <w:r>
        <w:rPr>
          <w:rFonts w:ascii="Arial" w:hAnsi="Arial" w:cs="Arial"/>
        </w:rPr>
        <w:t xml:space="preserve">tion.  In the lack of adequate protection scenario, US Bank would have to prove that the value of the </w:t>
      </w:r>
      <w:r w:rsidR="00C9642C">
        <w:rPr>
          <w:rFonts w:ascii="Arial" w:hAnsi="Arial" w:cs="Arial"/>
        </w:rPr>
        <w:t>Philippines</w:t>
      </w:r>
      <w:r>
        <w:rPr>
          <w:rFonts w:ascii="Arial" w:hAnsi="Arial" w:cs="Arial"/>
        </w:rPr>
        <w:t xml:space="preserve"> Oil refinery would decline during the course of the Chapter 11 proceedings and that </w:t>
      </w:r>
      <w:r w:rsidR="00684866">
        <w:rPr>
          <w:rFonts w:ascii="Arial" w:hAnsi="Arial" w:cs="Arial"/>
        </w:rPr>
        <w:t xml:space="preserve">decline </w:t>
      </w:r>
      <w:r>
        <w:rPr>
          <w:rFonts w:ascii="Arial" w:hAnsi="Arial" w:cs="Arial"/>
        </w:rPr>
        <w:t xml:space="preserve">would result in US Bank making less than a full recovery.  Adequate protection relief would not be granted if the value of the </w:t>
      </w:r>
      <w:r w:rsidR="00C9642C">
        <w:rPr>
          <w:rFonts w:ascii="Arial" w:hAnsi="Arial" w:cs="Arial"/>
        </w:rPr>
        <w:t>Philippines</w:t>
      </w:r>
      <w:r>
        <w:rPr>
          <w:rFonts w:ascii="Arial" w:hAnsi="Arial" w:cs="Arial"/>
        </w:rPr>
        <w:t xml:space="preserve"> Oil Refinery </w:t>
      </w:r>
      <w:r w:rsidR="00C9642C">
        <w:rPr>
          <w:rFonts w:ascii="Arial" w:hAnsi="Arial" w:cs="Arial"/>
        </w:rPr>
        <w:t>exceeds the debt it secures.</w:t>
      </w:r>
      <w:r w:rsidR="00787201">
        <w:rPr>
          <w:rFonts w:ascii="Arial" w:hAnsi="Arial" w:cs="Arial"/>
        </w:rPr>
        <w:t xml:space="preserve">  In the </w:t>
      </w:r>
      <w:r w:rsidR="0090503E">
        <w:rPr>
          <w:rFonts w:ascii="Arial" w:hAnsi="Arial" w:cs="Arial"/>
        </w:rPr>
        <w:t>equity</w:t>
      </w:r>
      <w:r w:rsidR="00787201">
        <w:rPr>
          <w:rFonts w:ascii="Arial" w:hAnsi="Arial" w:cs="Arial"/>
        </w:rPr>
        <w:t xml:space="preserve"> scenario, US Bank</w:t>
      </w:r>
      <w:r w:rsidR="0090503E">
        <w:rPr>
          <w:rFonts w:ascii="Arial" w:hAnsi="Arial" w:cs="Arial"/>
        </w:rPr>
        <w:t xml:space="preserve"> would have</w:t>
      </w:r>
      <w:r w:rsidR="00787201">
        <w:rPr>
          <w:rFonts w:ascii="Arial" w:hAnsi="Arial" w:cs="Arial"/>
        </w:rPr>
        <w:t xml:space="preserve"> to prove that the Philippines Oil Refinery was not necessary for the reorganisation and that Oil Corp has no equity in the same.</w:t>
      </w:r>
    </w:p>
    <w:p w14:paraId="6B692FC7" w14:textId="3D5ACC78" w:rsidR="007B04B5" w:rsidRDefault="007B04B5" w:rsidP="00323167">
      <w:pPr>
        <w:pStyle w:val="AODocTxt"/>
        <w:spacing w:before="0" w:line="240" w:lineRule="auto"/>
        <w:rPr>
          <w:rFonts w:ascii="Arial" w:hAnsi="Arial" w:cs="Arial"/>
        </w:rPr>
      </w:pPr>
    </w:p>
    <w:p w14:paraId="5F62F614" w14:textId="3A15E473" w:rsidR="007B04B5" w:rsidRPr="007B04B5" w:rsidRDefault="007B04B5" w:rsidP="00323167">
      <w:pPr>
        <w:pStyle w:val="AODocTxt"/>
        <w:spacing w:before="0" w:line="240" w:lineRule="auto"/>
        <w:rPr>
          <w:rFonts w:ascii="Arial" w:hAnsi="Arial" w:cs="Arial"/>
          <w:u w:val="single"/>
        </w:rPr>
      </w:pPr>
      <w:r w:rsidRPr="007B04B5">
        <w:rPr>
          <w:rFonts w:ascii="Arial" w:hAnsi="Arial" w:cs="Arial"/>
          <w:u w:val="single"/>
        </w:rPr>
        <w:t>Houston, Texas Office Space</w:t>
      </w:r>
    </w:p>
    <w:p w14:paraId="6702B24F" w14:textId="77777777" w:rsidR="007B04B5" w:rsidRDefault="007B04B5" w:rsidP="00323167">
      <w:pPr>
        <w:pStyle w:val="AODocTxt"/>
        <w:spacing w:before="0" w:line="240" w:lineRule="auto"/>
        <w:rPr>
          <w:rFonts w:ascii="Arial" w:hAnsi="Arial" w:cs="Arial"/>
        </w:rPr>
      </w:pPr>
    </w:p>
    <w:p w14:paraId="04811112" w14:textId="67570117" w:rsidR="005B2A9B" w:rsidRDefault="00AF47E3" w:rsidP="00323167">
      <w:pPr>
        <w:pStyle w:val="AODocTxt"/>
        <w:spacing w:before="0" w:line="240" w:lineRule="auto"/>
        <w:rPr>
          <w:rFonts w:ascii="Arial" w:hAnsi="Arial" w:cs="Arial"/>
        </w:rPr>
      </w:pPr>
      <w:r>
        <w:rPr>
          <w:rFonts w:ascii="Arial" w:hAnsi="Arial" w:cs="Arial"/>
        </w:rPr>
        <w:t>The chapter 11 proceedings allows the debtor in possession of Oil Corp to continue business operations in the ordinary course of business.  It is presumed that Oil Corp does not own equity in the office space and there is no mention that the landlord is pursuing the debt.  Accordingly, the landlord would be permitted to evict Oil Corp from the Houston, Texas Office Space</w:t>
      </w:r>
      <w:r w:rsidR="0090503E">
        <w:rPr>
          <w:rFonts w:ascii="Arial" w:hAnsi="Arial" w:cs="Arial"/>
        </w:rPr>
        <w:t xml:space="preserve"> for non-payment</w:t>
      </w:r>
      <w:r>
        <w:rPr>
          <w:rFonts w:ascii="Arial" w:hAnsi="Arial" w:cs="Arial"/>
        </w:rPr>
        <w:t>.</w:t>
      </w:r>
    </w:p>
    <w:p w14:paraId="4D803AE3" w14:textId="77777777" w:rsidR="007B04B5" w:rsidRPr="00323167" w:rsidRDefault="007B04B5"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4AF02803" w14:textId="776FFCF6" w:rsidR="00F7098F" w:rsidRDefault="00F7098F" w:rsidP="00F7098F">
      <w:pPr>
        <w:autoSpaceDE w:val="0"/>
        <w:autoSpaceDN w:val="0"/>
        <w:adjustRightInd w:val="0"/>
        <w:jc w:val="both"/>
        <w:rPr>
          <w:rFonts w:ascii="Arial" w:hAnsi="Arial" w:cs="Arial"/>
          <w:sz w:val="22"/>
          <w:szCs w:val="22"/>
          <w:lang w:val="en-GB"/>
        </w:rPr>
      </w:pPr>
      <w:r>
        <w:rPr>
          <w:rFonts w:ascii="Arial" w:hAnsi="Arial" w:cs="Arial"/>
          <w:sz w:val="22"/>
          <w:szCs w:val="22"/>
          <w:lang w:val="en-GB"/>
        </w:rPr>
        <w:t>Pursuant to title 11 section 363 (f) of the United States Bankruptcy Code, an asset may be sold free and clear with creditor consent, where the creditor interest is disputed or where the value of the property exceeds the value of the interest.  The creditor’s interest will then attach to the proceeds of the sale and it will receive priority in distribution of those proceeds.</w:t>
      </w:r>
    </w:p>
    <w:p w14:paraId="66C024F9" w14:textId="77777777" w:rsidR="00F7098F" w:rsidRDefault="00F7098F" w:rsidP="00273F9D">
      <w:pPr>
        <w:autoSpaceDE w:val="0"/>
        <w:autoSpaceDN w:val="0"/>
        <w:adjustRightInd w:val="0"/>
        <w:ind w:left="720" w:hanging="720"/>
        <w:jc w:val="both"/>
        <w:rPr>
          <w:rFonts w:ascii="Arial" w:hAnsi="Arial" w:cs="Arial"/>
          <w:sz w:val="22"/>
          <w:szCs w:val="22"/>
          <w:lang w:val="en-GB"/>
        </w:rPr>
      </w:pPr>
    </w:p>
    <w:p w14:paraId="70C6A8B6" w14:textId="016FA77D" w:rsidR="00126A4D" w:rsidRPr="00E13DC9" w:rsidRDefault="00273F9D" w:rsidP="00273F9D">
      <w:pPr>
        <w:autoSpaceDE w:val="0"/>
        <w:autoSpaceDN w:val="0"/>
        <w:adjustRightInd w:val="0"/>
        <w:ind w:left="720" w:hanging="720"/>
        <w:jc w:val="both"/>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t xml:space="preserve">Oil Corp cannot assume and assign the trademark licence </w:t>
      </w:r>
      <w:r w:rsidRPr="00273F9D">
        <w:rPr>
          <w:rFonts w:ascii="Arial" w:hAnsi="Arial" w:cs="Arial"/>
          <w:sz w:val="22"/>
          <w:szCs w:val="22"/>
          <w:lang w:val="en-GB"/>
        </w:rPr>
        <w:t>without the consent of Plastic Corp</w:t>
      </w:r>
      <w:r>
        <w:rPr>
          <w:rFonts w:ascii="Arial" w:hAnsi="Arial" w:cs="Arial"/>
          <w:sz w:val="22"/>
          <w:szCs w:val="22"/>
          <w:lang w:val="en-GB"/>
        </w:rPr>
        <w:t>.</w:t>
      </w:r>
      <w:r w:rsidR="00F7098F">
        <w:rPr>
          <w:rFonts w:ascii="Arial" w:hAnsi="Arial" w:cs="Arial"/>
          <w:sz w:val="22"/>
          <w:szCs w:val="22"/>
          <w:lang w:val="en-GB"/>
        </w:rPr>
        <w:t xml:space="preserve">  The trademark is licenced from Plastic Corp.  </w:t>
      </w:r>
      <w:r w:rsidR="00E13DC9">
        <w:rPr>
          <w:rFonts w:ascii="Arial" w:hAnsi="Arial" w:cs="Arial"/>
          <w:i/>
          <w:iCs/>
          <w:sz w:val="22"/>
          <w:szCs w:val="22"/>
          <w:lang w:val="en-GB"/>
        </w:rPr>
        <w:t xml:space="preserve">In re Trump Entertainment Resorts, Inc, </w:t>
      </w:r>
      <w:r w:rsidR="00E13DC9">
        <w:rPr>
          <w:rFonts w:ascii="Arial" w:hAnsi="Arial" w:cs="Arial"/>
          <w:sz w:val="22"/>
          <w:szCs w:val="22"/>
          <w:lang w:val="en-GB"/>
        </w:rPr>
        <w:t>562 BR 116, the general rule is established that Federal Trademark Law generally bans assignment of trademark licences absent the licensor’s consent.</w:t>
      </w:r>
    </w:p>
    <w:p w14:paraId="08D59D85" w14:textId="5AB8F68F" w:rsidR="00273F9D" w:rsidRDefault="00273F9D" w:rsidP="00323167">
      <w:pPr>
        <w:autoSpaceDE w:val="0"/>
        <w:autoSpaceDN w:val="0"/>
        <w:adjustRightInd w:val="0"/>
        <w:jc w:val="both"/>
        <w:rPr>
          <w:rFonts w:ascii="Arial" w:hAnsi="Arial" w:cs="Arial"/>
          <w:sz w:val="22"/>
          <w:szCs w:val="22"/>
          <w:lang w:val="en-GB"/>
        </w:rPr>
      </w:pPr>
    </w:p>
    <w:p w14:paraId="04D7B946" w14:textId="138EAA78" w:rsidR="00273F9D" w:rsidRPr="00441272" w:rsidRDefault="00273F9D" w:rsidP="00273F9D">
      <w:pPr>
        <w:autoSpaceDE w:val="0"/>
        <w:autoSpaceDN w:val="0"/>
        <w:adjustRightInd w:val="0"/>
        <w:ind w:left="720" w:hanging="720"/>
        <w:jc w:val="both"/>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t xml:space="preserve">Oil Corp cannot reject the patent licences so the purchaser has exclusive right to use the patents </w:t>
      </w:r>
      <w:r w:rsidRPr="00273F9D">
        <w:rPr>
          <w:rFonts w:ascii="Arial" w:hAnsi="Arial" w:cs="Arial"/>
          <w:sz w:val="22"/>
          <w:szCs w:val="22"/>
          <w:lang w:val="en-GB"/>
        </w:rPr>
        <w:t>without the consent of Plastic Corp</w:t>
      </w:r>
      <w:r>
        <w:rPr>
          <w:rFonts w:ascii="Arial" w:hAnsi="Arial" w:cs="Arial"/>
          <w:sz w:val="22"/>
          <w:szCs w:val="22"/>
          <w:lang w:val="en-GB"/>
        </w:rPr>
        <w:t>.</w:t>
      </w:r>
      <w:r w:rsidR="00A929CB">
        <w:rPr>
          <w:rFonts w:ascii="Arial" w:hAnsi="Arial" w:cs="Arial"/>
          <w:sz w:val="22"/>
          <w:szCs w:val="22"/>
          <w:lang w:val="en-GB"/>
        </w:rPr>
        <w:t xml:space="preserve">  Pursuant to title 11 section 365(n) of the United States Code, licensees of patents owned by the debtor are protected that their licences may not be terminated in connection with the sale of intellectual roperty without their consent.  Plastic Corp is the licensee and therefore their consent will be required prior to termination.</w:t>
      </w:r>
    </w:p>
    <w:bookmarkEnd w:id="0"/>
    <w:p w14:paraId="35D8F287" w14:textId="5B79A4B0" w:rsidR="0077498C" w:rsidRDefault="0077498C" w:rsidP="00BD4A58">
      <w:pPr>
        <w:jc w:val="both"/>
        <w:rPr>
          <w:rFonts w:ascii="Arial" w:hAnsi="Arial" w:cs="Arial"/>
          <w:color w:val="000000" w:themeColor="text1"/>
          <w:sz w:val="22"/>
          <w:szCs w:val="22"/>
          <w:lang w:val="en-GB"/>
        </w:rPr>
      </w:pPr>
    </w:p>
    <w:p w14:paraId="64AFEB39" w14:textId="60867B67" w:rsidR="00273F9D" w:rsidRDefault="00273F9D" w:rsidP="00273F9D">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(iii)</w:t>
      </w:r>
      <w:r>
        <w:rPr>
          <w:rFonts w:ascii="Arial" w:hAnsi="Arial" w:cs="Arial"/>
          <w:color w:val="000000" w:themeColor="text1"/>
          <w:sz w:val="22"/>
          <w:szCs w:val="22"/>
          <w:lang w:val="en-GB"/>
        </w:rPr>
        <w:tab/>
        <w:t xml:space="preserve">Oil Corp can sell the manufacturing facility free and clear of the USA Bank lien </w:t>
      </w:r>
      <w:r w:rsidRPr="00273F9D">
        <w:rPr>
          <w:rFonts w:ascii="Arial" w:hAnsi="Arial" w:cs="Arial"/>
          <w:color w:val="000000" w:themeColor="text1"/>
          <w:sz w:val="22"/>
          <w:szCs w:val="22"/>
          <w:lang w:val="en-GB"/>
        </w:rPr>
        <w:t>without the consent of Plastic Corp and USA Bank</w:t>
      </w:r>
      <w:r>
        <w:rPr>
          <w:rFonts w:ascii="Arial" w:hAnsi="Arial" w:cs="Arial"/>
          <w:color w:val="000000" w:themeColor="text1"/>
          <w:sz w:val="22"/>
          <w:szCs w:val="22"/>
          <w:lang w:val="en-GB"/>
        </w:rPr>
        <w:t>.</w:t>
      </w:r>
      <w:r w:rsidR="00C11496">
        <w:rPr>
          <w:rFonts w:ascii="Arial" w:hAnsi="Arial" w:cs="Arial"/>
          <w:color w:val="000000" w:themeColor="text1"/>
          <w:sz w:val="22"/>
          <w:szCs w:val="22"/>
          <w:lang w:val="en-GB"/>
        </w:rPr>
        <w:t xml:space="preserve">  </w:t>
      </w:r>
      <w:r w:rsidR="00C11496">
        <w:rPr>
          <w:rFonts w:ascii="Arial" w:hAnsi="Arial" w:cs="Arial"/>
          <w:sz w:val="22"/>
          <w:szCs w:val="22"/>
          <w:lang w:val="en-GB"/>
        </w:rPr>
        <w:t>Pursuant to title 11 section 363 (f) of the United States Bankruptcy Code as long as there is sufficient equity in the</w:t>
      </w:r>
      <w:r w:rsidR="00083E11">
        <w:rPr>
          <w:rFonts w:ascii="Arial" w:hAnsi="Arial" w:cs="Arial"/>
          <w:sz w:val="22"/>
          <w:szCs w:val="22"/>
          <w:lang w:val="en-GB"/>
        </w:rPr>
        <w:t xml:space="preserve"> </w:t>
      </w:r>
      <w:r w:rsidR="00C11496">
        <w:rPr>
          <w:rFonts w:ascii="Arial" w:hAnsi="Arial" w:cs="Arial"/>
          <w:sz w:val="22"/>
          <w:szCs w:val="22"/>
          <w:lang w:val="en-GB"/>
        </w:rPr>
        <w:lastRenderedPageBreak/>
        <w:t>manufacturing facility for full and final payment of the USA Bank lien, approval is not required.</w:t>
      </w:r>
    </w:p>
    <w:p w14:paraId="00F0FF2F" w14:textId="77777777" w:rsidR="00273F9D" w:rsidRPr="00BD4A58" w:rsidRDefault="00273F9D"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9A9C" w14:textId="77777777" w:rsidR="003925BE" w:rsidRDefault="003925BE" w:rsidP="00241B44">
      <w:r>
        <w:separator/>
      </w:r>
    </w:p>
  </w:endnote>
  <w:endnote w:type="continuationSeparator" w:id="0">
    <w:p w14:paraId="49EFA51E" w14:textId="77777777" w:rsidR="003925BE" w:rsidRDefault="003925B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D59454D" w:rsidR="00241FA3" w:rsidRPr="009B4976" w:rsidRDefault="00070B38" w:rsidP="009B4976">
    <w:pPr>
      <w:pStyle w:val="Footer"/>
      <w:ind w:right="360"/>
      <w:rPr>
        <w:rFonts w:ascii="Arial" w:hAnsi="Arial" w:cs="Arial"/>
        <w:sz w:val="18"/>
        <w:szCs w:val="18"/>
        <w:lang w:val="en-GB"/>
      </w:rPr>
    </w:pPr>
    <w:r w:rsidRPr="00070B38">
      <w:rPr>
        <w:rFonts w:ascii="Arial" w:hAnsi="Arial" w:cs="Arial"/>
        <w:sz w:val="18"/>
        <w:szCs w:val="18"/>
        <w:lang w:val="en-GB"/>
      </w:rPr>
      <w:t>202122-447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5B23" w14:textId="77777777" w:rsidR="003925BE" w:rsidRDefault="003925BE" w:rsidP="00241B44">
      <w:r>
        <w:separator/>
      </w:r>
    </w:p>
  </w:footnote>
  <w:footnote w:type="continuationSeparator" w:id="0">
    <w:p w14:paraId="64D71164" w14:textId="77777777" w:rsidR="003925BE" w:rsidRDefault="003925B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426A" w14:textId="32B66C3A" w:rsidR="00F90CEC" w:rsidRDefault="00F90CEC">
    <w:pPr>
      <w:pStyle w:val="Header"/>
    </w:pPr>
    <w:r>
      <w:rPr>
        <w:noProof/>
      </w:rPr>
      <mc:AlternateContent>
        <mc:Choice Requires="wps">
          <w:drawing>
            <wp:anchor distT="0" distB="0" distL="114300" distR="114300" simplePos="0" relativeHeight="251659264" behindDoc="0" locked="0" layoutInCell="0" allowOverlap="1" wp14:anchorId="1B62BA66" wp14:editId="72D7CDF8">
              <wp:simplePos x="0" y="0"/>
              <wp:positionH relativeFrom="page">
                <wp:posOffset>0</wp:posOffset>
              </wp:positionH>
              <wp:positionV relativeFrom="page">
                <wp:posOffset>190500</wp:posOffset>
              </wp:positionV>
              <wp:extent cx="7560310" cy="252095"/>
              <wp:effectExtent l="0" t="0" r="0" b="14605"/>
              <wp:wrapNone/>
              <wp:docPr id="1" name="MSIPCM42f34a1595e5ccda077a4a6b"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3F34D" w14:textId="2C9161FD" w:rsidR="00F90CEC" w:rsidRPr="00F90CEC" w:rsidRDefault="00F90CEC" w:rsidP="00F90CEC">
                          <w:pPr>
                            <w:jc w:val="right"/>
                            <w:rPr>
                              <w:rFonts w:ascii="Arial" w:hAnsi="Arial" w:cs="Arial"/>
                              <w:color w:val="000000"/>
                              <w:sz w:val="16"/>
                            </w:rPr>
                          </w:pPr>
                          <w:r w:rsidRPr="00F90CE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B62BA66" id="_x0000_t202" coordsize="21600,21600" o:spt="202" path="m,l,21600r21600,l21600,xe">
              <v:stroke joinstyle="miter"/>
              <v:path gradientshapeok="t" o:connecttype="rect"/>
            </v:shapetype>
            <v:shape id="MSIPCM42f34a1595e5ccda077a4a6b"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10B3F34D" w14:textId="2C9161FD" w:rsidR="00F90CEC" w:rsidRPr="00F90CEC" w:rsidRDefault="00F90CEC" w:rsidP="00F90CEC">
                    <w:pPr>
                      <w:jc w:val="right"/>
                      <w:rPr>
                        <w:rFonts w:ascii="Arial" w:hAnsi="Arial" w:cs="Arial"/>
                        <w:color w:val="000000"/>
                        <w:sz w:val="16"/>
                      </w:rPr>
                    </w:pPr>
                    <w:r w:rsidRPr="00F90CEC">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5AD0" w14:textId="5E1D1A87" w:rsidR="00F90CEC" w:rsidRDefault="00F90CEC">
    <w:pPr>
      <w:pStyle w:val="Header"/>
    </w:pPr>
    <w:r>
      <w:rPr>
        <w:noProof/>
      </w:rPr>
      <mc:AlternateContent>
        <mc:Choice Requires="wps">
          <w:drawing>
            <wp:anchor distT="0" distB="0" distL="114300" distR="114300" simplePos="0" relativeHeight="251660288" behindDoc="0" locked="0" layoutInCell="0" allowOverlap="1" wp14:anchorId="1D8F8935" wp14:editId="33BCB4D5">
              <wp:simplePos x="0" y="0"/>
              <wp:positionH relativeFrom="page">
                <wp:posOffset>0</wp:posOffset>
              </wp:positionH>
              <wp:positionV relativeFrom="page">
                <wp:posOffset>190500</wp:posOffset>
              </wp:positionV>
              <wp:extent cx="7560310" cy="252095"/>
              <wp:effectExtent l="0" t="0" r="0" b="14605"/>
              <wp:wrapNone/>
              <wp:docPr id="2" name="MSIPCM1a704030860d29e2948b690e"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F244D" w14:textId="1CF1EABA" w:rsidR="00F90CEC" w:rsidRPr="00F90CEC" w:rsidRDefault="00F90CEC" w:rsidP="00F90CEC">
                          <w:pPr>
                            <w:jc w:val="right"/>
                            <w:rPr>
                              <w:rFonts w:ascii="Arial" w:hAnsi="Arial" w:cs="Arial"/>
                              <w:color w:val="000000"/>
                              <w:sz w:val="16"/>
                            </w:rPr>
                          </w:pPr>
                          <w:r w:rsidRPr="00F90CE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8F8935" id="_x0000_t202" coordsize="21600,21600" o:spt="202" path="m,l,21600r21600,l21600,xe">
              <v:stroke joinstyle="miter"/>
              <v:path gradientshapeok="t" o:connecttype="rect"/>
            </v:shapetype>
            <v:shape id="MSIPCM1a704030860d29e2948b690e"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35DF244D" w14:textId="1CF1EABA" w:rsidR="00F90CEC" w:rsidRPr="00F90CEC" w:rsidRDefault="00F90CEC" w:rsidP="00F90CEC">
                    <w:pPr>
                      <w:jc w:val="right"/>
                      <w:rPr>
                        <w:rFonts w:ascii="Arial" w:hAnsi="Arial" w:cs="Arial"/>
                        <w:color w:val="000000"/>
                        <w:sz w:val="16"/>
                      </w:rPr>
                    </w:pPr>
                    <w:r w:rsidRPr="00F90CEC">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373"/>
    <w:rsid w:val="00037621"/>
    <w:rsid w:val="00037671"/>
    <w:rsid w:val="00044D46"/>
    <w:rsid w:val="00045088"/>
    <w:rsid w:val="00045904"/>
    <w:rsid w:val="000502FD"/>
    <w:rsid w:val="00065166"/>
    <w:rsid w:val="00070B38"/>
    <w:rsid w:val="00082609"/>
    <w:rsid w:val="00083E11"/>
    <w:rsid w:val="000851CC"/>
    <w:rsid w:val="00086AD4"/>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0B0"/>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17A0"/>
    <w:rsid w:val="001D4862"/>
    <w:rsid w:val="001E25B9"/>
    <w:rsid w:val="001E49E0"/>
    <w:rsid w:val="001E7B5A"/>
    <w:rsid w:val="001F26B6"/>
    <w:rsid w:val="001F7412"/>
    <w:rsid w:val="00202DFE"/>
    <w:rsid w:val="0020725B"/>
    <w:rsid w:val="002110F1"/>
    <w:rsid w:val="00223917"/>
    <w:rsid w:val="0024116D"/>
    <w:rsid w:val="00241B44"/>
    <w:rsid w:val="00241FA3"/>
    <w:rsid w:val="0024346A"/>
    <w:rsid w:val="00245EFB"/>
    <w:rsid w:val="0025386E"/>
    <w:rsid w:val="00256B74"/>
    <w:rsid w:val="002638B0"/>
    <w:rsid w:val="0026647A"/>
    <w:rsid w:val="002668D3"/>
    <w:rsid w:val="0027299F"/>
    <w:rsid w:val="00273F9D"/>
    <w:rsid w:val="00284EBE"/>
    <w:rsid w:val="002903A7"/>
    <w:rsid w:val="00292C32"/>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E0880"/>
    <w:rsid w:val="002F1956"/>
    <w:rsid w:val="002F3440"/>
    <w:rsid w:val="002F75A3"/>
    <w:rsid w:val="00301D2B"/>
    <w:rsid w:val="00303C2F"/>
    <w:rsid w:val="003072B3"/>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25BE"/>
    <w:rsid w:val="003948D5"/>
    <w:rsid w:val="00396821"/>
    <w:rsid w:val="00397D3A"/>
    <w:rsid w:val="003A051E"/>
    <w:rsid w:val="003A75F4"/>
    <w:rsid w:val="003B170F"/>
    <w:rsid w:val="003B21F2"/>
    <w:rsid w:val="003B3C5F"/>
    <w:rsid w:val="003B62A1"/>
    <w:rsid w:val="003B7184"/>
    <w:rsid w:val="003C4471"/>
    <w:rsid w:val="003C53FE"/>
    <w:rsid w:val="003D0A6D"/>
    <w:rsid w:val="003E0B16"/>
    <w:rsid w:val="003E67D1"/>
    <w:rsid w:val="00404329"/>
    <w:rsid w:val="00405DC1"/>
    <w:rsid w:val="00413DC4"/>
    <w:rsid w:val="00415F1F"/>
    <w:rsid w:val="0042108F"/>
    <w:rsid w:val="004248F6"/>
    <w:rsid w:val="004273B0"/>
    <w:rsid w:val="00430FED"/>
    <w:rsid w:val="00434A8C"/>
    <w:rsid w:val="00437297"/>
    <w:rsid w:val="00441272"/>
    <w:rsid w:val="00444284"/>
    <w:rsid w:val="00445CE6"/>
    <w:rsid w:val="004534C2"/>
    <w:rsid w:val="0045446F"/>
    <w:rsid w:val="00455018"/>
    <w:rsid w:val="0045683E"/>
    <w:rsid w:val="0046453F"/>
    <w:rsid w:val="00477C72"/>
    <w:rsid w:val="00491675"/>
    <w:rsid w:val="00493855"/>
    <w:rsid w:val="00495E79"/>
    <w:rsid w:val="004A57DD"/>
    <w:rsid w:val="004A7B51"/>
    <w:rsid w:val="004A7D71"/>
    <w:rsid w:val="004A7EF3"/>
    <w:rsid w:val="004B11FD"/>
    <w:rsid w:val="004B23A2"/>
    <w:rsid w:val="004B2D4F"/>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26582"/>
    <w:rsid w:val="005331CA"/>
    <w:rsid w:val="00537970"/>
    <w:rsid w:val="00540E3A"/>
    <w:rsid w:val="00544127"/>
    <w:rsid w:val="005463A9"/>
    <w:rsid w:val="00553EB2"/>
    <w:rsid w:val="00560534"/>
    <w:rsid w:val="0056391B"/>
    <w:rsid w:val="00563F33"/>
    <w:rsid w:val="005650E2"/>
    <w:rsid w:val="00567AD7"/>
    <w:rsid w:val="005713E0"/>
    <w:rsid w:val="00575B2D"/>
    <w:rsid w:val="0058164B"/>
    <w:rsid w:val="005833D0"/>
    <w:rsid w:val="00583D8E"/>
    <w:rsid w:val="005846F3"/>
    <w:rsid w:val="0058622F"/>
    <w:rsid w:val="00587019"/>
    <w:rsid w:val="00592F82"/>
    <w:rsid w:val="005A0CCA"/>
    <w:rsid w:val="005A31C7"/>
    <w:rsid w:val="005A6FF2"/>
    <w:rsid w:val="005A726D"/>
    <w:rsid w:val="005B1F75"/>
    <w:rsid w:val="005B2A9B"/>
    <w:rsid w:val="005B67AC"/>
    <w:rsid w:val="005B79F4"/>
    <w:rsid w:val="005D1293"/>
    <w:rsid w:val="005D43E0"/>
    <w:rsid w:val="005D58A3"/>
    <w:rsid w:val="005D6642"/>
    <w:rsid w:val="005D67A2"/>
    <w:rsid w:val="005E1B79"/>
    <w:rsid w:val="005E6076"/>
    <w:rsid w:val="005E7008"/>
    <w:rsid w:val="005F026D"/>
    <w:rsid w:val="005F0878"/>
    <w:rsid w:val="005F2AEA"/>
    <w:rsid w:val="005F2D0B"/>
    <w:rsid w:val="005F4B31"/>
    <w:rsid w:val="0060756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16CD"/>
    <w:rsid w:val="00654C2F"/>
    <w:rsid w:val="00657087"/>
    <w:rsid w:val="006639DB"/>
    <w:rsid w:val="006661EF"/>
    <w:rsid w:val="00670D7B"/>
    <w:rsid w:val="00677AEB"/>
    <w:rsid w:val="00680EF2"/>
    <w:rsid w:val="00684866"/>
    <w:rsid w:val="00687A1D"/>
    <w:rsid w:val="00697EA1"/>
    <w:rsid w:val="006A2646"/>
    <w:rsid w:val="006A6530"/>
    <w:rsid w:val="006B3571"/>
    <w:rsid w:val="006B435A"/>
    <w:rsid w:val="006B4C64"/>
    <w:rsid w:val="006C3B6D"/>
    <w:rsid w:val="006D6BD5"/>
    <w:rsid w:val="006E481A"/>
    <w:rsid w:val="006E5298"/>
    <w:rsid w:val="006F4A78"/>
    <w:rsid w:val="006F734A"/>
    <w:rsid w:val="00700D83"/>
    <w:rsid w:val="00704852"/>
    <w:rsid w:val="007074E9"/>
    <w:rsid w:val="00713DA4"/>
    <w:rsid w:val="00714BF1"/>
    <w:rsid w:val="00717C2C"/>
    <w:rsid w:val="00721383"/>
    <w:rsid w:val="007259CD"/>
    <w:rsid w:val="0073158B"/>
    <w:rsid w:val="007333CC"/>
    <w:rsid w:val="0073399A"/>
    <w:rsid w:val="00760096"/>
    <w:rsid w:val="007603F5"/>
    <w:rsid w:val="00764DB0"/>
    <w:rsid w:val="0076764D"/>
    <w:rsid w:val="0077498C"/>
    <w:rsid w:val="00777C53"/>
    <w:rsid w:val="007809BC"/>
    <w:rsid w:val="00784128"/>
    <w:rsid w:val="00787201"/>
    <w:rsid w:val="00787BCC"/>
    <w:rsid w:val="00793173"/>
    <w:rsid w:val="00793941"/>
    <w:rsid w:val="007A2A33"/>
    <w:rsid w:val="007B04B5"/>
    <w:rsid w:val="007B0809"/>
    <w:rsid w:val="007B5C89"/>
    <w:rsid w:val="007C1FCC"/>
    <w:rsid w:val="007C6201"/>
    <w:rsid w:val="007D0192"/>
    <w:rsid w:val="007D7C92"/>
    <w:rsid w:val="007E1154"/>
    <w:rsid w:val="007E6BA4"/>
    <w:rsid w:val="007F12AB"/>
    <w:rsid w:val="007F41F8"/>
    <w:rsid w:val="007F659B"/>
    <w:rsid w:val="008011E6"/>
    <w:rsid w:val="0080454E"/>
    <w:rsid w:val="00804C32"/>
    <w:rsid w:val="00805305"/>
    <w:rsid w:val="00806302"/>
    <w:rsid w:val="00807119"/>
    <w:rsid w:val="00822D06"/>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2616"/>
    <w:rsid w:val="008E3339"/>
    <w:rsid w:val="008F20FC"/>
    <w:rsid w:val="008F5FFE"/>
    <w:rsid w:val="00902FA7"/>
    <w:rsid w:val="0090503E"/>
    <w:rsid w:val="00905A43"/>
    <w:rsid w:val="00912C79"/>
    <w:rsid w:val="009178A4"/>
    <w:rsid w:val="00921B8C"/>
    <w:rsid w:val="0092565E"/>
    <w:rsid w:val="0093467C"/>
    <w:rsid w:val="00935E4B"/>
    <w:rsid w:val="00942123"/>
    <w:rsid w:val="0095207B"/>
    <w:rsid w:val="00962045"/>
    <w:rsid w:val="009744EB"/>
    <w:rsid w:val="00980E61"/>
    <w:rsid w:val="00991428"/>
    <w:rsid w:val="00992676"/>
    <w:rsid w:val="009954B2"/>
    <w:rsid w:val="00996637"/>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A01"/>
    <w:rsid w:val="009E4DE3"/>
    <w:rsid w:val="009F275E"/>
    <w:rsid w:val="00A024E7"/>
    <w:rsid w:val="00A047EE"/>
    <w:rsid w:val="00A2274A"/>
    <w:rsid w:val="00A235B7"/>
    <w:rsid w:val="00A27A7A"/>
    <w:rsid w:val="00A3165E"/>
    <w:rsid w:val="00A34ABE"/>
    <w:rsid w:val="00A407EF"/>
    <w:rsid w:val="00A46B4C"/>
    <w:rsid w:val="00A5117B"/>
    <w:rsid w:val="00A56906"/>
    <w:rsid w:val="00A56D34"/>
    <w:rsid w:val="00A60074"/>
    <w:rsid w:val="00A60A1F"/>
    <w:rsid w:val="00A6627C"/>
    <w:rsid w:val="00A71019"/>
    <w:rsid w:val="00A81029"/>
    <w:rsid w:val="00A929CB"/>
    <w:rsid w:val="00A94F58"/>
    <w:rsid w:val="00A95463"/>
    <w:rsid w:val="00A96489"/>
    <w:rsid w:val="00AA7BE3"/>
    <w:rsid w:val="00AB1B65"/>
    <w:rsid w:val="00AB2425"/>
    <w:rsid w:val="00AB685C"/>
    <w:rsid w:val="00AB6C2D"/>
    <w:rsid w:val="00AC08F7"/>
    <w:rsid w:val="00AC3839"/>
    <w:rsid w:val="00AC7082"/>
    <w:rsid w:val="00AD4BE8"/>
    <w:rsid w:val="00AE3A88"/>
    <w:rsid w:val="00AF228E"/>
    <w:rsid w:val="00AF47E3"/>
    <w:rsid w:val="00B016A8"/>
    <w:rsid w:val="00B021C8"/>
    <w:rsid w:val="00B10961"/>
    <w:rsid w:val="00B14819"/>
    <w:rsid w:val="00B15E2F"/>
    <w:rsid w:val="00B17AA9"/>
    <w:rsid w:val="00B2241A"/>
    <w:rsid w:val="00B27E6E"/>
    <w:rsid w:val="00B44713"/>
    <w:rsid w:val="00B56103"/>
    <w:rsid w:val="00B64929"/>
    <w:rsid w:val="00B736DF"/>
    <w:rsid w:val="00B743D6"/>
    <w:rsid w:val="00B74FBD"/>
    <w:rsid w:val="00B77F46"/>
    <w:rsid w:val="00B82586"/>
    <w:rsid w:val="00B829A3"/>
    <w:rsid w:val="00B82C04"/>
    <w:rsid w:val="00B86DB1"/>
    <w:rsid w:val="00B87869"/>
    <w:rsid w:val="00B9639B"/>
    <w:rsid w:val="00BB0F2B"/>
    <w:rsid w:val="00BD4A58"/>
    <w:rsid w:val="00BD7337"/>
    <w:rsid w:val="00BE4FF3"/>
    <w:rsid w:val="00BF50F7"/>
    <w:rsid w:val="00C008F7"/>
    <w:rsid w:val="00C02F29"/>
    <w:rsid w:val="00C11496"/>
    <w:rsid w:val="00C20AFE"/>
    <w:rsid w:val="00C22A25"/>
    <w:rsid w:val="00C32173"/>
    <w:rsid w:val="00C34A1C"/>
    <w:rsid w:val="00C35671"/>
    <w:rsid w:val="00C35B77"/>
    <w:rsid w:val="00C35E65"/>
    <w:rsid w:val="00C362AA"/>
    <w:rsid w:val="00C376EB"/>
    <w:rsid w:val="00C46A92"/>
    <w:rsid w:val="00C46EC1"/>
    <w:rsid w:val="00C52796"/>
    <w:rsid w:val="00C53E2C"/>
    <w:rsid w:val="00C550C8"/>
    <w:rsid w:val="00C56B61"/>
    <w:rsid w:val="00C606C3"/>
    <w:rsid w:val="00C620F4"/>
    <w:rsid w:val="00C64AB0"/>
    <w:rsid w:val="00C651D6"/>
    <w:rsid w:val="00C72848"/>
    <w:rsid w:val="00C7736C"/>
    <w:rsid w:val="00C82D87"/>
    <w:rsid w:val="00C8712A"/>
    <w:rsid w:val="00C87E0A"/>
    <w:rsid w:val="00C902C8"/>
    <w:rsid w:val="00C919D1"/>
    <w:rsid w:val="00C963D3"/>
    <w:rsid w:val="00C9642C"/>
    <w:rsid w:val="00C971CA"/>
    <w:rsid w:val="00CA164B"/>
    <w:rsid w:val="00CB1983"/>
    <w:rsid w:val="00CB2CBB"/>
    <w:rsid w:val="00CB6578"/>
    <w:rsid w:val="00CB759C"/>
    <w:rsid w:val="00CB7CAC"/>
    <w:rsid w:val="00CC0C59"/>
    <w:rsid w:val="00CC175B"/>
    <w:rsid w:val="00CC4818"/>
    <w:rsid w:val="00CC5335"/>
    <w:rsid w:val="00CC5BA4"/>
    <w:rsid w:val="00CD4998"/>
    <w:rsid w:val="00CE042D"/>
    <w:rsid w:val="00CE1035"/>
    <w:rsid w:val="00CE6E50"/>
    <w:rsid w:val="00CF2819"/>
    <w:rsid w:val="00CF4F9D"/>
    <w:rsid w:val="00CF70DC"/>
    <w:rsid w:val="00D03320"/>
    <w:rsid w:val="00D041E0"/>
    <w:rsid w:val="00D14336"/>
    <w:rsid w:val="00D148DC"/>
    <w:rsid w:val="00D16B93"/>
    <w:rsid w:val="00D17FDC"/>
    <w:rsid w:val="00D21021"/>
    <w:rsid w:val="00D21D8C"/>
    <w:rsid w:val="00D316F2"/>
    <w:rsid w:val="00D3176D"/>
    <w:rsid w:val="00D37B7C"/>
    <w:rsid w:val="00D53719"/>
    <w:rsid w:val="00D55034"/>
    <w:rsid w:val="00D63EFD"/>
    <w:rsid w:val="00D84752"/>
    <w:rsid w:val="00D86B3B"/>
    <w:rsid w:val="00D8748A"/>
    <w:rsid w:val="00D914E7"/>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580A"/>
    <w:rsid w:val="00E07C5A"/>
    <w:rsid w:val="00E12EC4"/>
    <w:rsid w:val="00E13DC9"/>
    <w:rsid w:val="00E15BA9"/>
    <w:rsid w:val="00E26E10"/>
    <w:rsid w:val="00E26E19"/>
    <w:rsid w:val="00E30E60"/>
    <w:rsid w:val="00E31DF3"/>
    <w:rsid w:val="00E450A4"/>
    <w:rsid w:val="00E505F5"/>
    <w:rsid w:val="00E506BE"/>
    <w:rsid w:val="00E52004"/>
    <w:rsid w:val="00E55547"/>
    <w:rsid w:val="00E6302B"/>
    <w:rsid w:val="00E6452F"/>
    <w:rsid w:val="00E64F45"/>
    <w:rsid w:val="00E6742D"/>
    <w:rsid w:val="00E71CB0"/>
    <w:rsid w:val="00E77C3D"/>
    <w:rsid w:val="00E90991"/>
    <w:rsid w:val="00E909F0"/>
    <w:rsid w:val="00E90D47"/>
    <w:rsid w:val="00E93993"/>
    <w:rsid w:val="00E9597C"/>
    <w:rsid w:val="00EA0913"/>
    <w:rsid w:val="00EA290E"/>
    <w:rsid w:val="00EA5B00"/>
    <w:rsid w:val="00EB146B"/>
    <w:rsid w:val="00EB24B6"/>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098F"/>
    <w:rsid w:val="00F71433"/>
    <w:rsid w:val="00F90CEC"/>
    <w:rsid w:val="00F92140"/>
    <w:rsid w:val="00F97C5B"/>
    <w:rsid w:val="00FA3D50"/>
    <w:rsid w:val="00FB7FBD"/>
    <w:rsid w:val="00FC229F"/>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BA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12</Pages>
  <Words>4298</Words>
  <Characters>21964</Characters>
  <Application>Microsoft Office Word</Application>
  <DocSecurity>0</DocSecurity>
  <Lines>610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Bryce Doran</cp:lastModifiedBy>
  <cp:revision>53</cp:revision>
  <cp:lastPrinted>2019-08-27T05:42:00Z</cp:lastPrinted>
  <dcterms:created xsi:type="dcterms:W3CDTF">2022-02-07T13:31:00Z</dcterms:created>
  <dcterms:modified xsi:type="dcterms:W3CDTF">2022-03-01T19:32:00Z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2022-03-01T19:32:04Z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83c548a9-b2b0-4e0f-a503-e10909d9404e</vt:lpwstr>
  </property>
  <property fmtid="{D5CDD505-2E9C-101B-9397-08002B2CF9AE}" pid="8" name="MSIP_Label_785837b0-ed5a-4fd4-94ae-ef361c98d083_ContentBits">
    <vt:lpwstr>1</vt:lpwstr>
  </property>
</Properties>
</file>