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2E40EA" w:rsidRDefault="0050157D" w:rsidP="00D45AEA">
      <w:pPr>
        <w:pStyle w:val="ListParagraph"/>
        <w:numPr>
          <w:ilvl w:val="0"/>
          <w:numId w:val="12"/>
        </w:numPr>
        <w:ind w:left="426"/>
        <w:jc w:val="both"/>
        <w:rPr>
          <w:rFonts w:ascii="Arial" w:hAnsi="Arial" w:cs="Arial"/>
          <w:sz w:val="22"/>
          <w:szCs w:val="22"/>
          <w:highlight w:val="yellow"/>
          <w:lang w:val="en-GB"/>
        </w:rPr>
      </w:pPr>
      <w:r w:rsidRPr="002E40EA">
        <w:rPr>
          <w:rFonts w:ascii="Arial" w:hAnsi="Arial" w:cs="Arial"/>
          <w:sz w:val="22"/>
          <w:szCs w:val="22"/>
          <w:highlight w:val="yellow"/>
          <w:lang w:val="en-GB"/>
        </w:rPr>
        <w:t>The Model Law provides effective mechanisms for dealing with cases of cross-border insolvency so as to promote a number of objectives</w:t>
      </w:r>
      <w:r w:rsidR="00B61419" w:rsidRPr="002E40EA">
        <w:rPr>
          <w:rFonts w:ascii="Arial" w:hAnsi="Arial" w:cs="Arial"/>
          <w:sz w:val="22"/>
          <w:szCs w:val="22"/>
          <w:highlight w:val="yellow"/>
          <w:lang w:val="en-GB"/>
        </w:rPr>
        <w:t>,</w:t>
      </w:r>
      <w:r w:rsidRPr="002E40EA">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EE05E1" w:rsidRDefault="005F21F4" w:rsidP="005F21F4">
      <w:pPr>
        <w:pStyle w:val="ListParagraph"/>
        <w:numPr>
          <w:ilvl w:val="0"/>
          <w:numId w:val="14"/>
        </w:numPr>
        <w:ind w:left="426"/>
        <w:jc w:val="both"/>
        <w:rPr>
          <w:rFonts w:ascii="Arial" w:hAnsi="Arial" w:cs="Arial"/>
          <w:sz w:val="22"/>
          <w:szCs w:val="22"/>
          <w:highlight w:val="yellow"/>
          <w:lang w:val="en-GB"/>
        </w:rPr>
      </w:pPr>
      <w:r w:rsidRPr="00EE05E1">
        <w:rPr>
          <w:rFonts w:ascii="Arial" w:hAnsi="Arial" w:cs="Arial"/>
          <w:sz w:val="22"/>
          <w:szCs w:val="22"/>
          <w:highlight w:val="yellow"/>
          <w:lang w:val="en-GB"/>
        </w:rPr>
        <w:t>The existence of a statutory basis in national (insolvency) laws for co</w:t>
      </w:r>
      <w:r w:rsidR="00B61419" w:rsidRPr="00EE05E1">
        <w:rPr>
          <w:rFonts w:ascii="Arial" w:hAnsi="Arial" w:cs="Arial"/>
          <w:sz w:val="22"/>
          <w:szCs w:val="22"/>
          <w:highlight w:val="yellow"/>
          <w:lang w:val="en-GB"/>
        </w:rPr>
        <w:t>-</w:t>
      </w:r>
      <w:r w:rsidRPr="00EE05E1">
        <w:rPr>
          <w:rFonts w:ascii="Arial" w:hAnsi="Arial" w:cs="Arial"/>
          <w:sz w:val="22"/>
          <w:szCs w:val="22"/>
          <w:highlight w:val="yellow"/>
          <w:lang w:val="en-GB"/>
        </w:rPr>
        <w:t>operation and co</w:t>
      </w:r>
      <w:r w:rsidR="00B61419" w:rsidRPr="00EE05E1">
        <w:rPr>
          <w:rFonts w:ascii="Arial" w:hAnsi="Arial" w:cs="Arial"/>
          <w:sz w:val="22"/>
          <w:szCs w:val="22"/>
          <w:highlight w:val="yellow"/>
          <w:lang w:val="en-GB"/>
        </w:rPr>
        <w:t>-</w:t>
      </w:r>
      <w:r w:rsidRPr="00EE05E1">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25E52877"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356ACD" w:rsidRDefault="00853A74" w:rsidP="00853A74">
      <w:pPr>
        <w:pStyle w:val="ListParagraph"/>
        <w:numPr>
          <w:ilvl w:val="0"/>
          <w:numId w:val="16"/>
        </w:numPr>
        <w:ind w:left="426"/>
        <w:jc w:val="both"/>
        <w:rPr>
          <w:rFonts w:ascii="Arial" w:hAnsi="Arial" w:cs="Arial"/>
          <w:sz w:val="22"/>
          <w:szCs w:val="22"/>
          <w:highlight w:val="yellow"/>
          <w:lang w:val="en-GB"/>
        </w:rPr>
      </w:pPr>
      <w:r w:rsidRPr="00356ACD">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CB3ECD" w:rsidRDefault="00E57410" w:rsidP="00322F3B">
      <w:pPr>
        <w:pStyle w:val="ListParagraph"/>
        <w:numPr>
          <w:ilvl w:val="0"/>
          <w:numId w:val="18"/>
        </w:numPr>
        <w:ind w:left="426"/>
        <w:jc w:val="both"/>
        <w:rPr>
          <w:rFonts w:ascii="Arial" w:hAnsi="Arial" w:cs="Arial"/>
          <w:sz w:val="22"/>
          <w:szCs w:val="22"/>
          <w:highlight w:val="yellow"/>
          <w:lang w:val="en-GB"/>
        </w:rPr>
      </w:pPr>
      <w:r w:rsidRPr="00CB3ECD">
        <w:rPr>
          <w:rFonts w:ascii="Arial" w:hAnsi="Arial" w:cs="Arial"/>
          <w:sz w:val="22"/>
          <w:szCs w:val="22"/>
          <w:highlight w:val="yellow"/>
          <w:lang w:val="en-GB"/>
        </w:rPr>
        <w:t xml:space="preserve">The </w:t>
      </w:r>
      <w:r w:rsidRPr="00CB3ECD">
        <w:rPr>
          <w:rFonts w:ascii="Arial" w:hAnsi="Arial" w:cs="Arial"/>
          <w:i/>
          <w:iCs/>
          <w:sz w:val="22"/>
          <w:szCs w:val="22"/>
          <w:highlight w:val="yellow"/>
          <w:lang w:val="en-GB"/>
        </w:rPr>
        <w:t xml:space="preserve">locus </w:t>
      </w:r>
      <w:proofErr w:type="spellStart"/>
      <w:r w:rsidRPr="00CB3ECD">
        <w:rPr>
          <w:rFonts w:ascii="Arial" w:hAnsi="Arial" w:cs="Arial"/>
          <w:i/>
          <w:iCs/>
          <w:sz w:val="22"/>
          <w:szCs w:val="22"/>
          <w:highlight w:val="yellow"/>
          <w:lang w:val="en-GB"/>
        </w:rPr>
        <w:t>standi</w:t>
      </w:r>
      <w:proofErr w:type="spellEnd"/>
      <w:r w:rsidRPr="00CB3ECD">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356ACD" w:rsidRDefault="00C504E5" w:rsidP="00C504E5">
      <w:pPr>
        <w:pStyle w:val="ListParagraph"/>
        <w:numPr>
          <w:ilvl w:val="0"/>
          <w:numId w:val="20"/>
        </w:numPr>
        <w:ind w:left="426"/>
        <w:jc w:val="both"/>
        <w:rPr>
          <w:rFonts w:ascii="Arial" w:hAnsi="Arial" w:cs="Arial"/>
          <w:sz w:val="22"/>
          <w:szCs w:val="22"/>
          <w:highlight w:val="yellow"/>
          <w:lang w:val="en-GB"/>
        </w:rPr>
      </w:pPr>
      <w:r w:rsidRPr="00356ACD">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356ACD">
        <w:rPr>
          <w:rFonts w:ascii="Arial" w:hAnsi="Arial" w:cs="Arial"/>
          <w:sz w:val="22"/>
          <w:szCs w:val="22"/>
          <w:highlight w:val="yellow"/>
          <w:lang w:val="en-GB"/>
        </w:rPr>
        <w:t>’</w:t>
      </w:r>
      <w:r w:rsidRPr="00356ACD">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356ACD" w:rsidRDefault="00B72F5F" w:rsidP="00114082">
      <w:pPr>
        <w:pStyle w:val="ListParagraph"/>
        <w:numPr>
          <w:ilvl w:val="0"/>
          <w:numId w:val="26"/>
        </w:numPr>
        <w:ind w:left="426"/>
        <w:jc w:val="both"/>
        <w:rPr>
          <w:rFonts w:ascii="Arial" w:hAnsi="Arial" w:cs="Arial"/>
          <w:sz w:val="22"/>
          <w:szCs w:val="22"/>
          <w:highlight w:val="yellow"/>
          <w:lang w:val="en-GB"/>
        </w:rPr>
      </w:pPr>
      <w:r w:rsidRPr="00356ACD">
        <w:rPr>
          <w:rFonts w:ascii="Arial" w:hAnsi="Arial" w:cs="Arial"/>
          <w:sz w:val="22"/>
          <w:szCs w:val="22"/>
          <w:highlight w:val="yellow"/>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464BA4">
        <w:rPr>
          <w:rFonts w:ascii="Arial" w:hAnsi="Arial" w:cs="Arial"/>
          <w:sz w:val="22"/>
          <w:szCs w:val="22"/>
          <w:highlight w:val="yellow"/>
          <w:lang w:val="en-GB"/>
        </w:rPr>
        <w:t xml:space="preserve">Neither </w:t>
      </w:r>
      <w:r w:rsidR="00E73529" w:rsidRPr="00464BA4">
        <w:rPr>
          <w:rFonts w:ascii="Arial" w:hAnsi="Arial" w:cs="Arial"/>
          <w:sz w:val="22"/>
          <w:szCs w:val="22"/>
          <w:highlight w:val="yellow"/>
          <w:lang w:val="en-GB"/>
        </w:rPr>
        <w:t>(</w:t>
      </w:r>
      <w:r w:rsidRPr="00464BA4">
        <w:rPr>
          <w:rFonts w:ascii="Arial" w:hAnsi="Arial" w:cs="Arial"/>
          <w:sz w:val="22"/>
          <w:szCs w:val="22"/>
          <w:highlight w:val="yellow"/>
          <w:lang w:val="en-GB"/>
        </w:rPr>
        <w:t>a</w:t>
      </w:r>
      <w:r w:rsidR="00E73529" w:rsidRPr="00464BA4">
        <w:rPr>
          <w:rFonts w:ascii="Arial" w:hAnsi="Arial" w:cs="Arial"/>
          <w:sz w:val="22"/>
          <w:szCs w:val="22"/>
          <w:highlight w:val="yellow"/>
          <w:lang w:val="en-GB"/>
        </w:rPr>
        <w:t>)</w:t>
      </w:r>
      <w:r w:rsidRPr="00464BA4">
        <w:rPr>
          <w:rFonts w:ascii="Arial" w:hAnsi="Arial" w:cs="Arial"/>
          <w:sz w:val="22"/>
          <w:szCs w:val="22"/>
          <w:highlight w:val="yellow"/>
          <w:lang w:val="en-GB"/>
        </w:rPr>
        <w:t xml:space="preserve"> nor </w:t>
      </w:r>
      <w:r w:rsidR="00E73529" w:rsidRPr="00464BA4">
        <w:rPr>
          <w:rFonts w:ascii="Arial" w:hAnsi="Arial" w:cs="Arial"/>
          <w:sz w:val="22"/>
          <w:szCs w:val="22"/>
          <w:highlight w:val="yellow"/>
          <w:lang w:val="en-GB"/>
        </w:rPr>
        <w:t>(</w:t>
      </w:r>
      <w:r w:rsidRPr="00464BA4">
        <w:rPr>
          <w:rFonts w:ascii="Arial" w:hAnsi="Arial" w:cs="Arial"/>
          <w:sz w:val="22"/>
          <w:szCs w:val="22"/>
          <w:highlight w:val="yellow"/>
          <w:lang w:val="en-GB"/>
        </w:rPr>
        <w:t>b</w:t>
      </w:r>
      <w:r w:rsidR="00E73529" w:rsidRPr="00464BA4">
        <w:rPr>
          <w:rFonts w:ascii="Arial" w:hAnsi="Arial" w:cs="Arial"/>
          <w:sz w:val="22"/>
          <w:szCs w:val="22"/>
          <w:highlight w:val="yellow"/>
          <w:lang w:val="en-GB"/>
        </w:rPr>
        <w:t>)</w:t>
      </w:r>
      <w:r w:rsidRPr="00464BA4">
        <w:rPr>
          <w:rFonts w:ascii="Arial" w:hAnsi="Arial" w:cs="Arial"/>
          <w:sz w:val="22"/>
          <w:szCs w:val="22"/>
          <w:highlight w:val="yellow"/>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EB13FF" w:rsidRDefault="004E0549" w:rsidP="00114082">
      <w:pPr>
        <w:pStyle w:val="ListParagraph"/>
        <w:numPr>
          <w:ilvl w:val="0"/>
          <w:numId w:val="28"/>
        </w:numPr>
        <w:ind w:left="426"/>
        <w:jc w:val="both"/>
        <w:rPr>
          <w:rFonts w:ascii="Arial" w:hAnsi="Arial" w:cs="Arial"/>
          <w:sz w:val="22"/>
          <w:szCs w:val="22"/>
          <w:highlight w:val="yellow"/>
          <w:lang w:val="en-GB"/>
        </w:rPr>
      </w:pPr>
      <w:r w:rsidRPr="00EB13FF">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3A1038" w:rsidRDefault="00573E73" w:rsidP="00114082">
      <w:pPr>
        <w:pStyle w:val="ListParagraph"/>
        <w:numPr>
          <w:ilvl w:val="0"/>
          <w:numId w:val="29"/>
        </w:numPr>
        <w:ind w:left="426"/>
        <w:jc w:val="both"/>
        <w:rPr>
          <w:rFonts w:ascii="Arial" w:hAnsi="Arial" w:cs="Arial"/>
          <w:sz w:val="22"/>
          <w:szCs w:val="22"/>
          <w:highlight w:val="yellow"/>
          <w:lang w:val="en-GB"/>
        </w:rPr>
      </w:pPr>
      <w:r w:rsidRPr="003A1038">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EB13FF"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EB13FF">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00E6ED46" w:rsidR="009B07AD" w:rsidRPr="009B5832" w:rsidRDefault="009B07AD" w:rsidP="002E40EA">
      <w:pPr>
        <w:ind w:left="100"/>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2E40EA">
        <w:rPr>
          <w:rFonts w:ascii="Arial" w:hAnsi="Arial" w:cs="Arial"/>
          <w:color w:val="7B7B7B" w:themeColor="accent3" w:themeShade="BF"/>
          <w:sz w:val="22"/>
          <w:szCs w:val="22"/>
          <w:lang w:val="en-GB"/>
        </w:rPr>
        <w:t>The appropriate date for determining the COMI of a debtor, or whether an establishment exists, is the date of commencement of the foreign proceeding</w:t>
      </w:r>
      <w:r w:rsidR="009E194B">
        <w:rPr>
          <w:rFonts w:ascii="Arial" w:hAnsi="Arial" w:cs="Arial"/>
          <w:color w:val="7B7B7B" w:themeColor="accent3" w:themeShade="BF"/>
          <w:sz w:val="22"/>
          <w:szCs w:val="22"/>
          <w:lang w:val="en-GB"/>
        </w:rPr>
        <w:t xml:space="preserve">. The MLCBI, however has not clearly addressed the issue of appropriate date. </w:t>
      </w:r>
      <w:r w:rsidR="0014439D">
        <w:rPr>
          <w:rFonts w:ascii="Arial" w:hAnsi="Arial" w:cs="Arial"/>
          <w:color w:val="7B7B7B" w:themeColor="accent3" w:themeShade="BF"/>
          <w:sz w:val="22"/>
          <w:szCs w:val="22"/>
          <w:lang w:val="en-GB"/>
        </w:rPr>
        <w:t>However,</w:t>
      </w:r>
      <w:r w:rsidR="009E194B">
        <w:rPr>
          <w:rFonts w:ascii="Arial" w:hAnsi="Arial" w:cs="Arial"/>
          <w:color w:val="7B7B7B" w:themeColor="accent3" w:themeShade="BF"/>
          <w:sz w:val="22"/>
          <w:szCs w:val="22"/>
          <w:lang w:val="en-GB"/>
        </w:rPr>
        <w:t xml:space="preserve"> GEI throws some light upon the same issue. </w:t>
      </w:r>
      <w:r w:rsidR="00E93C86" w:rsidRPr="00E93C86">
        <w:rPr>
          <w:rFonts w:ascii="Arial" w:hAnsi="Arial" w:cs="Arial"/>
          <w:color w:val="7B7B7B" w:themeColor="accent3" w:themeShade="BF"/>
          <w:sz w:val="22"/>
          <w:szCs w:val="22"/>
          <w:lang w:val="en-GB"/>
        </w:rPr>
        <w:t>According to the GEI, the date of commencement of the foreign proceeding and the appointment of the foreign representative is the appropriate date for determining COMI, given the evidence required to accompany an application for recognition under article 15 and the relevance accorded to that decision.</w:t>
      </w:r>
      <w:r w:rsidR="002E40EA">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3D410DE1" w14:textId="77777777" w:rsidR="00306C94" w:rsidRDefault="009B07AD" w:rsidP="0037646D">
      <w:pPr>
        <w:ind w:left="720" w:hanging="6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306C94">
        <w:rPr>
          <w:rFonts w:ascii="Arial" w:hAnsi="Arial" w:cs="Arial"/>
          <w:color w:val="7B7B7B" w:themeColor="accent3" w:themeShade="BF"/>
          <w:sz w:val="22"/>
          <w:szCs w:val="22"/>
          <w:lang w:val="en-GB"/>
        </w:rPr>
        <w:t>Statement 1</w:t>
      </w:r>
    </w:p>
    <w:p w14:paraId="610BF141" w14:textId="2743C3FE" w:rsidR="00306C94" w:rsidRDefault="00306C94" w:rsidP="0037646D">
      <w:pPr>
        <w:ind w:left="1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30 relates to the coordination of more than one foreign proceeding. Article 30(c) </w:t>
      </w:r>
      <w:r w:rsidR="004F1F96">
        <w:rPr>
          <w:rFonts w:ascii="Arial" w:hAnsi="Arial" w:cs="Arial"/>
          <w:color w:val="7B7B7B" w:themeColor="accent3" w:themeShade="BF"/>
          <w:sz w:val="22"/>
          <w:szCs w:val="22"/>
          <w:lang w:val="en-GB"/>
        </w:rPr>
        <w:t>of the MLCBI specifically provides guidance in case of concurrence of two f</w:t>
      </w:r>
      <w:r w:rsidR="0037646D">
        <w:rPr>
          <w:rFonts w:ascii="Arial" w:hAnsi="Arial" w:cs="Arial"/>
          <w:color w:val="7B7B7B" w:themeColor="accent3" w:themeShade="BF"/>
          <w:sz w:val="22"/>
          <w:szCs w:val="22"/>
          <w:lang w:val="en-GB"/>
        </w:rPr>
        <w:t>oreign non-main proceedings.</w:t>
      </w:r>
    </w:p>
    <w:p w14:paraId="6DC2BC8A" w14:textId="35FE8957" w:rsidR="0037646D" w:rsidRDefault="0037646D" w:rsidP="0037646D">
      <w:pPr>
        <w:ind w:left="100"/>
        <w:jc w:val="both"/>
        <w:rPr>
          <w:rFonts w:ascii="Arial" w:hAnsi="Arial" w:cs="Arial"/>
          <w:color w:val="7B7B7B" w:themeColor="accent3" w:themeShade="BF"/>
          <w:sz w:val="22"/>
          <w:szCs w:val="22"/>
          <w:lang w:val="en-GB"/>
        </w:rPr>
      </w:pPr>
    </w:p>
    <w:p w14:paraId="00E79139" w14:textId="67830D4A" w:rsidR="0037646D" w:rsidRDefault="0037646D" w:rsidP="0037646D">
      <w:pPr>
        <w:ind w:left="1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w:t>
      </w:r>
    </w:p>
    <w:p w14:paraId="44918FDF" w14:textId="77777777" w:rsidR="00A11A84" w:rsidRDefault="0014439D" w:rsidP="00341241">
      <w:pPr>
        <w:ind w:left="1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13 of MLCBI deals with secured claims. The anti-discrimination principle which states that the “Foreign creditors have the same rights as creditors domic</w:t>
      </w:r>
      <w:r w:rsidR="00341241">
        <w:rPr>
          <w:rFonts w:ascii="Arial" w:hAnsi="Arial" w:cs="Arial"/>
          <w:color w:val="7B7B7B" w:themeColor="accent3" w:themeShade="BF"/>
          <w:sz w:val="22"/>
          <w:szCs w:val="22"/>
          <w:lang w:val="en-GB"/>
        </w:rPr>
        <w:t xml:space="preserve">iled in the enacting </w:t>
      </w:r>
      <w:r w:rsidR="003E573C">
        <w:rPr>
          <w:rFonts w:ascii="Arial" w:hAnsi="Arial" w:cs="Arial"/>
          <w:color w:val="7B7B7B" w:themeColor="accent3" w:themeShade="BF"/>
          <w:sz w:val="22"/>
          <w:szCs w:val="22"/>
          <w:lang w:val="en-GB"/>
        </w:rPr>
        <w:t>state”</w:t>
      </w:r>
      <w:r>
        <w:rPr>
          <w:rFonts w:ascii="Arial" w:hAnsi="Arial" w:cs="Arial"/>
          <w:color w:val="7B7B7B" w:themeColor="accent3" w:themeShade="BF"/>
          <w:sz w:val="22"/>
          <w:szCs w:val="22"/>
          <w:lang w:val="en-GB"/>
        </w:rPr>
        <w:t>. This rule in Article 13 does not affect secured claims.</w:t>
      </w:r>
    </w:p>
    <w:p w14:paraId="3BC62908" w14:textId="77777777" w:rsidR="00A11A84" w:rsidRDefault="00A11A84" w:rsidP="00341241">
      <w:pPr>
        <w:ind w:left="100"/>
        <w:jc w:val="both"/>
        <w:rPr>
          <w:rFonts w:ascii="Arial" w:hAnsi="Arial" w:cs="Arial"/>
          <w:color w:val="7B7B7B" w:themeColor="accent3" w:themeShade="BF"/>
          <w:sz w:val="22"/>
          <w:szCs w:val="22"/>
          <w:lang w:val="en-GB"/>
        </w:rPr>
      </w:pPr>
    </w:p>
    <w:p w14:paraId="09F10D7C" w14:textId="77777777" w:rsidR="00A11A84" w:rsidRDefault="00A11A84" w:rsidP="00341241">
      <w:pPr>
        <w:ind w:left="1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w:t>
      </w:r>
    </w:p>
    <w:p w14:paraId="2F57801B" w14:textId="217E4BDB" w:rsidR="009B07AD" w:rsidRPr="009B5832" w:rsidRDefault="00A11A84" w:rsidP="00341241">
      <w:pPr>
        <w:ind w:left="100"/>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31 of the Model Law </w:t>
      </w:r>
      <w:r w:rsidR="00B21189">
        <w:rPr>
          <w:rFonts w:ascii="Arial" w:hAnsi="Arial" w:cs="Arial"/>
          <w:color w:val="7B7B7B" w:themeColor="accent3" w:themeShade="BF"/>
          <w:sz w:val="22"/>
          <w:szCs w:val="22"/>
          <w:lang w:val="en-GB"/>
        </w:rPr>
        <w:t>contains a</w:t>
      </w:r>
      <w:r>
        <w:rPr>
          <w:rFonts w:ascii="Arial" w:hAnsi="Arial" w:cs="Arial"/>
          <w:color w:val="7B7B7B" w:themeColor="accent3" w:themeShade="BF"/>
          <w:sz w:val="22"/>
          <w:szCs w:val="22"/>
          <w:lang w:val="en-GB"/>
        </w:rPr>
        <w:t xml:space="preserve"> rebuttable presumption.</w:t>
      </w:r>
      <w:r w:rsidR="00B21189">
        <w:rPr>
          <w:rFonts w:ascii="Arial" w:hAnsi="Arial" w:cs="Arial"/>
          <w:color w:val="7B7B7B" w:themeColor="accent3" w:themeShade="BF"/>
          <w:sz w:val="22"/>
          <w:szCs w:val="22"/>
          <w:lang w:val="en-GB"/>
        </w:rPr>
        <w:t xml:space="preserve"> It states that the recognition of a foreign main proceeding is proof that the debtor is insolvent.</w:t>
      </w:r>
      <w:r w:rsidR="009B07AD" w:rsidRPr="009B583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0617894" w14:textId="6FD11EEC" w:rsidR="0037646D" w:rsidRDefault="00C72848" w:rsidP="00BB75C7">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37646D">
        <w:rPr>
          <w:rFonts w:ascii="Arial" w:hAnsi="Arial" w:cs="Arial"/>
          <w:color w:val="7B7B7B" w:themeColor="accent3" w:themeShade="BF"/>
          <w:sz w:val="22"/>
          <w:szCs w:val="22"/>
          <w:lang w:val="en-GB"/>
        </w:rPr>
        <w:t xml:space="preserve">In the IBA case, the issue was whether the court should not exercise its powers to grant the indefinite Moratorium Continuation. For granting the indefinite Moratorium Continuation, two conditions need to be satisfied. Following are the two </w:t>
      </w:r>
      <w:r w:rsidR="0014439D">
        <w:rPr>
          <w:rFonts w:ascii="Arial" w:hAnsi="Arial" w:cs="Arial"/>
          <w:color w:val="7B7B7B" w:themeColor="accent3" w:themeShade="BF"/>
          <w:sz w:val="22"/>
          <w:szCs w:val="22"/>
          <w:lang w:val="en-GB"/>
        </w:rPr>
        <w:t>conditions:</w:t>
      </w:r>
    </w:p>
    <w:p w14:paraId="08D040FC" w14:textId="77777777" w:rsidR="00BA2643" w:rsidRPr="00BA2643" w:rsidRDefault="00BA2643" w:rsidP="0037646D">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The stay, to protect the interests of IBA’s creditors, would have to be necessary.</w:t>
      </w:r>
    </w:p>
    <w:p w14:paraId="474CFFEB" w14:textId="77777777" w:rsidR="00BA2643" w:rsidRPr="00BA2643" w:rsidRDefault="00BA2643" w:rsidP="0037646D">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The stay would have to be an appropriate way of achieving such protection.</w:t>
      </w:r>
    </w:p>
    <w:p w14:paraId="0F59E62B" w14:textId="77777777" w:rsidR="00BA2643" w:rsidRDefault="00BA2643" w:rsidP="00BA2643">
      <w:pPr>
        <w:pStyle w:val="ListParagraph"/>
        <w:jc w:val="both"/>
        <w:rPr>
          <w:rFonts w:ascii="Arial" w:hAnsi="Arial" w:cs="Arial"/>
          <w:color w:val="7B7B7B" w:themeColor="accent3" w:themeShade="BF"/>
          <w:sz w:val="22"/>
          <w:szCs w:val="22"/>
          <w:lang w:val="en-GB"/>
        </w:rPr>
      </w:pPr>
    </w:p>
    <w:p w14:paraId="78DB9FD8" w14:textId="7A8A9660" w:rsidR="00C72848" w:rsidRPr="00BA2643" w:rsidRDefault="00BA2643" w:rsidP="00BB75C7">
      <w:pPr>
        <w:pStyle w:val="ListParagraph"/>
        <w:ind w:left="0"/>
        <w:jc w:val="both"/>
        <w:rPr>
          <w:rFonts w:ascii="Arial" w:hAnsi="Arial" w:cs="Arial"/>
          <w:sz w:val="22"/>
          <w:szCs w:val="22"/>
          <w:lang w:val="en-GB"/>
        </w:rPr>
      </w:pPr>
      <w:r>
        <w:rPr>
          <w:rFonts w:ascii="Arial" w:hAnsi="Arial" w:cs="Arial"/>
          <w:color w:val="7B7B7B" w:themeColor="accent3" w:themeShade="BF"/>
          <w:sz w:val="22"/>
          <w:szCs w:val="22"/>
          <w:lang w:val="en-GB"/>
        </w:rPr>
        <w:t>Neither of the above conditions were satisfied. So the</w:t>
      </w:r>
      <w:r w:rsidRPr="00BA2643">
        <w:rPr>
          <w:rFonts w:ascii="Arial" w:hAnsi="Arial" w:cs="Arial"/>
          <w:sz w:val="22"/>
          <w:szCs w:val="22"/>
          <w:lang w:val="en-GB"/>
        </w:rPr>
        <w:t xml:space="preserve"> </w:t>
      </w:r>
      <w:r w:rsidRPr="00BA2643">
        <w:rPr>
          <w:rFonts w:ascii="Arial" w:hAnsi="Arial" w:cs="Arial"/>
          <w:color w:val="7B7B7B" w:themeColor="accent3" w:themeShade="BF"/>
          <w:sz w:val="22"/>
          <w:szCs w:val="22"/>
          <w:lang w:val="en-GB"/>
        </w:rPr>
        <w:t xml:space="preserve">English Court of Appeal upheld the decision that the court should not exercise its power to grant the indefinite Moratorium </w:t>
      </w:r>
      <w:r w:rsidR="00F13BA2" w:rsidRPr="00BA2643">
        <w:rPr>
          <w:rFonts w:ascii="Arial" w:hAnsi="Arial" w:cs="Arial"/>
          <w:color w:val="7B7B7B" w:themeColor="accent3" w:themeShade="BF"/>
          <w:sz w:val="22"/>
          <w:szCs w:val="22"/>
          <w:lang w:val="en-GB"/>
        </w:rPr>
        <w:t>Continuation</w:t>
      </w:r>
      <w:r w:rsidR="00F13BA2">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082F8A94" w14:textId="5FEAEA9D" w:rsidR="00E312EB" w:rsidRDefault="0041139B" w:rsidP="00E312EB">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E617F8" w:rsidRPr="00E617F8">
        <w:rPr>
          <w:rFonts w:ascii="Arial" w:hAnsi="Arial" w:cs="Arial"/>
          <w:color w:val="7B7B7B" w:themeColor="accent3" w:themeShade="BF"/>
          <w:sz w:val="22"/>
          <w:szCs w:val="22"/>
          <w:lang w:val="en-GB"/>
        </w:rPr>
        <w:t xml:space="preserve">According to Article 17 of the Model Law, the court in the enacting State must first determine whether the foreign proceeding and the foreign representative meet all of the required characteristics as defined in Article 2 of the Model Law, and the court may rely on the presumptions set forth in Article 16(1) of the Model Law in this </w:t>
      </w:r>
      <w:r w:rsidR="00E312EB" w:rsidRPr="00E617F8">
        <w:rPr>
          <w:rFonts w:ascii="Arial" w:hAnsi="Arial" w:cs="Arial"/>
          <w:color w:val="7B7B7B" w:themeColor="accent3" w:themeShade="BF"/>
          <w:sz w:val="22"/>
          <w:szCs w:val="22"/>
          <w:lang w:val="en-GB"/>
        </w:rPr>
        <w:t>regard.</w:t>
      </w:r>
      <w:r w:rsidR="00E312EB">
        <w:rPr>
          <w:rFonts w:ascii="Arial" w:hAnsi="Arial" w:cs="Arial"/>
          <w:color w:val="7B7B7B" w:themeColor="accent3" w:themeShade="BF"/>
          <w:sz w:val="22"/>
          <w:szCs w:val="22"/>
          <w:lang w:val="en-GB"/>
        </w:rPr>
        <w:t xml:space="preserve"> Assuming both the foreign proceeding and the foreign representative meet all required </w:t>
      </w:r>
      <w:r w:rsidR="00795931">
        <w:rPr>
          <w:rFonts w:ascii="Arial" w:hAnsi="Arial" w:cs="Arial"/>
          <w:color w:val="7B7B7B" w:themeColor="accent3" w:themeShade="BF"/>
          <w:sz w:val="22"/>
          <w:szCs w:val="22"/>
          <w:lang w:val="en-GB"/>
        </w:rPr>
        <w:t>characteristics</w:t>
      </w:r>
      <w:r w:rsidR="00E312EB">
        <w:rPr>
          <w:rFonts w:ascii="Arial" w:hAnsi="Arial" w:cs="Arial"/>
          <w:color w:val="7B7B7B" w:themeColor="accent3" w:themeShade="BF"/>
          <w:sz w:val="22"/>
          <w:szCs w:val="22"/>
          <w:lang w:val="en-GB"/>
        </w:rPr>
        <w:t xml:space="preserve"> and also assuming that there are no grounds to invoke the public policy exception of article 6 of the Model Law, the court should determine whether the requirements of Article17(1)(c) are met. </w:t>
      </w:r>
      <w:r w:rsidR="00E312EB">
        <w:rPr>
          <w:rFonts w:ascii="Arial" w:hAnsi="Arial" w:cs="Arial"/>
          <w:color w:val="7B7B7B" w:themeColor="accent3" w:themeShade="BF"/>
          <w:sz w:val="22"/>
          <w:szCs w:val="22"/>
          <w:lang w:val="en-GB"/>
        </w:rPr>
        <w:lastRenderedPageBreak/>
        <w:t>The enacting state will need to determine whether the debtor’s COMI is in the COMI is in the foreign State in which the foreign proceedings are opened.</w:t>
      </w:r>
    </w:p>
    <w:p w14:paraId="2A3A1A78" w14:textId="77777777" w:rsidR="00E312EB" w:rsidRDefault="00E312EB" w:rsidP="0041139B">
      <w:pPr>
        <w:ind w:left="720" w:hanging="720"/>
        <w:jc w:val="both"/>
        <w:rPr>
          <w:rFonts w:ascii="Arial" w:hAnsi="Arial" w:cs="Arial"/>
          <w:color w:val="7B7B7B" w:themeColor="accent3" w:themeShade="BF"/>
          <w:sz w:val="22"/>
          <w:szCs w:val="22"/>
          <w:lang w:val="en-GB"/>
        </w:rPr>
      </w:pPr>
    </w:p>
    <w:p w14:paraId="15EE2B47" w14:textId="2B954731" w:rsidR="0041139B" w:rsidRPr="009B5832" w:rsidRDefault="00E312EB" w:rsidP="00E312EB">
      <w:pPr>
        <w:rPr>
          <w:rFonts w:ascii="Arial" w:hAnsi="Arial" w:cs="Arial"/>
          <w:sz w:val="22"/>
          <w:szCs w:val="22"/>
          <w:lang w:val="en-GB"/>
        </w:rPr>
      </w:pPr>
      <w:r w:rsidRPr="00E312EB">
        <w:rPr>
          <w:rFonts w:ascii="Arial" w:hAnsi="Arial" w:cs="Arial"/>
          <w:color w:val="7B7B7B" w:themeColor="accent3" w:themeShade="BF"/>
          <w:sz w:val="22"/>
          <w:szCs w:val="22"/>
        </w:rPr>
        <w:t>If neither the COMI nor the debtor's establishment exists in the foreign state where the </w:t>
      </w:r>
      <w:r>
        <w:rPr>
          <w:rFonts w:ascii="Arial" w:hAnsi="Arial" w:cs="Arial"/>
          <w:color w:val="7B7B7B" w:themeColor="accent3" w:themeShade="BF"/>
          <w:sz w:val="22"/>
          <w:szCs w:val="22"/>
        </w:rPr>
        <w:t>foreign</w:t>
      </w:r>
      <w:r w:rsidRPr="00E312EB">
        <w:rPr>
          <w:rFonts w:ascii="Arial" w:hAnsi="Arial" w:cs="Arial"/>
          <w:color w:val="7B7B7B" w:themeColor="accent3" w:themeShade="BF"/>
          <w:sz w:val="22"/>
          <w:szCs w:val="22"/>
        </w:rPr>
        <w:t> proceedings were initiated, the recognition application will be denied by the court in the en</w:t>
      </w:r>
      <w:r>
        <w:rPr>
          <w:rFonts w:ascii="Arial" w:hAnsi="Arial" w:cs="Arial"/>
          <w:color w:val="7B7B7B" w:themeColor="accent3" w:themeShade="BF"/>
          <w:sz w:val="22"/>
          <w:szCs w:val="22"/>
        </w:rPr>
        <w:t>-a</w:t>
      </w:r>
      <w:r w:rsidRPr="00E312EB">
        <w:rPr>
          <w:rFonts w:ascii="Arial" w:hAnsi="Arial" w:cs="Arial"/>
          <w:color w:val="7B7B7B" w:themeColor="accent3" w:themeShade="BF"/>
          <w:sz w:val="22"/>
          <w:szCs w:val="22"/>
        </w:rPr>
        <w:t>cting state.</w:t>
      </w:r>
      <w:r w:rsidR="0041139B" w:rsidRPr="009B5832">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216BF3E0" w14:textId="77777777" w:rsidR="003C5A0E"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3C5A0E" w:rsidRPr="003C5A0E">
        <w:rPr>
          <w:rFonts w:ascii="Arial" w:hAnsi="Arial" w:cs="Arial"/>
          <w:color w:val="7B7B7B" w:themeColor="accent3" w:themeShade="BF"/>
          <w:sz w:val="22"/>
          <w:szCs w:val="22"/>
          <w:lang w:val="en-GB"/>
        </w:rPr>
        <w:t>The foreign representative's access rights under article 9 of the Model Law allow the foreign representative standing before the courts in the enacting state without requiring the foreign proceeding to be recognised in the enacting state. If all prerequisites are completed, Article 11 of the Model Law grants foreign representatives standing to initiate domestic bankruptcy procedures in the adopting state. These access rights provide reassurance to international investors since they assure that the foreign representative has access to local instruments without the necessity for additional processes in the enacting state to gain such standing. As a result, overseas creditors may feel secure in the knowledge that recovery would be maximised without the need for needless local processes.</w:t>
      </w:r>
      <w:r w:rsidR="003C5A0E">
        <w:rPr>
          <w:rFonts w:ascii="Arial" w:hAnsi="Arial" w:cs="Arial"/>
          <w:color w:val="7B7B7B" w:themeColor="accent3" w:themeShade="BF"/>
          <w:sz w:val="22"/>
          <w:szCs w:val="22"/>
          <w:lang w:val="en-GB"/>
        </w:rPr>
        <w:t xml:space="preserve"> The foreign creditors will further take comfort from the fact that Model Law articles implemented in the enacting state will be breached if foreign creditors are being discriminated and they would be able to raise such breaches which gives them additional comfort.</w:t>
      </w:r>
    </w:p>
    <w:p w14:paraId="0D8860FB" w14:textId="77777777" w:rsidR="003C5A0E" w:rsidRDefault="003C5A0E" w:rsidP="00707FC8">
      <w:pPr>
        <w:jc w:val="both"/>
        <w:rPr>
          <w:rFonts w:ascii="Arial" w:hAnsi="Arial" w:cs="Arial"/>
          <w:color w:val="7B7B7B" w:themeColor="accent3" w:themeShade="BF"/>
          <w:sz w:val="22"/>
          <w:szCs w:val="22"/>
          <w:lang w:val="en-GB"/>
        </w:rPr>
      </w:pPr>
    </w:p>
    <w:p w14:paraId="4024A332" w14:textId="6D27A846" w:rsidR="00544127" w:rsidRPr="009B5832" w:rsidRDefault="003C5A0E" w:rsidP="00707FC8">
      <w:pPr>
        <w:jc w:val="both"/>
        <w:rPr>
          <w:rFonts w:ascii="Arial" w:hAnsi="Arial" w:cs="Arial"/>
          <w:sz w:val="24"/>
          <w:lang w:val="en-GB"/>
        </w:rPr>
      </w:pPr>
      <w:r>
        <w:rPr>
          <w:rFonts w:ascii="Arial" w:hAnsi="Arial" w:cs="Arial"/>
          <w:color w:val="7B7B7B" w:themeColor="accent3" w:themeShade="BF"/>
          <w:sz w:val="22"/>
          <w:szCs w:val="22"/>
          <w:lang w:val="en-GB"/>
        </w:rPr>
        <w:t xml:space="preserve">The co-ordination rights </w:t>
      </w:r>
      <w:r w:rsidR="005B58F9">
        <w:rPr>
          <w:rFonts w:ascii="Arial" w:hAnsi="Arial" w:cs="Arial"/>
          <w:color w:val="7B7B7B" w:themeColor="accent3" w:themeShade="BF"/>
          <w:sz w:val="22"/>
          <w:szCs w:val="22"/>
          <w:lang w:val="en-GB"/>
        </w:rPr>
        <w:t>provide consistency of treatment of stakeholders in cross-border insolvencies. It provides rules and comfort when insolvency proceeding in an enacting state is taking place concurrently with an insolvency proceeding in a foreign state. Moreover it establishes rules for the relief granted in the enacting state to help two or more proceedings taking place in foreign against the same debtor.</w:t>
      </w:r>
      <w:r w:rsidR="00CF0CEC">
        <w:rPr>
          <w:rFonts w:ascii="Arial" w:hAnsi="Arial" w:cs="Arial"/>
          <w:color w:val="7B7B7B" w:themeColor="accent3" w:themeShade="BF"/>
          <w:sz w:val="22"/>
          <w:szCs w:val="22"/>
          <w:lang w:val="en-GB"/>
        </w:rPr>
        <w:t xml:space="preserve"> The co-ordination rights laid special emphasis upon both courts and insolvency representatives to communicate and cooperate to the maximum extent possible. It is also ensured that the debtor’s insolvency estate is administered fairly and efficiently with a view to maximising benefits to creditors.</w:t>
      </w:r>
      <w:r>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exclusions and limitations that </w:t>
      </w:r>
      <w:r w:rsidRPr="009B5832">
        <w:rPr>
          <w:rFonts w:ascii="Arial" w:hAnsi="Arial" w:cs="Arial"/>
          <w:sz w:val="22"/>
          <w:szCs w:val="22"/>
          <w:lang w:val="en-GB"/>
        </w:rPr>
        <w:lastRenderedPageBreak/>
        <w:t>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1BE4D4A0" w14:textId="70B77965" w:rsidR="006933F8"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6933F8">
        <w:rPr>
          <w:rFonts w:ascii="Arial" w:hAnsi="Arial" w:cs="Arial"/>
          <w:color w:val="7B7B7B" w:themeColor="accent3" w:themeShade="BF"/>
          <w:sz w:val="22"/>
          <w:szCs w:val="22"/>
          <w:lang w:val="en-GB"/>
        </w:rPr>
        <w:t xml:space="preserve">Abuse of Process - </w:t>
      </w:r>
      <w:r w:rsidR="00C8526C">
        <w:rPr>
          <w:rFonts w:ascii="Arial" w:hAnsi="Arial" w:cs="Arial"/>
          <w:color w:val="7B7B7B" w:themeColor="accent3" w:themeShade="BF"/>
          <w:sz w:val="22"/>
          <w:szCs w:val="22"/>
          <w:lang w:val="en-GB"/>
        </w:rPr>
        <w:t xml:space="preserve">In the </w:t>
      </w:r>
      <w:proofErr w:type="spellStart"/>
      <w:r w:rsidR="00C8526C">
        <w:rPr>
          <w:rFonts w:ascii="Arial" w:hAnsi="Arial" w:cs="Arial"/>
          <w:color w:val="7B7B7B" w:themeColor="accent3" w:themeShade="BF"/>
          <w:sz w:val="22"/>
          <w:szCs w:val="22"/>
          <w:lang w:val="en-GB"/>
        </w:rPr>
        <w:t>Agrokor</w:t>
      </w:r>
      <w:proofErr w:type="spellEnd"/>
      <w:r w:rsidR="00C8526C">
        <w:rPr>
          <w:rFonts w:ascii="Arial" w:hAnsi="Arial" w:cs="Arial"/>
          <w:color w:val="7B7B7B" w:themeColor="accent3" w:themeShade="BF"/>
          <w:sz w:val="22"/>
          <w:szCs w:val="22"/>
          <w:lang w:val="en-GB"/>
        </w:rPr>
        <w:t xml:space="preserve"> case, it was observed that the court, a breach of the full and frank disclosure obligation a foreign representative has towards the court to which a recognition application under the Model Law is made, may amount to an abuse of process. </w:t>
      </w:r>
      <w:r w:rsidR="006933F8">
        <w:rPr>
          <w:rFonts w:ascii="Arial" w:hAnsi="Arial" w:cs="Arial"/>
          <w:color w:val="7B7B7B" w:themeColor="accent3" w:themeShade="BF"/>
          <w:sz w:val="22"/>
          <w:szCs w:val="22"/>
          <w:lang w:val="en-GB"/>
        </w:rPr>
        <w:t>Moreover,</w:t>
      </w:r>
      <w:r w:rsidR="00C8526C">
        <w:rPr>
          <w:rFonts w:ascii="Arial" w:hAnsi="Arial" w:cs="Arial"/>
          <w:color w:val="7B7B7B" w:themeColor="accent3" w:themeShade="BF"/>
          <w:sz w:val="22"/>
          <w:szCs w:val="22"/>
          <w:lang w:val="en-GB"/>
        </w:rPr>
        <w:t xml:space="preserve"> the court can justify a rejection of the recognition sought based on the public policy </w:t>
      </w:r>
      <w:r w:rsidR="006933F8">
        <w:rPr>
          <w:rFonts w:ascii="Arial" w:hAnsi="Arial" w:cs="Arial"/>
          <w:color w:val="7B7B7B" w:themeColor="accent3" w:themeShade="BF"/>
          <w:sz w:val="22"/>
          <w:szCs w:val="22"/>
          <w:lang w:val="en-GB"/>
        </w:rPr>
        <w:t>exception. For example, the false claim of the COMI of the debtor in a particular state may amount to an abuse of process. Also in case where there are inappropriate alternative motives for the recognition application, abuse of process may come into the picture. It should also be noted that the abuse of process should rarely be the basis for refusing an application.</w:t>
      </w:r>
    </w:p>
    <w:p w14:paraId="49B90037" w14:textId="019E3B66" w:rsidR="006933F8" w:rsidRDefault="006933F8" w:rsidP="00707FC8">
      <w:pPr>
        <w:jc w:val="both"/>
        <w:rPr>
          <w:rFonts w:ascii="Arial" w:hAnsi="Arial" w:cs="Arial"/>
          <w:color w:val="7B7B7B" w:themeColor="accent3" w:themeShade="BF"/>
          <w:sz w:val="22"/>
          <w:szCs w:val="22"/>
          <w:lang w:val="en-GB"/>
        </w:rPr>
      </w:pPr>
    </w:p>
    <w:p w14:paraId="4349ED76" w14:textId="4E3553AC" w:rsidR="003E573C" w:rsidRDefault="006933F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18 of the Model Law enlist some </w:t>
      </w:r>
      <w:r w:rsidR="003E573C">
        <w:rPr>
          <w:rFonts w:ascii="Arial" w:hAnsi="Arial" w:cs="Arial"/>
          <w:color w:val="7B7B7B" w:themeColor="accent3" w:themeShade="BF"/>
          <w:sz w:val="22"/>
          <w:szCs w:val="22"/>
          <w:lang w:val="en-GB"/>
        </w:rPr>
        <w:t>obligations in terms of informing the court in the enacting state of following:</w:t>
      </w:r>
    </w:p>
    <w:p w14:paraId="2DDFA6BF" w14:textId="77777777" w:rsidR="003E573C" w:rsidRDefault="003E573C" w:rsidP="003E573C">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substantial change in the status of the recognised foreign proceeding or the status of the foreign representative’s appointment.</w:t>
      </w:r>
    </w:p>
    <w:p w14:paraId="2E5960BE" w14:textId="05590A6A" w:rsidR="006933F8" w:rsidRDefault="003E573C" w:rsidP="003E573C">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foreign proceeding regarding the same debtor that becomes known to the foreign representative. </w:t>
      </w:r>
    </w:p>
    <w:p w14:paraId="542A12BA" w14:textId="77777777" w:rsidR="003E573C" w:rsidRDefault="003E573C" w:rsidP="003E573C">
      <w:pPr>
        <w:jc w:val="both"/>
        <w:rPr>
          <w:rFonts w:ascii="Arial" w:hAnsi="Arial" w:cs="Arial"/>
          <w:color w:val="7B7B7B" w:themeColor="accent3" w:themeShade="BF"/>
          <w:sz w:val="22"/>
          <w:szCs w:val="22"/>
          <w:lang w:val="en-GB"/>
        </w:rPr>
      </w:pPr>
    </w:p>
    <w:p w14:paraId="4639DE84" w14:textId="3FF938F9" w:rsidR="003E573C" w:rsidRDefault="003E573C" w:rsidP="003E57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can deny the recognition application if neither the COMI nor an establishment of the debtor exists in the foreign state where the foreign proceedings were opened.</w:t>
      </w:r>
    </w:p>
    <w:p w14:paraId="3EEC381C" w14:textId="77777777" w:rsidR="003E573C" w:rsidRDefault="003E573C" w:rsidP="003E573C">
      <w:pPr>
        <w:jc w:val="both"/>
        <w:rPr>
          <w:rFonts w:ascii="Arial" w:hAnsi="Arial" w:cs="Arial"/>
          <w:color w:val="7B7B7B" w:themeColor="accent3" w:themeShade="BF"/>
          <w:sz w:val="22"/>
          <w:szCs w:val="22"/>
          <w:lang w:val="en-GB"/>
        </w:rPr>
      </w:pPr>
    </w:p>
    <w:p w14:paraId="55784F96" w14:textId="77777777" w:rsidR="003D77B7" w:rsidRDefault="003E573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Article 23, if the applicant meets all the requirements set out and public policy exception does not apply, successful recognition is granted.</w:t>
      </w:r>
    </w:p>
    <w:p w14:paraId="7940D274" w14:textId="45E3C96B" w:rsidR="00DF75F8" w:rsidRPr="009B5832" w:rsidRDefault="003D77B7" w:rsidP="00707FC8">
      <w:pPr>
        <w:jc w:val="both"/>
        <w:rPr>
          <w:rFonts w:ascii="Arial" w:hAnsi="Arial" w:cs="Arial"/>
          <w:sz w:val="22"/>
          <w:szCs w:val="22"/>
          <w:lang w:val="en-GB"/>
        </w:rPr>
      </w:pPr>
      <w:r>
        <w:rPr>
          <w:rFonts w:ascii="Arial" w:hAnsi="Arial" w:cs="Arial"/>
          <w:color w:val="7B7B7B" w:themeColor="accent3" w:themeShade="BF"/>
          <w:sz w:val="22"/>
          <w:szCs w:val="22"/>
          <w:lang w:val="en-GB"/>
        </w:rPr>
        <w:t>Assuming there are no grounds to invoke public policy exception of article 6 of the Model Law and also the requirements set forth in article 17(1)(c) and (d) of the Model Law are met and COMI is established, successful recognition is granted.</w:t>
      </w:r>
      <w:r w:rsidR="006933F8">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1CF3DC34" w14:textId="5F8A7005" w:rsidR="00C33276" w:rsidRDefault="00DF75F8" w:rsidP="00C33276">
      <w:pPr>
        <w:jc w:val="both"/>
        <w:rPr>
          <w:rFonts w:ascii="Arial" w:hAnsi="Arial" w:cs="Arial"/>
          <w:color w:val="7B7B7B" w:themeColor="accent3" w:themeShade="BF"/>
          <w:sz w:val="22"/>
          <w:szCs w:val="22"/>
          <w:lang w:val="en-IN"/>
        </w:rPr>
      </w:pPr>
      <w:r w:rsidRPr="009B5832">
        <w:rPr>
          <w:rFonts w:ascii="Arial" w:hAnsi="Arial" w:cs="Arial"/>
          <w:color w:val="7B7B7B" w:themeColor="accent3" w:themeShade="BF"/>
          <w:sz w:val="22"/>
          <w:szCs w:val="22"/>
          <w:lang w:val="en-GB"/>
        </w:rPr>
        <w:t>[</w:t>
      </w:r>
      <w:r w:rsidR="00C33276">
        <w:rPr>
          <w:rFonts w:ascii="Arial" w:hAnsi="Arial" w:cs="Arial"/>
          <w:color w:val="7B7B7B" w:themeColor="accent3" w:themeShade="BF"/>
          <w:sz w:val="22"/>
          <w:szCs w:val="22"/>
          <w:lang w:val="en-IN"/>
        </w:rPr>
        <w:t xml:space="preserve">Article 19 of MLCBI deals with pre-recognition relief. </w:t>
      </w:r>
      <w:r w:rsidR="00C33276" w:rsidRPr="00C33276">
        <w:rPr>
          <w:rFonts w:ascii="Arial" w:hAnsi="Arial" w:cs="Arial"/>
          <w:color w:val="7B7B7B" w:themeColor="accent3" w:themeShade="BF"/>
          <w:sz w:val="22"/>
          <w:szCs w:val="22"/>
          <w:lang w:val="en-IN"/>
        </w:rPr>
        <w:t>Article 19 of the Model Law provides that the court, to protect the interests of the creditors or protect the assets of the debtor, may grant provisional relief upon application by the foreign representative. Some of the interim reliefs include staying execution against the debtor’s assets and entrusting the administration or realization of the debtor’s assets to the foreign representative or another person designated by the court. The effect of recognition depends on whether the foreign proceeding is a foreign main or non-main proceeding.</w:t>
      </w:r>
    </w:p>
    <w:p w14:paraId="7742B3D4" w14:textId="77777777" w:rsidR="00C33276" w:rsidRPr="00C33276" w:rsidRDefault="00C33276" w:rsidP="00C33276">
      <w:pPr>
        <w:jc w:val="both"/>
        <w:rPr>
          <w:rFonts w:ascii="Arial" w:hAnsi="Arial" w:cs="Arial"/>
          <w:color w:val="7B7B7B" w:themeColor="accent3" w:themeShade="BF"/>
          <w:sz w:val="22"/>
          <w:szCs w:val="22"/>
          <w:lang w:val="en-IN"/>
        </w:rPr>
      </w:pPr>
    </w:p>
    <w:p w14:paraId="4E83D7AF" w14:textId="0A7C7E3B" w:rsidR="00DF75F8" w:rsidRPr="009B5832" w:rsidRDefault="00477EE0" w:rsidP="00707FC8">
      <w:pPr>
        <w:jc w:val="both"/>
        <w:rPr>
          <w:rFonts w:ascii="Arial" w:hAnsi="Arial" w:cs="Arial"/>
          <w:sz w:val="22"/>
          <w:szCs w:val="22"/>
          <w:lang w:val="en-GB"/>
        </w:rPr>
      </w:pPr>
      <w:r>
        <w:rPr>
          <w:rFonts w:ascii="Arial" w:hAnsi="Arial" w:cs="Arial"/>
          <w:color w:val="7B7B7B" w:themeColor="accent3" w:themeShade="BF"/>
          <w:sz w:val="22"/>
          <w:szCs w:val="22"/>
          <w:lang w:val="en-IN"/>
        </w:rPr>
        <w:t xml:space="preserve">Article 21 of MLCBI deals with the post-recognition relief. </w:t>
      </w:r>
      <w:r w:rsidRPr="00477EE0">
        <w:rPr>
          <w:rFonts w:ascii="Arial" w:hAnsi="Arial" w:cs="Arial"/>
          <w:color w:val="7B7B7B" w:themeColor="accent3" w:themeShade="BF"/>
          <w:sz w:val="22"/>
          <w:szCs w:val="22"/>
          <w:lang w:val="en-IN"/>
        </w:rPr>
        <w:t xml:space="preserve">Article 21 of the Model Law allows for the granting of certain discretionary relief upon the recognition of a foreign main or non-main proceeding. Recent interpretation of the Model Law has caused uncertainty regarding its application to the enforcement of judgments - this was highlighted most </w:t>
      </w:r>
      <w:r w:rsidR="003E573C" w:rsidRPr="00477EE0">
        <w:rPr>
          <w:rFonts w:ascii="Arial" w:hAnsi="Arial" w:cs="Arial"/>
          <w:color w:val="7B7B7B" w:themeColor="accent3" w:themeShade="BF"/>
          <w:sz w:val="22"/>
          <w:szCs w:val="22"/>
          <w:lang w:val="en-IN"/>
        </w:rPr>
        <w:t>impact fully</w:t>
      </w:r>
      <w:r w:rsidRPr="00477EE0">
        <w:rPr>
          <w:rFonts w:ascii="Arial" w:hAnsi="Arial" w:cs="Arial"/>
          <w:color w:val="7B7B7B" w:themeColor="accent3" w:themeShade="BF"/>
          <w:sz w:val="22"/>
          <w:szCs w:val="22"/>
          <w:lang w:val="en-IN"/>
        </w:rPr>
        <w:t xml:space="preserve"> in the case of Rubin v. </w:t>
      </w:r>
      <w:proofErr w:type="spellStart"/>
      <w:r w:rsidRPr="00477EE0">
        <w:rPr>
          <w:rFonts w:ascii="Arial" w:hAnsi="Arial" w:cs="Arial"/>
          <w:color w:val="7B7B7B" w:themeColor="accent3" w:themeShade="BF"/>
          <w:sz w:val="22"/>
          <w:szCs w:val="22"/>
          <w:lang w:val="en-IN"/>
        </w:rPr>
        <w:t>Eurofinance</w:t>
      </w:r>
      <w:proofErr w:type="spellEnd"/>
      <w:r w:rsidRPr="00477EE0">
        <w:rPr>
          <w:rFonts w:ascii="Arial" w:hAnsi="Arial" w:cs="Arial"/>
          <w:color w:val="7B7B7B" w:themeColor="accent3" w:themeShade="BF"/>
          <w:sz w:val="22"/>
          <w:szCs w:val="22"/>
          <w:lang w:val="en-IN"/>
        </w:rPr>
        <w:t xml:space="preserve"> SA. In this case, the UK Supreme Court refused to enforce a foreign judgment despite recognising the foreign proceeding from which the judgment arose. The underlying issue brought out by this case was that Article 21 of the Model Law does not expressly allow a court to enforce a judgment. Such power can only be implied from the scope of ‘any appropriate relief’ that may be provided under Article 21.</w:t>
      </w:r>
      <w:r w:rsidR="00C33276">
        <w:rPr>
          <w:rFonts w:ascii="Arial" w:hAnsi="Arial" w:cs="Arial"/>
          <w:color w:val="7B7B7B" w:themeColor="accent3" w:themeShade="BF"/>
          <w:sz w:val="22"/>
          <w:szCs w:val="22"/>
          <w:lang w:val="en-IN"/>
        </w:rPr>
        <w:t xml:space="preserve"> In another case of </w:t>
      </w:r>
      <w:proofErr w:type="spellStart"/>
      <w:r w:rsidR="00C33276">
        <w:rPr>
          <w:rFonts w:ascii="Arial" w:hAnsi="Arial" w:cs="Arial"/>
          <w:color w:val="7B7B7B" w:themeColor="accent3" w:themeShade="BF"/>
          <w:sz w:val="22"/>
          <w:szCs w:val="22"/>
          <w:lang w:val="en-IN"/>
        </w:rPr>
        <w:t>Fibria</w:t>
      </w:r>
      <w:proofErr w:type="spellEnd"/>
      <w:r w:rsidR="00C33276">
        <w:rPr>
          <w:rFonts w:ascii="Arial" w:hAnsi="Arial" w:cs="Arial"/>
          <w:color w:val="7B7B7B" w:themeColor="accent3" w:themeShade="BF"/>
          <w:sz w:val="22"/>
          <w:szCs w:val="22"/>
          <w:lang w:val="en-IN"/>
        </w:rPr>
        <w:t xml:space="preserve"> </w:t>
      </w:r>
      <w:proofErr w:type="spellStart"/>
      <w:r w:rsidR="00C33276">
        <w:rPr>
          <w:rFonts w:ascii="Arial" w:hAnsi="Arial" w:cs="Arial"/>
          <w:color w:val="7B7B7B" w:themeColor="accent3" w:themeShade="BF"/>
          <w:sz w:val="22"/>
          <w:szCs w:val="22"/>
          <w:lang w:val="en-IN"/>
        </w:rPr>
        <w:t>Celulose</w:t>
      </w:r>
      <w:proofErr w:type="spellEnd"/>
      <w:r w:rsidR="00C33276">
        <w:rPr>
          <w:rFonts w:ascii="Arial" w:hAnsi="Arial" w:cs="Arial"/>
          <w:color w:val="7B7B7B" w:themeColor="accent3" w:themeShade="BF"/>
          <w:sz w:val="22"/>
          <w:szCs w:val="22"/>
          <w:lang w:val="en-IN"/>
        </w:rPr>
        <w:t xml:space="preserve"> S/A v Pan Ocean Co Ltd, the court provided a ruling that applying foreign insolvency </w:t>
      </w:r>
      <w:r w:rsidR="00C33276">
        <w:rPr>
          <w:rFonts w:ascii="Arial" w:hAnsi="Arial" w:cs="Arial"/>
          <w:color w:val="7B7B7B" w:themeColor="accent3" w:themeShade="BF"/>
          <w:sz w:val="22"/>
          <w:szCs w:val="22"/>
          <w:lang w:val="en-IN"/>
        </w:rPr>
        <w:lastRenderedPageBreak/>
        <w:t>law to an English law governed contract is outside the scope of appropriate relief the English court can grant.</w:t>
      </w:r>
      <w:r w:rsidR="00DF75F8" w:rsidRPr="009B5832">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0B00CA30"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EE16D5">
        <w:rPr>
          <w:rFonts w:ascii="Arial" w:hAnsi="Arial" w:cs="Arial"/>
          <w:color w:val="7B7B7B" w:themeColor="accent3" w:themeShade="BF"/>
          <w:sz w:val="22"/>
          <w:szCs w:val="22"/>
          <w:lang w:val="en-GB"/>
        </w:rPr>
        <w:t>Article 19 relief is provisional in nature. The relief terminates when the application for recognition is decided upon. The worldwide freezing order granted as pre-recognition is unlikely to continue as it hampers the interest of the debtor’s creditors and other interested parties.</w:t>
      </w:r>
      <w:r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w:t>
      </w:r>
      <w:proofErr w:type="gramStart"/>
      <w:r w:rsidRPr="009B5832">
        <w:rPr>
          <w:rFonts w:ascii="Arial" w:hAnsi="Arial" w:cs="Arial"/>
          <w:color w:val="000000"/>
          <w:sz w:val="22"/>
          <w:szCs w:val="22"/>
          <w:lang w:val="en-GB" w:eastAsia="en-GB"/>
        </w:rPr>
        <w:t>1)(</w:t>
      </w:r>
      <w:proofErr w:type="gramEnd"/>
      <w:r w:rsidRPr="009B5832">
        <w:rPr>
          <w:rFonts w:ascii="Arial" w:hAnsi="Arial" w:cs="Arial"/>
          <w:color w:val="000000"/>
          <w:sz w:val="22"/>
          <w:szCs w:val="22"/>
          <w:lang w:val="en-GB" w:eastAsia="en-GB"/>
        </w:rPr>
        <w:t xml:space="preserve">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59A71C"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E6CBB21" w14:textId="77777777" w:rsidR="004B73B9" w:rsidRPr="009B5832" w:rsidRDefault="004B73B9"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9BDB7A4" w14:textId="77777777" w:rsidR="00E61A2D" w:rsidRDefault="00387106"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E61A2D">
        <w:rPr>
          <w:rFonts w:ascii="Arial" w:hAnsi="Arial" w:cs="Arial"/>
          <w:color w:val="7B7B7B" w:themeColor="accent3" w:themeShade="BF"/>
          <w:sz w:val="22"/>
          <w:szCs w:val="22"/>
          <w:lang w:val="en-GB"/>
        </w:rPr>
        <w:t>Answer 4.1.1</w:t>
      </w:r>
    </w:p>
    <w:p w14:paraId="7C9BBBF9" w14:textId="7654944E" w:rsidR="00E61A2D" w:rsidRDefault="00E61A2D" w:rsidP="00707FC8">
      <w:pPr>
        <w:jc w:val="both"/>
        <w:rPr>
          <w:rFonts w:ascii="Arial" w:hAnsi="Arial" w:cs="Arial"/>
          <w:color w:val="7B7B7B" w:themeColor="accent3" w:themeShade="BF"/>
          <w:sz w:val="22"/>
          <w:szCs w:val="22"/>
          <w:lang w:val="en-GB"/>
        </w:rPr>
      </w:pPr>
    </w:p>
    <w:p w14:paraId="25CA72BE" w14:textId="73D97665" w:rsidR="00E61A2D" w:rsidRDefault="00E61A2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are the tests for the recognition of a foreign </w:t>
      </w:r>
      <w:r w:rsidR="00395C62">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 xml:space="preserve"> </w:t>
      </w:r>
    </w:p>
    <w:p w14:paraId="0BE6B414" w14:textId="77777777" w:rsidR="00E61A2D" w:rsidRDefault="00E61A2D" w:rsidP="00707FC8">
      <w:pPr>
        <w:jc w:val="both"/>
        <w:rPr>
          <w:rFonts w:ascii="Arial" w:hAnsi="Arial" w:cs="Arial"/>
          <w:color w:val="7B7B7B" w:themeColor="accent3" w:themeShade="BF"/>
          <w:sz w:val="22"/>
          <w:szCs w:val="22"/>
          <w:lang w:val="en-GB"/>
        </w:rPr>
      </w:pPr>
    </w:p>
    <w:p w14:paraId="45D6BE47" w14:textId="40EB9C9B" w:rsidR="00E61A2D" w:rsidRDefault="00E61A2D" w:rsidP="00E61A2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a proceeding (including an interim proceeding);</w:t>
      </w:r>
    </w:p>
    <w:p w14:paraId="12CFB2BC" w14:textId="01F515BB" w:rsidR="00E61A2D" w:rsidRPr="00E61A2D" w:rsidRDefault="00E61A2D" w:rsidP="002F5FA6">
      <w:pPr>
        <w:spacing w:before="100" w:beforeAutospacing="1" w:after="100" w:afterAutospacing="1"/>
        <w:ind w:left="4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fact,</w:t>
      </w:r>
      <w:r w:rsidRPr="00E61A2D">
        <w:rPr>
          <w:rFonts w:ascii="Arial" w:hAnsi="Arial" w:cs="Arial"/>
          <w:color w:val="000000"/>
          <w:sz w:val="22"/>
          <w:szCs w:val="22"/>
          <w:lang w:val="en-GB" w:eastAsia="en-GB"/>
        </w:rPr>
        <w:t xml:space="preserve"> </w:t>
      </w:r>
      <w:r w:rsidR="002F5FA6" w:rsidRPr="002F5FA6">
        <w:rPr>
          <w:rFonts w:ascii="Arial" w:hAnsi="Arial" w:cs="Arial"/>
          <w:color w:val="7B7B7B" w:themeColor="accent3" w:themeShade="BF"/>
          <w:sz w:val="22"/>
          <w:szCs w:val="22"/>
          <w:lang w:val="en-GB"/>
        </w:rPr>
        <w:t>The DGF has the power to act in a bank’s interim or provisional administrati</w:t>
      </w:r>
      <w:r w:rsidR="002F5FA6">
        <w:rPr>
          <w:rFonts w:ascii="Arial" w:hAnsi="Arial" w:cs="Arial"/>
          <w:color w:val="7B7B7B" w:themeColor="accent3" w:themeShade="BF"/>
          <w:sz w:val="22"/>
          <w:szCs w:val="22"/>
          <w:lang w:val="en-GB"/>
        </w:rPr>
        <w:t>on and its ultimate liquidation, thus it is</w:t>
      </w:r>
      <w:r>
        <w:rPr>
          <w:rFonts w:ascii="Arial" w:hAnsi="Arial" w:cs="Arial"/>
          <w:color w:val="7B7B7B" w:themeColor="accent3" w:themeShade="BF"/>
          <w:sz w:val="22"/>
          <w:szCs w:val="22"/>
          <w:lang w:val="en-GB"/>
        </w:rPr>
        <w:t xml:space="preserve"> proved that it is a</w:t>
      </w:r>
      <w:r w:rsidR="002F5FA6">
        <w:rPr>
          <w:rFonts w:ascii="Arial" w:hAnsi="Arial" w:cs="Arial"/>
          <w:color w:val="7B7B7B" w:themeColor="accent3" w:themeShade="BF"/>
          <w:sz w:val="22"/>
          <w:szCs w:val="22"/>
          <w:lang w:val="en-GB"/>
        </w:rPr>
        <w:t>n interim</w:t>
      </w:r>
      <w:r>
        <w:rPr>
          <w:rFonts w:ascii="Arial" w:hAnsi="Arial" w:cs="Arial"/>
          <w:color w:val="7B7B7B" w:themeColor="accent3" w:themeShade="BF"/>
          <w:sz w:val="22"/>
          <w:szCs w:val="22"/>
          <w:lang w:val="en-GB"/>
        </w:rPr>
        <w:t xml:space="preserve"> proceeding.</w:t>
      </w:r>
      <w:r w:rsidRPr="00E61A2D">
        <w:rPr>
          <w:rFonts w:ascii="Arial" w:hAnsi="Arial" w:cs="Arial"/>
          <w:color w:val="7B7B7B" w:themeColor="accent3" w:themeShade="BF"/>
          <w:sz w:val="22"/>
          <w:szCs w:val="22"/>
          <w:lang w:val="en-GB"/>
        </w:rPr>
        <w:t xml:space="preserve"> </w:t>
      </w:r>
    </w:p>
    <w:p w14:paraId="5871D458" w14:textId="2493D6A1" w:rsidR="00E61A2D" w:rsidRDefault="00E61A2D" w:rsidP="00E61A2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either judicial or administrative;</w:t>
      </w:r>
    </w:p>
    <w:p w14:paraId="569DA033" w14:textId="77777777" w:rsidR="00C17E44" w:rsidRDefault="00C17E44" w:rsidP="00C17E44">
      <w:pPr>
        <w:pStyle w:val="ListParagraph"/>
        <w:ind w:left="420"/>
        <w:jc w:val="both"/>
        <w:rPr>
          <w:rFonts w:ascii="Arial" w:hAnsi="Arial" w:cs="Arial"/>
          <w:color w:val="7B7B7B" w:themeColor="accent3" w:themeShade="BF"/>
          <w:sz w:val="22"/>
          <w:szCs w:val="22"/>
          <w:lang w:val="en-GB"/>
        </w:rPr>
      </w:pPr>
    </w:p>
    <w:p w14:paraId="32BA11AD" w14:textId="36B01D6F" w:rsidR="00E61A2D" w:rsidRPr="00E61A2D" w:rsidRDefault="00E61A2D" w:rsidP="00E61A2D">
      <w:pPr>
        <w:pStyle w:val="ListParagraph"/>
        <w:ind w:left="40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facts, the proceedings were issued in the High Court of England and Wales. Thus it is proved that the proceeding is judicial.</w:t>
      </w:r>
    </w:p>
    <w:p w14:paraId="7B0F066C" w14:textId="77777777" w:rsidR="00E61A2D" w:rsidRDefault="00E61A2D" w:rsidP="002F5FA6">
      <w:pPr>
        <w:pStyle w:val="ListParagraph"/>
        <w:ind w:left="420"/>
        <w:jc w:val="both"/>
        <w:rPr>
          <w:rFonts w:ascii="Arial" w:hAnsi="Arial" w:cs="Arial"/>
          <w:color w:val="7B7B7B" w:themeColor="accent3" w:themeShade="BF"/>
          <w:sz w:val="22"/>
          <w:szCs w:val="22"/>
          <w:lang w:val="en-GB"/>
        </w:rPr>
      </w:pPr>
    </w:p>
    <w:p w14:paraId="71DAA5ED" w14:textId="2B274995" w:rsidR="00E61A2D" w:rsidRDefault="00E61A2D" w:rsidP="00E61A2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collective in nature</w:t>
      </w:r>
      <w:r w:rsidR="002F5FA6">
        <w:rPr>
          <w:rFonts w:ascii="Arial" w:hAnsi="Arial" w:cs="Arial"/>
          <w:color w:val="7B7B7B" w:themeColor="accent3" w:themeShade="BF"/>
          <w:sz w:val="22"/>
          <w:szCs w:val="22"/>
          <w:lang w:val="en-GB"/>
        </w:rPr>
        <w:t>;</w:t>
      </w:r>
    </w:p>
    <w:p w14:paraId="1D3E90BA" w14:textId="63CA768D" w:rsidR="00C17E44" w:rsidRPr="00C17E44" w:rsidRDefault="00395C62" w:rsidP="00C17E44">
      <w:pPr>
        <w:ind w:left="4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the facts given, all the assets and liabilities of the debtor are dealt with in the proceeding. </w:t>
      </w:r>
      <w:r w:rsidR="00914DB4">
        <w:rPr>
          <w:rFonts w:ascii="Arial" w:hAnsi="Arial" w:cs="Arial"/>
          <w:color w:val="7B7B7B" w:themeColor="accent3" w:themeShade="BF"/>
          <w:sz w:val="22"/>
          <w:szCs w:val="22"/>
          <w:lang w:val="en-GB"/>
        </w:rPr>
        <w:t xml:space="preserve">It is related to the debtor and its own creditors. </w:t>
      </w:r>
      <w:r>
        <w:rPr>
          <w:rFonts w:ascii="Arial" w:hAnsi="Arial" w:cs="Arial"/>
          <w:color w:val="7B7B7B" w:themeColor="accent3" w:themeShade="BF"/>
          <w:sz w:val="22"/>
          <w:szCs w:val="22"/>
          <w:lang w:val="en-GB"/>
        </w:rPr>
        <w:t>So it is collective in nature.</w:t>
      </w:r>
    </w:p>
    <w:p w14:paraId="6B27E8F9" w14:textId="77777777" w:rsidR="002F5FA6" w:rsidRDefault="002F5FA6" w:rsidP="002F5FA6">
      <w:pPr>
        <w:pStyle w:val="ListParagraph"/>
        <w:ind w:left="420"/>
        <w:jc w:val="both"/>
        <w:rPr>
          <w:rFonts w:ascii="Arial" w:hAnsi="Arial" w:cs="Arial"/>
          <w:color w:val="7B7B7B" w:themeColor="accent3" w:themeShade="BF"/>
          <w:sz w:val="22"/>
          <w:szCs w:val="22"/>
          <w:lang w:val="en-GB"/>
        </w:rPr>
      </w:pPr>
    </w:p>
    <w:p w14:paraId="46B74909" w14:textId="30FEEF96" w:rsidR="00E61A2D" w:rsidRDefault="00E61A2D" w:rsidP="00E61A2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in a foreign state</w:t>
      </w:r>
    </w:p>
    <w:p w14:paraId="3F3A271B" w14:textId="53FB9DEB" w:rsidR="00395C62" w:rsidRDefault="00395C62" w:rsidP="00395C62">
      <w:pPr>
        <w:pStyle w:val="ListParagraph"/>
        <w:ind w:left="4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facts, it is clear that the proceedings were issued in the High Court of England and Wales.</w:t>
      </w:r>
    </w:p>
    <w:p w14:paraId="76E62F0A" w14:textId="77777777" w:rsidR="00395C62" w:rsidRDefault="00395C62" w:rsidP="00395C62">
      <w:pPr>
        <w:pStyle w:val="ListParagraph"/>
        <w:ind w:left="420"/>
        <w:jc w:val="both"/>
        <w:rPr>
          <w:rFonts w:ascii="Arial" w:hAnsi="Arial" w:cs="Arial"/>
          <w:color w:val="7B7B7B" w:themeColor="accent3" w:themeShade="BF"/>
          <w:sz w:val="22"/>
          <w:szCs w:val="22"/>
          <w:lang w:val="en-GB"/>
        </w:rPr>
      </w:pPr>
    </w:p>
    <w:p w14:paraId="12E31B0A" w14:textId="10819333" w:rsidR="00E61A2D" w:rsidRDefault="00E61A2D" w:rsidP="00E61A2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authorised or conducted under a law relating to insolvency</w:t>
      </w:r>
      <w:r w:rsidR="00395C62">
        <w:rPr>
          <w:rFonts w:ascii="Arial" w:hAnsi="Arial" w:cs="Arial"/>
          <w:color w:val="7B7B7B" w:themeColor="accent3" w:themeShade="BF"/>
          <w:sz w:val="22"/>
          <w:szCs w:val="22"/>
          <w:lang w:val="en-GB"/>
        </w:rPr>
        <w:t>.</w:t>
      </w:r>
    </w:p>
    <w:p w14:paraId="2824FB5B" w14:textId="77777777" w:rsidR="00395C62" w:rsidRDefault="00395C62" w:rsidP="00395C62">
      <w:pPr>
        <w:pStyle w:val="ListParagraph"/>
        <w:ind w:left="4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information given, it is clear that the debtor is in severe financial stress. Insolvency is one of the grounds on which the proceeding could be commenced so it is justified that it is authorised and conducted under a law relating to insolvency.</w:t>
      </w:r>
    </w:p>
    <w:p w14:paraId="55F8B470" w14:textId="6BB2098B" w:rsidR="00395C62" w:rsidRDefault="00395C62" w:rsidP="00395C62">
      <w:pPr>
        <w:pStyle w:val="ListParagraph"/>
        <w:ind w:left="4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F32BC57" w14:textId="78BAEB3F" w:rsidR="00E61A2D" w:rsidRDefault="00E61A2D" w:rsidP="00E61A2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the assets and affairs of the debtor are subject to control or supervision by a foreign court and</w:t>
      </w:r>
    </w:p>
    <w:p w14:paraId="35DFD915" w14:textId="51152597" w:rsidR="00914DB4" w:rsidRDefault="00914DB4" w:rsidP="00914DB4">
      <w:pPr>
        <w:pStyle w:val="ListParagraph"/>
        <w:ind w:left="4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Here in this case, the assets and affairs of the debtor are in supervision of the high court. </w:t>
      </w:r>
    </w:p>
    <w:p w14:paraId="561C320B" w14:textId="77777777" w:rsidR="00395C62" w:rsidRDefault="00395C62" w:rsidP="00395C62">
      <w:pPr>
        <w:pStyle w:val="ListParagraph"/>
        <w:ind w:left="420"/>
        <w:jc w:val="both"/>
        <w:rPr>
          <w:rFonts w:ascii="Arial" w:hAnsi="Arial" w:cs="Arial"/>
          <w:color w:val="7B7B7B" w:themeColor="accent3" w:themeShade="BF"/>
          <w:sz w:val="22"/>
          <w:szCs w:val="22"/>
          <w:lang w:val="en-GB"/>
        </w:rPr>
      </w:pPr>
    </w:p>
    <w:p w14:paraId="504D8D41" w14:textId="221B6D32" w:rsidR="00E61A2D" w:rsidRDefault="00E61A2D" w:rsidP="00E61A2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Which proceeding is for the purpose of reorganisation or liquidation</w:t>
      </w:r>
    </w:p>
    <w:p w14:paraId="1138DE16" w14:textId="07F40192" w:rsidR="00914DB4" w:rsidRDefault="00914DB4" w:rsidP="00914DB4">
      <w:pPr>
        <w:ind w:left="4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information given, it is clear the debtor has gone into liquidation and hence the proceeding is for the purpose of reorganisation or liquidation.</w:t>
      </w:r>
    </w:p>
    <w:p w14:paraId="36ECFD34" w14:textId="7F28CEA0" w:rsidR="00914DB4" w:rsidRDefault="00914DB4" w:rsidP="00914DB4">
      <w:pPr>
        <w:ind w:left="420"/>
        <w:rPr>
          <w:rFonts w:ascii="Arial" w:hAnsi="Arial" w:cs="Arial"/>
          <w:color w:val="7B7B7B" w:themeColor="accent3" w:themeShade="BF"/>
          <w:sz w:val="22"/>
          <w:szCs w:val="22"/>
          <w:lang w:val="en-GB"/>
        </w:rPr>
      </w:pPr>
    </w:p>
    <w:p w14:paraId="5B8BDE43" w14:textId="351F0ACD" w:rsidR="00914DB4" w:rsidRDefault="00914DB4" w:rsidP="00914DB4">
      <w:pPr>
        <w:ind w:left="4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it passes all the tests required for the recognition of a foreign proceeding.</w:t>
      </w:r>
    </w:p>
    <w:p w14:paraId="02EE3CDC" w14:textId="06309267" w:rsidR="00914DB4" w:rsidRDefault="00914DB4" w:rsidP="00914DB4">
      <w:pPr>
        <w:ind w:left="420"/>
        <w:rPr>
          <w:rFonts w:ascii="Arial" w:hAnsi="Arial" w:cs="Arial"/>
          <w:color w:val="7B7B7B" w:themeColor="accent3" w:themeShade="BF"/>
          <w:sz w:val="22"/>
          <w:szCs w:val="22"/>
          <w:lang w:val="en-GB"/>
        </w:rPr>
      </w:pPr>
    </w:p>
    <w:p w14:paraId="106D31C4" w14:textId="77777777" w:rsidR="00914DB4" w:rsidRPr="00E61A2D" w:rsidRDefault="00914DB4" w:rsidP="00914DB4">
      <w:pPr>
        <w:ind w:left="420"/>
        <w:rPr>
          <w:rFonts w:ascii="Arial" w:hAnsi="Arial" w:cs="Arial"/>
          <w:color w:val="7B7B7B" w:themeColor="accent3" w:themeShade="BF"/>
          <w:sz w:val="22"/>
          <w:szCs w:val="22"/>
          <w:lang w:val="en-GB"/>
        </w:rPr>
      </w:pPr>
    </w:p>
    <w:p w14:paraId="65B337E7" w14:textId="77777777" w:rsidR="00914DB4" w:rsidRDefault="00914DB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4.1.2</w:t>
      </w:r>
    </w:p>
    <w:p w14:paraId="75C4F4AA" w14:textId="423D1864" w:rsidR="00914DB4" w:rsidRDefault="00914DB4" w:rsidP="00707FC8">
      <w:pPr>
        <w:jc w:val="both"/>
        <w:rPr>
          <w:rFonts w:ascii="Arial" w:hAnsi="Arial" w:cs="Arial"/>
          <w:color w:val="7B7B7B" w:themeColor="accent3" w:themeShade="BF"/>
          <w:sz w:val="22"/>
          <w:szCs w:val="22"/>
          <w:lang w:val="en-GB"/>
        </w:rPr>
      </w:pPr>
    </w:p>
    <w:p w14:paraId="3CDD851A" w14:textId="408AD638" w:rsidR="00914DB4" w:rsidRDefault="00914DB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representative” has following elements:</w:t>
      </w:r>
    </w:p>
    <w:p w14:paraId="49A99769" w14:textId="4D1E836E" w:rsidR="00914DB4" w:rsidRDefault="00914DB4" w:rsidP="00707FC8">
      <w:pPr>
        <w:jc w:val="both"/>
        <w:rPr>
          <w:rFonts w:ascii="Arial" w:hAnsi="Arial" w:cs="Arial"/>
          <w:color w:val="7B7B7B" w:themeColor="accent3" w:themeShade="BF"/>
          <w:sz w:val="22"/>
          <w:szCs w:val="22"/>
          <w:lang w:val="en-GB"/>
        </w:rPr>
      </w:pPr>
    </w:p>
    <w:p w14:paraId="26A4EA67" w14:textId="2E3C7817" w:rsidR="00914DB4" w:rsidRDefault="00914DB4" w:rsidP="00914DB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person or body, including one appointed on an interim basis</w:t>
      </w:r>
    </w:p>
    <w:p w14:paraId="60D7D2A9" w14:textId="240D122B" w:rsidR="00914DB4" w:rsidRDefault="00914DB4" w:rsidP="00914DB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Authorised in a foreign proceeding</w:t>
      </w:r>
    </w:p>
    <w:p w14:paraId="247EB146" w14:textId="1877F3FE" w:rsidR="00914DB4" w:rsidRDefault="00914DB4" w:rsidP="00914DB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administer the reorganisation or liquidation of the debtor’s assets or to act as representative of the foreign proceeding.</w:t>
      </w:r>
    </w:p>
    <w:p w14:paraId="4CD81BE8" w14:textId="1C0D2AD2" w:rsidR="00941379" w:rsidRDefault="00941379" w:rsidP="00941379">
      <w:pPr>
        <w:jc w:val="both"/>
        <w:rPr>
          <w:rFonts w:ascii="Arial" w:hAnsi="Arial" w:cs="Arial"/>
          <w:color w:val="7B7B7B" w:themeColor="accent3" w:themeShade="BF"/>
          <w:sz w:val="22"/>
          <w:szCs w:val="22"/>
          <w:lang w:val="en-GB"/>
        </w:rPr>
      </w:pPr>
    </w:p>
    <w:p w14:paraId="6E6B9AA4" w14:textId="25E4E105" w:rsidR="00387106" w:rsidRPr="009B5832" w:rsidRDefault="00941379" w:rsidP="00707FC8">
      <w:pPr>
        <w:jc w:val="both"/>
        <w:rPr>
          <w:rFonts w:ascii="Arial" w:hAnsi="Arial" w:cs="Arial"/>
          <w:sz w:val="22"/>
          <w:szCs w:val="22"/>
          <w:lang w:val="en-GB"/>
        </w:rPr>
      </w:pPr>
      <w:r>
        <w:rPr>
          <w:rFonts w:ascii="Arial" w:hAnsi="Arial" w:cs="Arial"/>
          <w:color w:val="7B7B7B" w:themeColor="accent3" w:themeShade="BF"/>
          <w:sz w:val="22"/>
          <w:szCs w:val="22"/>
          <w:lang w:val="en-GB"/>
        </w:rPr>
        <w:t>As per the facts given, the administrator is appointed on an interim basis and is authorised in a foreign proceeding</w:t>
      </w:r>
      <w:bookmarkStart w:id="30" w:name="_GoBack"/>
      <w:bookmarkEnd w:id="30"/>
      <w:r w:rsidR="00E53096">
        <w:rPr>
          <w:rFonts w:ascii="Arial" w:hAnsi="Arial" w:cs="Arial"/>
          <w:color w:val="7B7B7B" w:themeColor="accent3" w:themeShade="BF"/>
          <w:sz w:val="22"/>
          <w:szCs w:val="22"/>
          <w:lang w:val="en-GB"/>
        </w:rPr>
        <w:t>.]</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2FA5E" w14:textId="77777777" w:rsidR="00C0016B" w:rsidRDefault="00C0016B" w:rsidP="00241B44">
      <w:r>
        <w:separator/>
      </w:r>
    </w:p>
  </w:endnote>
  <w:endnote w:type="continuationSeparator" w:id="0">
    <w:p w14:paraId="29125A0D" w14:textId="77777777" w:rsidR="00C0016B" w:rsidRDefault="00C0016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A6CC9F8"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E53096">
          <w:rPr>
            <w:rStyle w:val="PageNumber"/>
            <w:rFonts w:ascii="Arial" w:hAnsi="Arial" w:cs="Arial"/>
            <w:noProof/>
            <w:sz w:val="18"/>
            <w:szCs w:val="18"/>
          </w:rPr>
          <w:t>14</w:t>
        </w:r>
        <w:r w:rsidR="0036760B" w:rsidRPr="00784B4B">
          <w:rPr>
            <w:rStyle w:val="PageNumber"/>
            <w:rFonts w:ascii="Arial" w:hAnsi="Arial" w:cs="Arial"/>
            <w:sz w:val="18"/>
            <w:szCs w:val="18"/>
          </w:rPr>
          <w:fldChar w:fldCharType="end"/>
        </w:r>
      </w:p>
    </w:sdtContent>
  </w:sdt>
  <w:p w14:paraId="7E7C1A9B" w14:textId="2AB2B0B3" w:rsidR="0036760B" w:rsidRPr="00784B4B" w:rsidRDefault="00914CC9" w:rsidP="0036760B">
    <w:pPr>
      <w:pStyle w:val="Footer"/>
      <w:ind w:right="360" w:firstLine="360"/>
      <w:rPr>
        <w:rFonts w:ascii="Arial" w:hAnsi="Arial" w:cs="Arial"/>
        <w:sz w:val="18"/>
        <w:szCs w:val="18"/>
      </w:rPr>
    </w:pPr>
    <w:r w:rsidRPr="00914CC9">
      <w:rPr>
        <w:rFonts w:ascii="Arial" w:hAnsi="Arial" w:cs="Arial"/>
        <w:sz w:val="18"/>
        <w:szCs w:val="18"/>
      </w:rPr>
      <w:t>202122-575</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6F7DF" w14:textId="77777777" w:rsidR="00C0016B" w:rsidRDefault="00C0016B" w:rsidP="00241B44">
      <w:r>
        <w:separator/>
      </w:r>
    </w:p>
  </w:footnote>
  <w:footnote w:type="continuationSeparator" w:id="0">
    <w:p w14:paraId="3035B1FB" w14:textId="77777777" w:rsidR="00C0016B" w:rsidRDefault="00C0016B"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209F3"/>
    <w:multiLevelType w:val="hybridMultilevel"/>
    <w:tmpl w:val="2512A0E2"/>
    <w:lvl w:ilvl="0" w:tplc="32DEC0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835106"/>
    <w:multiLevelType w:val="hybridMultilevel"/>
    <w:tmpl w:val="0442B166"/>
    <w:lvl w:ilvl="0" w:tplc="EA6841C2">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794C04"/>
    <w:multiLevelType w:val="hybridMultilevel"/>
    <w:tmpl w:val="B00AFEAA"/>
    <w:lvl w:ilvl="0" w:tplc="E2FEC4B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37252"/>
    <w:multiLevelType w:val="hybridMultilevel"/>
    <w:tmpl w:val="06625F78"/>
    <w:lvl w:ilvl="0" w:tplc="67A0CB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F6813"/>
    <w:multiLevelType w:val="hybridMultilevel"/>
    <w:tmpl w:val="CB96EECA"/>
    <w:lvl w:ilvl="0" w:tplc="DDC6A722">
      <w:start w:val="1"/>
      <w:numFmt w:val="lowerLetter"/>
      <w:lvlText w:val="(%1)"/>
      <w:lvlJc w:val="left"/>
      <w:pPr>
        <w:ind w:left="9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
  </w:num>
  <w:num w:numId="3">
    <w:abstractNumId w:val="30"/>
  </w:num>
  <w:num w:numId="4">
    <w:abstractNumId w:val="39"/>
  </w:num>
  <w:num w:numId="5">
    <w:abstractNumId w:val="8"/>
  </w:num>
  <w:num w:numId="6">
    <w:abstractNumId w:val="37"/>
  </w:num>
  <w:num w:numId="7">
    <w:abstractNumId w:val="15"/>
  </w:num>
  <w:num w:numId="8">
    <w:abstractNumId w:val="32"/>
  </w:num>
  <w:num w:numId="9">
    <w:abstractNumId w:val="19"/>
  </w:num>
  <w:num w:numId="10">
    <w:abstractNumId w:val="11"/>
  </w:num>
  <w:num w:numId="11">
    <w:abstractNumId w:val="22"/>
  </w:num>
  <w:num w:numId="12">
    <w:abstractNumId w:val="36"/>
  </w:num>
  <w:num w:numId="13">
    <w:abstractNumId w:val="6"/>
  </w:num>
  <w:num w:numId="14">
    <w:abstractNumId w:val="28"/>
  </w:num>
  <w:num w:numId="15">
    <w:abstractNumId w:val="12"/>
  </w:num>
  <w:num w:numId="16">
    <w:abstractNumId w:val="13"/>
  </w:num>
  <w:num w:numId="17">
    <w:abstractNumId w:val="24"/>
  </w:num>
  <w:num w:numId="18">
    <w:abstractNumId w:val="7"/>
  </w:num>
  <w:num w:numId="19">
    <w:abstractNumId w:val="23"/>
  </w:num>
  <w:num w:numId="20">
    <w:abstractNumId w:val="42"/>
  </w:num>
  <w:num w:numId="21">
    <w:abstractNumId w:val="14"/>
  </w:num>
  <w:num w:numId="22">
    <w:abstractNumId w:val="35"/>
  </w:num>
  <w:num w:numId="23">
    <w:abstractNumId w:val="40"/>
  </w:num>
  <w:num w:numId="24">
    <w:abstractNumId w:val="34"/>
  </w:num>
  <w:num w:numId="25">
    <w:abstractNumId w:val="27"/>
  </w:num>
  <w:num w:numId="26">
    <w:abstractNumId w:val="41"/>
  </w:num>
  <w:num w:numId="27">
    <w:abstractNumId w:val="38"/>
  </w:num>
  <w:num w:numId="28">
    <w:abstractNumId w:val="9"/>
  </w:num>
  <w:num w:numId="29">
    <w:abstractNumId w:val="10"/>
  </w:num>
  <w:num w:numId="30">
    <w:abstractNumId w:val="25"/>
  </w:num>
  <w:num w:numId="31">
    <w:abstractNumId w:val="4"/>
  </w:num>
  <w:num w:numId="32">
    <w:abstractNumId w:val="26"/>
  </w:num>
  <w:num w:numId="33">
    <w:abstractNumId w:val="0"/>
  </w:num>
  <w:num w:numId="34">
    <w:abstractNumId w:val="31"/>
  </w:num>
  <w:num w:numId="35">
    <w:abstractNumId w:val="18"/>
  </w:num>
  <w:num w:numId="36">
    <w:abstractNumId w:val="33"/>
  </w:num>
  <w:num w:numId="37">
    <w:abstractNumId w:val="21"/>
  </w:num>
  <w:num w:numId="38">
    <w:abstractNumId w:val="29"/>
  </w:num>
  <w:num w:numId="39">
    <w:abstractNumId w:val="5"/>
  </w:num>
  <w:num w:numId="40">
    <w:abstractNumId w:val="16"/>
  </w:num>
  <w:num w:numId="41">
    <w:abstractNumId w:val="3"/>
  </w:num>
  <w:num w:numId="42">
    <w:abstractNumId w:val="20"/>
  </w:num>
  <w:num w:numId="43">
    <w:abstractNumId w:val="17"/>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33E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439D"/>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E40EA"/>
    <w:rsid w:val="002F1956"/>
    <w:rsid w:val="002F3440"/>
    <w:rsid w:val="002F4EC0"/>
    <w:rsid w:val="002F5FA6"/>
    <w:rsid w:val="002F71BE"/>
    <w:rsid w:val="002F75A3"/>
    <w:rsid w:val="00303C2F"/>
    <w:rsid w:val="00306C94"/>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241"/>
    <w:rsid w:val="00341AA6"/>
    <w:rsid w:val="00342459"/>
    <w:rsid w:val="003427B9"/>
    <w:rsid w:val="00346B16"/>
    <w:rsid w:val="00356ACD"/>
    <w:rsid w:val="00361A0A"/>
    <w:rsid w:val="0036565C"/>
    <w:rsid w:val="0036625E"/>
    <w:rsid w:val="0036760B"/>
    <w:rsid w:val="0037465A"/>
    <w:rsid w:val="003755F7"/>
    <w:rsid w:val="0037646D"/>
    <w:rsid w:val="00380BAB"/>
    <w:rsid w:val="00382C98"/>
    <w:rsid w:val="0038533C"/>
    <w:rsid w:val="00386568"/>
    <w:rsid w:val="00387106"/>
    <w:rsid w:val="00391F3E"/>
    <w:rsid w:val="003948D5"/>
    <w:rsid w:val="00395C62"/>
    <w:rsid w:val="00396821"/>
    <w:rsid w:val="00397D3A"/>
    <w:rsid w:val="003A051E"/>
    <w:rsid w:val="003A1038"/>
    <w:rsid w:val="003A2FEE"/>
    <w:rsid w:val="003B1310"/>
    <w:rsid w:val="003B170F"/>
    <w:rsid w:val="003B3C5F"/>
    <w:rsid w:val="003C1B43"/>
    <w:rsid w:val="003C4471"/>
    <w:rsid w:val="003C5A0E"/>
    <w:rsid w:val="003C66B1"/>
    <w:rsid w:val="003D0A6D"/>
    <w:rsid w:val="003D77B7"/>
    <w:rsid w:val="003E0B16"/>
    <w:rsid w:val="003E573C"/>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64BA4"/>
    <w:rsid w:val="0047025B"/>
    <w:rsid w:val="00477EE0"/>
    <w:rsid w:val="00491675"/>
    <w:rsid w:val="00493855"/>
    <w:rsid w:val="0049508F"/>
    <w:rsid w:val="004A171E"/>
    <w:rsid w:val="004A57DD"/>
    <w:rsid w:val="004A7B51"/>
    <w:rsid w:val="004A7D71"/>
    <w:rsid w:val="004A7EF3"/>
    <w:rsid w:val="004B11FD"/>
    <w:rsid w:val="004B23A2"/>
    <w:rsid w:val="004B73B9"/>
    <w:rsid w:val="004D1A5A"/>
    <w:rsid w:val="004D2FFF"/>
    <w:rsid w:val="004D3721"/>
    <w:rsid w:val="004D64F9"/>
    <w:rsid w:val="004E0549"/>
    <w:rsid w:val="004E2E92"/>
    <w:rsid w:val="004E30B0"/>
    <w:rsid w:val="004E622C"/>
    <w:rsid w:val="004F1F96"/>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58F9"/>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33F8"/>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55B"/>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95931"/>
    <w:rsid w:val="007B3AC7"/>
    <w:rsid w:val="007C1FCC"/>
    <w:rsid w:val="007C32A8"/>
    <w:rsid w:val="007C3FE5"/>
    <w:rsid w:val="007C6201"/>
    <w:rsid w:val="007C6988"/>
    <w:rsid w:val="007D19FC"/>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14CC9"/>
    <w:rsid w:val="00914DB4"/>
    <w:rsid w:val="009260A2"/>
    <w:rsid w:val="00941379"/>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194B"/>
    <w:rsid w:val="009E2AEB"/>
    <w:rsid w:val="009E2E27"/>
    <w:rsid w:val="009E4DE3"/>
    <w:rsid w:val="00A047EE"/>
    <w:rsid w:val="00A114EA"/>
    <w:rsid w:val="00A11A84"/>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21189"/>
    <w:rsid w:val="00B32DE4"/>
    <w:rsid w:val="00B33578"/>
    <w:rsid w:val="00B370C3"/>
    <w:rsid w:val="00B411AE"/>
    <w:rsid w:val="00B435C5"/>
    <w:rsid w:val="00B60190"/>
    <w:rsid w:val="00B61419"/>
    <w:rsid w:val="00B72F5F"/>
    <w:rsid w:val="00B736DF"/>
    <w:rsid w:val="00B74FBD"/>
    <w:rsid w:val="00B82586"/>
    <w:rsid w:val="00B829A3"/>
    <w:rsid w:val="00B86DB1"/>
    <w:rsid w:val="00B87869"/>
    <w:rsid w:val="00B9065C"/>
    <w:rsid w:val="00BA0E44"/>
    <w:rsid w:val="00BA2643"/>
    <w:rsid w:val="00BA47C5"/>
    <w:rsid w:val="00BB0F2B"/>
    <w:rsid w:val="00BB75C7"/>
    <w:rsid w:val="00BE1A50"/>
    <w:rsid w:val="00BF50F7"/>
    <w:rsid w:val="00C0016B"/>
    <w:rsid w:val="00C02F29"/>
    <w:rsid w:val="00C10C13"/>
    <w:rsid w:val="00C17111"/>
    <w:rsid w:val="00C17E44"/>
    <w:rsid w:val="00C20747"/>
    <w:rsid w:val="00C20AFE"/>
    <w:rsid w:val="00C22A25"/>
    <w:rsid w:val="00C23B79"/>
    <w:rsid w:val="00C33276"/>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26C"/>
    <w:rsid w:val="00C85F17"/>
    <w:rsid w:val="00C8712A"/>
    <w:rsid w:val="00C91324"/>
    <w:rsid w:val="00C91860"/>
    <w:rsid w:val="00C963D3"/>
    <w:rsid w:val="00CA6E0D"/>
    <w:rsid w:val="00CB2CBB"/>
    <w:rsid w:val="00CB3ECD"/>
    <w:rsid w:val="00CB7CAC"/>
    <w:rsid w:val="00CC0EA0"/>
    <w:rsid w:val="00CC5335"/>
    <w:rsid w:val="00CC5BA4"/>
    <w:rsid w:val="00CC70BB"/>
    <w:rsid w:val="00CD4998"/>
    <w:rsid w:val="00CE1035"/>
    <w:rsid w:val="00CF0CEC"/>
    <w:rsid w:val="00CF2819"/>
    <w:rsid w:val="00CF4F9D"/>
    <w:rsid w:val="00CF70DC"/>
    <w:rsid w:val="00D148DC"/>
    <w:rsid w:val="00D17FDC"/>
    <w:rsid w:val="00D312D0"/>
    <w:rsid w:val="00D327BA"/>
    <w:rsid w:val="00D43078"/>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2EB"/>
    <w:rsid w:val="00E31DF3"/>
    <w:rsid w:val="00E32814"/>
    <w:rsid w:val="00E33486"/>
    <w:rsid w:val="00E450A4"/>
    <w:rsid w:val="00E506BE"/>
    <w:rsid w:val="00E53096"/>
    <w:rsid w:val="00E55547"/>
    <w:rsid w:val="00E57410"/>
    <w:rsid w:val="00E617F8"/>
    <w:rsid w:val="00E61A2D"/>
    <w:rsid w:val="00E6302B"/>
    <w:rsid w:val="00E6452F"/>
    <w:rsid w:val="00E64619"/>
    <w:rsid w:val="00E64F45"/>
    <w:rsid w:val="00E6742D"/>
    <w:rsid w:val="00E71CB0"/>
    <w:rsid w:val="00E73529"/>
    <w:rsid w:val="00E77C3D"/>
    <w:rsid w:val="00E850FE"/>
    <w:rsid w:val="00E909F0"/>
    <w:rsid w:val="00E90D47"/>
    <w:rsid w:val="00E93993"/>
    <w:rsid w:val="00E93C86"/>
    <w:rsid w:val="00E9597C"/>
    <w:rsid w:val="00EA0913"/>
    <w:rsid w:val="00EA0A2F"/>
    <w:rsid w:val="00EB13FF"/>
    <w:rsid w:val="00EB146B"/>
    <w:rsid w:val="00EB45AC"/>
    <w:rsid w:val="00EC2AEA"/>
    <w:rsid w:val="00EC7B11"/>
    <w:rsid w:val="00EC7F95"/>
    <w:rsid w:val="00ED0BC4"/>
    <w:rsid w:val="00ED3771"/>
    <w:rsid w:val="00ED6A32"/>
    <w:rsid w:val="00EE05E1"/>
    <w:rsid w:val="00EE16D5"/>
    <w:rsid w:val="00EE4971"/>
    <w:rsid w:val="00EF090E"/>
    <w:rsid w:val="00F033DA"/>
    <w:rsid w:val="00F11AAB"/>
    <w:rsid w:val="00F13BA2"/>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297E9719-CC08-499B-8036-35973B2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F91A-A6D9-4309-94BA-A61165E6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15</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24</cp:revision>
  <cp:lastPrinted>2019-08-27T05:42:00Z</cp:lastPrinted>
  <dcterms:created xsi:type="dcterms:W3CDTF">2021-08-31T13:05:00Z</dcterms:created>
  <dcterms:modified xsi:type="dcterms:W3CDTF">2022-03-01T19:14:00Z</dcterms:modified>
</cp:coreProperties>
</file>