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0A0626" w:rsidRDefault="00AE5B6F" w:rsidP="00B04033">
      <w:pPr>
        <w:pStyle w:val="ListParagraph"/>
        <w:numPr>
          <w:ilvl w:val="0"/>
          <w:numId w:val="1"/>
        </w:numPr>
        <w:ind w:left="426"/>
        <w:jc w:val="both"/>
        <w:rPr>
          <w:rFonts w:ascii="Arial" w:hAnsi="Arial" w:cs="Arial"/>
          <w:sz w:val="22"/>
          <w:szCs w:val="22"/>
          <w:highlight w:val="yellow"/>
          <w:lang w:val="en-GB"/>
        </w:rPr>
      </w:pPr>
      <w:r w:rsidRPr="000A0626">
        <w:rPr>
          <w:rFonts w:ascii="Arial" w:hAnsi="Arial" w:cs="Arial"/>
          <w:sz w:val="22"/>
          <w:szCs w:val="22"/>
          <w:highlight w:val="yellow"/>
          <w:lang w:val="en-GB"/>
        </w:rPr>
        <w:t>w</w:t>
      </w:r>
      <w:r w:rsidR="00C91062" w:rsidRPr="000A0626">
        <w:rPr>
          <w:rFonts w:ascii="Arial" w:hAnsi="Arial" w:cs="Arial"/>
          <w:sz w:val="22"/>
          <w:szCs w:val="22"/>
          <w:highlight w:val="yellow"/>
          <w:lang w:val="en-GB"/>
        </w:rPr>
        <w:t>ithin 8 weeks of the commencement of the administration</w:t>
      </w:r>
      <w:r w:rsidR="00763348" w:rsidRPr="000A0626">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53FB991"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w:t>
      </w:r>
      <w:r w:rsidR="00E443D7" w:rsidRPr="000A0626">
        <w:rPr>
          <w:rFonts w:ascii="Arial" w:hAnsi="Arial" w:cs="Arial"/>
          <w:strike/>
          <w:color w:val="FF0000"/>
          <w:sz w:val="22"/>
          <w:szCs w:val="22"/>
          <w:lang w:val="en-GB"/>
        </w:rPr>
        <w:t>1A</w:t>
      </w:r>
      <w:r w:rsidR="00E443D7" w:rsidRPr="000A0626">
        <w:rPr>
          <w:rFonts w:ascii="Arial" w:hAnsi="Arial" w:cs="Arial"/>
          <w:color w:val="FF0000"/>
          <w:sz w:val="22"/>
          <w:szCs w:val="22"/>
          <w:lang w:val="en-GB"/>
        </w:rPr>
        <w:t xml:space="preserve"> </w:t>
      </w:r>
      <w:r w:rsidR="000A0626" w:rsidRPr="000A0626">
        <w:rPr>
          <w:rFonts w:ascii="Arial" w:hAnsi="Arial" w:cs="Arial"/>
          <w:color w:val="FF0000"/>
          <w:sz w:val="22"/>
          <w:szCs w:val="22"/>
          <w:lang w:val="en-GB"/>
        </w:rPr>
        <w:t xml:space="preserve">A1 </w:t>
      </w:r>
      <w:r w:rsidR="00E443D7">
        <w:rPr>
          <w:rFonts w:ascii="Arial" w:hAnsi="Arial" w:cs="Arial"/>
          <w:sz w:val="22"/>
          <w:szCs w:val="22"/>
          <w:lang w:val="en-GB"/>
        </w:rPr>
        <w:t>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0A0626" w:rsidRDefault="00E443D7" w:rsidP="00B04033">
      <w:pPr>
        <w:pStyle w:val="ListParagraph"/>
        <w:numPr>
          <w:ilvl w:val="0"/>
          <w:numId w:val="2"/>
        </w:numPr>
        <w:ind w:left="426"/>
        <w:jc w:val="both"/>
        <w:rPr>
          <w:rFonts w:ascii="Arial" w:hAnsi="Arial" w:cs="Arial"/>
          <w:sz w:val="22"/>
          <w:szCs w:val="22"/>
          <w:highlight w:val="yellow"/>
          <w:lang w:val="en-GB"/>
        </w:rPr>
      </w:pPr>
      <w:r w:rsidRPr="000A0626">
        <w:rPr>
          <w:rFonts w:ascii="Arial" w:hAnsi="Arial" w:cs="Arial"/>
          <w:sz w:val="22"/>
          <w:szCs w:val="22"/>
          <w:highlight w:val="yellow"/>
          <w:lang w:val="en-GB"/>
        </w:rPr>
        <w:t>One year</w:t>
      </w:r>
      <w:r w:rsidR="00763348" w:rsidRPr="000A0626">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0A0626" w:rsidRDefault="00AE5B6F" w:rsidP="00B04033">
      <w:pPr>
        <w:pStyle w:val="ListParagraph"/>
        <w:numPr>
          <w:ilvl w:val="0"/>
          <w:numId w:val="3"/>
        </w:numPr>
        <w:ind w:left="426"/>
        <w:jc w:val="both"/>
        <w:rPr>
          <w:rFonts w:ascii="Arial" w:hAnsi="Arial" w:cs="Arial"/>
          <w:sz w:val="22"/>
          <w:szCs w:val="22"/>
          <w:highlight w:val="yellow"/>
          <w:lang w:val="en-GB"/>
        </w:rPr>
      </w:pPr>
      <w:r w:rsidRPr="000A0626">
        <w:rPr>
          <w:rFonts w:ascii="Arial" w:hAnsi="Arial" w:cs="Arial"/>
          <w:sz w:val="22"/>
          <w:szCs w:val="22"/>
          <w:highlight w:val="yellow"/>
          <w:lang w:val="en-GB"/>
        </w:rPr>
        <w:t>T</w:t>
      </w:r>
      <w:r w:rsidR="008D1616" w:rsidRPr="000A0626">
        <w:rPr>
          <w:rFonts w:ascii="Arial" w:hAnsi="Arial" w:cs="Arial"/>
          <w:sz w:val="22"/>
          <w:szCs w:val="22"/>
          <w:highlight w:val="yellow"/>
          <w:lang w:val="en-GB"/>
        </w:rPr>
        <w:t>he company is, or is likely to become, unable to pay their debts, as defined under s</w:t>
      </w:r>
      <w:r w:rsidR="00E833F4" w:rsidRPr="000A0626">
        <w:rPr>
          <w:rFonts w:ascii="Arial" w:hAnsi="Arial" w:cs="Arial"/>
          <w:sz w:val="22"/>
          <w:szCs w:val="22"/>
          <w:highlight w:val="yellow"/>
          <w:lang w:val="en-GB"/>
        </w:rPr>
        <w:t>ection</w:t>
      </w:r>
      <w:r w:rsidR="008D1616" w:rsidRPr="000A0626">
        <w:rPr>
          <w:rFonts w:ascii="Arial" w:hAnsi="Arial" w:cs="Arial"/>
          <w:sz w:val="22"/>
          <w:szCs w:val="22"/>
          <w:highlight w:val="yellow"/>
          <w:lang w:val="en-GB"/>
        </w:rPr>
        <w:t xml:space="preserve"> 123 of the Insolvency Act 1986</w:t>
      </w:r>
      <w:r w:rsidR="00763348" w:rsidRPr="000A0626">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0A0626" w:rsidRDefault="00C91062" w:rsidP="00B04033">
      <w:pPr>
        <w:pStyle w:val="ListParagraph"/>
        <w:numPr>
          <w:ilvl w:val="0"/>
          <w:numId w:val="4"/>
        </w:numPr>
        <w:ind w:left="426"/>
        <w:jc w:val="both"/>
        <w:rPr>
          <w:rFonts w:ascii="Arial" w:hAnsi="Arial" w:cs="Arial"/>
          <w:sz w:val="22"/>
          <w:szCs w:val="22"/>
          <w:highlight w:val="yellow"/>
          <w:lang w:val="en-GB"/>
        </w:rPr>
      </w:pPr>
      <w:r w:rsidRPr="000A0626">
        <w:rPr>
          <w:rFonts w:ascii="Arial" w:hAnsi="Arial" w:cs="Arial"/>
          <w:sz w:val="22"/>
          <w:szCs w:val="22"/>
          <w:highlight w:val="yellow"/>
          <w:lang w:val="en-GB"/>
        </w:rPr>
        <w:t>The purchaser</w:t>
      </w:r>
      <w:r w:rsidR="00763348" w:rsidRPr="000A0626">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0A0626" w:rsidRDefault="00BA1CFD" w:rsidP="00B04033">
      <w:pPr>
        <w:pStyle w:val="ListParagraph"/>
        <w:numPr>
          <w:ilvl w:val="0"/>
          <w:numId w:val="5"/>
        </w:numPr>
        <w:ind w:left="426"/>
        <w:jc w:val="both"/>
        <w:rPr>
          <w:rFonts w:ascii="Arial" w:hAnsi="Arial" w:cs="Arial"/>
          <w:sz w:val="22"/>
          <w:szCs w:val="22"/>
          <w:highlight w:val="yellow"/>
          <w:lang w:val="en-GB"/>
        </w:rPr>
      </w:pPr>
      <w:r w:rsidRPr="000A0626">
        <w:rPr>
          <w:rFonts w:ascii="Arial" w:hAnsi="Arial" w:cs="Arial"/>
          <w:sz w:val="22"/>
          <w:szCs w:val="22"/>
          <w:highlight w:val="yellow"/>
          <w:lang w:val="en-GB"/>
        </w:rPr>
        <w:t>Administration</w:t>
      </w:r>
      <w:r w:rsidR="00763348" w:rsidRPr="000A0626">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4010F8" w:rsidRDefault="00BA1CFD" w:rsidP="00B04033">
      <w:pPr>
        <w:pStyle w:val="ListParagraph"/>
        <w:numPr>
          <w:ilvl w:val="0"/>
          <w:numId w:val="6"/>
        </w:numPr>
        <w:ind w:left="426"/>
        <w:jc w:val="both"/>
        <w:rPr>
          <w:rFonts w:ascii="Arial" w:hAnsi="Arial" w:cs="Arial"/>
          <w:sz w:val="22"/>
          <w:szCs w:val="22"/>
          <w:highlight w:val="yellow"/>
          <w:lang w:val="en-GB"/>
        </w:rPr>
      </w:pPr>
      <w:r w:rsidRPr="004010F8">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4010F8" w:rsidRDefault="00BA1CFD" w:rsidP="00B04033">
      <w:pPr>
        <w:pStyle w:val="ListParagraph"/>
        <w:numPr>
          <w:ilvl w:val="0"/>
          <w:numId w:val="7"/>
        </w:numPr>
        <w:ind w:left="426"/>
        <w:jc w:val="both"/>
        <w:rPr>
          <w:rFonts w:ascii="Arial" w:hAnsi="Arial" w:cs="Arial"/>
          <w:sz w:val="22"/>
          <w:szCs w:val="22"/>
          <w:highlight w:val="yellow"/>
          <w:lang w:val="en-GB"/>
        </w:rPr>
      </w:pPr>
      <w:r w:rsidRPr="004010F8">
        <w:rPr>
          <w:rFonts w:ascii="Arial" w:hAnsi="Arial" w:cs="Arial"/>
          <w:sz w:val="22"/>
          <w:szCs w:val="22"/>
          <w:highlight w:val="yellow"/>
          <w:lang w:val="en-GB"/>
        </w:rPr>
        <w:t>Breach of fiduciary duty</w:t>
      </w:r>
      <w:r w:rsidR="00763348" w:rsidRPr="004010F8">
        <w:rPr>
          <w:rFonts w:ascii="Arial" w:hAnsi="Arial" w:cs="Arial"/>
          <w:sz w:val="22"/>
          <w:szCs w:val="22"/>
          <w:highlight w:val="yellow"/>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Pr="004010F8" w:rsidRDefault="00876F56" w:rsidP="00B04033">
      <w:pPr>
        <w:pStyle w:val="ListParagraph"/>
        <w:numPr>
          <w:ilvl w:val="0"/>
          <w:numId w:val="8"/>
        </w:numPr>
        <w:ind w:left="426"/>
        <w:jc w:val="both"/>
        <w:rPr>
          <w:rFonts w:ascii="Arial" w:hAnsi="Arial" w:cs="Arial"/>
          <w:sz w:val="22"/>
          <w:szCs w:val="22"/>
          <w:highlight w:val="yellow"/>
          <w:lang w:val="en-GB"/>
        </w:rPr>
      </w:pPr>
      <w:r w:rsidRPr="004010F8">
        <w:rPr>
          <w:rFonts w:ascii="Arial" w:hAnsi="Arial" w:cs="Arial"/>
          <w:sz w:val="22"/>
          <w:szCs w:val="22"/>
          <w:highlight w:val="yellow"/>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FF5098" w:rsidRDefault="00876F56" w:rsidP="00B04033">
      <w:pPr>
        <w:pStyle w:val="ListParagraph"/>
        <w:numPr>
          <w:ilvl w:val="0"/>
          <w:numId w:val="8"/>
        </w:numPr>
        <w:ind w:left="426"/>
        <w:jc w:val="both"/>
        <w:rPr>
          <w:rFonts w:ascii="Arial" w:hAnsi="Arial" w:cs="Arial"/>
          <w:sz w:val="22"/>
          <w:szCs w:val="22"/>
          <w:lang w:val="en-GB"/>
        </w:rPr>
      </w:pPr>
      <w:r w:rsidRPr="00FF5098">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405F6A" w:rsidRDefault="00E833F4" w:rsidP="00B04033">
      <w:pPr>
        <w:pStyle w:val="ListParagraph"/>
        <w:numPr>
          <w:ilvl w:val="0"/>
          <w:numId w:val="9"/>
        </w:numPr>
        <w:ind w:left="426"/>
        <w:jc w:val="both"/>
        <w:rPr>
          <w:rFonts w:ascii="Arial" w:hAnsi="Arial" w:cs="Arial"/>
          <w:sz w:val="22"/>
          <w:szCs w:val="22"/>
          <w:highlight w:val="yellow"/>
          <w:lang w:val="en-GB"/>
        </w:rPr>
      </w:pPr>
      <w:r w:rsidRPr="00405F6A">
        <w:rPr>
          <w:rFonts w:ascii="Arial" w:hAnsi="Arial" w:cs="Arial"/>
          <w:sz w:val="22"/>
          <w:szCs w:val="22"/>
          <w:highlight w:val="yellow"/>
          <w:lang w:val="en-GB"/>
        </w:rPr>
        <w:t>A</w:t>
      </w:r>
      <w:r w:rsidR="000D10C6" w:rsidRPr="00405F6A">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Pr="00B15CC8" w:rsidRDefault="0020204E" w:rsidP="00B04033">
      <w:pPr>
        <w:pStyle w:val="ListParagraph"/>
        <w:numPr>
          <w:ilvl w:val="0"/>
          <w:numId w:val="10"/>
        </w:numPr>
        <w:ind w:left="426"/>
        <w:jc w:val="both"/>
        <w:rPr>
          <w:rFonts w:ascii="Arial" w:hAnsi="Arial" w:cs="Arial"/>
          <w:sz w:val="22"/>
          <w:szCs w:val="22"/>
          <w:lang w:val="en-GB"/>
        </w:rPr>
      </w:pPr>
      <w:r w:rsidRPr="00B15CC8">
        <w:rPr>
          <w:rFonts w:ascii="Arial" w:hAnsi="Arial" w:cs="Arial"/>
          <w:sz w:val="22"/>
          <w:szCs w:val="22"/>
          <w:lang w:val="en-GB"/>
        </w:rPr>
        <w:t>12 months</w:t>
      </w:r>
      <w:r w:rsidR="00763348" w:rsidRPr="00B15CC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B15CC8" w:rsidRDefault="0020204E" w:rsidP="00B04033">
      <w:pPr>
        <w:pStyle w:val="ListParagraph"/>
        <w:numPr>
          <w:ilvl w:val="0"/>
          <w:numId w:val="10"/>
        </w:numPr>
        <w:ind w:left="426"/>
        <w:jc w:val="both"/>
        <w:rPr>
          <w:rFonts w:ascii="Arial" w:hAnsi="Arial" w:cs="Arial"/>
          <w:sz w:val="22"/>
          <w:szCs w:val="22"/>
          <w:highlight w:val="yellow"/>
          <w:lang w:val="en-GB"/>
        </w:rPr>
      </w:pPr>
      <w:r w:rsidRPr="00B15CC8">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(i)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3ED8A249" w14:textId="46CB9C2D" w:rsidR="000460A7" w:rsidRPr="00FF5098" w:rsidRDefault="002A585A" w:rsidP="000460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424</w:t>
      </w:r>
      <w:r w:rsidR="000460A7">
        <w:rPr>
          <w:rFonts w:ascii="Arial" w:hAnsi="Arial" w:cs="Arial"/>
          <w:color w:val="7B7B7B" w:themeColor="accent3" w:themeShade="BF"/>
          <w:sz w:val="22"/>
          <w:szCs w:val="22"/>
          <w:lang w:val="en-GB"/>
        </w:rPr>
        <w:t xml:space="preserve"> of the 1986 Act</w:t>
      </w:r>
      <w:r>
        <w:rPr>
          <w:rFonts w:ascii="Arial" w:hAnsi="Arial" w:cs="Arial"/>
          <w:color w:val="7B7B7B" w:themeColor="accent3" w:themeShade="BF"/>
          <w:sz w:val="22"/>
          <w:szCs w:val="22"/>
          <w:lang w:val="en-GB"/>
        </w:rPr>
        <w:t xml:space="preserve"> deals with standing to apply for an order under section 423.  Section 424 makes different provision as to e</w:t>
      </w:r>
      <w:r w:rsidR="000460A7">
        <w:rPr>
          <w:rFonts w:ascii="Arial" w:hAnsi="Arial" w:cs="Arial"/>
          <w:color w:val="7B7B7B" w:themeColor="accent3" w:themeShade="BF"/>
          <w:sz w:val="22"/>
          <w:szCs w:val="22"/>
          <w:lang w:val="en-GB"/>
        </w:rPr>
        <w:t>ntitlement to challenge a transaction</w:t>
      </w:r>
      <w:r>
        <w:rPr>
          <w:rFonts w:ascii="Arial" w:hAnsi="Arial" w:cs="Arial"/>
          <w:color w:val="7B7B7B" w:themeColor="accent3" w:themeShade="BF"/>
          <w:sz w:val="22"/>
          <w:szCs w:val="22"/>
          <w:lang w:val="en-GB"/>
        </w:rPr>
        <w:t xml:space="preserve">, depending </w:t>
      </w:r>
      <w:r w:rsidR="000460A7">
        <w:rPr>
          <w:rFonts w:ascii="Arial" w:hAnsi="Arial" w:cs="Arial"/>
          <w:color w:val="7B7B7B" w:themeColor="accent3" w:themeShade="BF"/>
          <w:sz w:val="22"/>
          <w:szCs w:val="22"/>
          <w:lang w:val="en-GB"/>
        </w:rPr>
        <w:t>on the company’s arrangements</w:t>
      </w:r>
      <w:r>
        <w:rPr>
          <w:rFonts w:ascii="Arial" w:hAnsi="Arial" w:cs="Arial"/>
          <w:color w:val="7B7B7B" w:themeColor="accent3" w:themeShade="BF"/>
          <w:sz w:val="22"/>
          <w:szCs w:val="22"/>
          <w:lang w:val="en-GB"/>
        </w:rPr>
        <w:t xml:space="preserve"> in the insolvency</w:t>
      </w:r>
      <w:r w:rsidR="000460A7">
        <w:rPr>
          <w:rFonts w:ascii="Arial" w:hAnsi="Arial" w:cs="Arial"/>
          <w:color w:val="7B7B7B" w:themeColor="accent3" w:themeShade="BF"/>
          <w:sz w:val="22"/>
          <w:szCs w:val="22"/>
          <w:lang w:val="en-GB"/>
        </w:rPr>
        <w:t>.  (1) Where the company is being wound up or is in administration.  In that case, the official receiver, the liquidator, the administrator and (with permission of the court) any victim of the transaction, such as a creditor, may challenge the transaction.  (2) Where a victim of the fraudulent transaction is bound by a CVA, the persons who may challenge the fraudulent transaction are the supervisor of the CVA or any victim of the fraudulent transaction (whether or not the victim is bound by the CVA).  (3) Where neither of the foregoing scenarios applies, any victim of the fraudulent transaction may challenge it under section 423.</w:t>
      </w:r>
    </w:p>
    <w:p w14:paraId="60CBAE47" w14:textId="77777777" w:rsidR="000460A7" w:rsidRDefault="000460A7" w:rsidP="006624AB">
      <w:pPr>
        <w:jc w:val="both"/>
        <w:rPr>
          <w:rFonts w:ascii="Arial" w:hAnsi="Arial" w:cs="Arial"/>
          <w:color w:val="7B7B7B" w:themeColor="accent3" w:themeShade="BF"/>
          <w:sz w:val="22"/>
          <w:szCs w:val="22"/>
          <w:lang w:val="en-GB"/>
        </w:rPr>
      </w:pPr>
    </w:p>
    <w:p w14:paraId="7061C9D6" w14:textId="1FE996B5" w:rsidR="00AE5B6F" w:rsidRDefault="000460A7"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w:t>
      </w:r>
      <w:r w:rsidR="00C24A2F">
        <w:rPr>
          <w:rFonts w:ascii="Arial" w:hAnsi="Arial" w:cs="Arial"/>
          <w:color w:val="7B7B7B" w:themeColor="accent3" w:themeShade="BF"/>
          <w:sz w:val="22"/>
          <w:szCs w:val="22"/>
          <w:lang w:val="en-GB"/>
        </w:rPr>
        <w:t>7</w:t>
      </w:r>
      <w:r>
        <w:rPr>
          <w:rFonts w:ascii="Arial" w:hAnsi="Arial" w:cs="Arial"/>
          <w:color w:val="7B7B7B" w:themeColor="accent3" w:themeShade="BF"/>
          <w:sz w:val="22"/>
          <w:szCs w:val="22"/>
          <w:lang w:val="en-GB"/>
        </w:rPr>
        <w:t xml:space="preserve"> of the CDDA</w:t>
      </w:r>
      <w:r w:rsidR="00C24A2F">
        <w:rPr>
          <w:rFonts w:ascii="Arial" w:hAnsi="Arial" w:cs="Arial"/>
          <w:color w:val="7B7B7B" w:themeColor="accent3" w:themeShade="BF"/>
          <w:sz w:val="22"/>
          <w:szCs w:val="22"/>
          <w:lang w:val="en-GB"/>
        </w:rPr>
        <w:t>, an application under section 6 of the CDDA may be made by the Secretary of State or, if the SoS so directs where a company is being or has been wound up, by the official receiver.</w:t>
      </w:r>
    </w:p>
    <w:p w14:paraId="656F77A8" w14:textId="77777777" w:rsidR="000460A7" w:rsidRDefault="000460A7" w:rsidP="006624AB">
      <w:pPr>
        <w:jc w:val="both"/>
        <w:rPr>
          <w:rFonts w:ascii="Arial" w:hAnsi="Arial" w:cs="Arial"/>
          <w:color w:val="7B7B7B" w:themeColor="accent3" w:themeShade="BF"/>
          <w:sz w:val="22"/>
          <w:szCs w:val="22"/>
          <w:lang w:val="en-GB"/>
        </w:rPr>
      </w:pPr>
    </w:p>
    <w:p w14:paraId="2A102ABD" w14:textId="3179F9CE" w:rsidR="000460A7" w:rsidRPr="00FF5098" w:rsidRDefault="000460A7"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section 246ZB of the 1986 Act</w:t>
      </w:r>
      <w:r w:rsidR="004A3A7E">
        <w:rPr>
          <w:rFonts w:ascii="Arial" w:hAnsi="Arial" w:cs="Arial"/>
          <w:color w:val="7B7B7B" w:themeColor="accent3" w:themeShade="BF"/>
          <w:sz w:val="22"/>
          <w:szCs w:val="22"/>
          <w:lang w:val="en-GB"/>
        </w:rPr>
        <w:t>, introduced by the Small Business, Enterprise and Employment Act 2015, an administrator (subsection 246ZB(1)) may make an application to the court for a declaration that a person is liable to make a contribution to the company’s assets by reason of wrongful trading.</w:t>
      </w:r>
    </w:p>
    <w:p w14:paraId="22C610C9" w14:textId="27725A01" w:rsidR="00DE03AF" w:rsidRDefault="00DE03AF" w:rsidP="002A37BB">
      <w:pPr>
        <w:jc w:val="both"/>
        <w:rPr>
          <w:rFonts w:ascii="Arial" w:hAnsi="Arial" w:cs="Arial"/>
          <w:sz w:val="22"/>
          <w:szCs w:val="22"/>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4E1236F0" w14:textId="439FD96A" w:rsidR="00FF5098" w:rsidRDefault="00973D8C"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Rule 15.3 of the Insolvency Rules 2016 lists the following qualifying decision procedures:</w:t>
      </w:r>
    </w:p>
    <w:p w14:paraId="05E13E33" w14:textId="70352AD0" w:rsidR="00973D8C" w:rsidRPr="00973D8C" w:rsidRDefault="00973D8C" w:rsidP="00973D8C">
      <w:pPr>
        <w:pStyle w:val="ListParagraph"/>
        <w:numPr>
          <w:ilvl w:val="0"/>
          <w:numId w:val="18"/>
        </w:numPr>
        <w:jc w:val="both"/>
        <w:rPr>
          <w:rFonts w:ascii="Arial" w:hAnsi="Arial" w:cs="Arial"/>
          <w:color w:val="7B7B7B" w:themeColor="accent3" w:themeShade="BF"/>
          <w:sz w:val="22"/>
          <w:szCs w:val="22"/>
          <w:lang w:val="en-GB"/>
        </w:rPr>
      </w:pPr>
      <w:r w:rsidRPr="00973D8C">
        <w:rPr>
          <w:rFonts w:ascii="Arial" w:hAnsi="Arial" w:cs="Arial"/>
          <w:color w:val="7B7B7B" w:themeColor="accent3" w:themeShade="BF"/>
          <w:sz w:val="22"/>
          <w:szCs w:val="22"/>
          <w:lang w:val="en-GB"/>
        </w:rPr>
        <w:t>correspondence;</w:t>
      </w:r>
    </w:p>
    <w:p w14:paraId="2D1BDAC8" w14:textId="346F76F5" w:rsidR="00973D8C" w:rsidRPr="00973D8C" w:rsidRDefault="00973D8C" w:rsidP="00973D8C">
      <w:pPr>
        <w:pStyle w:val="ListParagraph"/>
        <w:numPr>
          <w:ilvl w:val="0"/>
          <w:numId w:val="18"/>
        </w:numPr>
        <w:jc w:val="both"/>
        <w:rPr>
          <w:rFonts w:ascii="Arial" w:hAnsi="Arial" w:cs="Arial"/>
          <w:color w:val="7B7B7B" w:themeColor="accent3" w:themeShade="BF"/>
          <w:sz w:val="22"/>
          <w:szCs w:val="22"/>
          <w:lang w:val="en-GB"/>
        </w:rPr>
      </w:pPr>
      <w:r w:rsidRPr="00973D8C">
        <w:rPr>
          <w:rFonts w:ascii="Arial" w:hAnsi="Arial" w:cs="Arial"/>
          <w:color w:val="7B7B7B" w:themeColor="accent3" w:themeShade="BF"/>
          <w:sz w:val="22"/>
          <w:szCs w:val="22"/>
          <w:lang w:val="en-GB"/>
        </w:rPr>
        <w:t>electronic voting;</w:t>
      </w:r>
    </w:p>
    <w:p w14:paraId="762AE0E6" w14:textId="22EB14B1" w:rsidR="00973D8C" w:rsidRPr="00973D8C" w:rsidRDefault="00973D8C" w:rsidP="00973D8C">
      <w:pPr>
        <w:pStyle w:val="ListParagraph"/>
        <w:numPr>
          <w:ilvl w:val="0"/>
          <w:numId w:val="18"/>
        </w:numPr>
        <w:jc w:val="both"/>
        <w:rPr>
          <w:rFonts w:ascii="Arial" w:hAnsi="Arial" w:cs="Arial"/>
          <w:color w:val="7B7B7B" w:themeColor="accent3" w:themeShade="BF"/>
          <w:sz w:val="22"/>
          <w:szCs w:val="22"/>
          <w:lang w:val="en-GB"/>
        </w:rPr>
      </w:pPr>
      <w:r w:rsidRPr="00973D8C">
        <w:rPr>
          <w:rFonts w:ascii="Arial" w:hAnsi="Arial" w:cs="Arial"/>
          <w:color w:val="7B7B7B" w:themeColor="accent3" w:themeShade="BF"/>
          <w:sz w:val="22"/>
          <w:szCs w:val="22"/>
          <w:lang w:val="en-GB"/>
        </w:rPr>
        <w:t>virtual meeting;</w:t>
      </w:r>
    </w:p>
    <w:p w14:paraId="13B4DAE7" w14:textId="77BF9844" w:rsidR="00973D8C" w:rsidRPr="00973D8C" w:rsidRDefault="00973D8C" w:rsidP="00973D8C">
      <w:pPr>
        <w:pStyle w:val="ListParagraph"/>
        <w:numPr>
          <w:ilvl w:val="0"/>
          <w:numId w:val="18"/>
        </w:numPr>
        <w:jc w:val="both"/>
        <w:rPr>
          <w:rFonts w:ascii="Arial" w:hAnsi="Arial" w:cs="Arial"/>
          <w:color w:val="7B7B7B" w:themeColor="accent3" w:themeShade="BF"/>
          <w:sz w:val="22"/>
          <w:szCs w:val="22"/>
          <w:lang w:val="en-GB"/>
        </w:rPr>
      </w:pPr>
      <w:r w:rsidRPr="00973D8C">
        <w:rPr>
          <w:rFonts w:ascii="Arial" w:hAnsi="Arial" w:cs="Arial"/>
          <w:color w:val="7B7B7B" w:themeColor="accent3" w:themeShade="BF"/>
          <w:sz w:val="22"/>
          <w:szCs w:val="22"/>
          <w:lang w:val="en-GB"/>
        </w:rPr>
        <w:t>physical meeting; or</w:t>
      </w:r>
    </w:p>
    <w:p w14:paraId="66649996" w14:textId="440F01DA" w:rsidR="00973D8C" w:rsidRPr="00973D8C" w:rsidRDefault="00973D8C" w:rsidP="00973D8C">
      <w:pPr>
        <w:pStyle w:val="ListParagraph"/>
        <w:numPr>
          <w:ilvl w:val="0"/>
          <w:numId w:val="18"/>
        </w:numPr>
        <w:jc w:val="both"/>
        <w:rPr>
          <w:rFonts w:ascii="Arial" w:hAnsi="Arial" w:cs="Arial"/>
          <w:color w:val="7B7B7B" w:themeColor="accent3" w:themeShade="BF"/>
          <w:sz w:val="22"/>
          <w:szCs w:val="22"/>
          <w:lang w:val="en-GB"/>
        </w:rPr>
      </w:pPr>
      <w:r w:rsidRPr="00973D8C">
        <w:rPr>
          <w:rFonts w:ascii="Arial" w:hAnsi="Arial" w:cs="Arial"/>
          <w:color w:val="7B7B7B" w:themeColor="accent3" w:themeShade="BF"/>
          <w:sz w:val="22"/>
          <w:szCs w:val="22"/>
          <w:lang w:val="en-GB"/>
        </w:rPr>
        <w:t>any other decision making procedure which enables all creditors who are entitled to participate in the making of the decision to participate equally.</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6297212B" w14:textId="2C650208" w:rsidR="00836288" w:rsidRDefault="00836288"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Whether the administrator can require the supplier to continue trading with the insolvent company will depend on (1) the service or product supplied and (2) the nature of the contract.</w:t>
      </w:r>
    </w:p>
    <w:p w14:paraId="3A0BA8A0" w14:textId="6C50D30C" w:rsidR="00836288" w:rsidRDefault="00836288" w:rsidP="00FF5098">
      <w:pPr>
        <w:jc w:val="both"/>
        <w:rPr>
          <w:rFonts w:ascii="Arial" w:hAnsi="Arial" w:cs="Arial"/>
          <w:color w:val="7B7B7B" w:themeColor="accent3" w:themeShade="BF"/>
          <w:sz w:val="22"/>
          <w:szCs w:val="22"/>
          <w:lang w:val="en-GB"/>
        </w:rPr>
      </w:pPr>
    </w:p>
    <w:p w14:paraId="73BD53CA" w14:textId="064D2D3B" w:rsidR="00836288" w:rsidRDefault="00836288" w:rsidP="00FF5098">
      <w:pPr>
        <w:jc w:val="both"/>
        <w:rPr>
          <w:rFonts w:ascii="Arial" w:hAnsi="Arial" w:cs="Arial"/>
          <w:color w:val="7B7B7B" w:themeColor="accent3" w:themeShade="BF"/>
          <w:sz w:val="22"/>
          <w:szCs w:val="22"/>
          <w:lang w:val="en-GB"/>
        </w:rPr>
      </w:pPr>
      <w:r w:rsidRPr="00295037">
        <w:rPr>
          <w:rFonts w:ascii="Arial" w:hAnsi="Arial" w:cs="Arial"/>
          <w:color w:val="7B7B7B" w:themeColor="accent3" w:themeShade="BF"/>
          <w:sz w:val="22"/>
          <w:szCs w:val="22"/>
          <w:lang w:val="en-GB"/>
        </w:rPr>
        <w:lastRenderedPageBreak/>
        <w:t>Section</w:t>
      </w:r>
      <w:r w:rsidR="005A22D0">
        <w:rPr>
          <w:rFonts w:ascii="Arial" w:hAnsi="Arial" w:cs="Arial"/>
          <w:color w:val="7B7B7B" w:themeColor="accent3" w:themeShade="BF"/>
          <w:sz w:val="22"/>
          <w:szCs w:val="22"/>
          <w:lang w:val="en-GB"/>
        </w:rPr>
        <w:t xml:space="preserve">s </w:t>
      </w:r>
      <w:r w:rsidRPr="00295037">
        <w:rPr>
          <w:rFonts w:ascii="Arial" w:hAnsi="Arial" w:cs="Arial"/>
          <w:color w:val="7B7B7B" w:themeColor="accent3" w:themeShade="BF"/>
          <w:sz w:val="22"/>
          <w:szCs w:val="22"/>
          <w:lang w:val="en-GB"/>
        </w:rPr>
        <w:t xml:space="preserve">233 </w:t>
      </w:r>
      <w:r w:rsidR="005A22D0">
        <w:rPr>
          <w:rFonts w:ascii="Arial" w:hAnsi="Arial" w:cs="Arial"/>
          <w:color w:val="7B7B7B" w:themeColor="accent3" w:themeShade="BF"/>
          <w:sz w:val="22"/>
          <w:szCs w:val="22"/>
          <w:lang w:val="en-GB"/>
        </w:rPr>
        <w:t xml:space="preserve">and 233A </w:t>
      </w:r>
      <w:r w:rsidRPr="00295037">
        <w:rPr>
          <w:rFonts w:ascii="Arial" w:hAnsi="Arial" w:cs="Arial"/>
          <w:color w:val="7B7B7B" w:themeColor="accent3" w:themeShade="BF"/>
          <w:sz w:val="22"/>
          <w:szCs w:val="22"/>
          <w:lang w:val="en-GB"/>
        </w:rPr>
        <w:t xml:space="preserve">of </w:t>
      </w:r>
      <w:r w:rsidR="00295037" w:rsidRPr="00295037">
        <w:rPr>
          <w:rFonts w:ascii="Arial" w:hAnsi="Arial" w:cs="Arial"/>
          <w:color w:val="7B7B7B" w:themeColor="accent3" w:themeShade="BF"/>
          <w:sz w:val="22"/>
          <w:szCs w:val="22"/>
          <w:lang w:val="en-GB"/>
        </w:rPr>
        <w:t>the 1986 Act</w:t>
      </w:r>
      <w:r w:rsidRPr="00295037">
        <w:rPr>
          <w:rFonts w:ascii="Arial" w:hAnsi="Arial" w:cs="Arial"/>
          <w:color w:val="7B7B7B" w:themeColor="accent3" w:themeShade="BF"/>
          <w:sz w:val="22"/>
          <w:szCs w:val="22"/>
          <w:lang w:val="en-GB"/>
        </w:rPr>
        <w:t xml:space="preserve"> prevents suppliers of </w:t>
      </w:r>
      <w:r w:rsidR="00295037">
        <w:rPr>
          <w:rFonts w:ascii="Arial" w:hAnsi="Arial" w:cs="Arial"/>
          <w:color w:val="7B7B7B" w:themeColor="accent3" w:themeShade="BF"/>
          <w:sz w:val="22"/>
          <w:szCs w:val="22"/>
          <w:lang w:val="en-GB"/>
        </w:rPr>
        <w:t xml:space="preserve">the </w:t>
      </w:r>
      <w:r w:rsidRPr="00295037">
        <w:rPr>
          <w:rFonts w:ascii="Arial" w:hAnsi="Arial" w:cs="Arial"/>
          <w:color w:val="7B7B7B" w:themeColor="accent3" w:themeShade="BF"/>
          <w:sz w:val="22"/>
          <w:szCs w:val="22"/>
          <w:lang w:val="en-GB"/>
        </w:rPr>
        <w:t xml:space="preserve">services </w:t>
      </w:r>
      <w:r w:rsidR="00295037">
        <w:rPr>
          <w:rFonts w:ascii="Arial" w:hAnsi="Arial" w:cs="Arial"/>
          <w:color w:val="7B7B7B" w:themeColor="accent3" w:themeShade="BF"/>
          <w:sz w:val="22"/>
          <w:szCs w:val="22"/>
          <w:lang w:val="en-GB"/>
        </w:rPr>
        <w:t xml:space="preserve">listed therein </w:t>
      </w:r>
      <w:r w:rsidRPr="00295037">
        <w:rPr>
          <w:rFonts w:ascii="Arial" w:hAnsi="Arial" w:cs="Arial"/>
          <w:color w:val="7B7B7B" w:themeColor="accent3" w:themeShade="BF"/>
          <w:sz w:val="22"/>
          <w:szCs w:val="22"/>
          <w:lang w:val="en-GB"/>
        </w:rPr>
        <w:t>from terminating supply agreements upon the purchaser</w:t>
      </w:r>
      <w:r w:rsidR="005A22D0">
        <w:rPr>
          <w:rFonts w:ascii="Arial" w:hAnsi="Arial" w:cs="Arial"/>
          <w:color w:val="7B7B7B" w:themeColor="accent3" w:themeShade="BF"/>
          <w:sz w:val="22"/>
          <w:szCs w:val="22"/>
          <w:lang w:val="en-GB"/>
        </w:rPr>
        <w:t xml:space="preserve"> entering administration </w:t>
      </w:r>
      <w:r w:rsidR="00295037">
        <w:rPr>
          <w:rFonts w:ascii="Arial" w:hAnsi="Arial" w:cs="Arial"/>
          <w:color w:val="7B7B7B" w:themeColor="accent3" w:themeShade="BF"/>
          <w:sz w:val="22"/>
          <w:szCs w:val="22"/>
          <w:lang w:val="en-GB"/>
        </w:rPr>
        <w:t>or making future supply conditional on payment of past liabilities</w:t>
      </w:r>
      <w:r w:rsidRPr="00295037">
        <w:rPr>
          <w:rFonts w:ascii="Arial" w:hAnsi="Arial" w:cs="Arial"/>
          <w:color w:val="7B7B7B" w:themeColor="accent3" w:themeShade="BF"/>
          <w:sz w:val="22"/>
          <w:szCs w:val="22"/>
          <w:lang w:val="en-GB"/>
        </w:rPr>
        <w:t xml:space="preserve">.  These services include utilities and communications services (including </w:t>
      </w:r>
      <w:r w:rsidR="00295037">
        <w:rPr>
          <w:rFonts w:ascii="Arial" w:hAnsi="Arial" w:cs="Arial"/>
          <w:color w:val="7B7B7B" w:themeColor="accent3" w:themeShade="BF"/>
          <w:sz w:val="22"/>
          <w:szCs w:val="22"/>
          <w:lang w:val="en-GB"/>
        </w:rPr>
        <w:t xml:space="preserve">the </w:t>
      </w:r>
      <w:r w:rsidRPr="00295037">
        <w:rPr>
          <w:rFonts w:ascii="Arial" w:hAnsi="Arial" w:cs="Arial"/>
          <w:color w:val="7B7B7B" w:themeColor="accent3" w:themeShade="BF"/>
          <w:sz w:val="22"/>
          <w:szCs w:val="22"/>
          <w:lang w:val="en-GB"/>
        </w:rPr>
        <w:t>IT hardware</w:t>
      </w:r>
      <w:r w:rsidR="00295037">
        <w:rPr>
          <w:rFonts w:ascii="Arial" w:hAnsi="Arial" w:cs="Arial"/>
          <w:color w:val="7B7B7B" w:themeColor="accent3" w:themeShade="BF"/>
          <w:sz w:val="22"/>
          <w:szCs w:val="22"/>
          <w:lang w:val="en-GB"/>
        </w:rPr>
        <w:t xml:space="preserve"> and services listed in </w:t>
      </w:r>
      <w:r w:rsidR="00A94A3C">
        <w:rPr>
          <w:rFonts w:ascii="Arial" w:hAnsi="Arial" w:cs="Arial"/>
          <w:color w:val="7B7B7B" w:themeColor="accent3" w:themeShade="BF"/>
          <w:sz w:val="22"/>
          <w:szCs w:val="22"/>
          <w:lang w:val="en-GB"/>
        </w:rPr>
        <w:t xml:space="preserve">section </w:t>
      </w:r>
      <w:r w:rsidR="00295037">
        <w:rPr>
          <w:rFonts w:ascii="Arial" w:hAnsi="Arial" w:cs="Arial"/>
          <w:color w:val="7B7B7B" w:themeColor="accent3" w:themeShade="BF"/>
          <w:sz w:val="22"/>
          <w:szCs w:val="22"/>
          <w:lang w:val="en-GB"/>
        </w:rPr>
        <w:t>233(3A)</w:t>
      </w:r>
      <w:r w:rsidRPr="00295037">
        <w:rPr>
          <w:rFonts w:ascii="Arial" w:hAnsi="Arial" w:cs="Arial"/>
          <w:color w:val="7B7B7B" w:themeColor="accent3" w:themeShade="BF"/>
          <w:sz w:val="22"/>
          <w:szCs w:val="22"/>
          <w:lang w:val="en-GB"/>
        </w:rPr>
        <w:t>).</w:t>
      </w:r>
    </w:p>
    <w:p w14:paraId="6FB61AA6" w14:textId="77777777" w:rsidR="005D3391" w:rsidRDefault="005D3391" w:rsidP="00FF5098">
      <w:pPr>
        <w:jc w:val="both"/>
        <w:rPr>
          <w:rFonts w:ascii="Arial" w:hAnsi="Arial" w:cs="Arial"/>
          <w:color w:val="7B7B7B" w:themeColor="accent3" w:themeShade="BF"/>
          <w:sz w:val="22"/>
          <w:szCs w:val="22"/>
          <w:lang w:val="en-GB"/>
        </w:rPr>
      </w:pPr>
    </w:p>
    <w:p w14:paraId="17F2E837" w14:textId="5955A4A3" w:rsidR="00FF5098" w:rsidRDefault="00836288"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services not covered by section 233, </w:t>
      </w:r>
      <w:r w:rsidR="005D3391">
        <w:rPr>
          <w:rFonts w:ascii="Arial" w:hAnsi="Arial" w:cs="Arial"/>
          <w:color w:val="7B7B7B" w:themeColor="accent3" w:themeShade="BF"/>
          <w:sz w:val="22"/>
          <w:szCs w:val="22"/>
          <w:lang w:val="en-GB"/>
        </w:rPr>
        <w:t xml:space="preserve">whether the administrator can require </w:t>
      </w:r>
      <w:r>
        <w:rPr>
          <w:rFonts w:ascii="Arial" w:hAnsi="Arial" w:cs="Arial"/>
          <w:color w:val="7B7B7B" w:themeColor="accent3" w:themeShade="BF"/>
          <w:sz w:val="22"/>
          <w:szCs w:val="22"/>
          <w:lang w:val="en-GB"/>
        </w:rPr>
        <w:t xml:space="preserve">a supplier </w:t>
      </w:r>
      <w:r w:rsidR="005D3391">
        <w:rPr>
          <w:rFonts w:ascii="Arial" w:hAnsi="Arial" w:cs="Arial"/>
          <w:color w:val="7B7B7B" w:themeColor="accent3" w:themeShade="BF"/>
          <w:sz w:val="22"/>
          <w:szCs w:val="22"/>
          <w:lang w:val="en-GB"/>
        </w:rPr>
        <w:t xml:space="preserve">to continue to trade with the company </w:t>
      </w:r>
      <w:r>
        <w:rPr>
          <w:rFonts w:ascii="Arial" w:hAnsi="Arial" w:cs="Arial"/>
          <w:color w:val="7B7B7B" w:themeColor="accent3" w:themeShade="BF"/>
          <w:sz w:val="22"/>
          <w:szCs w:val="22"/>
          <w:lang w:val="en-GB"/>
        </w:rPr>
        <w:t xml:space="preserve">will depend on whether the contract is an ongoing one.  If so, the supplier will not be permitted to </w:t>
      </w:r>
      <w:r w:rsidR="00A94A3C">
        <w:rPr>
          <w:rFonts w:ascii="Arial" w:hAnsi="Arial" w:cs="Arial"/>
          <w:color w:val="7B7B7B" w:themeColor="accent3" w:themeShade="BF"/>
          <w:sz w:val="22"/>
          <w:szCs w:val="22"/>
          <w:lang w:val="en-GB"/>
        </w:rPr>
        <w:t xml:space="preserve">unilaterally </w:t>
      </w:r>
      <w:r>
        <w:rPr>
          <w:rFonts w:ascii="Arial" w:hAnsi="Arial" w:cs="Arial"/>
          <w:color w:val="7B7B7B" w:themeColor="accent3" w:themeShade="BF"/>
          <w:sz w:val="22"/>
          <w:szCs w:val="22"/>
          <w:lang w:val="en-GB"/>
        </w:rPr>
        <w:t>terminate the contract.</w:t>
      </w:r>
      <w:r w:rsidR="005D3391">
        <w:rPr>
          <w:rFonts w:ascii="Arial" w:hAnsi="Arial" w:cs="Arial"/>
          <w:color w:val="7B7B7B" w:themeColor="accent3" w:themeShade="BF"/>
          <w:sz w:val="22"/>
          <w:szCs w:val="22"/>
          <w:lang w:val="en-GB"/>
        </w:rPr>
        <w:t xml:space="preserve">  Section 233B of the </w:t>
      </w:r>
      <w:r w:rsidR="00A94A3C">
        <w:rPr>
          <w:rFonts w:ascii="Arial" w:hAnsi="Arial" w:cs="Arial"/>
          <w:color w:val="7B7B7B" w:themeColor="accent3" w:themeShade="BF"/>
          <w:sz w:val="22"/>
          <w:szCs w:val="22"/>
          <w:lang w:val="en-GB"/>
        </w:rPr>
        <w:t xml:space="preserve">1986 Act, introduced by the </w:t>
      </w:r>
      <w:r w:rsidR="005D3391">
        <w:rPr>
          <w:rFonts w:ascii="Arial" w:hAnsi="Arial" w:cs="Arial"/>
          <w:color w:val="7B7B7B" w:themeColor="accent3" w:themeShade="BF"/>
          <w:sz w:val="22"/>
          <w:szCs w:val="22"/>
          <w:lang w:val="en-GB"/>
        </w:rPr>
        <w:t xml:space="preserve">Corporate </w:t>
      </w:r>
      <w:r w:rsidR="00A94A3C">
        <w:rPr>
          <w:rFonts w:ascii="Arial" w:hAnsi="Arial" w:cs="Arial"/>
          <w:color w:val="7B7B7B" w:themeColor="accent3" w:themeShade="BF"/>
          <w:sz w:val="22"/>
          <w:szCs w:val="22"/>
          <w:lang w:val="en-GB"/>
        </w:rPr>
        <w:t xml:space="preserve">Insolvency </w:t>
      </w:r>
      <w:r w:rsidR="005D3391">
        <w:rPr>
          <w:rFonts w:ascii="Arial" w:hAnsi="Arial" w:cs="Arial"/>
          <w:color w:val="7B7B7B" w:themeColor="accent3" w:themeShade="BF"/>
          <w:sz w:val="22"/>
          <w:szCs w:val="22"/>
          <w:lang w:val="en-GB"/>
        </w:rPr>
        <w:t xml:space="preserve">and </w:t>
      </w:r>
      <w:r w:rsidR="00A94A3C">
        <w:rPr>
          <w:rFonts w:ascii="Arial" w:hAnsi="Arial" w:cs="Arial"/>
          <w:color w:val="7B7B7B" w:themeColor="accent3" w:themeShade="BF"/>
          <w:sz w:val="22"/>
          <w:szCs w:val="22"/>
          <w:lang w:val="en-GB"/>
        </w:rPr>
        <w:t xml:space="preserve">Governance </w:t>
      </w:r>
      <w:r w:rsidR="005D3391">
        <w:rPr>
          <w:rFonts w:ascii="Arial" w:hAnsi="Arial" w:cs="Arial"/>
          <w:color w:val="7B7B7B" w:themeColor="accent3" w:themeShade="BF"/>
          <w:sz w:val="22"/>
          <w:szCs w:val="22"/>
          <w:lang w:val="en-GB"/>
        </w:rPr>
        <w:t>Act 2020</w:t>
      </w:r>
      <w:r w:rsidR="00A94A3C">
        <w:rPr>
          <w:rFonts w:ascii="Arial" w:hAnsi="Arial" w:cs="Arial"/>
          <w:color w:val="7B7B7B" w:themeColor="accent3" w:themeShade="BF"/>
          <w:sz w:val="22"/>
          <w:szCs w:val="22"/>
          <w:lang w:val="en-GB"/>
        </w:rPr>
        <w:t>,</w:t>
      </w:r>
      <w:r w:rsidR="005D3391">
        <w:rPr>
          <w:rFonts w:ascii="Arial" w:hAnsi="Arial" w:cs="Arial"/>
          <w:color w:val="7B7B7B" w:themeColor="accent3" w:themeShade="BF"/>
          <w:sz w:val="22"/>
          <w:szCs w:val="22"/>
          <w:lang w:val="en-GB"/>
        </w:rPr>
        <w:t xml:space="preserve"> </w:t>
      </w:r>
      <w:r w:rsidR="00D57476">
        <w:rPr>
          <w:rFonts w:ascii="Arial" w:hAnsi="Arial" w:cs="Arial"/>
          <w:color w:val="7B7B7B" w:themeColor="accent3" w:themeShade="BF"/>
          <w:sz w:val="22"/>
          <w:szCs w:val="22"/>
          <w:lang w:val="en-GB"/>
        </w:rPr>
        <w:t>negates</w:t>
      </w:r>
      <w:r w:rsidR="005D3391">
        <w:rPr>
          <w:rFonts w:ascii="Arial" w:hAnsi="Arial" w:cs="Arial"/>
          <w:color w:val="7B7B7B" w:themeColor="accent3" w:themeShade="BF"/>
          <w:sz w:val="22"/>
          <w:szCs w:val="22"/>
          <w:lang w:val="en-GB"/>
        </w:rPr>
        <w:t xml:space="preserve"> “</w:t>
      </w:r>
      <w:r w:rsidR="00A94A3C">
        <w:rPr>
          <w:rFonts w:ascii="Arial" w:hAnsi="Arial" w:cs="Arial"/>
          <w:color w:val="7B7B7B" w:themeColor="accent3" w:themeShade="BF"/>
          <w:sz w:val="22"/>
          <w:szCs w:val="22"/>
          <w:lang w:val="en-GB"/>
        </w:rPr>
        <w:t>ipso facto</w:t>
      </w:r>
      <w:r w:rsidR="005D3391">
        <w:rPr>
          <w:rFonts w:ascii="Arial" w:hAnsi="Arial" w:cs="Arial"/>
          <w:color w:val="7B7B7B" w:themeColor="accent3" w:themeShade="BF"/>
          <w:sz w:val="22"/>
          <w:szCs w:val="22"/>
          <w:lang w:val="en-GB"/>
        </w:rPr>
        <w:t xml:space="preserve"> clauses” in contracts, which entitle the supplier to terminate or alter the terms of supply (including varying the price) in the event of the purchaser’s insolvency.  But where the supply contract </w:t>
      </w:r>
      <w:r>
        <w:rPr>
          <w:rFonts w:ascii="Arial" w:hAnsi="Arial" w:cs="Arial"/>
          <w:color w:val="7B7B7B" w:themeColor="accent3" w:themeShade="BF"/>
          <w:sz w:val="22"/>
          <w:szCs w:val="22"/>
          <w:lang w:val="en-GB"/>
        </w:rPr>
        <w:t xml:space="preserve">has already been discharged by performance in full </w:t>
      </w:r>
      <w:r w:rsidR="005D3391">
        <w:rPr>
          <w:rFonts w:ascii="Arial" w:hAnsi="Arial" w:cs="Arial"/>
          <w:color w:val="7B7B7B" w:themeColor="accent3" w:themeShade="BF"/>
          <w:sz w:val="22"/>
          <w:szCs w:val="22"/>
          <w:lang w:val="en-GB"/>
        </w:rPr>
        <w:t xml:space="preserve">before the insolvency, the administrator cannot force the supplier to make a new contract with the company.  To do so would be contrary to the </w:t>
      </w:r>
      <w:r>
        <w:rPr>
          <w:rFonts w:ascii="Arial" w:hAnsi="Arial" w:cs="Arial"/>
          <w:color w:val="7B7B7B" w:themeColor="accent3" w:themeShade="BF"/>
          <w:sz w:val="22"/>
          <w:szCs w:val="22"/>
          <w:lang w:val="en-GB"/>
        </w:rPr>
        <w:t>doctrine that the parties are the masters of their own contractual fate.</w:t>
      </w:r>
    </w:p>
    <w:p w14:paraId="2E450CAD" w14:textId="77777777" w:rsidR="00FF5098" w:rsidRPr="00FF5098" w:rsidRDefault="00FF5098" w:rsidP="009A743B">
      <w:pPr>
        <w:jc w:val="both"/>
        <w:rPr>
          <w:rFonts w:ascii="Arial" w:hAnsi="Arial" w:cs="Arial"/>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42EFBE30" w14:textId="0A987624" w:rsidR="008553C2" w:rsidRDefault="008553C2"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a company enters liquidation, it may be in possession of chattels </w:t>
      </w:r>
      <w:r w:rsidR="00FD7153">
        <w:rPr>
          <w:rFonts w:ascii="Arial" w:hAnsi="Arial" w:cs="Arial"/>
          <w:color w:val="7B7B7B" w:themeColor="accent3" w:themeShade="BF"/>
          <w:sz w:val="22"/>
          <w:szCs w:val="22"/>
          <w:lang w:val="en-GB"/>
        </w:rPr>
        <w:t>whose legal title belongs</w:t>
      </w:r>
      <w:r>
        <w:rPr>
          <w:rFonts w:ascii="Arial" w:hAnsi="Arial" w:cs="Arial"/>
          <w:color w:val="7B7B7B" w:themeColor="accent3" w:themeShade="BF"/>
          <w:sz w:val="22"/>
          <w:szCs w:val="22"/>
          <w:lang w:val="en-GB"/>
        </w:rPr>
        <w:t xml:space="preserve"> to a third party.  A good example of a commercial arrangement where the lender of property retains legal title is a hire purchase contract for a vehicle or machinery</w:t>
      </w:r>
      <w:r w:rsidR="00FD7153">
        <w:rPr>
          <w:rFonts w:ascii="Arial" w:hAnsi="Arial" w:cs="Arial"/>
          <w:color w:val="7B7B7B" w:themeColor="accent3" w:themeShade="BF"/>
          <w:sz w:val="22"/>
          <w:szCs w:val="22"/>
          <w:lang w:val="en-GB"/>
        </w:rPr>
        <w:t>, or a retention of title supply contract</w:t>
      </w:r>
      <w:r>
        <w:rPr>
          <w:rFonts w:ascii="Arial" w:hAnsi="Arial" w:cs="Arial"/>
          <w:color w:val="7B7B7B" w:themeColor="accent3" w:themeShade="BF"/>
          <w:sz w:val="22"/>
          <w:szCs w:val="22"/>
          <w:lang w:val="en-GB"/>
        </w:rPr>
        <w:t xml:space="preserve">.  Under a hire purchase agreement, legal title remains with the creditor until the debtor has performed the agreement (usually by paying all the hire instalments).  Because legal title does not vest in the debtor </w:t>
      </w:r>
      <w:r w:rsidR="00FD7153">
        <w:rPr>
          <w:rFonts w:ascii="Arial" w:hAnsi="Arial" w:cs="Arial"/>
          <w:color w:val="7B7B7B" w:themeColor="accent3" w:themeShade="BF"/>
          <w:sz w:val="22"/>
          <w:szCs w:val="22"/>
          <w:lang w:val="en-GB"/>
        </w:rPr>
        <w:t>where</w:t>
      </w:r>
      <w:r>
        <w:rPr>
          <w:rFonts w:ascii="Arial" w:hAnsi="Arial" w:cs="Arial"/>
          <w:color w:val="7B7B7B" w:themeColor="accent3" w:themeShade="BF"/>
          <w:sz w:val="22"/>
          <w:szCs w:val="22"/>
          <w:lang w:val="en-GB"/>
        </w:rPr>
        <w:t xml:space="preserve"> the agreement </w:t>
      </w:r>
      <w:r w:rsidR="00FD7153">
        <w:rPr>
          <w:rFonts w:ascii="Arial" w:hAnsi="Arial" w:cs="Arial"/>
          <w:color w:val="7B7B7B" w:themeColor="accent3" w:themeShade="BF"/>
          <w:sz w:val="22"/>
          <w:szCs w:val="22"/>
          <w:lang w:val="en-GB"/>
        </w:rPr>
        <w:t>remains in</w:t>
      </w:r>
      <w:r>
        <w:rPr>
          <w:rFonts w:ascii="Arial" w:hAnsi="Arial" w:cs="Arial"/>
          <w:color w:val="7B7B7B" w:themeColor="accent3" w:themeShade="BF"/>
          <w:sz w:val="22"/>
          <w:szCs w:val="22"/>
          <w:lang w:val="en-GB"/>
        </w:rPr>
        <w:t xml:space="preserve">complete, such assets do not form part of the insolvent estate for the liquidation.  Creditors under an incomplete hire purchase contract would therefore be first in line in a liquidation, since (subject to the terms of the HPA) they </w:t>
      </w:r>
      <w:r w:rsidR="00FD7153">
        <w:rPr>
          <w:rFonts w:ascii="Arial" w:hAnsi="Arial" w:cs="Arial"/>
          <w:color w:val="7B7B7B" w:themeColor="accent3" w:themeShade="BF"/>
          <w:sz w:val="22"/>
          <w:szCs w:val="22"/>
          <w:lang w:val="en-GB"/>
        </w:rPr>
        <w:t xml:space="preserve">may be </w:t>
      </w:r>
      <w:r>
        <w:rPr>
          <w:rFonts w:ascii="Arial" w:hAnsi="Arial" w:cs="Arial"/>
          <w:color w:val="7B7B7B" w:themeColor="accent3" w:themeShade="BF"/>
          <w:sz w:val="22"/>
          <w:szCs w:val="22"/>
          <w:lang w:val="en-GB"/>
        </w:rPr>
        <w:t>entitled to take possession of the</w:t>
      </w:r>
      <w:r w:rsidR="00FD7153">
        <w:rPr>
          <w:rFonts w:ascii="Arial" w:hAnsi="Arial" w:cs="Arial"/>
          <w:color w:val="7B7B7B" w:themeColor="accent3" w:themeShade="BF"/>
          <w:sz w:val="22"/>
          <w:szCs w:val="22"/>
          <w:lang w:val="en-GB"/>
        </w:rPr>
        <w:t>ir</w:t>
      </w:r>
      <w:r>
        <w:rPr>
          <w:rFonts w:ascii="Arial" w:hAnsi="Arial" w:cs="Arial"/>
          <w:color w:val="7B7B7B" w:themeColor="accent3" w:themeShade="BF"/>
          <w:sz w:val="22"/>
          <w:szCs w:val="22"/>
          <w:lang w:val="en-GB"/>
        </w:rPr>
        <w:t xml:space="preserve"> property.</w:t>
      </w:r>
      <w:r w:rsidR="00FD7153">
        <w:rPr>
          <w:rFonts w:ascii="Arial" w:hAnsi="Arial" w:cs="Arial"/>
          <w:color w:val="7B7B7B" w:themeColor="accent3" w:themeShade="BF"/>
          <w:sz w:val="22"/>
          <w:szCs w:val="22"/>
          <w:lang w:val="en-GB"/>
        </w:rPr>
        <w:t xml:space="preserve">  A debt factor or other receivables financier is in a similar position, because the book debts have been sold to the factor and therefore belong to the factoring company.  They fall outside the </w:t>
      </w:r>
      <w:r w:rsidR="0060459E">
        <w:rPr>
          <w:rFonts w:ascii="Arial" w:hAnsi="Arial" w:cs="Arial"/>
          <w:color w:val="7B7B7B" w:themeColor="accent3" w:themeShade="BF"/>
          <w:sz w:val="22"/>
          <w:szCs w:val="22"/>
          <w:lang w:val="en-GB"/>
        </w:rPr>
        <w:t xml:space="preserve">insolvent </w:t>
      </w:r>
      <w:r w:rsidR="00FD7153">
        <w:rPr>
          <w:rFonts w:ascii="Arial" w:hAnsi="Arial" w:cs="Arial"/>
          <w:color w:val="7B7B7B" w:themeColor="accent3" w:themeShade="BF"/>
          <w:sz w:val="22"/>
          <w:szCs w:val="22"/>
          <w:lang w:val="en-GB"/>
        </w:rPr>
        <w:t>estate</w:t>
      </w:r>
      <w:r w:rsidR="0060459E">
        <w:rPr>
          <w:rFonts w:ascii="Arial" w:hAnsi="Arial" w:cs="Arial"/>
          <w:color w:val="7B7B7B" w:themeColor="accent3" w:themeShade="BF"/>
          <w:sz w:val="22"/>
          <w:szCs w:val="22"/>
          <w:lang w:val="en-GB"/>
        </w:rPr>
        <w:t>.</w:t>
      </w:r>
    </w:p>
    <w:p w14:paraId="343D5249" w14:textId="2F8A9BC7" w:rsidR="008553C2" w:rsidRDefault="008553C2" w:rsidP="00FF5098">
      <w:pPr>
        <w:jc w:val="both"/>
        <w:rPr>
          <w:rFonts w:ascii="Arial" w:hAnsi="Arial" w:cs="Arial"/>
          <w:color w:val="7B7B7B" w:themeColor="accent3" w:themeShade="BF"/>
          <w:sz w:val="22"/>
          <w:szCs w:val="22"/>
          <w:lang w:val="en-GB"/>
        </w:rPr>
      </w:pPr>
    </w:p>
    <w:p w14:paraId="7386F24A" w14:textId="4D7BCC08" w:rsidR="008553C2" w:rsidRDefault="008553C2"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Aside from the special position of a creditor who holds the legal title to an asset in the possession of the debtor, there is a strict priority for payment of creditors.</w:t>
      </w:r>
    </w:p>
    <w:p w14:paraId="214F260D" w14:textId="77777777" w:rsidR="008553C2" w:rsidRDefault="008553C2" w:rsidP="00FF5098">
      <w:pPr>
        <w:jc w:val="both"/>
        <w:rPr>
          <w:rFonts w:ascii="Arial" w:hAnsi="Arial" w:cs="Arial"/>
          <w:color w:val="7B7B7B" w:themeColor="accent3" w:themeShade="BF"/>
          <w:sz w:val="22"/>
          <w:szCs w:val="22"/>
          <w:lang w:val="en-GB"/>
        </w:rPr>
      </w:pPr>
    </w:p>
    <w:p w14:paraId="416B3334" w14:textId="4B58C78A" w:rsidR="00FF5098" w:rsidRDefault="008553C2"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 come creditors whose interest is secured by a fixed charge.  </w:t>
      </w:r>
      <w:r w:rsidR="0060459E">
        <w:rPr>
          <w:rFonts w:ascii="Arial" w:hAnsi="Arial" w:cs="Arial"/>
          <w:color w:val="7B7B7B" w:themeColor="accent3" w:themeShade="BF"/>
          <w:sz w:val="22"/>
          <w:szCs w:val="22"/>
          <w:lang w:val="en-GB"/>
        </w:rPr>
        <w:t>A fixed charge is a security over a specific asset, whether real or personal property.</w:t>
      </w:r>
      <w:r w:rsidR="00FD7153">
        <w:rPr>
          <w:rFonts w:ascii="Arial" w:hAnsi="Arial" w:cs="Arial"/>
          <w:color w:val="7B7B7B" w:themeColor="accent3" w:themeShade="BF"/>
          <w:sz w:val="22"/>
          <w:szCs w:val="22"/>
          <w:lang w:val="en-GB"/>
        </w:rPr>
        <w:t xml:space="preserve"> </w:t>
      </w:r>
      <w:r w:rsidR="0060459E">
        <w:rPr>
          <w:rFonts w:ascii="Arial" w:hAnsi="Arial" w:cs="Arial"/>
          <w:color w:val="7B7B7B" w:themeColor="accent3" w:themeShade="BF"/>
          <w:sz w:val="22"/>
          <w:szCs w:val="22"/>
          <w:lang w:val="en-GB"/>
        </w:rPr>
        <w:t xml:space="preserve"> A mortgage is probably the most common example of a fixed charge, but many companies will rent their commercial space and may not have a mortgage.</w:t>
      </w:r>
    </w:p>
    <w:p w14:paraId="27EBD1C6" w14:textId="1CDB6E33" w:rsidR="0060459E" w:rsidRDefault="0060459E" w:rsidP="00FF5098">
      <w:pPr>
        <w:jc w:val="both"/>
        <w:rPr>
          <w:rFonts w:ascii="Arial" w:hAnsi="Arial" w:cs="Arial"/>
          <w:color w:val="7B7B7B" w:themeColor="accent3" w:themeShade="BF"/>
          <w:sz w:val="22"/>
          <w:szCs w:val="22"/>
          <w:lang w:val="en-GB"/>
        </w:rPr>
      </w:pPr>
    </w:p>
    <w:p w14:paraId="291F6921" w14:textId="364F3D90" w:rsidR="0060459E" w:rsidRDefault="0060459E"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Next in line are creditors with a statutory “super priority”.  These include employee wage and salary claims under employment contracts which have been </w:t>
      </w:r>
      <w:r>
        <w:rPr>
          <w:rFonts w:ascii="Arial" w:hAnsi="Arial" w:cs="Arial"/>
          <w:color w:val="7B7B7B" w:themeColor="accent3" w:themeShade="BF"/>
          <w:sz w:val="22"/>
          <w:szCs w:val="22"/>
          <w:lang w:val="en-GB"/>
        </w:rPr>
        <w:t>adopted</w:t>
      </w:r>
      <w:r>
        <w:rPr>
          <w:rFonts w:ascii="Arial" w:hAnsi="Arial" w:cs="Arial"/>
          <w:color w:val="7B7B7B" w:themeColor="accent3" w:themeShade="BF"/>
          <w:sz w:val="22"/>
          <w:szCs w:val="22"/>
          <w:lang w:val="en-GB"/>
        </w:rPr>
        <w:t xml:space="preserve"> by the administrator, and debts or liabilities arising under contracts entered into by the company acting through the administrator.  There is a strong public policy justification behind the super priority, as it gives third parties confidence that they will not be at a disadvantage if they continue to work for or trade with the company during the administration.  In this way, it is an important facilitator of the legislative objective of promoting corporate rescue.</w:t>
      </w:r>
    </w:p>
    <w:p w14:paraId="18F98625" w14:textId="379C0233" w:rsidR="0060459E" w:rsidRDefault="0060459E" w:rsidP="00FF5098">
      <w:pPr>
        <w:jc w:val="both"/>
        <w:rPr>
          <w:rFonts w:ascii="Arial" w:hAnsi="Arial" w:cs="Arial"/>
          <w:color w:val="7B7B7B" w:themeColor="accent3" w:themeShade="BF"/>
          <w:sz w:val="22"/>
          <w:szCs w:val="22"/>
          <w:lang w:val="en-GB"/>
        </w:rPr>
      </w:pPr>
    </w:p>
    <w:p w14:paraId="770D2050" w14:textId="50941811" w:rsidR="0060459E" w:rsidRDefault="0060459E"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After the super priority creditors come other expenses and fees incurred by the administrator.  These must be paid in the order listed in Rule 3.51 of the Insolvency Rules 2016.</w:t>
      </w:r>
    </w:p>
    <w:p w14:paraId="5C6C25E2" w14:textId="3BF6238C" w:rsidR="0060459E" w:rsidRDefault="0060459E" w:rsidP="00FF5098">
      <w:pPr>
        <w:jc w:val="both"/>
        <w:rPr>
          <w:rFonts w:ascii="Arial" w:hAnsi="Arial" w:cs="Arial"/>
          <w:color w:val="7B7B7B" w:themeColor="accent3" w:themeShade="BF"/>
          <w:sz w:val="22"/>
          <w:szCs w:val="22"/>
          <w:lang w:val="en-GB"/>
        </w:rPr>
      </w:pPr>
    </w:p>
    <w:p w14:paraId="6CBE8088" w14:textId="0BA6C604" w:rsidR="0060459E" w:rsidRDefault="0060459E"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Next in line are statutory preferential creditors.  This class includes employees with unpaid wages and salaries</w:t>
      </w:r>
      <w:r w:rsidR="000F0F52">
        <w:rPr>
          <w:rFonts w:ascii="Arial" w:hAnsi="Arial" w:cs="Arial"/>
          <w:color w:val="7B7B7B" w:themeColor="accent3" w:themeShade="BF"/>
          <w:sz w:val="22"/>
          <w:szCs w:val="22"/>
          <w:lang w:val="en-GB"/>
        </w:rPr>
        <w:t xml:space="preserve"> (including pension contributions and holiday pay)</w:t>
      </w:r>
      <w:r>
        <w:rPr>
          <w:rFonts w:ascii="Arial" w:hAnsi="Arial" w:cs="Arial"/>
          <w:color w:val="7B7B7B" w:themeColor="accent3" w:themeShade="BF"/>
          <w:sz w:val="22"/>
          <w:szCs w:val="22"/>
          <w:lang w:val="en-GB"/>
        </w:rPr>
        <w:t xml:space="preserve"> which predate the </w:t>
      </w:r>
      <w:r>
        <w:rPr>
          <w:rFonts w:ascii="Arial" w:hAnsi="Arial" w:cs="Arial"/>
          <w:color w:val="7B7B7B" w:themeColor="accent3" w:themeShade="BF"/>
          <w:sz w:val="22"/>
          <w:szCs w:val="22"/>
          <w:lang w:val="en-GB"/>
        </w:rPr>
        <w:lastRenderedPageBreak/>
        <w:t xml:space="preserve">appointment of the administrator (subsequent wage and salary claims would likely be made under an adopted employment contract and therefore attract super priority, above).  </w:t>
      </w:r>
      <w:r w:rsidR="004079DC">
        <w:rPr>
          <w:rFonts w:ascii="Arial" w:hAnsi="Arial" w:cs="Arial"/>
          <w:color w:val="7B7B7B" w:themeColor="accent3" w:themeShade="BF"/>
          <w:sz w:val="22"/>
          <w:szCs w:val="22"/>
          <w:lang w:val="en-GB"/>
        </w:rPr>
        <w:t>Remuneration claims are</w:t>
      </w:r>
      <w:r>
        <w:rPr>
          <w:rFonts w:ascii="Arial" w:hAnsi="Arial" w:cs="Arial"/>
          <w:color w:val="7B7B7B" w:themeColor="accent3" w:themeShade="BF"/>
          <w:sz w:val="22"/>
          <w:szCs w:val="22"/>
          <w:lang w:val="en-GB"/>
        </w:rPr>
        <w:t xml:space="preserve"> capped at a relatively modest sum of £800 per </w:t>
      </w:r>
      <w:r w:rsidR="004079DC">
        <w:rPr>
          <w:rFonts w:ascii="Arial" w:hAnsi="Arial" w:cs="Arial"/>
          <w:color w:val="7B7B7B" w:themeColor="accent3" w:themeShade="BF"/>
          <w:sz w:val="22"/>
          <w:szCs w:val="22"/>
          <w:lang w:val="en-GB"/>
        </w:rPr>
        <w:t xml:space="preserve">employee </w:t>
      </w:r>
      <w:r>
        <w:rPr>
          <w:rFonts w:ascii="Arial" w:hAnsi="Arial" w:cs="Arial"/>
          <w:color w:val="7B7B7B" w:themeColor="accent3" w:themeShade="BF"/>
          <w:sz w:val="22"/>
          <w:szCs w:val="22"/>
          <w:lang w:val="en-GB"/>
        </w:rPr>
        <w:t>and limited to a period of 4 months prior to the administrator’s appointment</w:t>
      </w:r>
      <w:r w:rsidR="00145DD5">
        <w:rPr>
          <w:rFonts w:ascii="Arial" w:hAnsi="Arial" w:cs="Arial"/>
          <w:color w:val="7B7B7B" w:themeColor="accent3" w:themeShade="BF"/>
          <w:sz w:val="22"/>
          <w:szCs w:val="22"/>
          <w:lang w:val="en-GB"/>
        </w:rPr>
        <w:t>, although employment law provides more extensive remedies for unpaid employees</w:t>
      </w:r>
      <w:r>
        <w:rPr>
          <w:rFonts w:ascii="Arial" w:hAnsi="Arial" w:cs="Arial"/>
          <w:color w:val="7B7B7B" w:themeColor="accent3" w:themeShade="BF"/>
          <w:sz w:val="22"/>
          <w:szCs w:val="22"/>
          <w:lang w:val="en-GB"/>
        </w:rPr>
        <w:t xml:space="preserve">.  The other main creditor </w:t>
      </w:r>
      <w:r w:rsidR="000F0F52">
        <w:rPr>
          <w:rFonts w:ascii="Arial" w:hAnsi="Arial" w:cs="Arial"/>
          <w:color w:val="7B7B7B" w:themeColor="accent3" w:themeShade="BF"/>
          <w:sz w:val="22"/>
          <w:szCs w:val="22"/>
          <w:lang w:val="en-GB"/>
        </w:rPr>
        <w:t>in this class is HMRC.  This is known as the Crown preference.  HMRC enjoyed the Crown preference until 2003, when it was abolished by the Enterprise Act 2002, but the preference was reintroduced on 1 December 2020</w:t>
      </w:r>
      <w:r w:rsidR="00342461">
        <w:rPr>
          <w:rFonts w:ascii="Arial" w:hAnsi="Arial" w:cs="Arial"/>
          <w:color w:val="7B7B7B" w:themeColor="accent3" w:themeShade="BF"/>
          <w:sz w:val="22"/>
          <w:szCs w:val="22"/>
          <w:lang w:val="en-GB"/>
        </w:rPr>
        <w:t xml:space="preserve"> by the Finance Act 2020</w:t>
      </w:r>
      <w:r w:rsidR="000F0F52">
        <w:rPr>
          <w:rFonts w:ascii="Arial" w:hAnsi="Arial" w:cs="Arial"/>
          <w:color w:val="7B7B7B" w:themeColor="accent3" w:themeShade="BF"/>
          <w:sz w:val="22"/>
          <w:szCs w:val="22"/>
          <w:lang w:val="en-GB"/>
        </w:rPr>
        <w:t>.</w:t>
      </w:r>
      <w:r w:rsidR="00342461">
        <w:rPr>
          <w:rFonts w:ascii="Arial" w:hAnsi="Arial" w:cs="Arial"/>
          <w:color w:val="7B7B7B" w:themeColor="accent3" w:themeShade="BF"/>
          <w:sz w:val="22"/>
          <w:szCs w:val="22"/>
          <w:lang w:val="en-GB"/>
        </w:rPr>
        <w:t xml:space="preserve">  The Crown preference does not apply to all taxes.  It bites on those taxes (known as Source Taxes) which are collected by the business as agent for HMRC, specifically VAT, PAYE, income tax, NICs and (if applicable) Construction Scheme Industry deductions.  </w:t>
      </w:r>
      <w:r w:rsidR="00B9626C">
        <w:rPr>
          <w:rFonts w:ascii="Arial" w:hAnsi="Arial" w:cs="Arial"/>
          <w:color w:val="7B7B7B" w:themeColor="accent3" w:themeShade="BF"/>
          <w:sz w:val="22"/>
          <w:szCs w:val="22"/>
          <w:lang w:val="en-GB"/>
        </w:rPr>
        <w:t>Within preferential creditors, debts are ranked as ordinary and secondary.</w:t>
      </w:r>
      <w:r w:rsidR="007E2D96">
        <w:rPr>
          <w:rFonts w:ascii="Arial" w:hAnsi="Arial" w:cs="Arial"/>
          <w:color w:val="7B7B7B" w:themeColor="accent3" w:themeShade="BF"/>
          <w:sz w:val="22"/>
          <w:szCs w:val="22"/>
          <w:lang w:val="en-GB"/>
        </w:rPr>
        <w:t xml:space="preserve">  Employee claims are ordinary, whereas Crown preference claims are secondary</w:t>
      </w:r>
      <w:r w:rsidR="0060353A">
        <w:rPr>
          <w:rFonts w:ascii="Arial" w:hAnsi="Arial" w:cs="Arial"/>
          <w:color w:val="7B7B7B" w:themeColor="accent3" w:themeShade="BF"/>
          <w:sz w:val="22"/>
          <w:szCs w:val="22"/>
          <w:lang w:val="en-GB"/>
        </w:rPr>
        <w:t xml:space="preserve"> (section 386 of the 1986 Act)</w:t>
      </w:r>
      <w:r w:rsidR="007E2D96">
        <w:rPr>
          <w:rFonts w:ascii="Arial" w:hAnsi="Arial" w:cs="Arial"/>
          <w:color w:val="7B7B7B" w:themeColor="accent3" w:themeShade="BF"/>
          <w:sz w:val="22"/>
          <w:szCs w:val="22"/>
          <w:lang w:val="en-GB"/>
        </w:rPr>
        <w:t>.</w:t>
      </w:r>
    </w:p>
    <w:p w14:paraId="134D4EFC" w14:textId="17DBD08C" w:rsidR="00086943" w:rsidRDefault="00086943" w:rsidP="00FF5098">
      <w:pPr>
        <w:jc w:val="both"/>
        <w:rPr>
          <w:rFonts w:ascii="Arial" w:hAnsi="Arial" w:cs="Arial"/>
          <w:color w:val="7B7B7B" w:themeColor="accent3" w:themeShade="BF"/>
          <w:sz w:val="22"/>
          <w:szCs w:val="22"/>
          <w:lang w:val="en-GB"/>
        </w:rPr>
      </w:pPr>
    </w:p>
    <w:p w14:paraId="66DC4AC5" w14:textId="5268E33A" w:rsidR="00086943" w:rsidRDefault="00086943"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After preferential creditors come floating charge holders.  These creditors are holders of a security which is not fixed over a particular asset</w:t>
      </w:r>
      <w:r w:rsidR="00295037">
        <w:rPr>
          <w:rFonts w:ascii="Arial" w:hAnsi="Arial" w:cs="Arial"/>
          <w:color w:val="7B7B7B" w:themeColor="accent3" w:themeShade="BF"/>
          <w:sz w:val="22"/>
          <w:szCs w:val="22"/>
          <w:lang w:val="en-GB"/>
        </w:rPr>
        <w:t xml:space="preserve"> but is instead a charge against the company’s present and future undertakings</w:t>
      </w:r>
      <w:r>
        <w:rPr>
          <w:rFonts w:ascii="Arial" w:hAnsi="Arial" w:cs="Arial"/>
          <w:color w:val="7B7B7B" w:themeColor="accent3" w:themeShade="BF"/>
          <w:sz w:val="22"/>
          <w:szCs w:val="22"/>
          <w:lang w:val="en-GB"/>
        </w:rPr>
        <w:t>, e.g. a charge over present and future book debts.</w:t>
      </w:r>
      <w:r w:rsidR="007C5DCC">
        <w:rPr>
          <w:rFonts w:ascii="Arial" w:hAnsi="Arial" w:cs="Arial"/>
          <w:color w:val="7B7B7B" w:themeColor="accent3" w:themeShade="BF"/>
          <w:sz w:val="22"/>
          <w:szCs w:val="22"/>
          <w:lang w:val="en-GB"/>
        </w:rPr>
        <w:t xml:space="preserve">  </w:t>
      </w:r>
      <w:r w:rsidR="00295037">
        <w:rPr>
          <w:rFonts w:ascii="Arial" w:hAnsi="Arial" w:cs="Arial"/>
          <w:color w:val="7B7B7B" w:themeColor="accent3" w:themeShade="BF"/>
          <w:sz w:val="22"/>
          <w:szCs w:val="22"/>
          <w:lang w:val="en-GB"/>
        </w:rPr>
        <w:t xml:space="preserve">Because it is the undertaking which is charged, rather than a specific asset, the security includes management powers.  Historically this enabled the holder of a floating charge to appoint an administrative receiver, although this is now a rare occurrence following the abolition of that enforcement right in respect of securities registered at Companies House prior to 15 September 2003 by the Enterprise Act 2002.  </w:t>
      </w:r>
      <w:r w:rsidR="007C5DCC">
        <w:rPr>
          <w:rFonts w:ascii="Arial" w:hAnsi="Arial" w:cs="Arial"/>
          <w:color w:val="7B7B7B" w:themeColor="accent3" w:themeShade="BF"/>
          <w:sz w:val="22"/>
          <w:szCs w:val="22"/>
          <w:lang w:val="en-GB"/>
        </w:rPr>
        <w:t>Section 176A(2) of the Insolvency Act 1986 requires the liquidator to make a prescribed part of the company’s net property available for the satisfaction of unsecured debts</w:t>
      </w:r>
      <w:r w:rsidR="00EA1621">
        <w:rPr>
          <w:rFonts w:ascii="Arial" w:hAnsi="Arial" w:cs="Arial"/>
          <w:color w:val="7B7B7B" w:themeColor="accent3" w:themeShade="BF"/>
          <w:sz w:val="22"/>
          <w:szCs w:val="22"/>
          <w:lang w:val="en-GB"/>
        </w:rPr>
        <w:t>, depending on the company’s net asset position</w:t>
      </w:r>
      <w:r w:rsidR="007C5DCC">
        <w:rPr>
          <w:rFonts w:ascii="Arial" w:hAnsi="Arial" w:cs="Arial"/>
          <w:color w:val="7B7B7B" w:themeColor="accent3" w:themeShade="BF"/>
          <w:sz w:val="22"/>
          <w:szCs w:val="22"/>
          <w:lang w:val="en-GB"/>
        </w:rPr>
        <w:t>.  To that end, a liquidator might apply a hair</w:t>
      </w:r>
      <w:r w:rsidR="00DC4018">
        <w:rPr>
          <w:rFonts w:ascii="Arial" w:hAnsi="Arial" w:cs="Arial"/>
          <w:color w:val="7B7B7B" w:themeColor="accent3" w:themeShade="BF"/>
          <w:sz w:val="22"/>
          <w:szCs w:val="22"/>
          <w:lang w:val="en-GB"/>
        </w:rPr>
        <w:t>cut to the floating charge creditors to ensure that some funds are left over to pay unsecured claims.</w:t>
      </w:r>
    </w:p>
    <w:p w14:paraId="7D433AB4" w14:textId="172FF7D1" w:rsidR="00E65307" w:rsidRDefault="00E65307" w:rsidP="00FF5098">
      <w:pPr>
        <w:jc w:val="both"/>
        <w:rPr>
          <w:rFonts w:ascii="Arial" w:hAnsi="Arial" w:cs="Arial"/>
          <w:color w:val="7B7B7B" w:themeColor="accent3" w:themeShade="BF"/>
          <w:sz w:val="22"/>
          <w:szCs w:val="22"/>
          <w:lang w:val="en-GB"/>
        </w:rPr>
      </w:pPr>
    </w:p>
    <w:p w14:paraId="2642BA1C" w14:textId="12EAC462" w:rsidR="00E65307" w:rsidRDefault="00E65307"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Finally, unsecured creditors are at the back of the queue.  These are ordinary creditors whose claims are neither reinforced by security nor given a statutory preference.  Often these creditors will be</w:t>
      </w:r>
      <w:r w:rsidR="00680D66">
        <w:rPr>
          <w:rFonts w:ascii="Arial" w:hAnsi="Arial" w:cs="Arial"/>
          <w:color w:val="7B7B7B" w:themeColor="accent3" w:themeShade="BF"/>
          <w:sz w:val="22"/>
          <w:szCs w:val="22"/>
          <w:lang w:val="en-GB"/>
        </w:rPr>
        <w:t xml:space="preserve"> trade</w:t>
      </w:r>
      <w:r>
        <w:rPr>
          <w:rFonts w:ascii="Arial" w:hAnsi="Arial" w:cs="Arial"/>
          <w:color w:val="7B7B7B" w:themeColor="accent3" w:themeShade="BF"/>
          <w:sz w:val="22"/>
          <w:szCs w:val="22"/>
          <w:lang w:val="en-GB"/>
        </w:rPr>
        <w:t xml:space="preserve"> suppliers of the insolvent company or, in the case of a smaller company, </w:t>
      </w:r>
      <w:r w:rsidR="00680D66">
        <w:rPr>
          <w:rFonts w:ascii="Arial" w:hAnsi="Arial" w:cs="Arial"/>
          <w:color w:val="7B7B7B" w:themeColor="accent3" w:themeShade="BF"/>
          <w:sz w:val="22"/>
          <w:szCs w:val="22"/>
          <w:lang w:val="en-GB"/>
        </w:rPr>
        <w:t xml:space="preserve">they may include </w:t>
      </w:r>
      <w:r>
        <w:rPr>
          <w:rFonts w:ascii="Arial" w:hAnsi="Arial" w:cs="Arial"/>
          <w:color w:val="7B7B7B" w:themeColor="accent3" w:themeShade="BF"/>
          <w:sz w:val="22"/>
          <w:szCs w:val="22"/>
          <w:lang w:val="en-GB"/>
        </w:rPr>
        <w:t>the business owner in a personal capacity, or his family or friends, who have lent money to the company without taking security.</w:t>
      </w:r>
    </w:p>
    <w:p w14:paraId="4D409C5C" w14:textId="42BB5B40" w:rsidR="008F0970" w:rsidRDefault="008F0970" w:rsidP="00FF5098">
      <w:pPr>
        <w:jc w:val="both"/>
        <w:rPr>
          <w:rFonts w:ascii="Arial" w:hAnsi="Arial" w:cs="Arial"/>
          <w:color w:val="7B7B7B" w:themeColor="accent3" w:themeShade="BF"/>
          <w:sz w:val="22"/>
          <w:szCs w:val="22"/>
          <w:lang w:val="en-GB"/>
        </w:rPr>
      </w:pPr>
    </w:p>
    <w:p w14:paraId="28A87A52" w14:textId="469AE49F" w:rsidR="008F0970" w:rsidRPr="00FF5098" w:rsidRDefault="008F0970"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any money is left over after all liabilities have been paid off (i.e. if the company was solvent), the surplus will be distributed to the shareholders.</w:t>
      </w:r>
    </w:p>
    <w:p w14:paraId="3DAA6780" w14:textId="35F146A0" w:rsidR="00962045" w:rsidRDefault="0096204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r w:rsidR="00891690">
        <w:rPr>
          <w:rFonts w:ascii="Arial" w:hAnsi="Arial" w:cs="Arial"/>
        </w:rPr>
        <w:t xml:space="preserve">Corfee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lastRenderedPageBreak/>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authorised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0A188A55" w14:textId="2B92B1C5" w:rsidR="00FF5098" w:rsidRDefault="00032EE0"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two central issues which arise in relation to the floating charge are: (1) was it a preference which is open to challenge under section 239 of the 1986 Act; and (2) is it an avoidable under section 245 of the 1986 Act?</w:t>
      </w:r>
    </w:p>
    <w:p w14:paraId="35BAAD6B" w14:textId="559BB1B5" w:rsidR="00032EE0" w:rsidRDefault="00032EE0" w:rsidP="00FF5098">
      <w:pPr>
        <w:jc w:val="both"/>
        <w:rPr>
          <w:rFonts w:ascii="Arial" w:hAnsi="Arial" w:cs="Arial"/>
          <w:color w:val="7B7B7B" w:themeColor="accent3" w:themeShade="BF"/>
          <w:sz w:val="22"/>
          <w:szCs w:val="22"/>
          <w:lang w:val="en-GB"/>
        </w:rPr>
      </w:pPr>
    </w:p>
    <w:p w14:paraId="50FD4804" w14:textId="096E7EBE" w:rsidR="00032EE0" w:rsidRDefault="00032EE0"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Granting Stercus Bank a floating charge might appear at first sight to prefer the Bank, compared with the position the Bank would have been in as an unsecured creditor.  But a challenge under section 239 would face a number of difficulties.  Firstly, whilst the Company must have intended to prefer the Bank by granting it a debenture, it is far from clear on the limited evidence provided in the question that the Company desired to prefer the Bank</w:t>
      </w:r>
      <w:r w:rsidR="00F37934">
        <w:rPr>
          <w:rFonts w:ascii="Arial" w:hAnsi="Arial" w:cs="Arial"/>
          <w:color w:val="7B7B7B" w:themeColor="accent3" w:themeShade="BF"/>
          <w:sz w:val="22"/>
          <w:szCs w:val="22"/>
          <w:lang w:val="en-GB"/>
        </w:rPr>
        <w:t xml:space="preserve"> (section 239(5))</w:t>
      </w:r>
      <w:r>
        <w:rPr>
          <w:rFonts w:ascii="Arial" w:hAnsi="Arial" w:cs="Arial"/>
          <w:color w:val="7B7B7B" w:themeColor="accent3" w:themeShade="BF"/>
          <w:sz w:val="22"/>
          <w:szCs w:val="22"/>
          <w:lang w:val="en-GB"/>
        </w:rPr>
        <w:t xml:space="preserve">.  On the facts provided, the opposite seems to be the case; the Bank demanded the debenture as a condition of not calling in its debt in February 2021.  While the evidence is limited, it seems most likely that the Company granted the debenture </w:t>
      </w:r>
      <w:r w:rsidR="00F37934">
        <w:rPr>
          <w:rFonts w:ascii="Arial" w:hAnsi="Arial" w:cs="Arial"/>
          <w:color w:val="7B7B7B" w:themeColor="accent3" w:themeShade="BF"/>
          <w:sz w:val="22"/>
          <w:szCs w:val="22"/>
          <w:lang w:val="en-GB"/>
        </w:rPr>
        <w:t xml:space="preserve">in order to prevent the Bank calling in the Company’s debt in February and potentially triggering an insolvency.  That may fall within the reasoning of </w:t>
      </w:r>
      <w:r w:rsidR="00F37934">
        <w:rPr>
          <w:rFonts w:ascii="Arial" w:hAnsi="Arial" w:cs="Arial"/>
          <w:i/>
          <w:iCs/>
          <w:color w:val="7B7B7B" w:themeColor="accent3" w:themeShade="BF"/>
          <w:sz w:val="22"/>
          <w:szCs w:val="22"/>
          <w:lang w:val="en-GB"/>
        </w:rPr>
        <w:t xml:space="preserve">Re MC Bacon Ltd </w:t>
      </w:r>
      <w:r w:rsidR="00F37934">
        <w:rPr>
          <w:rFonts w:ascii="Arial" w:hAnsi="Arial" w:cs="Arial"/>
          <w:color w:val="7B7B7B" w:themeColor="accent3" w:themeShade="BF"/>
          <w:sz w:val="22"/>
          <w:szCs w:val="22"/>
          <w:lang w:val="en-GB"/>
        </w:rPr>
        <w:t>[1990] B.C.C. 78 as an intention, not a desire, to prefer and therefore not a preference within section 239.  Secondly, the Bank appears to be unconnected to the Company (save the creditor-debtor relationship).  If that is correct, then the debenture agreement would fall outside the relevant period of 6 months prior to the onset of insolvency.  The onset of insolvency is defined in section 240(3)(e) as the date of commencement of the winding up; in this case, 23 December 2021.  On this basis also, the debenture agreement would fall outside section 239.</w:t>
      </w:r>
    </w:p>
    <w:p w14:paraId="4357F1D8" w14:textId="1FE5BE7E" w:rsidR="00F37934" w:rsidRDefault="00F37934" w:rsidP="00FF5098">
      <w:pPr>
        <w:jc w:val="both"/>
        <w:rPr>
          <w:rFonts w:ascii="Arial" w:hAnsi="Arial" w:cs="Arial"/>
          <w:color w:val="7B7B7B" w:themeColor="accent3" w:themeShade="BF"/>
          <w:sz w:val="22"/>
          <w:szCs w:val="22"/>
          <w:lang w:val="en-GB"/>
        </w:rPr>
      </w:pPr>
    </w:p>
    <w:p w14:paraId="4BC9A524" w14:textId="16481A39" w:rsidR="00F37934" w:rsidRPr="00F37934" w:rsidRDefault="00F37934"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a floating charge, it is possible that the debenture agreement might be avoidable under section 245.  Again, however, the tran</w:t>
      </w:r>
      <w:r w:rsidR="00B61682">
        <w:rPr>
          <w:rFonts w:ascii="Arial" w:hAnsi="Arial" w:cs="Arial"/>
          <w:color w:val="7B7B7B" w:themeColor="accent3" w:themeShade="BF"/>
          <w:sz w:val="22"/>
          <w:szCs w:val="22"/>
          <w:lang w:val="en-GB"/>
        </w:rPr>
        <w:t xml:space="preserve">saction appears to fall outside the relevant period as defined by section 245(3).  </w:t>
      </w:r>
      <w:r w:rsidR="009D1130">
        <w:rPr>
          <w:rFonts w:ascii="Arial" w:hAnsi="Arial" w:cs="Arial"/>
          <w:color w:val="7B7B7B" w:themeColor="accent3" w:themeShade="BF"/>
          <w:sz w:val="22"/>
          <w:szCs w:val="22"/>
          <w:lang w:val="en-GB"/>
        </w:rPr>
        <w:t>This is because, altho</w:t>
      </w:r>
      <w:r w:rsidR="00B61682">
        <w:rPr>
          <w:rFonts w:ascii="Arial" w:hAnsi="Arial" w:cs="Arial"/>
          <w:color w:val="7B7B7B" w:themeColor="accent3" w:themeShade="BF"/>
          <w:sz w:val="22"/>
          <w:szCs w:val="22"/>
          <w:lang w:val="en-GB"/>
        </w:rPr>
        <w:t>ugh the time frame is 12 months prior to the onset of insolvency and the transaction prima facie falls within that period,</w:t>
      </w:r>
      <w:r w:rsidR="009D1130">
        <w:rPr>
          <w:rFonts w:ascii="Arial" w:hAnsi="Arial" w:cs="Arial"/>
          <w:color w:val="7B7B7B" w:themeColor="accent3" w:themeShade="BF"/>
          <w:sz w:val="22"/>
          <w:szCs w:val="22"/>
          <w:lang w:val="en-GB"/>
        </w:rPr>
        <w:t xml:space="preserve"> subsection (4) provides that the “relevant time” only applies</w:t>
      </w:r>
      <w:r w:rsidR="00B61682">
        <w:rPr>
          <w:rFonts w:ascii="Arial" w:hAnsi="Arial" w:cs="Arial"/>
          <w:color w:val="7B7B7B" w:themeColor="accent3" w:themeShade="BF"/>
          <w:sz w:val="22"/>
          <w:szCs w:val="22"/>
          <w:lang w:val="en-GB"/>
        </w:rPr>
        <w:t xml:space="preserve"> </w:t>
      </w:r>
      <w:r w:rsidR="009D1130">
        <w:rPr>
          <w:rFonts w:ascii="Arial" w:hAnsi="Arial" w:cs="Arial"/>
          <w:color w:val="7B7B7B" w:themeColor="accent3" w:themeShade="BF"/>
          <w:sz w:val="22"/>
          <w:szCs w:val="22"/>
          <w:lang w:val="en-GB"/>
        </w:rPr>
        <w:t xml:space="preserve">if, at the time of making the debenture agreement the Company was unable to pay its debts within the meaning of section 123, or became unable to do so in consequence of the debenture transaction.  Although it seems likely that the Bank would have sought security because it was concerned about the Company’s financial position, there is little evidence to support the conclusion that the Company was insolvent in February </w:t>
      </w:r>
      <w:r w:rsidR="009D1130">
        <w:rPr>
          <w:rFonts w:ascii="Arial" w:hAnsi="Arial" w:cs="Arial"/>
          <w:color w:val="7B7B7B" w:themeColor="accent3" w:themeShade="BF"/>
          <w:sz w:val="22"/>
          <w:szCs w:val="22"/>
          <w:lang w:val="en-GB"/>
        </w:rPr>
        <w:lastRenderedPageBreak/>
        <w:t xml:space="preserve">2021 in the facts provided.  On that basis, I conclude that the debenture transaction falls outside section 245 and is </w:t>
      </w:r>
      <w:r w:rsidR="004D7323">
        <w:rPr>
          <w:rFonts w:ascii="Arial" w:hAnsi="Arial" w:cs="Arial"/>
          <w:color w:val="7B7B7B" w:themeColor="accent3" w:themeShade="BF"/>
          <w:sz w:val="22"/>
          <w:szCs w:val="22"/>
          <w:lang w:val="en-GB"/>
        </w:rPr>
        <w:t>not open to challenge under the 1986 Act</w:t>
      </w:r>
      <w:r w:rsidR="009D1130">
        <w:rPr>
          <w:rFonts w:ascii="Arial" w:hAnsi="Arial" w:cs="Arial"/>
          <w:color w:val="7B7B7B" w:themeColor="accent3" w:themeShade="BF"/>
          <w:sz w:val="22"/>
          <w:szCs w:val="22"/>
          <w:lang w:val="en-GB"/>
        </w:rPr>
        <w:t>.</w:t>
      </w:r>
    </w:p>
    <w:p w14:paraId="74C366AC" w14:textId="25CFC8A3" w:rsidR="007E2919" w:rsidRDefault="007E2919" w:rsidP="007E2919">
      <w:pPr>
        <w:rPr>
          <w:rFonts w:ascii="Arial" w:hAnsi="Arial" w:cs="Arial"/>
          <w:b/>
          <w:sz w:val="24"/>
        </w:rPr>
      </w:pP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02B9C4FF" w14:textId="1A97D3B1" w:rsidR="00FF5098" w:rsidRDefault="0088294E"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three issues which arise for consideration in relation to the coffee machine sale are (1) transaction at an undervalue under section 238 of the 1986 Act; (2) the linked issue of a transaction to defraud creditors under section 423; and (3) a breach of Ann’s director’s duties which might make her liable to account to the Company.</w:t>
      </w:r>
    </w:p>
    <w:p w14:paraId="4DA0DE74" w14:textId="2F82E7FA" w:rsidR="0088294E" w:rsidRDefault="0088294E" w:rsidP="00FF5098">
      <w:pPr>
        <w:jc w:val="both"/>
        <w:rPr>
          <w:rFonts w:ascii="Arial" w:hAnsi="Arial" w:cs="Arial"/>
          <w:color w:val="7B7B7B" w:themeColor="accent3" w:themeShade="BF"/>
          <w:sz w:val="22"/>
          <w:szCs w:val="22"/>
          <w:lang w:val="en-GB"/>
        </w:rPr>
      </w:pPr>
    </w:p>
    <w:p w14:paraId="2A9E6C63" w14:textId="7E2FA9E5" w:rsidR="00AC16D3" w:rsidRDefault="0088294E"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coffee machine sale could be a transaction at an undervalue if the sale was at significantly less than the market value on the date of the sale.  This is a difficult question to answer, because in any “fire sale” situation, a seller expects to lower the sale price.  Even taking that into account, a discount of 60% on the price a year before seems open to question.  The liquidator would need to obtain evidence of the value of the machines in July 2021.  If the discount to Ann was significant (which has been </w:t>
      </w:r>
      <w:r w:rsidR="006133DE">
        <w:rPr>
          <w:rFonts w:ascii="Arial" w:hAnsi="Arial" w:cs="Arial"/>
          <w:color w:val="7B7B7B" w:themeColor="accent3" w:themeShade="BF"/>
          <w:sz w:val="22"/>
          <w:szCs w:val="22"/>
          <w:lang w:val="en-GB"/>
        </w:rPr>
        <w:t xml:space="preserve">established </w:t>
      </w:r>
      <w:r>
        <w:rPr>
          <w:rFonts w:ascii="Arial" w:hAnsi="Arial" w:cs="Arial"/>
          <w:color w:val="7B7B7B" w:themeColor="accent3" w:themeShade="BF"/>
          <w:sz w:val="22"/>
          <w:szCs w:val="22"/>
          <w:lang w:val="en-GB"/>
        </w:rPr>
        <w:t xml:space="preserve">in other cases </w:t>
      </w:r>
      <w:r w:rsidR="006133DE">
        <w:rPr>
          <w:rFonts w:ascii="Arial" w:hAnsi="Arial" w:cs="Arial"/>
          <w:color w:val="7B7B7B" w:themeColor="accent3" w:themeShade="BF"/>
          <w:sz w:val="22"/>
          <w:szCs w:val="22"/>
          <w:lang w:val="en-GB"/>
        </w:rPr>
        <w:t xml:space="preserve">where </w:t>
      </w:r>
      <w:r>
        <w:rPr>
          <w:rFonts w:ascii="Arial" w:hAnsi="Arial" w:cs="Arial"/>
          <w:color w:val="7B7B7B" w:themeColor="accent3" w:themeShade="BF"/>
          <w:sz w:val="22"/>
          <w:szCs w:val="22"/>
          <w:lang w:val="en-GB"/>
        </w:rPr>
        <w:t xml:space="preserve">a discount of </w:t>
      </w:r>
      <w:r w:rsidR="006133DE">
        <w:rPr>
          <w:rFonts w:ascii="Arial" w:hAnsi="Arial" w:cs="Arial"/>
          <w:color w:val="7B7B7B" w:themeColor="accent3" w:themeShade="BF"/>
          <w:sz w:val="22"/>
          <w:szCs w:val="22"/>
          <w:lang w:val="en-GB"/>
        </w:rPr>
        <w:t>20% was applied) then the sale could be open to challenge.  The sale falls within the relevant period of 2 years prior to the commencement of the liquidation.  One area of uncertainty is whether the liquidator could establish that, at the time of the sale, the Company was unable to pay its debts within section 123 or the Company became insolvent as a result of the transaction.  On the information provided in the question, that seems open to question, because the winding up petition was not presented until 14 October 2021.  Since Ann is a director, however, and therefore a person connected with the Company, it will be presumed that one of these criteria was met at the time of the transaction unless Ann can prove the contrary.</w:t>
      </w:r>
      <w:r w:rsidR="00AC16D3">
        <w:rPr>
          <w:rFonts w:ascii="Arial" w:hAnsi="Arial" w:cs="Arial"/>
          <w:color w:val="7B7B7B" w:themeColor="accent3" w:themeShade="BF"/>
          <w:sz w:val="22"/>
          <w:szCs w:val="22"/>
          <w:lang w:val="en-GB"/>
        </w:rPr>
        <w:t xml:space="preserve">  Ann may be able to defend the transaction under section 238(5) – a transaction in good faith for the purpose of carrying on the Company’s business, with reasonable grounds for believing it would benefit the Company.  To say anything more on this defence would be speculative. </w:t>
      </w:r>
    </w:p>
    <w:p w14:paraId="0595A337" w14:textId="58A3338B" w:rsidR="00AC16D3" w:rsidRDefault="00AC16D3" w:rsidP="00FF5098">
      <w:pPr>
        <w:jc w:val="both"/>
        <w:rPr>
          <w:rFonts w:ascii="Arial" w:hAnsi="Arial" w:cs="Arial"/>
          <w:color w:val="7B7B7B" w:themeColor="accent3" w:themeShade="BF"/>
          <w:sz w:val="22"/>
          <w:szCs w:val="22"/>
          <w:lang w:val="en-GB"/>
        </w:rPr>
      </w:pPr>
    </w:p>
    <w:p w14:paraId="07FD4F0A" w14:textId="70846C0A" w:rsidR="00AC16D3" w:rsidRDefault="00AC16D3"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second issue, which is closely linked to the first, is a transaction to defraud creditors, which is challengeable under section 423 where the liquidator can establish a transaction at an undervalue </w:t>
      </w:r>
      <w:r w:rsidRPr="00AC16D3">
        <w:rPr>
          <w:rFonts w:ascii="Arial" w:hAnsi="Arial" w:cs="Arial"/>
          <w:color w:val="7B7B7B" w:themeColor="accent3" w:themeShade="BF"/>
          <w:sz w:val="22"/>
          <w:szCs w:val="22"/>
          <w:u w:val="single"/>
          <w:lang w:val="en-GB"/>
        </w:rPr>
        <w:t>and</w:t>
      </w:r>
      <w:r>
        <w:rPr>
          <w:rFonts w:ascii="Arial" w:hAnsi="Arial" w:cs="Arial"/>
          <w:color w:val="7B7B7B" w:themeColor="accent3" w:themeShade="BF"/>
          <w:sz w:val="22"/>
          <w:szCs w:val="22"/>
          <w:lang w:val="en-GB"/>
        </w:rPr>
        <w:t xml:space="preserve"> the transaction was entered into for the purpose of either putting assets beyond the reach of the Company’s creditors or otherwise prejudicing them.  There is no evidence in the facts provided to suggest that this is the case</w:t>
      </w:r>
      <w:r w:rsidR="00C63D7B">
        <w:rPr>
          <w:rFonts w:ascii="Arial" w:hAnsi="Arial" w:cs="Arial"/>
          <w:color w:val="7B7B7B" w:themeColor="accent3" w:themeShade="BF"/>
          <w:sz w:val="22"/>
          <w:szCs w:val="22"/>
          <w:lang w:val="en-GB"/>
        </w:rPr>
        <w:t>.</w:t>
      </w:r>
    </w:p>
    <w:p w14:paraId="2331B565" w14:textId="45089D9C" w:rsidR="00C63D7B" w:rsidRDefault="00C63D7B" w:rsidP="00FF5098">
      <w:pPr>
        <w:jc w:val="both"/>
        <w:rPr>
          <w:rFonts w:ascii="Arial" w:hAnsi="Arial" w:cs="Arial"/>
          <w:color w:val="7B7B7B" w:themeColor="accent3" w:themeShade="BF"/>
          <w:sz w:val="22"/>
          <w:szCs w:val="22"/>
          <w:lang w:val="en-GB"/>
        </w:rPr>
      </w:pPr>
    </w:p>
    <w:p w14:paraId="7693532B" w14:textId="78D95159" w:rsidR="00C63D7B" w:rsidRPr="00FF5098" w:rsidRDefault="00C63D7B"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third issue</w:t>
      </w:r>
      <w:r w:rsidR="007A6C5D">
        <w:rPr>
          <w:rFonts w:ascii="Arial" w:hAnsi="Arial" w:cs="Arial"/>
          <w:color w:val="7B7B7B" w:themeColor="accent3" w:themeShade="BF"/>
          <w:sz w:val="22"/>
          <w:szCs w:val="22"/>
          <w:lang w:val="en-GB"/>
        </w:rPr>
        <w:t xml:space="preserve"> is a breach of Ann’s fiduciary duties.  Again, there is little to go on in terms of facts, but if, for example, Ann had quickly sold on the machines at a significant profit, she could be liable to account to the Company for that profit</w:t>
      </w:r>
      <w:r w:rsidR="00F3342D">
        <w:rPr>
          <w:rFonts w:ascii="Arial" w:hAnsi="Arial" w:cs="Arial"/>
          <w:color w:val="7B7B7B" w:themeColor="accent3" w:themeShade="BF"/>
          <w:sz w:val="22"/>
          <w:szCs w:val="22"/>
          <w:lang w:val="en-GB"/>
        </w:rPr>
        <w:t>, depending on the facts</w:t>
      </w:r>
      <w:r w:rsidR="007A6C5D">
        <w:rPr>
          <w:rFonts w:ascii="Arial" w:hAnsi="Arial" w:cs="Arial"/>
          <w:color w:val="7B7B7B" w:themeColor="accent3" w:themeShade="BF"/>
          <w:sz w:val="22"/>
          <w:szCs w:val="22"/>
          <w:lang w:val="en-GB"/>
        </w:rPr>
        <w:t>.</w:t>
      </w:r>
    </w:p>
    <w:p w14:paraId="7AEDE530" w14:textId="4A0A9477" w:rsidR="00311816" w:rsidRDefault="00311816" w:rsidP="00311816">
      <w:pPr>
        <w:autoSpaceDE w:val="0"/>
        <w:autoSpaceDN w:val="0"/>
        <w:adjustRightInd w:val="0"/>
        <w:jc w:val="both"/>
        <w:rPr>
          <w:rFonts w:ascii="Arial" w:hAnsi="Arial" w:cs="Arial"/>
          <w:color w:val="7B7B7B" w:themeColor="accent3" w:themeShade="BF"/>
          <w:sz w:val="22"/>
          <w:szCs w:val="22"/>
          <w:lang w:val="en-GB"/>
        </w:rPr>
      </w:pP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1B5E2F08" w14:textId="19573AB5" w:rsidR="002D3473" w:rsidRDefault="00F26DE0" w:rsidP="00F26DE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£8,000 payment to Beans and Leaves (B&amp;L) could be a preference which could be clawed back under section 239 (see above).  As it was only a month before the insolvency, it would be within the relevant time.  The central issue on that challenge would likely be whether there was desire, as opposed to an intention, to prefer.  That is a fact-sensitive question and there is little evidence in the question to assist with its determination, but it seems more likely that there was a desire to obtain further supplies of coffee beans rather than to prefer B&amp;L. </w:t>
      </w:r>
    </w:p>
    <w:p w14:paraId="21B39401" w14:textId="01419F31" w:rsidR="00F26DE0" w:rsidRDefault="00F26DE0" w:rsidP="00F26DE0">
      <w:pPr>
        <w:jc w:val="both"/>
        <w:rPr>
          <w:rFonts w:ascii="Arial" w:hAnsi="Arial" w:cs="Arial"/>
          <w:color w:val="7B7B7B" w:themeColor="accent3" w:themeShade="BF"/>
          <w:sz w:val="22"/>
          <w:szCs w:val="22"/>
          <w:lang w:val="en-GB"/>
        </w:rPr>
      </w:pPr>
    </w:p>
    <w:p w14:paraId="7F4867F4" w14:textId="686F8C16" w:rsidR="008769B2" w:rsidRPr="00BE06D3" w:rsidRDefault="00F26DE0" w:rsidP="00BE06D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Whether B&amp;L was entitled to renegotiate payment terms to cash on delivery would depend on the nature of the supply contract.  It seems most likely that each delivery was an individual contract, since the quantities required by the Company month to month could be expected to vary considerably.  If each supply contract was a new contract, then there would be no impediment to requiring cash on delivery and that is the approach one would expect a supplier to a company on the brink of insolvency to take. </w:t>
      </w:r>
      <w:r w:rsidR="005F130C">
        <w:rPr>
          <w:rFonts w:ascii="Arial" w:hAnsi="Arial" w:cs="Arial"/>
          <w:color w:val="7B7B7B" w:themeColor="accent3" w:themeShade="BF"/>
          <w:sz w:val="22"/>
          <w:szCs w:val="22"/>
          <w:lang w:val="en-GB"/>
        </w:rPr>
        <w:t xml:space="preserve"> If, contrary to the foregoing, it was a long-term supply contract with prescribed pricing, payment terms and quantities, then section </w:t>
      </w:r>
      <w:r w:rsidR="00BE06D3">
        <w:rPr>
          <w:rFonts w:ascii="Arial" w:hAnsi="Arial" w:cs="Arial"/>
          <w:color w:val="7B7B7B" w:themeColor="accent3" w:themeShade="BF"/>
          <w:sz w:val="22"/>
          <w:szCs w:val="22"/>
          <w:lang w:val="en-GB"/>
        </w:rPr>
        <w:t>233B(3)(b) would arise for consideration.  Section 233B could prevent B&amp;L from renegotiating the supply contract.  However that section is focussed on ipso facto clauses.  The facts provided in the question make no mention of any such clause.  Moreover, section 233B operates in relation to clauses triggered by or exercisable upon an insolvency event.  So far as I understand, the renegotiation occurred a month before the relevant insolvency event in this case – the commencement of liquidation on 23 December 2021.  It is therefore difficult to see how section 233B would apply on the facts of this case and, if the £8,000 payment and renegotiation is not a preference (which seems unlikely), it appears to be above challenge.</w:t>
      </w: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2D009" w14:textId="77777777" w:rsidR="00DC5E36" w:rsidRDefault="00DC5E36" w:rsidP="00241B44">
      <w:r>
        <w:separator/>
      </w:r>
    </w:p>
  </w:endnote>
  <w:endnote w:type="continuationSeparator" w:id="0">
    <w:p w14:paraId="1C7264CA" w14:textId="77777777" w:rsidR="00DC5E36" w:rsidRDefault="00DC5E3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18774379" w:rsidR="00241FA3" w:rsidRPr="009B4976" w:rsidRDefault="007C1351" w:rsidP="009B4976">
    <w:pPr>
      <w:pStyle w:val="Footer"/>
      <w:ind w:right="360"/>
      <w:rPr>
        <w:rFonts w:ascii="Arial" w:hAnsi="Arial" w:cs="Arial"/>
        <w:sz w:val="18"/>
        <w:szCs w:val="18"/>
        <w:lang w:val="en-GB"/>
      </w:rPr>
    </w:pPr>
    <w:r w:rsidRPr="007C1351">
      <w:rPr>
        <w:rFonts w:ascii="Arial" w:hAnsi="Arial" w:cs="Arial"/>
        <w:sz w:val="18"/>
        <w:szCs w:val="18"/>
        <w:lang w:val="en-GB"/>
      </w:rPr>
      <w:t>202122-577</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65F96" w14:textId="77777777" w:rsidR="00DC5E36" w:rsidRDefault="00DC5E36" w:rsidP="00241B44">
      <w:r>
        <w:separator/>
      </w:r>
    </w:p>
  </w:footnote>
  <w:footnote w:type="continuationSeparator" w:id="0">
    <w:p w14:paraId="2DF52C07" w14:textId="77777777" w:rsidR="00DC5E36" w:rsidRDefault="00DC5E3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70063F"/>
    <w:multiLevelType w:val="hybridMultilevel"/>
    <w:tmpl w:val="3A94CE6C"/>
    <w:lvl w:ilvl="0" w:tplc="2A241D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4"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8"/>
  </w:num>
  <w:num w:numId="5">
    <w:abstractNumId w:val="11"/>
  </w:num>
  <w:num w:numId="6">
    <w:abstractNumId w:val="2"/>
  </w:num>
  <w:num w:numId="7">
    <w:abstractNumId w:val="12"/>
  </w:num>
  <w:num w:numId="8">
    <w:abstractNumId w:val="16"/>
  </w:num>
  <w:num w:numId="9">
    <w:abstractNumId w:val="9"/>
  </w:num>
  <w:num w:numId="10">
    <w:abstractNumId w:val="17"/>
  </w:num>
  <w:num w:numId="11">
    <w:abstractNumId w:val="5"/>
  </w:num>
  <w:num w:numId="12">
    <w:abstractNumId w:val="14"/>
  </w:num>
  <w:num w:numId="13">
    <w:abstractNumId w:val="10"/>
  </w:num>
  <w:num w:numId="14">
    <w:abstractNumId w:val="4"/>
  </w:num>
  <w:num w:numId="15">
    <w:abstractNumId w:val="13"/>
  </w:num>
  <w:num w:numId="16">
    <w:abstractNumId w:val="15"/>
  </w:num>
  <w:num w:numId="17">
    <w:abstractNumId w:val="7"/>
  </w:num>
  <w:num w:numId="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2EE0"/>
    <w:rsid w:val="00037621"/>
    <w:rsid w:val="00044D46"/>
    <w:rsid w:val="00045088"/>
    <w:rsid w:val="00045904"/>
    <w:rsid w:val="000460A7"/>
    <w:rsid w:val="000502FD"/>
    <w:rsid w:val="00065166"/>
    <w:rsid w:val="00082609"/>
    <w:rsid w:val="000851CC"/>
    <w:rsid w:val="00086943"/>
    <w:rsid w:val="00087F21"/>
    <w:rsid w:val="000903D2"/>
    <w:rsid w:val="00093BE8"/>
    <w:rsid w:val="000A0626"/>
    <w:rsid w:val="000A407B"/>
    <w:rsid w:val="000A68ED"/>
    <w:rsid w:val="000B5FF1"/>
    <w:rsid w:val="000B609F"/>
    <w:rsid w:val="000D10C6"/>
    <w:rsid w:val="000D55A8"/>
    <w:rsid w:val="000E4841"/>
    <w:rsid w:val="000F0F52"/>
    <w:rsid w:val="000F1677"/>
    <w:rsid w:val="000F3D6C"/>
    <w:rsid w:val="00101707"/>
    <w:rsid w:val="00102CC9"/>
    <w:rsid w:val="0010593A"/>
    <w:rsid w:val="0011473D"/>
    <w:rsid w:val="00115C85"/>
    <w:rsid w:val="00123855"/>
    <w:rsid w:val="00126A4D"/>
    <w:rsid w:val="0014171F"/>
    <w:rsid w:val="00145DD5"/>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04E"/>
    <w:rsid w:val="00202DFE"/>
    <w:rsid w:val="0020725B"/>
    <w:rsid w:val="002110F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5037"/>
    <w:rsid w:val="0029690F"/>
    <w:rsid w:val="00297C8A"/>
    <w:rsid w:val="002A2A60"/>
    <w:rsid w:val="002A37BB"/>
    <w:rsid w:val="002A585A"/>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42461"/>
    <w:rsid w:val="00361A0A"/>
    <w:rsid w:val="00364836"/>
    <w:rsid w:val="0036565C"/>
    <w:rsid w:val="0036625E"/>
    <w:rsid w:val="0037465A"/>
    <w:rsid w:val="00382C98"/>
    <w:rsid w:val="0038533C"/>
    <w:rsid w:val="00386568"/>
    <w:rsid w:val="00390B57"/>
    <w:rsid w:val="003948D5"/>
    <w:rsid w:val="00396821"/>
    <w:rsid w:val="00397D3A"/>
    <w:rsid w:val="003A051E"/>
    <w:rsid w:val="003A4482"/>
    <w:rsid w:val="003B170F"/>
    <w:rsid w:val="003B3C5F"/>
    <w:rsid w:val="003C4471"/>
    <w:rsid w:val="003D0A6D"/>
    <w:rsid w:val="003E0B16"/>
    <w:rsid w:val="003E67D1"/>
    <w:rsid w:val="004010F8"/>
    <w:rsid w:val="00404329"/>
    <w:rsid w:val="00405DC1"/>
    <w:rsid w:val="00405F6A"/>
    <w:rsid w:val="004079DC"/>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3A7E"/>
    <w:rsid w:val="004A57DD"/>
    <w:rsid w:val="004A7B51"/>
    <w:rsid w:val="004A7D71"/>
    <w:rsid w:val="004A7EF3"/>
    <w:rsid w:val="004B11FD"/>
    <w:rsid w:val="004B23A2"/>
    <w:rsid w:val="004D1A5A"/>
    <w:rsid w:val="004D2FFF"/>
    <w:rsid w:val="004D3721"/>
    <w:rsid w:val="004D64F9"/>
    <w:rsid w:val="004D7323"/>
    <w:rsid w:val="004E3A6B"/>
    <w:rsid w:val="004E622C"/>
    <w:rsid w:val="004F5FDF"/>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94C6A"/>
    <w:rsid w:val="005A0CCA"/>
    <w:rsid w:val="005A1083"/>
    <w:rsid w:val="005A22D0"/>
    <w:rsid w:val="005A6FF2"/>
    <w:rsid w:val="005A726D"/>
    <w:rsid w:val="005B67AC"/>
    <w:rsid w:val="005B79F4"/>
    <w:rsid w:val="005D16DD"/>
    <w:rsid w:val="005D3391"/>
    <w:rsid w:val="005D43E0"/>
    <w:rsid w:val="005D58A3"/>
    <w:rsid w:val="005E1B79"/>
    <w:rsid w:val="005E41C7"/>
    <w:rsid w:val="005E6076"/>
    <w:rsid w:val="005E7008"/>
    <w:rsid w:val="005F026D"/>
    <w:rsid w:val="005F130C"/>
    <w:rsid w:val="005F2AEA"/>
    <w:rsid w:val="005F2D0B"/>
    <w:rsid w:val="005F4B31"/>
    <w:rsid w:val="0060353A"/>
    <w:rsid w:val="0060459E"/>
    <w:rsid w:val="00610388"/>
    <w:rsid w:val="00610AC7"/>
    <w:rsid w:val="00612CA5"/>
    <w:rsid w:val="006133DE"/>
    <w:rsid w:val="006153EC"/>
    <w:rsid w:val="00621A17"/>
    <w:rsid w:val="00627CC9"/>
    <w:rsid w:val="00627E7B"/>
    <w:rsid w:val="00630542"/>
    <w:rsid w:val="00632E44"/>
    <w:rsid w:val="00634622"/>
    <w:rsid w:val="00636808"/>
    <w:rsid w:val="00641515"/>
    <w:rsid w:val="00654C2F"/>
    <w:rsid w:val="00657087"/>
    <w:rsid w:val="006624AB"/>
    <w:rsid w:val="006639DB"/>
    <w:rsid w:val="006661EF"/>
    <w:rsid w:val="00677AEB"/>
    <w:rsid w:val="00680D66"/>
    <w:rsid w:val="00680EF2"/>
    <w:rsid w:val="00687A1D"/>
    <w:rsid w:val="00697EA1"/>
    <w:rsid w:val="006A2646"/>
    <w:rsid w:val="006A6530"/>
    <w:rsid w:val="006B435A"/>
    <w:rsid w:val="006B4C64"/>
    <w:rsid w:val="006D282B"/>
    <w:rsid w:val="006D6BD5"/>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764D"/>
    <w:rsid w:val="0077498C"/>
    <w:rsid w:val="007809BC"/>
    <w:rsid w:val="00784128"/>
    <w:rsid w:val="00787BCC"/>
    <w:rsid w:val="00793173"/>
    <w:rsid w:val="007A2A33"/>
    <w:rsid w:val="007A5171"/>
    <w:rsid w:val="007A6C5D"/>
    <w:rsid w:val="007B5C89"/>
    <w:rsid w:val="007C1351"/>
    <w:rsid w:val="007C1FCC"/>
    <w:rsid w:val="007C5DCC"/>
    <w:rsid w:val="007C6201"/>
    <w:rsid w:val="007D1065"/>
    <w:rsid w:val="007D7C92"/>
    <w:rsid w:val="007E1154"/>
    <w:rsid w:val="007E2919"/>
    <w:rsid w:val="007E2D96"/>
    <w:rsid w:val="007E46A8"/>
    <w:rsid w:val="007E6BA4"/>
    <w:rsid w:val="007F41F8"/>
    <w:rsid w:val="007F659B"/>
    <w:rsid w:val="0080441E"/>
    <w:rsid w:val="0080454E"/>
    <w:rsid w:val="00804C32"/>
    <w:rsid w:val="00806302"/>
    <w:rsid w:val="00807119"/>
    <w:rsid w:val="0082483F"/>
    <w:rsid w:val="008279C0"/>
    <w:rsid w:val="00836288"/>
    <w:rsid w:val="00842587"/>
    <w:rsid w:val="008553C2"/>
    <w:rsid w:val="00867701"/>
    <w:rsid w:val="008723F3"/>
    <w:rsid w:val="008769B2"/>
    <w:rsid w:val="00876F56"/>
    <w:rsid w:val="00881DE6"/>
    <w:rsid w:val="0088294E"/>
    <w:rsid w:val="008837A6"/>
    <w:rsid w:val="0089145D"/>
    <w:rsid w:val="00891690"/>
    <w:rsid w:val="008A4DF2"/>
    <w:rsid w:val="008A6CFE"/>
    <w:rsid w:val="008B5333"/>
    <w:rsid w:val="008B6223"/>
    <w:rsid w:val="008B72B8"/>
    <w:rsid w:val="008C66E0"/>
    <w:rsid w:val="008D1616"/>
    <w:rsid w:val="008E3339"/>
    <w:rsid w:val="008F0970"/>
    <w:rsid w:val="008F20FC"/>
    <w:rsid w:val="008F5FFE"/>
    <w:rsid w:val="00905A43"/>
    <w:rsid w:val="00912C79"/>
    <w:rsid w:val="00921B8C"/>
    <w:rsid w:val="00924DAF"/>
    <w:rsid w:val="00931D14"/>
    <w:rsid w:val="00942123"/>
    <w:rsid w:val="00951AA8"/>
    <w:rsid w:val="0095207B"/>
    <w:rsid w:val="00962045"/>
    <w:rsid w:val="00973D8C"/>
    <w:rsid w:val="00980E61"/>
    <w:rsid w:val="00991428"/>
    <w:rsid w:val="00992676"/>
    <w:rsid w:val="009954B2"/>
    <w:rsid w:val="00996691"/>
    <w:rsid w:val="009A3AB7"/>
    <w:rsid w:val="009A743B"/>
    <w:rsid w:val="009B0723"/>
    <w:rsid w:val="009B07AD"/>
    <w:rsid w:val="009B0883"/>
    <w:rsid w:val="009B15E2"/>
    <w:rsid w:val="009B4976"/>
    <w:rsid w:val="009C0B8E"/>
    <w:rsid w:val="009C1BC8"/>
    <w:rsid w:val="009C2442"/>
    <w:rsid w:val="009D0811"/>
    <w:rsid w:val="009D0EE1"/>
    <w:rsid w:val="009D1130"/>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45F5"/>
    <w:rsid w:val="00A94A3C"/>
    <w:rsid w:val="00A96489"/>
    <w:rsid w:val="00AB2425"/>
    <w:rsid w:val="00AB685C"/>
    <w:rsid w:val="00AB6C2D"/>
    <w:rsid w:val="00AC08F7"/>
    <w:rsid w:val="00AC16D3"/>
    <w:rsid w:val="00AC317D"/>
    <w:rsid w:val="00AC3839"/>
    <w:rsid w:val="00AC7082"/>
    <w:rsid w:val="00AD4BE8"/>
    <w:rsid w:val="00AE5B6F"/>
    <w:rsid w:val="00AF228E"/>
    <w:rsid w:val="00B016A8"/>
    <w:rsid w:val="00B04033"/>
    <w:rsid w:val="00B14819"/>
    <w:rsid w:val="00B15CC8"/>
    <w:rsid w:val="00B15E2F"/>
    <w:rsid w:val="00B17AA9"/>
    <w:rsid w:val="00B44713"/>
    <w:rsid w:val="00B51B95"/>
    <w:rsid w:val="00B56103"/>
    <w:rsid w:val="00B61682"/>
    <w:rsid w:val="00B64929"/>
    <w:rsid w:val="00B736DF"/>
    <w:rsid w:val="00B743D6"/>
    <w:rsid w:val="00B74FBD"/>
    <w:rsid w:val="00B77F46"/>
    <w:rsid w:val="00B8247C"/>
    <w:rsid w:val="00B82586"/>
    <w:rsid w:val="00B829A3"/>
    <w:rsid w:val="00B86DB1"/>
    <w:rsid w:val="00B87869"/>
    <w:rsid w:val="00B9626C"/>
    <w:rsid w:val="00B9639B"/>
    <w:rsid w:val="00BA1CFD"/>
    <w:rsid w:val="00BB0F2B"/>
    <w:rsid w:val="00BE06D3"/>
    <w:rsid w:val="00BE4FF3"/>
    <w:rsid w:val="00BF2C93"/>
    <w:rsid w:val="00BF50F7"/>
    <w:rsid w:val="00C02F29"/>
    <w:rsid w:val="00C17718"/>
    <w:rsid w:val="00C20AFE"/>
    <w:rsid w:val="00C22A25"/>
    <w:rsid w:val="00C24A2F"/>
    <w:rsid w:val="00C305F5"/>
    <w:rsid w:val="00C35671"/>
    <w:rsid w:val="00C35B77"/>
    <w:rsid w:val="00C376EB"/>
    <w:rsid w:val="00C46A92"/>
    <w:rsid w:val="00C46EC1"/>
    <w:rsid w:val="00C52796"/>
    <w:rsid w:val="00C53E2C"/>
    <w:rsid w:val="00C550C8"/>
    <w:rsid w:val="00C55824"/>
    <w:rsid w:val="00C56B61"/>
    <w:rsid w:val="00C606C3"/>
    <w:rsid w:val="00C620F4"/>
    <w:rsid w:val="00C63D7B"/>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70DC"/>
    <w:rsid w:val="00D148DC"/>
    <w:rsid w:val="00D17FDC"/>
    <w:rsid w:val="00D21261"/>
    <w:rsid w:val="00D21D8C"/>
    <w:rsid w:val="00D53719"/>
    <w:rsid w:val="00D57476"/>
    <w:rsid w:val="00D63EFD"/>
    <w:rsid w:val="00D84752"/>
    <w:rsid w:val="00D86B3B"/>
    <w:rsid w:val="00D8748A"/>
    <w:rsid w:val="00D93196"/>
    <w:rsid w:val="00DA0DC0"/>
    <w:rsid w:val="00DB243C"/>
    <w:rsid w:val="00DB482A"/>
    <w:rsid w:val="00DB50FB"/>
    <w:rsid w:val="00DB56F2"/>
    <w:rsid w:val="00DB6EF5"/>
    <w:rsid w:val="00DC3089"/>
    <w:rsid w:val="00DC4018"/>
    <w:rsid w:val="00DC4420"/>
    <w:rsid w:val="00DC5E36"/>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5307"/>
    <w:rsid w:val="00E6742D"/>
    <w:rsid w:val="00E71CB0"/>
    <w:rsid w:val="00E77C3D"/>
    <w:rsid w:val="00E833F4"/>
    <w:rsid w:val="00E90991"/>
    <w:rsid w:val="00E909F0"/>
    <w:rsid w:val="00E90D47"/>
    <w:rsid w:val="00E93993"/>
    <w:rsid w:val="00E94797"/>
    <w:rsid w:val="00E9597C"/>
    <w:rsid w:val="00EA0913"/>
    <w:rsid w:val="00EA1621"/>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6DE0"/>
    <w:rsid w:val="00F27CD8"/>
    <w:rsid w:val="00F30351"/>
    <w:rsid w:val="00F3323E"/>
    <w:rsid w:val="00F3342D"/>
    <w:rsid w:val="00F341F4"/>
    <w:rsid w:val="00F34F9D"/>
    <w:rsid w:val="00F35CCE"/>
    <w:rsid w:val="00F37934"/>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153"/>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11</Pages>
  <Words>4052</Words>
  <Characters>23102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Fiona Whiteside</cp:lastModifiedBy>
  <cp:revision>45</cp:revision>
  <cp:lastPrinted>2022-02-25T16:35:00Z</cp:lastPrinted>
  <dcterms:created xsi:type="dcterms:W3CDTF">2022-02-01T11:53:00Z</dcterms:created>
  <dcterms:modified xsi:type="dcterms:W3CDTF">2022-03-01T19:14:00Z</dcterms:modified>
</cp:coreProperties>
</file>