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submit</w:t>
      </w:r>
      <w:proofErr w:type="gramEnd"/>
      <w:r w:rsidRPr="00BF1C6F">
        <w:rPr>
          <w:rFonts w:ascii="Arial" w:hAnsi="Arial" w:cs="Arial"/>
          <w:sz w:val="22"/>
          <w:szCs w:val="22"/>
          <w:lang w:val="en-GB"/>
        </w:rPr>
        <w:t xml:space="preserve">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 xml:space="preserve">Please also include the filename as </w:t>
      </w:r>
      <w:proofErr w:type="gramStart"/>
      <w:r w:rsidRPr="00BF1C6F">
        <w:rPr>
          <w:rFonts w:ascii="Arial" w:hAnsi="Arial" w:cs="Arial"/>
          <w:b/>
          <w:sz w:val="22"/>
          <w:szCs w:val="22"/>
          <w:lang w:val="en-GB"/>
        </w:rPr>
        <w:t>a footer</w:t>
      </w:r>
      <w:proofErr w:type="gramEnd"/>
      <w:r w:rsidRPr="00BF1C6F">
        <w:rPr>
          <w:rFonts w:ascii="Arial" w:hAnsi="Arial" w:cs="Arial"/>
          <w:b/>
          <w:sz w:val="22"/>
          <w:szCs w:val="22"/>
          <w:lang w:val="en-GB"/>
        </w:rPr>
        <w:t xml:space="preserve">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lastRenderedPageBreak/>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w</w:t>
      </w:r>
      <w:r w:rsidR="00C91062">
        <w:rPr>
          <w:rFonts w:ascii="Arial" w:hAnsi="Arial" w:cs="Arial"/>
          <w:sz w:val="22"/>
          <w:szCs w:val="22"/>
          <w:lang w:val="en-GB"/>
        </w:rPr>
        <w:t>ithin</w:t>
      </w:r>
      <w:proofErr w:type="gramEnd"/>
      <w:r w:rsidR="00C91062">
        <w:rPr>
          <w:rFonts w:ascii="Arial" w:hAnsi="Arial" w:cs="Arial"/>
          <w:sz w:val="22"/>
          <w:szCs w:val="22"/>
          <w:lang w:val="en-GB"/>
        </w:rPr>
        <w:t xml:space="preserve">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A318D7" w:rsidRDefault="00AE5B6F" w:rsidP="00B04033">
      <w:pPr>
        <w:pStyle w:val="ListParagraph"/>
        <w:numPr>
          <w:ilvl w:val="0"/>
          <w:numId w:val="1"/>
        </w:numPr>
        <w:ind w:left="426"/>
        <w:jc w:val="both"/>
        <w:rPr>
          <w:rFonts w:ascii="Arial" w:hAnsi="Arial" w:cs="Arial"/>
          <w:sz w:val="22"/>
          <w:szCs w:val="22"/>
          <w:highlight w:val="yellow"/>
          <w:lang w:val="en-GB"/>
        </w:rPr>
      </w:pPr>
      <w:proofErr w:type="gramStart"/>
      <w:r w:rsidRPr="00A318D7">
        <w:rPr>
          <w:rFonts w:ascii="Arial" w:hAnsi="Arial" w:cs="Arial"/>
          <w:sz w:val="22"/>
          <w:szCs w:val="22"/>
          <w:highlight w:val="yellow"/>
          <w:lang w:val="en-GB"/>
        </w:rPr>
        <w:t>w</w:t>
      </w:r>
      <w:r w:rsidR="00C91062" w:rsidRPr="00A318D7">
        <w:rPr>
          <w:rFonts w:ascii="Arial" w:hAnsi="Arial" w:cs="Arial"/>
          <w:sz w:val="22"/>
          <w:szCs w:val="22"/>
          <w:highlight w:val="yellow"/>
          <w:lang w:val="en-GB"/>
        </w:rPr>
        <w:t>ithin</w:t>
      </w:r>
      <w:proofErr w:type="gramEnd"/>
      <w:r w:rsidR="00C91062" w:rsidRPr="00A318D7">
        <w:rPr>
          <w:rFonts w:ascii="Arial" w:hAnsi="Arial" w:cs="Arial"/>
          <w:sz w:val="22"/>
          <w:szCs w:val="22"/>
          <w:highlight w:val="yellow"/>
          <w:lang w:val="en-GB"/>
        </w:rPr>
        <w:t xml:space="preserve"> 8 weeks of the commencement of the administration</w:t>
      </w:r>
      <w:r w:rsidR="00763348" w:rsidRPr="00A318D7">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w</w:t>
      </w:r>
      <w:r w:rsidR="00C91062">
        <w:rPr>
          <w:rFonts w:ascii="Arial" w:hAnsi="Arial" w:cs="Arial"/>
          <w:sz w:val="22"/>
          <w:szCs w:val="22"/>
          <w:lang w:val="en-GB"/>
        </w:rPr>
        <w:t>ithin</w:t>
      </w:r>
      <w:proofErr w:type="gramEnd"/>
      <w:r w:rsidR="00C91062">
        <w:rPr>
          <w:rFonts w:ascii="Arial" w:hAnsi="Arial" w:cs="Arial"/>
          <w:sz w:val="22"/>
          <w:szCs w:val="22"/>
          <w:lang w:val="en-GB"/>
        </w:rPr>
        <w:t xml:space="preserve">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o</w:t>
      </w:r>
      <w:r w:rsidR="00C91062">
        <w:rPr>
          <w:rFonts w:ascii="Arial" w:hAnsi="Arial" w:cs="Arial"/>
          <w:sz w:val="22"/>
          <w:szCs w:val="22"/>
          <w:lang w:val="en-GB"/>
        </w:rPr>
        <w:t>n</w:t>
      </w:r>
      <w:proofErr w:type="gramEnd"/>
      <w:r w:rsidR="00C91062">
        <w:rPr>
          <w:rFonts w:ascii="Arial" w:hAnsi="Arial" w:cs="Arial"/>
          <w:sz w:val="22"/>
          <w:szCs w:val="22"/>
          <w:lang w:val="en-GB"/>
        </w:rPr>
        <w:t xml:space="preserve">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A318D7" w:rsidRDefault="00E443D7" w:rsidP="00B04033">
      <w:pPr>
        <w:pStyle w:val="ListParagraph"/>
        <w:numPr>
          <w:ilvl w:val="0"/>
          <w:numId w:val="2"/>
        </w:numPr>
        <w:ind w:left="426"/>
        <w:jc w:val="both"/>
        <w:rPr>
          <w:rFonts w:ascii="Arial" w:hAnsi="Arial" w:cs="Arial"/>
          <w:sz w:val="22"/>
          <w:szCs w:val="22"/>
          <w:highlight w:val="yellow"/>
          <w:lang w:val="en-GB"/>
        </w:rPr>
      </w:pPr>
      <w:r w:rsidRPr="00A318D7">
        <w:rPr>
          <w:rFonts w:ascii="Arial" w:hAnsi="Arial" w:cs="Arial"/>
          <w:sz w:val="22"/>
          <w:szCs w:val="22"/>
          <w:highlight w:val="yellow"/>
          <w:lang w:val="en-GB"/>
        </w:rPr>
        <w:t>One year</w:t>
      </w:r>
      <w:r w:rsidR="00763348" w:rsidRPr="00A318D7">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A318D7" w:rsidRDefault="00AE5B6F" w:rsidP="00B04033">
      <w:pPr>
        <w:pStyle w:val="ListParagraph"/>
        <w:numPr>
          <w:ilvl w:val="0"/>
          <w:numId w:val="3"/>
        </w:numPr>
        <w:ind w:left="426"/>
        <w:jc w:val="both"/>
        <w:rPr>
          <w:rFonts w:ascii="Arial" w:hAnsi="Arial" w:cs="Arial"/>
          <w:sz w:val="22"/>
          <w:szCs w:val="22"/>
          <w:highlight w:val="yellow"/>
          <w:lang w:val="en-GB"/>
        </w:rPr>
      </w:pPr>
      <w:r w:rsidRPr="00A318D7">
        <w:rPr>
          <w:rFonts w:ascii="Arial" w:hAnsi="Arial" w:cs="Arial"/>
          <w:sz w:val="22"/>
          <w:szCs w:val="22"/>
          <w:highlight w:val="yellow"/>
          <w:lang w:val="en-GB"/>
        </w:rPr>
        <w:t>T</w:t>
      </w:r>
      <w:r w:rsidR="008D1616" w:rsidRPr="00A318D7">
        <w:rPr>
          <w:rFonts w:ascii="Arial" w:hAnsi="Arial" w:cs="Arial"/>
          <w:sz w:val="22"/>
          <w:szCs w:val="22"/>
          <w:highlight w:val="yellow"/>
          <w:lang w:val="en-GB"/>
        </w:rPr>
        <w:t>he company is, or is likely to become, unable to pay their debts, as defined under s</w:t>
      </w:r>
      <w:r w:rsidR="00E833F4" w:rsidRPr="00A318D7">
        <w:rPr>
          <w:rFonts w:ascii="Arial" w:hAnsi="Arial" w:cs="Arial"/>
          <w:sz w:val="22"/>
          <w:szCs w:val="22"/>
          <w:highlight w:val="yellow"/>
          <w:lang w:val="en-GB"/>
        </w:rPr>
        <w:t>ection</w:t>
      </w:r>
      <w:r w:rsidR="008D1616" w:rsidRPr="00A318D7">
        <w:rPr>
          <w:rFonts w:ascii="Arial" w:hAnsi="Arial" w:cs="Arial"/>
          <w:sz w:val="22"/>
          <w:szCs w:val="22"/>
          <w:highlight w:val="yellow"/>
          <w:lang w:val="en-GB"/>
        </w:rPr>
        <w:t xml:space="preserve"> 123 of the Insolvency Act 1986</w:t>
      </w:r>
      <w:r w:rsidR="00763348" w:rsidRPr="00A318D7">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proofErr w:type="gramStart"/>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proofErr w:type="gramEnd"/>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A318D7" w:rsidRDefault="00C91062" w:rsidP="00B04033">
      <w:pPr>
        <w:pStyle w:val="ListParagraph"/>
        <w:numPr>
          <w:ilvl w:val="0"/>
          <w:numId w:val="4"/>
        </w:numPr>
        <w:ind w:left="426"/>
        <w:jc w:val="both"/>
        <w:rPr>
          <w:rFonts w:ascii="Arial" w:hAnsi="Arial" w:cs="Arial"/>
          <w:sz w:val="22"/>
          <w:szCs w:val="22"/>
          <w:highlight w:val="yellow"/>
          <w:lang w:val="en-GB"/>
        </w:rPr>
      </w:pPr>
      <w:r w:rsidRPr="00A318D7">
        <w:rPr>
          <w:rFonts w:ascii="Arial" w:hAnsi="Arial" w:cs="Arial"/>
          <w:sz w:val="22"/>
          <w:szCs w:val="22"/>
          <w:highlight w:val="yellow"/>
          <w:lang w:val="en-GB"/>
        </w:rPr>
        <w:t>The purchaser</w:t>
      </w:r>
      <w:r w:rsidR="00763348" w:rsidRPr="00A318D7">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6229DB" w:rsidRDefault="00BA1CFD" w:rsidP="00B04033">
      <w:pPr>
        <w:pStyle w:val="ListParagraph"/>
        <w:numPr>
          <w:ilvl w:val="0"/>
          <w:numId w:val="5"/>
        </w:numPr>
        <w:ind w:left="426"/>
        <w:jc w:val="both"/>
        <w:rPr>
          <w:rFonts w:ascii="Arial" w:hAnsi="Arial" w:cs="Arial"/>
          <w:sz w:val="22"/>
          <w:szCs w:val="22"/>
          <w:highlight w:val="yellow"/>
          <w:lang w:val="en-GB"/>
        </w:rPr>
      </w:pPr>
      <w:r w:rsidRPr="006229DB">
        <w:rPr>
          <w:rFonts w:ascii="Arial" w:hAnsi="Arial" w:cs="Arial"/>
          <w:sz w:val="22"/>
          <w:szCs w:val="22"/>
          <w:highlight w:val="yellow"/>
          <w:lang w:val="en-GB"/>
        </w:rPr>
        <w:t>Administration</w:t>
      </w:r>
      <w:r w:rsidR="00763348" w:rsidRPr="006229DB">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6229DB" w:rsidRDefault="00BA1CFD" w:rsidP="00B04033">
      <w:pPr>
        <w:pStyle w:val="ListParagraph"/>
        <w:numPr>
          <w:ilvl w:val="0"/>
          <w:numId w:val="6"/>
        </w:numPr>
        <w:ind w:left="426"/>
        <w:jc w:val="both"/>
        <w:rPr>
          <w:rFonts w:ascii="Arial" w:hAnsi="Arial" w:cs="Arial"/>
          <w:sz w:val="22"/>
          <w:szCs w:val="22"/>
          <w:highlight w:val="yellow"/>
          <w:lang w:val="en-GB"/>
        </w:rPr>
      </w:pPr>
      <w:r w:rsidRPr="006229DB">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6229DB" w:rsidRDefault="00BA1CFD" w:rsidP="00B04033">
      <w:pPr>
        <w:pStyle w:val="ListParagraph"/>
        <w:numPr>
          <w:ilvl w:val="0"/>
          <w:numId w:val="7"/>
        </w:numPr>
        <w:ind w:left="426"/>
        <w:jc w:val="both"/>
        <w:rPr>
          <w:rFonts w:ascii="Arial" w:hAnsi="Arial" w:cs="Arial"/>
          <w:sz w:val="22"/>
          <w:szCs w:val="22"/>
          <w:highlight w:val="yellow"/>
          <w:lang w:val="en-GB"/>
        </w:rPr>
      </w:pPr>
      <w:r w:rsidRPr="006229DB">
        <w:rPr>
          <w:rFonts w:ascii="Arial" w:hAnsi="Arial" w:cs="Arial"/>
          <w:sz w:val="22"/>
          <w:szCs w:val="22"/>
          <w:highlight w:val="yellow"/>
          <w:lang w:val="en-GB"/>
        </w:rPr>
        <w:t>Breach of fiduciary duty</w:t>
      </w:r>
      <w:r w:rsidR="00763348" w:rsidRPr="006229DB">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6229DB" w:rsidRDefault="00876F56" w:rsidP="00B04033">
      <w:pPr>
        <w:pStyle w:val="ListParagraph"/>
        <w:numPr>
          <w:ilvl w:val="0"/>
          <w:numId w:val="8"/>
        </w:numPr>
        <w:ind w:left="426"/>
        <w:jc w:val="both"/>
        <w:rPr>
          <w:rFonts w:ascii="Arial" w:hAnsi="Arial" w:cs="Arial"/>
          <w:sz w:val="22"/>
          <w:szCs w:val="22"/>
          <w:highlight w:val="yellow"/>
          <w:lang w:val="en-GB"/>
        </w:rPr>
      </w:pPr>
      <w:r w:rsidRPr="006229DB">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6229DB" w:rsidRDefault="00E833F4" w:rsidP="00B04033">
      <w:pPr>
        <w:pStyle w:val="ListParagraph"/>
        <w:numPr>
          <w:ilvl w:val="0"/>
          <w:numId w:val="9"/>
        </w:numPr>
        <w:ind w:left="426"/>
        <w:jc w:val="both"/>
        <w:rPr>
          <w:rFonts w:ascii="Arial" w:hAnsi="Arial" w:cs="Arial"/>
          <w:sz w:val="22"/>
          <w:szCs w:val="22"/>
          <w:highlight w:val="yellow"/>
          <w:lang w:val="en-GB"/>
        </w:rPr>
      </w:pPr>
      <w:r w:rsidRPr="006229DB">
        <w:rPr>
          <w:rFonts w:ascii="Arial" w:hAnsi="Arial" w:cs="Arial"/>
          <w:sz w:val="22"/>
          <w:szCs w:val="22"/>
          <w:highlight w:val="yellow"/>
          <w:lang w:val="en-GB"/>
        </w:rPr>
        <w:t>A</w:t>
      </w:r>
      <w:r w:rsidR="000D10C6" w:rsidRPr="006229DB">
        <w:rPr>
          <w:rFonts w:ascii="Arial" w:hAnsi="Arial" w:cs="Arial"/>
          <w:sz w:val="22"/>
          <w:szCs w:val="22"/>
          <w:highlight w:val="yellow"/>
          <w:lang w:val="en-GB"/>
        </w:rPr>
        <w:t xml:space="preserve">n insolvency officeholder from </w:t>
      </w:r>
      <w:proofErr w:type="gramStart"/>
      <w:r w:rsidR="000D10C6" w:rsidRPr="006229DB">
        <w:rPr>
          <w:rFonts w:ascii="Arial" w:hAnsi="Arial" w:cs="Arial"/>
          <w:sz w:val="22"/>
          <w:szCs w:val="22"/>
          <w:highlight w:val="yellow"/>
          <w:lang w:val="en-GB"/>
        </w:rPr>
        <w:t>an</w:t>
      </w:r>
      <w:proofErr w:type="gramEnd"/>
      <w:r w:rsidR="000D10C6" w:rsidRPr="006229DB">
        <w:rPr>
          <w:rFonts w:ascii="Arial" w:hAnsi="Arial" w:cs="Arial"/>
          <w:sz w:val="22"/>
          <w:szCs w:val="22"/>
          <w:highlight w:val="yellow"/>
          <w:lang w:val="en-GB"/>
        </w:rPr>
        <w:t xml:space="preserve">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 xml:space="preserve">n insolvency officeholder from </w:t>
      </w:r>
      <w:proofErr w:type="gramStart"/>
      <w:r>
        <w:rPr>
          <w:rFonts w:ascii="Arial" w:hAnsi="Arial" w:cs="Arial"/>
          <w:sz w:val="22"/>
          <w:szCs w:val="22"/>
          <w:lang w:val="en-GB"/>
        </w:rPr>
        <w:t>an</w:t>
      </w:r>
      <w:proofErr w:type="gramEnd"/>
      <w:r>
        <w:rPr>
          <w:rFonts w:ascii="Arial" w:hAnsi="Arial" w:cs="Arial"/>
          <w:sz w:val="22"/>
          <w:szCs w:val="22"/>
          <w:lang w:val="en-GB"/>
        </w:rPr>
        <w:t xml:space="preserve">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w:t>
      </w:r>
      <w:proofErr w:type="gramStart"/>
      <w:r>
        <w:rPr>
          <w:rFonts w:ascii="Arial" w:hAnsi="Arial" w:cs="Arial"/>
          <w:sz w:val="22"/>
          <w:szCs w:val="22"/>
          <w:lang w:val="en-GB"/>
        </w:rPr>
        <w:t>an</w:t>
      </w:r>
      <w:proofErr w:type="gramEnd"/>
      <w:r>
        <w:rPr>
          <w:rFonts w:ascii="Arial" w:hAnsi="Arial" w:cs="Arial"/>
          <w:sz w:val="22"/>
          <w:szCs w:val="22"/>
          <w:lang w:val="en-GB"/>
        </w:rPr>
        <w:t xml:space="preserve">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w:t>
      </w:r>
      <w:proofErr w:type="gramStart"/>
      <w:r>
        <w:rPr>
          <w:rFonts w:ascii="Arial" w:hAnsi="Arial" w:cs="Arial"/>
          <w:sz w:val="22"/>
          <w:szCs w:val="22"/>
          <w:lang w:val="en-GB"/>
        </w:rPr>
        <w:t>an</w:t>
      </w:r>
      <w:proofErr w:type="gramEnd"/>
      <w:r>
        <w:rPr>
          <w:rFonts w:ascii="Arial" w:hAnsi="Arial" w:cs="Arial"/>
          <w:sz w:val="22"/>
          <w:szCs w:val="22"/>
          <w:lang w:val="en-GB"/>
        </w:rPr>
        <w:t xml:space="preserve">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6229DB" w:rsidRDefault="0020204E" w:rsidP="00B04033">
      <w:pPr>
        <w:pStyle w:val="ListParagraph"/>
        <w:numPr>
          <w:ilvl w:val="0"/>
          <w:numId w:val="10"/>
        </w:numPr>
        <w:ind w:left="426"/>
        <w:jc w:val="both"/>
        <w:rPr>
          <w:rFonts w:ascii="Arial" w:hAnsi="Arial" w:cs="Arial"/>
          <w:sz w:val="22"/>
          <w:szCs w:val="22"/>
          <w:highlight w:val="yellow"/>
          <w:lang w:val="en-GB"/>
        </w:rPr>
      </w:pPr>
      <w:r w:rsidRPr="006229DB">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268B7D31" w:rsidR="00AE5B6F" w:rsidRPr="009C30D1" w:rsidRDefault="009C30D1" w:rsidP="006624AB">
      <w:pPr>
        <w:jc w:val="both"/>
        <w:rPr>
          <w:rFonts w:ascii="Arial" w:hAnsi="Arial" w:cs="Arial"/>
          <w:sz w:val="22"/>
          <w:szCs w:val="22"/>
          <w:lang w:val="en-GB"/>
        </w:rPr>
      </w:pPr>
      <w:r w:rsidRPr="009C30D1">
        <w:rPr>
          <w:rFonts w:ascii="Arial" w:hAnsi="Arial" w:cs="Arial"/>
          <w:sz w:val="22"/>
          <w:szCs w:val="22"/>
          <w:lang w:val="en-GB"/>
        </w:rPr>
        <w:t>Answer:</w:t>
      </w:r>
    </w:p>
    <w:p w14:paraId="406CBC95" w14:textId="77777777" w:rsidR="009C30D1" w:rsidRPr="00FF5098" w:rsidRDefault="009C30D1" w:rsidP="006624AB">
      <w:pPr>
        <w:jc w:val="both"/>
        <w:rPr>
          <w:rFonts w:ascii="Arial" w:hAnsi="Arial" w:cs="Arial"/>
          <w:color w:val="7B7B7B" w:themeColor="accent3" w:themeShade="BF"/>
          <w:sz w:val="22"/>
          <w:szCs w:val="22"/>
          <w:lang w:val="en-GB"/>
        </w:rPr>
      </w:pPr>
    </w:p>
    <w:p w14:paraId="22C610C9" w14:textId="7320E110" w:rsidR="00DE03AF" w:rsidRDefault="009C30D1" w:rsidP="009C30D1">
      <w:pPr>
        <w:ind w:left="720"/>
        <w:jc w:val="both"/>
        <w:rPr>
          <w:rFonts w:ascii="Arial" w:hAnsi="Arial" w:cs="Arial"/>
          <w:sz w:val="22"/>
          <w:szCs w:val="22"/>
        </w:rPr>
      </w:pPr>
      <w:r>
        <w:rPr>
          <w:rFonts w:ascii="Arial" w:hAnsi="Arial" w:cs="Arial"/>
          <w:sz w:val="22"/>
          <w:szCs w:val="22"/>
        </w:rPr>
        <w:t>The following persons can bring an action under section 423 of the Insolvency Act 1986:</w:t>
      </w:r>
    </w:p>
    <w:p w14:paraId="466A48E4" w14:textId="6014EF84" w:rsidR="009C30D1" w:rsidRDefault="009C30D1" w:rsidP="009C30D1">
      <w:pPr>
        <w:pStyle w:val="ListParagraph"/>
        <w:numPr>
          <w:ilvl w:val="0"/>
          <w:numId w:val="18"/>
        </w:numPr>
        <w:jc w:val="both"/>
        <w:rPr>
          <w:rFonts w:ascii="Arial" w:hAnsi="Arial" w:cs="Arial"/>
          <w:sz w:val="22"/>
          <w:szCs w:val="22"/>
        </w:rPr>
      </w:pPr>
      <w:r>
        <w:rPr>
          <w:rFonts w:ascii="Arial" w:hAnsi="Arial" w:cs="Arial"/>
          <w:sz w:val="22"/>
          <w:szCs w:val="22"/>
        </w:rPr>
        <w:t>Where the company is being wound-up or is in administration:</w:t>
      </w:r>
    </w:p>
    <w:p w14:paraId="703F31E3" w14:textId="04857D99" w:rsidR="009C30D1" w:rsidRDefault="009C30D1" w:rsidP="009C30D1">
      <w:pPr>
        <w:pStyle w:val="ListParagraph"/>
        <w:numPr>
          <w:ilvl w:val="1"/>
          <w:numId w:val="18"/>
        </w:numPr>
        <w:jc w:val="both"/>
        <w:rPr>
          <w:rFonts w:ascii="Arial" w:hAnsi="Arial" w:cs="Arial"/>
          <w:sz w:val="22"/>
          <w:szCs w:val="22"/>
        </w:rPr>
      </w:pPr>
      <w:r>
        <w:rPr>
          <w:rFonts w:ascii="Arial" w:hAnsi="Arial" w:cs="Arial"/>
          <w:sz w:val="22"/>
          <w:szCs w:val="22"/>
        </w:rPr>
        <w:t>The official receiver</w:t>
      </w:r>
    </w:p>
    <w:p w14:paraId="35A355C7" w14:textId="1DFEB320" w:rsidR="009C30D1" w:rsidRDefault="009C30D1" w:rsidP="009C30D1">
      <w:pPr>
        <w:pStyle w:val="ListParagraph"/>
        <w:numPr>
          <w:ilvl w:val="1"/>
          <w:numId w:val="18"/>
        </w:numPr>
        <w:jc w:val="both"/>
        <w:rPr>
          <w:rFonts w:ascii="Arial" w:hAnsi="Arial" w:cs="Arial"/>
          <w:sz w:val="22"/>
          <w:szCs w:val="22"/>
        </w:rPr>
      </w:pPr>
      <w:r>
        <w:rPr>
          <w:rFonts w:ascii="Arial" w:hAnsi="Arial" w:cs="Arial"/>
          <w:sz w:val="22"/>
          <w:szCs w:val="22"/>
        </w:rPr>
        <w:t>The liquidator</w:t>
      </w:r>
    </w:p>
    <w:p w14:paraId="10300A10" w14:textId="2D5625E5" w:rsidR="009C30D1" w:rsidRDefault="009C30D1" w:rsidP="009C30D1">
      <w:pPr>
        <w:pStyle w:val="ListParagraph"/>
        <w:numPr>
          <w:ilvl w:val="1"/>
          <w:numId w:val="18"/>
        </w:numPr>
        <w:jc w:val="both"/>
        <w:rPr>
          <w:rFonts w:ascii="Arial" w:hAnsi="Arial" w:cs="Arial"/>
          <w:sz w:val="22"/>
          <w:szCs w:val="22"/>
        </w:rPr>
      </w:pPr>
      <w:r>
        <w:rPr>
          <w:rFonts w:ascii="Arial" w:hAnsi="Arial" w:cs="Arial"/>
          <w:sz w:val="22"/>
          <w:szCs w:val="22"/>
        </w:rPr>
        <w:t xml:space="preserve">The administrator </w:t>
      </w:r>
    </w:p>
    <w:p w14:paraId="4F2A85A7" w14:textId="3CDD47F8" w:rsidR="009C30D1" w:rsidRDefault="009C30D1" w:rsidP="009C30D1">
      <w:pPr>
        <w:pStyle w:val="ListParagraph"/>
        <w:numPr>
          <w:ilvl w:val="1"/>
          <w:numId w:val="18"/>
        </w:numPr>
        <w:jc w:val="both"/>
        <w:rPr>
          <w:rFonts w:ascii="Arial" w:hAnsi="Arial" w:cs="Arial"/>
          <w:sz w:val="22"/>
          <w:szCs w:val="22"/>
        </w:rPr>
      </w:pPr>
      <w:r>
        <w:rPr>
          <w:rFonts w:ascii="Arial" w:hAnsi="Arial" w:cs="Arial"/>
          <w:sz w:val="22"/>
          <w:szCs w:val="22"/>
        </w:rPr>
        <w:t>Any victim of the transaction such as a creditor</w:t>
      </w:r>
    </w:p>
    <w:p w14:paraId="101EBCCE" w14:textId="0D8C5FFD" w:rsidR="009C30D1" w:rsidRDefault="009C30D1" w:rsidP="009C30D1">
      <w:pPr>
        <w:pStyle w:val="ListParagraph"/>
        <w:numPr>
          <w:ilvl w:val="0"/>
          <w:numId w:val="18"/>
        </w:numPr>
        <w:jc w:val="both"/>
        <w:rPr>
          <w:rFonts w:ascii="Arial" w:hAnsi="Arial" w:cs="Arial"/>
          <w:sz w:val="22"/>
          <w:szCs w:val="22"/>
        </w:rPr>
      </w:pPr>
      <w:r>
        <w:rPr>
          <w:rFonts w:ascii="Arial" w:hAnsi="Arial" w:cs="Arial"/>
          <w:sz w:val="22"/>
          <w:szCs w:val="22"/>
        </w:rPr>
        <w:t>Where the victim is bound by a CVA</w:t>
      </w:r>
    </w:p>
    <w:p w14:paraId="063DD7CC" w14:textId="7801709E" w:rsidR="009C30D1" w:rsidRDefault="009C30D1" w:rsidP="009C30D1">
      <w:pPr>
        <w:pStyle w:val="ListParagraph"/>
        <w:numPr>
          <w:ilvl w:val="1"/>
          <w:numId w:val="18"/>
        </w:numPr>
        <w:jc w:val="both"/>
        <w:rPr>
          <w:rFonts w:ascii="Arial" w:hAnsi="Arial" w:cs="Arial"/>
          <w:sz w:val="22"/>
          <w:szCs w:val="22"/>
        </w:rPr>
      </w:pPr>
      <w:r>
        <w:rPr>
          <w:rFonts w:ascii="Arial" w:hAnsi="Arial" w:cs="Arial"/>
          <w:sz w:val="22"/>
          <w:szCs w:val="22"/>
        </w:rPr>
        <w:t>The supervisor of the CVA</w:t>
      </w:r>
    </w:p>
    <w:p w14:paraId="6384C834" w14:textId="2ED254B7" w:rsidR="009C30D1" w:rsidRDefault="009C30D1" w:rsidP="009C30D1">
      <w:pPr>
        <w:pStyle w:val="ListParagraph"/>
        <w:numPr>
          <w:ilvl w:val="1"/>
          <w:numId w:val="18"/>
        </w:numPr>
        <w:jc w:val="both"/>
        <w:rPr>
          <w:rFonts w:ascii="Arial" w:hAnsi="Arial" w:cs="Arial"/>
          <w:sz w:val="22"/>
          <w:szCs w:val="22"/>
        </w:rPr>
      </w:pPr>
      <w:r>
        <w:rPr>
          <w:rFonts w:ascii="Arial" w:hAnsi="Arial" w:cs="Arial"/>
          <w:sz w:val="22"/>
          <w:szCs w:val="22"/>
        </w:rPr>
        <w:t>Any victim of the transaction (whether bound by the CVA or not)</w:t>
      </w:r>
    </w:p>
    <w:p w14:paraId="0BBB6304" w14:textId="27414040" w:rsidR="009C30D1" w:rsidRDefault="009C30D1" w:rsidP="009C30D1">
      <w:pPr>
        <w:pStyle w:val="ListParagraph"/>
        <w:numPr>
          <w:ilvl w:val="0"/>
          <w:numId w:val="18"/>
        </w:numPr>
        <w:jc w:val="both"/>
        <w:rPr>
          <w:rFonts w:ascii="Arial" w:hAnsi="Arial" w:cs="Arial"/>
          <w:sz w:val="22"/>
          <w:szCs w:val="22"/>
        </w:rPr>
      </w:pPr>
      <w:r>
        <w:rPr>
          <w:rFonts w:ascii="Arial" w:hAnsi="Arial" w:cs="Arial"/>
          <w:sz w:val="22"/>
          <w:szCs w:val="22"/>
        </w:rPr>
        <w:t>In any other case</w:t>
      </w:r>
    </w:p>
    <w:p w14:paraId="5608B62A" w14:textId="0A9F5FD2" w:rsidR="009C30D1" w:rsidRDefault="009C30D1" w:rsidP="009C30D1">
      <w:pPr>
        <w:pStyle w:val="ListParagraph"/>
        <w:numPr>
          <w:ilvl w:val="1"/>
          <w:numId w:val="18"/>
        </w:numPr>
        <w:jc w:val="both"/>
        <w:rPr>
          <w:rFonts w:ascii="Arial" w:hAnsi="Arial" w:cs="Arial"/>
          <w:sz w:val="22"/>
          <w:szCs w:val="22"/>
        </w:rPr>
      </w:pPr>
      <w:r>
        <w:rPr>
          <w:rFonts w:ascii="Arial" w:hAnsi="Arial" w:cs="Arial"/>
          <w:sz w:val="22"/>
          <w:szCs w:val="22"/>
        </w:rPr>
        <w:t>The victim of the transaction</w:t>
      </w:r>
      <w:r>
        <w:rPr>
          <w:rStyle w:val="FootnoteReference"/>
          <w:rFonts w:ascii="Arial" w:hAnsi="Arial" w:cs="Arial"/>
          <w:sz w:val="22"/>
          <w:szCs w:val="22"/>
        </w:rPr>
        <w:footnoteReference w:id="1"/>
      </w:r>
    </w:p>
    <w:p w14:paraId="041DCE5F" w14:textId="77777777" w:rsidR="00573E2D" w:rsidRDefault="00573E2D" w:rsidP="00573E2D">
      <w:pPr>
        <w:jc w:val="both"/>
        <w:rPr>
          <w:rFonts w:ascii="Arial" w:hAnsi="Arial" w:cs="Arial"/>
          <w:sz w:val="22"/>
          <w:szCs w:val="22"/>
        </w:rPr>
      </w:pPr>
    </w:p>
    <w:p w14:paraId="31544A85" w14:textId="7D8488D5" w:rsidR="00573E2D" w:rsidRDefault="00573E2D" w:rsidP="00573E2D">
      <w:pPr>
        <w:ind w:left="720"/>
        <w:jc w:val="both"/>
        <w:rPr>
          <w:rFonts w:ascii="Arial" w:hAnsi="Arial" w:cs="Arial"/>
          <w:sz w:val="22"/>
          <w:szCs w:val="22"/>
        </w:rPr>
      </w:pPr>
      <w:r>
        <w:rPr>
          <w:rFonts w:ascii="Arial" w:hAnsi="Arial" w:cs="Arial"/>
          <w:sz w:val="22"/>
          <w:szCs w:val="22"/>
        </w:rPr>
        <w:t>The following persons can bring an action under section 6 of the Company Directors Disqualification Act 1986:</w:t>
      </w:r>
    </w:p>
    <w:p w14:paraId="09BB9D0C" w14:textId="77777777" w:rsidR="00573E2D" w:rsidRDefault="00573E2D" w:rsidP="00573E2D">
      <w:pPr>
        <w:ind w:left="720"/>
        <w:jc w:val="both"/>
        <w:rPr>
          <w:rFonts w:ascii="Arial" w:hAnsi="Arial" w:cs="Arial"/>
          <w:sz w:val="22"/>
          <w:szCs w:val="22"/>
        </w:rPr>
      </w:pPr>
    </w:p>
    <w:p w14:paraId="60824B6A" w14:textId="2E648578" w:rsidR="00573E2D" w:rsidRDefault="00E24397" w:rsidP="00E24397">
      <w:pPr>
        <w:pStyle w:val="ListParagraph"/>
        <w:numPr>
          <w:ilvl w:val="0"/>
          <w:numId w:val="19"/>
        </w:numPr>
        <w:jc w:val="both"/>
        <w:rPr>
          <w:rFonts w:ascii="Arial" w:hAnsi="Arial" w:cs="Arial"/>
          <w:sz w:val="22"/>
          <w:szCs w:val="22"/>
        </w:rPr>
      </w:pPr>
      <w:r>
        <w:rPr>
          <w:rFonts w:ascii="Arial" w:hAnsi="Arial" w:cs="Arial"/>
          <w:sz w:val="22"/>
          <w:szCs w:val="22"/>
        </w:rPr>
        <w:t>The Secretary of State</w:t>
      </w:r>
    </w:p>
    <w:p w14:paraId="149EE283" w14:textId="7097BA19" w:rsidR="00E24397" w:rsidRDefault="00E24397" w:rsidP="00A60A2B">
      <w:pPr>
        <w:pStyle w:val="ListParagraph"/>
        <w:numPr>
          <w:ilvl w:val="0"/>
          <w:numId w:val="19"/>
        </w:numPr>
        <w:jc w:val="both"/>
        <w:rPr>
          <w:rFonts w:ascii="Arial" w:hAnsi="Arial" w:cs="Arial"/>
          <w:sz w:val="22"/>
          <w:szCs w:val="22"/>
        </w:rPr>
      </w:pPr>
      <w:r>
        <w:rPr>
          <w:rFonts w:ascii="Arial" w:hAnsi="Arial" w:cs="Arial"/>
          <w:sz w:val="22"/>
          <w:szCs w:val="22"/>
        </w:rPr>
        <w:t xml:space="preserve">The Official Receiver (if the Secretary of State so </w:t>
      </w:r>
      <w:r w:rsidR="00A60A2B">
        <w:rPr>
          <w:rFonts w:ascii="Arial" w:hAnsi="Arial" w:cs="Arial"/>
          <w:sz w:val="22"/>
          <w:szCs w:val="22"/>
        </w:rPr>
        <w:t>d</w:t>
      </w:r>
      <w:r>
        <w:rPr>
          <w:rFonts w:ascii="Arial" w:hAnsi="Arial" w:cs="Arial"/>
          <w:sz w:val="22"/>
          <w:szCs w:val="22"/>
        </w:rPr>
        <w:t>irects)</w:t>
      </w:r>
      <w:r>
        <w:rPr>
          <w:rStyle w:val="FootnoteReference"/>
          <w:rFonts w:ascii="Arial" w:hAnsi="Arial" w:cs="Arial"/>
          <w:sz w:val="22"/>
          <w:szCs w:val="22"/>
        </w:rPr>
        <w:footnoteReference w:id="2"/>
      </w:r>
    </w:p>
    <w:p w14:paraId="07CB479F" w14:textId="1C876007" w:rsidR="00A60A2B" w:rsidRDefault="00A60A2B" w:rsidP="00A60A2B">
      <w:pPr>
        <w:pStyle w:val="ListParagraph"/>
        <w:numPr>
          <w:ilvl w:val="0"/>
          <w:numId w:val="19"/>
        </w:numPr>
        <w:jc w:val="both"/>
        <w:rPr>
          <w:rFonts w:ascii="Arial" w:hAnsi="Arial" w:cs="Arial"/>
          <w:sz w:val="22"/>
          <w:szCs w:val="22"/>
        </w:rPr>
      </w:pPr>
      <w:r>
        <w:rPr>
          <w:rFonts w:ascii="Arial" w:hAnsi="Arial" w:cs="Arial"/>
          <w:sz w:val="22"/>
          <w:szCs w:val="22"/>
        </w:rPr>
        <w:t>The court</w:t>
      </w:r>
    </w:p>
    <w:p w14:paraId="107BA80A" w14:textId="77777777" w:rsidR="00A60A2B" w:rsidRDefault="00A60A2B" w:rsidP="00A60A2B">
      <w:pPr>
        <w:jc w:val="both"/>
        <w:rPr>
          <w:rFonts w:ascii="Arial" w:hAnsi="Arial" w:cs="Arial"/>
          <w:sz w:val="22"/>
          <w:szCs w:val="22"/>
        </w:rPr>
      </w:pPr>
    </w:p>
    <w:p w14:paraId="4A2F0943" w14:textId="664EC005" w:rsidR="00A60A2B" w:rsidRDefault="00A60A2B" w:rsidP="00A60A2B">
      <w:pPr>
        <w:ind w:left="720"/>
        <w:jc w:val="both"/>
        <w:rPr>
          <w:rFonts w:ascii="Arial" w:hAnsi="Arial" w:cs="Arial"/>
          <w:sz w:val="22"/>
          <w:szCs w:val="22"/>
        </w:rPr>
      </w:pPr>
      <w:r>
        <w:rPr>
          <w:rFonts w:ascii="Arial" w:hAnsi="Arial" w:cs="Arial"/>
          <w:sz w:val="22"/>
          <w:szCs w:val="22"/>
        </w:rPr>
        <w:t>The following persons can bring an action under section 246ZB of the Insolvency Act 1986:</w:t>
      </w:r>
    </w:p>
    <w:p w14:paraId="70AADF8B" w14:textId="77777777" w:rsidR="00A60A2B" w:rsidRDefault="00A60A2B" w:rsidP="00A60A2B">
      <w:pPr>
        <w:ind w:left="720"/>
        <w:jc w:val="both"/>
        <w:rPr>
          <w:rFonts w:ascii="Arial" w:hAnsi="Arial" w:cs="Arial"/>
          <w:sz w:val="22"/>
          <w:szCs w:val="22"/>
        </w:rPr>
      </w:pPr>
    </w:p>
    <w:p w14:paraId="762968A3" w14:textId="14809F5E" w:rsidR="00A60A2B" w:rsidRDefault="001F22AD" w:rsidP="00A60A2B">
      <w:pPr>
        <w:pStyle w:val="ListParagraph"/>
        <w:numPr>
          <w:ilvl w:val="0"/>
          <w:numId w:val="20"/>
        </w:numPr>
        <w:jc w:val="both"/>
        <w:rPr>
          <w:rFonts w:ascii="Arial" w:hAnsi="Arial" w:cs="Arial"/>
          <w:sz w:val="22"/>
          <w:szCs w:val="22"/>
        </w:rPr>
      </w:pPr>
      <w:r>
        <w:rPr>
          <w:rFonts w:ascii="Arial" w:hAnsi="Arial" w:cs="Arial"/>
          <w:sz w:val="22"/>
          <w:szCs w:val="22"/>
        </w:rPr>
        <w:t>The liquidator</w:t>
      </w:r>
      <w:r>
        <w:rPr>
          <w:rStyle w:val="FootnoteReference"/>
          <w:rFonts w:ascii="Arial" w:hAnsi="Arial" w:cs="Arial"/>
          <w:sz w:val="22"/>
          <w:szCs w:val="22"/>
        </w:rPr>
        <w:footnoteReference w:id="3"/>
      </w:r>
    </w:p>
    <w:p w14:paraId="342E1E77" w14:textId="0087A519" w:rsidR="002F36B0" w:rsidRPr="00A60A2B" w:rsidRDefault="00A365F0" w:rsidP="00A60A2B">
      <w:pPr>
        <w:pStyle w:val="ListParagraph"/>
        <w:numPr>
          <w:ilvl w:val="0"/>
          <w:numId w:val="20"/>
        </w:numPr>
        <w:jc w:val="both"/>
        <w:rPr>
          <w:rFonts w:ascii="Arial" w:hAnsi="Arial" w:cs="Arial"/>
          <w:sz w:val="22"/>
          <w:szCs w:val="22"/>
        </w:rPr>
      </w:pPr>
      <w:r>
        <w:rPr>
          <w:rFonts w:ascii="Arial" w:hAnsi="Arial" w:cs="Arial"/>
          <w:sz w:val="22"/>
          <w:szCs w:val="22"/>
        </w:rPr>
        <w:t>The a</w:t>
      </w:r>
      <w:r w:rsidR="002F36B0">
        <w:rPr>
          <w:rFonts w:ascii="Arial" w:hAnsi="Arial" w:cs="Arial"/>
          <w:sz w:val="22"/>
          <w:szCs w:val="22"/>
        </w:rPr>
        <w:t>dministrator</w:t>
      </w:r>
      <w:r w:rsidR="002F36B0">
        <w:rPr>
          <w:rStyle w:val="FootnoteReference"/>
          <w:rFonts w:ascii="Arial" w:hAnsi="Arial" w:cs="Arial"/>
          <w:sz w:val="22"/>
          <w:szCs w:val="22"/>
        </w:rPr>
        <w:footnoteReference w:id="4"/>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35B70098" w:rsidR="00FF5098" w:rsidRPr="00C7457B" w:rsidRDefault="00A365F0" w:rsidP="00FF5098">
      <w:pPr>
        <w:jc w:val="both"/>
        <w:rPr>
          <w:rFonts w:ascii="Arial" w:hAnsi="Arial" w:cs="Arial"/>
          <w:sz w:val="22"/>
          <w:szCs w:val="22"/>
          <w:lang w:val="en-GB"/>
        </w:rPr>
      </w:pPr>
      <w:r w:rsidRPr="00C7457B">
        <w:rPr>
          <w:rFonts w:ascii="Arial" w:hAnsi="Arial" w:cs="Arial"/>
          <w:sz w:val="22"/>
          <w:szCs w:val="22"/>
          <w:lang w:val="en-GB"/>
        </w:rPr>
        <w:t>Answer:</w:t>
      </w:r>
    </w:p>
    <w:p w14:paraId="56DA6D79" w14:textId="77777777" w:rsidR="00A365F0" w:rsidRPr="009A3200" w:rsidRDefault="00A365F0" w:rsidP="00FF5098">
      <w:pPr>
        <w:jc w:val="both"/>
        <w:rPr>
          <w:rFonts w:ascii="Arial" w:hAnsi="Arial" w:cs="Arial"/>
          <w:sz w:val="22"/>
          <w:szCs w:val="22"/>
          <w:highlight w:val="green"/>
          <w:lang w:val="en-GB"/>
        </w:rPr>
      </w:pPr>
    </w:p>
    <w:p w14:paraId="44A0ABFB" w14:textId="3AB011BE" w:rsidR="00C7457B" w:rsidRDefault="00C7457B" w:rsidP="00C7457B">
      <w:pPr>
        <w:pStyle w:val="ListParagraph"/>
        <w:numPr>
          <w:ilvl w:val="0"/>
          <w:numId w:val="24"/>
        </w:numPr>
        <w:jc w:val="both"/>
        <w:rPr>
          <w:rFonts w:ascii="Arial" w:hAnsi="Arial" w:cs="Arial"/>
          <w:sz w:val="22"/>
          <w:szCs w:val="22"/>
          <w:lang w:val="en-GB"/>
        </w:rPr>
      </w:pPr>
      <w:r>
        <w:rPr>
          <w:rFonts w:ascii="Arial" w:hAnsi="Arial" w:cs="Arial"/>
          <w:sz w:val="22"/>
          <w:szCs w:val="22"/>
          <w:lang w:val="en-GB"/>
        </w:rPr>
        <w:t>Correspondence</w:t>
      </w:r>
    </w:p>
    <w:p w14:paraId="3A6CF7B2" w14:textId="4E97EDE4" w:rsidR="00C7457B" w:rsidRDefault="00C7457B" w:rsidP="00C7457B">
      <w:pPr>
        <w:pStyle w:val="ListParagraph"/>
        <w:numPr>
          <w:ilvl w:val="0"/>
          <w:numId w:val="24"/>
        </w:numPr>
        <w:jc w:val="both"/>
        <w:rPr>
          <w:rFonts w:ascii="Arial" w:hAnsi="Arial" w:cs="Arial"/>
          <w:sz w:val="22"/>
          <w:szCs w:val="22"/>
          <w:lang w:val="en-GB"/>
        </w:rPr>
      </w:pPr>
      <w:r>
        <w:rPr>
          <w:rFonts w:ascii="Arial" w:hAnsi="Arial" w:cs="Arial"/>
          <w:sz w:val="22"/>
          <w:szCs w:val="22"/>
          <w:lang w:val="en-GB"/>
        </w:rPr>
        <w:t>Electronic voting</w:t>
      </w:r>
    </w:p>
    <w:p w14:paraId="094C48F7" w14:textId="4131BEBC" w:rsidR="00C7457B" w:rsidRDefault="00C7457B" w:rsidP="00C7457B">
      <w:pPr>
        <w:pStyle w:val="ListParagraph"/>
        <w:numPr>
          <w:ilvl w:val="0"/>
          <w:numId w:val="24"/>
        </w:numPr>
        <w:jc w:val="both"/>
        <w:rPr>
          <w:rFonts w:ascii="Arial" w:hAnsi="Arial" w:cs="Arial"/>
          <w:sz w:val="22"/>
          <w:szCs w:val="22"/>
          <w:lang w:val="en-GB"/>
        </w:rPr>
      </w:pPr>
      <w:r>
        <w:rPr>
          <w:rFonts w:ascii="Arial" w:hAnsi="Arial" w:cs="Arial"/>
          <w:sz w:val="22"/>
          <w:szCs w:val="22"/>
          <w:lang w:val="en-GB"/>
        </w:rPr>
        <w:t>Virtual meeting</w:t>
      </w:r>
    </w:p>
    <w:p w14:paraId="7164C04A" w14:textId="2C56DA9C" w:rsidR="00C7457B" w:rsidRDefault="00C7457B" w:rsidP="00C7457B">
      <w:pPr>
        <w:pStyle w:val="ListParagraph"/>
        <w:numPr>
          <w:ilvl w:val="0"/>
          <w:numId w:val="24"/>
        </w:numPr>
        <w:jc w:val="both"/>
        <w:rPr>
          <w:rFonts w:ascii="Arial" w:hAnsi="Arial" w:cs="Arial"/>
          <w:sz w:val="22"/>
          <w:szCs w:val="22"/>
          <w:lang w:val="en-GB"/>
        </w:rPr>
      </w:pPr>
      <w:r>
        <w:rPr>
          <w:rFonts w:ascii="Arial" w:hAnsi="Arial" w:cs="Arial"/>
          <w:sz w:val="22"/>
          <w:szCs w:val="22"/>
          <w:lang w:val="en-GB"/>
        </w:rPr>
        <w:t>Physical meeting</w:t>
      </w:r>
    </w:p>
    <w:p w14:paraId="770595F5" w14:textId="673F62C4" w:rsidR="00C7457B" w:rsidRPr="00C7457B" w:rsidRDefault="00C7457B" w:rsidP="00C7457B">
      <w:pPr>
        <w:pStyle w:val="ListParagraph"/>
        <w:numPr>
          <w:ilvl w:val="0"/>
          <w:numId w:val="24"/>
        </w:numPr>
        <w:jc w:val="both"/>
        <w:rPr>
          <w:rFonts w:ascii="Arial" w:hAnsi="Arial" w:cs="Arial"/>
          <w:sz w:val="22"/>
          <w:szCs w:val="22"/>
          <w:lang w:val="en-GB"/>
        </w:rPr>
      </w:pPr>
      <w:r>
        <w:rPr>
          <w:rFonts w:ascii="Arial" w:hAnsi="Arial" w:cs="Arial"/>
          <w:sz w:val="22"/>
          <w:szCs w:val="22"/>
          <w:lang w:val="en-GB"/>
        </w:rPr>
        <w:lastRenderedPageBreak/>
        <w:t xml:space="preserve">Any </w:t>
      </w:r>
      <w:r w:rsidR="00EB56A6">
        <w:rPr>
          <w:rFonts w:ascii="Arial" w:hAnsi="Arial" w:cs="Arial"/>
          <w:sz w:val="22"/>
          <w:szCs w:val="22"/>
          <w:lang w:val="en-GB"/>
        </w:rPr>
        <w:t>other decision-making</w:t>
      </w:r>
      <w:r>
        <w:rPr>
          <w:rFonts w:ascii="Arial" w:hAnsi="Arial" w:cs="Arial"/>
          <w:sz w:val="22"/>
          <w:szCs w:val="22"/>
          <w:lang w:val="en-GB"/>
        </w:rPr>
        <w:t xml:space="preserve"> </w:t>
      </w:r>
      <w:proofErr w:type="gramStart"/>
      <w:r>
        <w:rPr>
          <w:rFonts w:ascii="Arial" w:hAnsi="Arial" w:cs="Arial"/>
          <w:sz w:val="22"/>
          <w:szCs w:val="22"/>
          <w:lang w:val="en-GB"/>
        </w:rPr>
        <w:t>procedure which</w:t>
      </w:r>
      <w:proofErr w:type="gramEnd"/>
      <w:r>
        <w:rPr>
          <w:rFonts w:ascii="Arial" w:hAnsi="Arial" w:cs="Arial"/>
          <w:sz w:val="22"/>
          <w:szCs w:val="22"/>
          <w:lang w:val="en-GB"/>
        </w:rPr>
        <w:t xml:space="preserve"> enables all creditors who are entitled to participate in the making of the decision to participate equally.</w:t>
      </w:r>
      <w:r w:rsidR="00EB56A6">
        <w:rPr>
          <w:rStyle w:val="FootnoteReference"/>
          <w:rFonts w:ascii="Arial" w:hAnsi="Arial" w:cs="Arial"/>
          <w:sz w:val="22"/>
          <w:szCs w:val="22"/>
          <w:lang w:val="en-GB"/>
        </w:rPr>
        <w:footnoteReference w:id="5"/>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5B04F297" w:rsidR="00FF5098" w:rsidRPr="00D043D3" w:rsidRDefault="00D043D3" w:rsidP="00FF5098">
      <w:pPr>
        <w:jc w:val="both"/>
        <w:rPr>
          <w:rFonts w:ascii="Arial" w:hAnsi="Arial" w:cs="Arial"/>
          <w:sz w:val="22"/>
          <w:szCs w:val="22"/>
          <w:lang w:val="en-GB"/>
        </w:rPr>
      </w:pPr>
      <w:r w:rsidRPr="00D043D3">
        <w:rPr>
          <w:rFonts w:ascii="Arial" w:hAnsi="Arial" w:cs="Arial"/>
          <w:sz w:val="22"/>
          <w:szCs w:val="22"/>
          <w:lang w:val="en-GB"/>
        </w:rPr>
        <w:t>Answer:</w:t>
      </w:r>
    </w:p>
    <w:p w14:paraId="2A5D3219" w14:textId="77777777" w:rsidR="00D043D3" w:rsidRPr="00FF5098" w:rsidRDefault="00D043D3" w:rsidP="00FF5098">
      <w:pPr>
        <w:jc w:val="both"/>
        <w:rPr>
          <w:rFonts w:ascii="Arial" w:hAnsi="Arial" w:cs="Arial"/>
          <w:color w:val="7B7B7B" w:themeColor="accent3" w:themeShade="BF"/>
          <w:sz w:val="22"/>
          <w:szCs w:val="22"/>
          <w:lang w:val="en-GB"/>
        </w:rPr>
      </w:pPr>
    </w:p>
    <w:p w14:paraId="2E450CAD" w14:textId="70EC272B" w:rsidR="00FF5098" w:rsidRDefault="00D043D3" w:rsidP="00D043D3">
      <w:pPr>
        <w:ind w:left="720"/>
        <w:jc w:val="both"/>
        <w:rPr>
          <w:rFonts w:ascii="Arial" w:hAnsi="Arial" w:cs="Arial"/>
          <w:sz w:val="22"/>
          <w:szCs w:val="22"/>
        </w:rPr>
      </w:pPr>
      <w:r>
        <w:rPr>
          <w:rFonts w:ascii="Arial" w:hAnsi="Arial" w:cs="Arial"/>
          <w:sz w:val="22"/>
          <w:szCs w:val="22"/>
        </w:rPr>
        <w:t>Supply agreements usually contained “</w:t>
      </w:r>
      <w:r w:rsidRPr="00D043D3">
        <w:rPr>
          <w:rFonts w:ascii="Arial" w:hAnsi="Arial" w:cs="Arial"/>
          <w:i/>
          <w:sz w:val="22"/>
          <w:szCs w:val="22"/>
        </w:rPr>
        <w:t>ipso facto</w:t>
      </w:r>
      <w:r>
        <w:rPr>
          <w:rFonts w:ascii="Arial" w:hAnsi="Arial" w:cs="Arial"/>
          <w:sz w:val="22"/>
          <w:szCs w:val="22"/>
        </w:rPr>
        <w:t>” clauses which automatically terminates the contract should a party to the contract go into administration or other form of insolvency process. Law has since restricted this by operation of section 233 of the Insolvency Act as far as it concerns the supply of gas, electricity, water and communications services (including point of sale terminals, and other information technology hardware, software and support). Suppliers are not permitted to require payment of outstanding debts in order to secure a new or continued supply to the company in administration. A supplier may stipulate that the administrator personally guarantee payment of charges in respect of the supply.</w:t>
      </w:r>
      <w:r>
        <w:rPr>
          <w:rStyle w:val="FootnoteReference"/>
          <w:rFonts w:ascii="Arial" w:hAnsi="Arial" w:cs="Arial"/>
          <w:sz w:val="22"/>
          <w:szCs w:val="22"/>
        </w:rPr>
        <w:footnoteReference w:id="6"/>
      </w:r>
    </w:p>
    <w:p w14:paraId="14325AD1" w14:textId="77777777" w:rsidR="00D043D3" w:rsidRDefault="00D043D3" w:rsidP="00D043D3">
      <w:pPr>
        <w:ind w:left="720"/>
        <w:jc w:val="both"/>
        <w:rPr>
          <w:rFonts w:ascii="Arial" w:hAnsi="Arial" w:cs="Arial"/>
          <w:sz w:val="22"/>
          <w:szCs w:val="22"/>
        </w:rPr>
      </w:pPr>
    </w:p>
    <w:p w14:paraId="63B292EA" w14:textId="152062B8" w:rsidR="00D043D3" w:rsidRDefault="00BA250A" w:rsidP="00D043D3">
      <w:pPr>
        <w:ind w:left="720"/>
        <w:jc w:val="both"/>
        <w:rPr>
          <w:rFonts w:ascii="Arial" w:hAnsi="Arial" w:cs="Arial"/>
          <w:sz w:val="22"/>
          <w:szCs w:val="22"/>
        </w:rPr>
      </w:pPr>
      <w:r>
        <w:rPr>
          <w:rFonts w:ascii="Arial" w:hAnsi="Arial" w:cs="Arial"/>
          <w:sz w:val="22"/>
          <w:szCs w:val="22"/>
        </w:rPr>
        <w:t>Section 223A of the Insolvency Act expands on section 223 in prohibiting a supplier of services named in section 223 on relying on an “insolvency related term” in a contract of supply to terminate the supply, alter the terms of supply or compel higher payments for continued supply.</w:t>
      </w:r>
      <w:r>
        <w:rPr>
          <w:rStyle w:val="FootnoteReference"/>
          <w:rFonts w:ascii="Arial" w:hAnsi="Arial" w:cs="Arial"/>
          <w:sz w:val="22"/>
          <w:szCs w:val="22"/>
        </w:rPr>
        <w:footnoteReference w:id="7"/>
      </w:r>
    </w:p>
    <w:p w14:paraId="7D671E53" w14:textId="77777777" w:rsidR="005D59E5" w:rsidRDefault="005D59E5" w:rsidP="00D043D3">
      <w:pPr>
        <w:ind w:left="720"/>
        <w:jc w:val="both"/>
        <w:rPr>
          <w:rFonts w:ascii="Arial" w:hAnsi="Arial" w:cs="Arial"/>
          <w:sz w:val="22"/>
          <w:szCs w:val="22"/>
        </w:rPr>
      </w:pPr>
    </w:p>
    <w:p w14:paraId="78035AC6" w14:textId="4B4B2829" w:rsidR="005D59E5" w:rsidRDefault="005D59E5" w:rsidP="00D043D3">
      <w:pPr>
        <w:ind w:left="720"/>
        <w:jc w:val="both"/>
        <w:rPr>
          <w:rFonts w:ascii="Arial" w:hAnsi="Arial" w:cs="Arial"/>
          <w:sz w:val="22"/>
          <w:szCs w:val="22"/>
        </w:rPr>
      </w:pPr>
      <w:r>
        <w:rPr>
          <w:rFonts w:ascii="Arial" w:hAnsi="Arial" w:cs="Arial"/>
          <w:sz w:val="22"/>
          <w:szCs w:val="22"/>
        </w:rPr>
        <w:t>Section 223B of the Insolvency Act further expands the operation of section 223 and 223A of the Insolvency Act to apply to any company that enters a formal insolvency procedure, such as liquidation, Part A1 moratorium, provisional liquidation, administration, etc.</w:t>
      </w:r>
      <w:r>
        <w:rPr>
          <w:rStyle w:val="FootnoteReference"/>
          <w:rFonts w:ascii="Arial" w:hAnsi="Arial" w:cs="Arial"/>
          <w:sz w:val="22"/>
          <w:szCs w:val="22"/>
        </w:rPr>
        <w:footnoteReference w:id="8"/>
      </w:r>
    </w:p>
    <w:p w14:paraId="64390283" w14:textId="77777777" w:rsidR="005D59E5" w:rsidRDefault="005D59E5" w:rsidP="00D043D3">
      <w:pPr>
        <w:ind w:left="720"/>
        <w:jc w:val="both"/>
        <w:rPr>
          <w:rFonts w:ascii="Arial" w:hAnsi="Arial" w:cs="Arial"/>
          <w:sz w:val="22"/>
          <w:szCs w:val="22"/>
        </w:rPr>
      </w:pPr>
    </w:p>
    <w:p w14:paraId="7A2258A4" w14:textId="69B4490C" w:rsidR="005D59E5" w:rsidRPr="00FF5098" w:rsidRDefault="005D59E5" w:rsidP="00D043D3">
      <w:pPr>
        <w:ind w:left="720"/>
        <w:jc w:val="both"/>
        <w:rPr>
          <w:rFonts w:ascii="Arial" w:hAnsi="Arial" w:cs="Arial"/>
          <w:sz w:val="22"/>
          <w:szCs w:val="22"/>
        </w:rPr>
      </w:pPr>
      <w:r>
        <w:rPr>
          <w:rFonts w:ascii="Arial" w:hAnsi="Arial" w:cs="Arial"/>
          <w:sz w:val="22"/>
          <w:szCs w:val="22"/>
        </w:rPr>
        <w:t>Accordingly, yes an administrator can require suppliers of certain goods and service to continue to supply those goods and services during an administration by operation of section 223 and 223A of the Insolvency Act. Note however that the administrator may have to personally guarantee payment of those goods and services</w:t>
      </w:r>
      <w:r w:rsidR="00A1243D">
        <w:rPr>
          <w:rFonts w:ascii="Arial" w:hAnsi="Arial" w:cs="Arial"/>
          <w:sz w:val="22"/>
          <w:szCs w:val="22"/>
        </w:rPr>
        <w:t>. The purpose of this is to allow the company the opportunity to successfully turn itself around in an administration.</w:t>
      </w: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 xml:space="preserve">order of priority of payments in </w:t>
      </w:r>
      <w:proofErr w:type="gramStart"/>
      <w:r w:rsidR="00461F95">
        <w:rPr>
          <w:rFonts w:ascii="Arial" w:hAnsi="Arial" w:cs="Arial"/>
          <w:sz w:val="22"/>
          <w:szCs w:val="22"/>
          <w:lang w:val="en-GB"/>
        </w:rPr>
        <w:t>a liquidation</w:t>
      </w:r>
      <w:proofErr w:type="gramEnd"/>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239FCB4D" w:rsidR="00FF5098" w:rsidRPr="00AD04FF" w:rsidRDefault="00AD04FF" w:rsidP="00FF5098">
      <w:pPr>
        <w:jc w:val="both"/>
        <w:rPr>
          <w:rFonts w:ascii="Arial" w:hAnsi="Arial" w:cs="Arial"/>
          <w:sz w:val="22"/>
          <w:szCs w:val="22"/>
          <w:lang w:val="en-GB"/>
        </w:rPr>
      </w:pPr>
      <w:r w:rsidRPr="00AD04FF">
        <w:rPr>
          <w:rFonts w:ascii="Arial" w:hAnsi="Arial" w:cs="Arial"/>
          <w:sz w:val="22"/>
          <w:szCs w:val="22"/>
          <w:lang w:val="en-GB"/>
        </w:rPr>
        <w:t>Answer</w:t>
      </w:r>
    </w:p>
    <w:p w14:paraId="19566CFC" w14:textId="77777777" w:rsidR="00AD04FF" w:rsidRPr="00AD04FF" w:rsidRDefault="00AD04FF" w:rsidP="00AD04FF">
      <w:pPr>
        <w:ind w:left="720"/>
        <w:jc w:val="both"/>
        <w:rPr>
          <w:rFonts w:ascii="Arial" w:hAnsi="Arial" w:cs="Arial"/>
          <w:sz w:val="22"/>
          <w:szCs w:val="22"/>
          <w:lang w:val="en-GB"/>
        </w:rPr>
      </w:pPr>
    </w:p>
    <w:p w14:paraId="444714F3" w14:textId="0342A2A2" w:rsidR="00AD04FF" w:rsidRDefault="008824AA" w:rsidP="00AD04FF">
      <w:pPr>
        <w:ind w:left="720"/>
        <w:jc w:val="both"/>
        <w:rPr>
          <w:rFonts w:ascii="Arial" w:hAnsi="Arial" w:cs="Arial"/>
          <w:sz w:val="22"/>
          <w:szCs w:val="22"/>
          <w:lang w:val="en-GB"/>
        </w:rPr>
      </w:pPr>
      <w:r>
        <w:rPr>
          <w:rFonts w:ascii="Arial" w:hAnsi="Arial" w:cs="Arial"/>
          <w:sz w:val="22"/>
          <w:szCs w:val="22"/>
          <w:lang w:val="en-GB"/>
        </w:rPr>
        <w:t xml:space="preserve">Secured creditors with a fixed charge, such as those whose debts contain a hire purchase contract or a retention of title provision will not have those assets subject to </w:t>
      </w:r>
      <w:r>
        <w:rPr>
          <w:rFonts w:ascii="Arial" w:hAnsi="Arial" w:cs="Arial"/>
          <w:sz w:val="22"/>
          <w:szCs w:val="22"/>
          <w:lang w:val="en-GB"/>
        </w:rPr>
        <w:lastRenderedPageBreak/>
        <w:t>the liquidation, the liquidator has no right to those assets as the assets are not considered to be company property so such creditors will be able to realise those assets without intervention of the liquidator.</w:t>
      </w:r>
      <w:r w:rsidR="00740556">
        <w:rPr>
          <w:rFonts w:ascii="Arial" w:hAnsi="Arial" w:cs="Arial"/>
          <w:sz w:val="22"/>
          <w:szCs w:val="22"/>
          <w:lang w:val="en-GB"/>
        </w:rPr>
        <w:t xml:space="preserve"> Note this applies to assets subject to a fixed charge, not those subject to a floating charge, whether crystallised or not.</w:t>
      </w:r>
      <w:r w:rsidR="00740556">
        <w:rPr>
          <w:rStyle w:val="FootnoteReference"/>
          <w:rFonts w:ascii="Arial" w:hAnsi="Arial" w:cs="Arial"/>
          <w:sz w:val="22"/>
          <w:szCs w:val="22"/>
          <w:lang w:val="en-GB"/>
        </w:rPr>
        <w:footnoteReference w:id="9"/>
      </w:r>
    </w:p>
    <w:p w14:paraId="6198064B" w14:textId="77777777" w:rsidR="00E73CC0" w:rsidRDefault="00E73CC0" w:rsidP="009A3200">
      <w:pPr>
        <w:jc w:val="both"/>
        <w:rPr>
          <w:rFonts w:ascii="Arial" w:hAnsi="Arial" w:cs="Arial"/>
          <w:sz w:val="22"/>
          <w:szCs w:val="22"/>
          <w:lang w:val="en-GB"/>
        </w:rPr>
      </w:pPr>
    </w:p>
    <w:p w14:paraId="39CA6502" w14:textId="6D9D78D0" w:rsidR="008B2766" w:rsidRDefault="008B2766" w:rsidP="00AD04FF">
      <w:pPr>
        <w:pStyle w:val="ListParagraph"/>
        <w:numPr>
          <w:ilvl w:val="0"/>
          <w:numId w:val="21"/>
        </w:numPr>
        <w:jc w:val="both"/>
        <w:rPr>
          <w:rFonts w:ascii="Arial" w:hAnsi="Arial" w:cs="Arial"/>
          <w:sz w:val="22"/>
          <w:szCs w:val="22"/>
          <w:lang w:val="en-GB"/>
        </w:rPr>
      </w:pPr>
      <w:r>
        <w:rPr>
          <w:rFonts w:ascii="Arial" w:hAnsi="Arial" w:cs="Arial"/>
          <w:sz w:val="22"/>
          <w:szCs w:val="22"/>
          <w:lang w:val="en-GB"/>
        </w:rPr>
        <w:t xml:space="preserve">Payment of any liabilities to which section 174A </w:t>
      </w:r>
      <w:r w:rsidR="009A3200">
        <w:rPr>
          <w:rFonts w:ascii="Arial" w:hAnsi="Arial" w:cs="Arial"/>
          <w:sz w:val="22"/>
          <w:szCs w:val="22"/>
          <w:lang w:val="en-GB"/>
        </w:rPr>
        <w:t xml:space="preserve">of the Insolvency Act </w:t>
      </w:r>
      <w:r>
        <w:rPr>
          <w:rFonts w:ascii="Arial" w:hAnsi="Arial" w:cs="Arial"/>
          <w:sz w:val="22"/>
          <w:szCs w:val="22"/>
          <w:lang w:val="en-GB"/>
        </w:rPr>
        <w:t>applies</w:t>
      </w:r>
      <w:r w:rsidR="009A3200">
        <w:rPr>
          <w:rFonts w:ascii="Arial" w:hAnsi="Arial" w:cs="Arial"/>
          <w:sz w:val="22"/>
          <w:szCs w:val="22"/>
          <w:lang w:val="en-GB"/>
        </w:rPr>
        <w:t>.</w:t>
      </w:r>
      <w:r>
        <w:rPr>
          <w:rStyle w:val="FootnoteReference"/>
          <w:rFonts w:ascii="Arial" w:hAnsi="Arial" w:cs="Arial"/>
          <w:sz w:val="22"/>
          <w:szCs w:val="22"/>
          <w:lang w:val="en-GB"/>
        </w:rPr>
        <w:footnoteReference w:id="10"/>
      </w:r>
      <w:r w:rsidR="009A3200">
        <w:rPr>
          <w:rFonts w:ascii="Arial" w:hAnsi="Arial" w:cs="Arial"/>
          <w:sz w:val="22"/>
          <w:szCs w:val="22"/>
          <w:lang w:val="en-GB"/>
        </w:rPr>
        <w:t xml:space="preserve"> This was inserted by operation of the Corporate Insolvency and Governance Act 2020 (c.12). Section 174A sets out the priority of any Moratorium debts under Part A1 of the Insolvency Act.</w:t>
      </w:r>
    </w:p>
    <w:p w14:paraId="58D8CFA2" w14:textId="2491C164" w:rsidR="008B2766" w:rsidRDefault="008B2766" w:rsidP="008B2766">
      <w:pPr>
        <w:pStyle w:val="ListParagraph"/>
        <w:ind w:left="1440"/>
        <w:jc w:val="both"/>
        <w:rPr>
          <w:rFonts w:ascii="Arial" w:hAnsi="Arial" w:cs="Arial"/>
          <w:sz w:val="22"/>
          <w:szCs w:val="22"/>
          <w:lang w:val="en-GB"/>
        </w:rPr>
      </w:pPr>
      <w:r>
        <w:rPr>
          <w:rFonts w:ascii="Arial" w:hAnsi="Arial" w:cs="Arial"/>
          <w:sz w:val="22"/>
          <w:szCs w:val="22"/>
          <w:lang w:val="en-GB"/>
        </w:rPr>
        <w:t xml:space="preserve"> </w:t>
      </w:r>
    </w:p>
    <w:p w14:paraId="784195DF" w14:textId="7FE51A27" w:rsidR="00AD04FF" w:rsidRDefault="00AD04FF" w:rsidP="00AD04FF">
      <w:pPr>
        <w:pStyle w:val="ListParagraph"/>
        <w:numPr>
          <w:ilvl w:val="0"/>
          <w:numId w:val="21"/>
        </w:numPr>
        <w:jc w:val="both"/>
        <w:rPr>
          <w:rFonts w:ascii="Arial" w:hAnsi="Arial" w:cs="Arial"/>
          <w:sz w:val="22"/>
          <w:szCs w:val="22"/>
          <w:lang w:val="en-GB"/>
        </w:rPr>
      </w:pPr>
      <w:r>
        <w:rPr>
          <w:rFonts w:ascii="Arial" w:hAnsi="Arial" w:cs="Arial"/>
          <w:sz w:val="22"/>
          <w:szCs w:val="22"/>
          <w:lang w:val="en-GB"/>
        </w:rPr>
        <w:t>Expenses of winding up, including the liquidator’s remuneration (section 115)</w:t>
      </w:r>
    </w:p>
    <w:p w14:paraId="1177DD10" w14:textId="77777777" w:rsidR="00EE6A44" w:rsidRDefault="00EE6A44" w:rsidP="00EE6A44">
      <w:pPr>
        <w:pStyle w:val="ListParagraph"/>
        <w:ind w:left="1440"/>
        <w:jc w:val="both"/>
        <w:rPr>
          <w:rFonts w:ascii="Arial" w:hAnsi="Arial" w:cs="Arial"/>
          <w:sz w:val="22"/>
          <w:szCs w:val="22"/>
          <w:lang w:val="en-GB"/>
        </w:rPr>
      </w:pPr>
    </w:p>
    <w:p w14:paraId="48D9BCA9" w14:textId="5D15648C" w:rsidR="00EE6A44" w:rsidRDefault="00AA3088" w:rsidP="00EE6A44">
      <w:pPr>
        <w:pStyle w:val="ListParagraph"/>
        <w:ind w:left="1440"/>
        <w:jc w:val="both"/>
        <w:rPr>
          <w:rFonts w:ascii="Arial" w:hAnsi="Arial" w:cs="Arial"/>
          <w:sz w:val="22"/>
          <w:szCs w:val="22"/>
          <w:lang w:val="en-GB"/>
        </w:rPr>
      </w:pPr>
      <w:r>
        <w:rPr>
          <w:rFonts w:ascii="Arial" w:hAnsi="Arial" w:cs="Arial"/>
          <w:sz w:val="22"/>
          <w:szCs w:val="22"/>
          <w:lang w:val="en-GB"/>
        </w:rPr>
        <w:t>T</w:t>
      </w:r>
      <w:r w:rsidR="0056076E">
        <w:rPr>
          <w:rFonts w:ascii="Arial" w:hAnsi="Arial" w:cs="Arial"/>
          <w:sz w:val="22"/>
          <w:szCs w:val="22"/>
          <w:lang w:val="en-GB"/>
        </w:rPr>
        <w:t>he following expenses are given priority over the company’s preferential creditors, any holders of floating charges and the company’s unsecured creditors</w:t>
      </w:r>
      <w:r w:rsidRPr="00AA3088">
        <w:rPr>
          <w:rFonts w:ascii="Arial" w:hAnsi="Arial" w:cs="Arial"/>
          <w:sz w:val="22"/>
          <w:szCs w:val="22"/>
          <w:lang w:val="en-GB"/>
        </w:rPr>
        <w:t xml:space="preserve"> </w:t>
      </w:r>
      <w:r>
        <w:rPr>
          <w:rFonts w:ascii="Arial" w:hAnsi="Arial" w:cs="Arial"/>
          <w:sz w:val="22"/>
          <w:szCs w:val="22"/>
          <w:lang w:val="en-GB"/>
        </w:rPr>
        <w:t>pursuant to Section 115 of the Insolvency Act 1986</w:t>
      </w:r>
      <w:r w:rsidR="007E6956">
        <w:rPr>
          <w:rStyle w:val="FootnoteReference"/>
          <w:rFonts w:ascii="Arial" w:hAnsi="Arial" w:cs="Arial"/>
          <w:sz w:val="22"/>
          <w:szCs w:val="22"/>
          <w:lang w:val="en-GB"/>
        </w:rPr>
        <w:footnoteReference w:id="11"/>
      </w:r>
      <w:r w:rsidR="00EE6A44">
        <w:rPr>
          <w:rFonts w:ascii="Arial" w:hAnsi="Arial" w:cs="Arial"/>
          <w:sz w:val="22"/>
          <w:szCs w:val="22"/>
          <w:lang w:val="en-GB"/>
        </w:rPr>
        <w:t>:</w:t>
      </w:r>
    </w:p>
    <w:p w14:paraId="044D2C4B" w14:textId="77777777" w:rsidR="0056076E" w:rsidRDefault="0056076E" w:rsidP="00EE6A44">
      <w:pPr>
        <w:pStyle w:val="ListParagraph"/>
        <w:ind w:left="1440"/>
        <w:jc w:val="both"/>
        <w:rPr>
          <w:rFonts w:ascii="Arial" w:hAnsi="Arial" w:cs="Arial"/>
          <w:sz w:val="22"/>
          <w:szCs w:val="22"/>
          <w:lang w:val="en-GB"/>
        </w:rPr>
      </w:pPr>
    </w:p>
    <w:p w14:paraId="4D30AA5D" w14:textId="76B2FC1F" w:rsidR="009A3200" w:rsidRPr="009A3200" w:rsidRDefault="0056076E" w:rsidP="009A3200">
      <w:pPr>
        <w:pStyle w:val="ListParagraph"/>
        <w:numPr>
          <w:ilvl w:val="1"/>
          <w:numId w:val="21"/>
        </w:numPr>
        <w:jc w:val="both"/>
        <w:rPr>
          <w:rFonts w:ascii="Arial" w:hAnsi="Arial" w:cs="Arial"/>
          <w:sz w:val="22"/>
          <w:szCs w:val="22"/>
          <w:lang w:val="en-GB"/>
        </w:rPr>
      </w:pPr>
      <w:r>
        <w:rPr>
          <w:rFonts w:ascii="Arial" w:hAnsi="Arial" w:cs="Arial"/>
          <w:sz w:val="22"/>
          <w:szCs w:val="22"/>
          <w:lang w:val="en-GB"/>
        </w:rPr>
        <w:t>Expenses properly incurred in preserving, realising or getting in any of the assets of the company (including legal proceedings);</w:t>
      </w:r>
    </w:p>
    <w:p w14:paraId="3DC1D968" w14:textId="542FD8DB" w:rsidR="0056076E" w:rsidRDefault="0056076E" w:rsidP="0056076E">
      <w:pPr>
        <w:pStyle w:val="ListParagraph"/>
        <w:numPr>
          <w:ilvl w:val="1"/>
          <w:numId w:val="21"/>
        </w:numPr>
        <w:jc w:val="both"/>
        <w:rPr>
          <w:rFonts w:ascii="Arial" w:hAnsi="Arial" w:cs="Arial"/>
          <w:sz w:val="22"/>
          <w:szCs w:val="22"/>
          <w:lang w:val="en-GB"/>
        </w:rPr>
      </w:pPr>
      <w:r>
        <w:rPr>
          <w:rFonts w:ascii="Arial" w:hAnsi="Arial" w:cs="Arial"/>
          <w:sz w:val="22"/>
          <w:szCs w:val="22"/>
          <w:lang w:val="en-GB"/>
        </w:rPr>
        <w:t>Cost of any security provided by the liquidator</w:t>
      </w:r>
    </w:p>
    <w:p w14:paraId="2E8C373D" w14:textId="73435B24" w:rsidR="0056076E" w:rsidRDefault="0056076E" w:rsidP="0056076E">
      <w:pPr>
        <w:pStyle w:val="ListParagraph"/>
        <w:numPr>
          <w:ilvl w:val="1"/>
          <w:numId w:val="21"/>
        </w:numPr>
        <w:jc w:val="both"/>
        <w:rPr>
          <w:rFonts w:ascii="Arial" w:hAnsi="Arial" w:cs="Arial"/>
          <w:sz w:val="22"/>
          <w:szCs w:val="22"/>
          <w:lang w:val="en-GB"/>
        </w:rPr>
      </w:pPr>
      <w:r>
        <w:rPr>
          <w:rFonts w:ascii="Arial" w:hAnsi="Arial" w:cs="Arial"/>
          <w:sz w:val="22"/>
          <w:szCs w:val="22"/>
          <w:lang w:val="en-GB"/>
        </w:rPr>
        <w:t>Any amounts payable to a person to assist in the preparation of a statement of affairs or accounts</w:t>
      </w:r>
    </w:p>
    <w:p w14:paraId="2D24AE66" w14:textId="02E5AE19" w:rsidR="0056076E" w:rsidRDefault="0056076E" w:rsidP="0056076E">
      <w:pPr>
        <w:pStyle w:val="ListParagraph"/>
        <w:numPr>
          <w:ilvl w:val="1"/>
          <w:numId w:val="21"/>
        </w:numPr>
        <w:jc w:val="both"/>
        <w:rPr>
          <w:rFonts w:ascii="Arial" w:hAnsi="Arial" w:cs="Arial"/>
          <w:sz w:val="22"/>
          <w:szCs w:val="22"/>
          <w:lang w:val="en-GB"/>
        </w:rPr>
      </w:pPr>
      <w:r>
        <w:rPr>
          <w:rFonts w:ascii="Arial" w:hAnsi="Arial" w:cs="Arial"/>
          <w:sz w:val="22"/>
          <w:szCs w:val="22"/>
          <w:lang w:val="en-GB"/>
        </w:rPr>
        <w:t>Any necessary disbursements by the liquidator in the course of he winding up</w:t>
      </w:r>
    </w:p>
    <w:p w14:paraId="21102199" w14:textId="08DC3E42" w:rsidR="0056076E" w:rsidRDefault="0056076E" w:rsidP="0056076E">
      <w:pPr>
        <w:pStyle w:val="ListParagraph"/>
        <w:numPr>
          <w:ilvl w:val="1"/>
          <w:numId w:val="21"/>
        </w:numPr>
        <w:jc w:val="both"/>
        <w:rPr>
          <w:rFonts w:ascii="Arial" w:hAnsi="Arial" w:cs="Arial"/>
          <w:sz w:val="22"/>
          <w:szCs w:val="22"/>
          <w:lang w:val="en-GB"/>
        </w:rPr>
      </w:pPr>
      <w:r>
        <w:rPr>
          <w:rFonts w:ascii="Arial" w:hAnsi="Arial" w:cs="Arial"/>
          <w:sz w:val="22"/>
          <w:szCs w:val="22"/>
          <w:lang w:val="en-GB"/>
        </w:rPr>
        <w:t>Remuneration of any person employed by the liquidator to perform any services for the company</w:t>
      </w:r>
    </w:p>
    <w:p w14:paraId="40549B72" w14:textId="725128F1" w:rsidR="0056076E" w:rsidRDefault="0056076E" w:rsidP="0056076E">
      <w:pPr>
        <w:pStyle w:val="ListParagraph"/>
        <w:numPr>
          <w:ilvl w:val="1"/>
          <w:numId w:val="21"/>
        </w:numPr>
        <w:jc w:val="both"/>
        <w:rPr>
          <w:rFonts w:ascii="Arial" w:hAnsi="Arial" w:cs="Arial"/>
          <w:sz w:val="22"/>
          <w:szCs w:val="22"/>
          <w:lang w:val="en-GB"/>
        </w:rPr>
      </w:pPr>
      <w:r>
        <w:rPr>
          <w:rFonts w:ascii="Arial" w:hAnsi="Arial" w:cs="Arial"/>
          <w:sz w:val="22"/>
          <w:szCs w:val="22"/>
          <w:lang w:val="en-GB"/>
        </w:rPr>
        <w:t>Remuneration of the liquidator</w:t>
      </w:r>
    </w:p>
    <w:p w14:paraId="13099977" w14:textId="4CED493A" w:rsidR="0056076E" w:rsidRDefault="0056076E" w:rsidP="0056076E">
      <w:pPr>
        <w:pStyle w:val="ListParagraph"/>
        <w:numPr>
          <w:ilvl w:val="1"/>
          <w:numId w:val="21"/>
        </w:numPr>
        <w:jc w:val="both"/>
        <w:rPr>
          <w:rFonts w:ascii="Arial" w:hAnsi="Arial" w:cs="Arial"/>
          <w:sz w:val="22"/>
          <w:szCs w:val="22"/>
          <w:lang w:val="en-GB"/>
        </w:rPr>
      </w:pPr>
      <w:r>
        <w:rPr>
          <w:rFonts w:ascii="Arial" w:hAnsi="Arial" w:cs="Arial"/>
          <w:sz w:val="22"/>
          <w:szCs w:val="22"/>
          <w:lang w:val="en-GB"/>
        </w:rPr>
        <w:t>Any corporation tax chargeable gains accruing on the realisation of any assets of the company</w:t>
      </w:r>
    </w:p>
    <w:p w14:paraId="1571E1BA" w14:textId="0BE7DB47" w:rsidR="0056076E" w:rsidRDefault="0056076E" w:rsidP="0056076E">
      <w:pPr>
        <w:pStyle w:val="ListParagraph"/>
        <w:numPr>
          <w:ilvl w:val="1"/>
          <w:numId w:val="21"/>
        </w:numPr>
        <w:jc w:val="both"/>
        <w:rPr>
          <w:rFonts w:ascii="Arial" w:hAnsi="Arial" w:cs="Arial"/>
          <w:sz w:val="22"/>
          <w:szCs w:val="22"/>
          <w:lang w:val="en-GB"/>
        </w:rPr>
      </w:pPr>
      <w:r>
        <w:rPr>
          <w:rFonts w:ascii="Arial" w:hAnsi="Arial" w:cs="Arial"/>
          <w:sz w:val="22"/>
          <w:szCs w:val="22"/>
          <w:lang w:val="en-GB"/>
        </w:rPr>
        <w:t>Any other expenses properly chargeable by the liquidator in carrying out the liquidator’s functions in the winding up</w:t>
      </w:r>
    </w:p>
    <w:p w14:paraId="3E68783E" w14:textId="77777777" w:rsidR="00EE6A44" w:rsidRDefault="00EE6A44" w:rsidP="00EE6A44">
      <w:pPr>
        <w:pStyle w:val="ListParagraph"/>
        <w:ind w:left="1440"/>
        <w:jc w:val="both"/>
        <w:rPr>
          <w:rFonts w:ascii="Arial" w:hAnsi="Arial" w:cs="Arial"/>
          <w:sz w:val="22"/>
          <w:szCs w:val="22"/>
          <w:lang w:val="en-GB"/>
        </w:rPr>
      </w:pPr>
    </w:p>
    <w:p w14:paraId="5CC7ECC9" w14:textId="77777777" w:rsidR="00AA3088" w:rsidRDefault="00293210" w:rsidP="00AD04FF">
      <w:pPr>
        <w:pStyle w:val="ListParagraph"/>
        <w:numPr>
          <w:ilvl w:val="0"/>
          <w:numId w:val="21"/>
        </w:numPr>
        <w:jc w:val="both"/>
        <w:rPr>
          <w:rFonts w:ascii="Arial" w:hAnsi="Arial" w:cs="Arial"/>
          <w:sz w:val="22"/>
          <w:szCs w:val="22"/>
          <w:lang w:val="en-GB"/>
        </w:rPr>
      </w:pPr>
      <w:r>
        <w:rPr>
          <w:rFonts w:ascii="Arial" w:hAnsi="Arial" w:cs="Arial"/>
          <w:sz w:val="22"/>
          <w:szCs w:val="22"/>
          <w:lang w:val="en-GB"/>
        </w:rPr>
        <w:t>Preferential creditors, as defined in sections 386, 387 and Schedule 6 (section 175)</w:t>
      </w:r>
      <w:r w:rsidR="00AA3088">
        <w:rPr>
          <w:rFonts w:ascii="Arial" w:hAnsi="Arial" w:cs="Arial"/>
          <w:sz w:val="22"/>
          <w:szCs w:val="22"/>
          <w:lang w:val="en-GB"/>
        </w:rPr>
        <w:t>.</w:t>
      </w:r>
      <w:r w:rsidR="00AA3088">
        <w:rPr>
          <w:rStyle w:val="FootnoteReference"/>
          <w:rFonts w:ascii="Arial" w:hAnsi="Arial" w:cs="Arial"/>
          <w:sz w:val="22"/>
          <w:szCs w:val="22"/>
          <w:lang w:val="en-GB"/>
        </w:rPr>
        <w:footnoteReference w:id="12"/>
      </w:r>
      <w:r w:rsidR="00AA3088">
        <w:rPr>
          <w:rFonts w:ascii="Arial" w:hAnsi="Arial" w:cs="Arial"/>
          <w:sz w:val="22"/>
          <w:szCs w:val="22"/>
          <w:lang w:val="en-GB"/>
        </w:rPr>
        <w:t xml:space="preserve"> </w:t>
      </w:r>
    </w:p>
    <w:p w14:paraId="60809115" w14:textId="77777777" w:rsidR="00AA3088" w:rsidRDefault="00AA3088" w:rsidP="00AA3088">
      <w:pPr>
        <w:pStyle w:val="ListParagraph"/>
        <w:ind w:left="1440"/>
        <w:jc w:val="both"/>
        <w:rPr>
          <w:rFonts w:ascii="Arial" w:hAnsi="Arial" w:cs="Arial"/>
          <w:sz w:val="22"/>
          <w:szCs w:val="22"/>
          <w:lang w:val="en-GB"/>
        </w:rPr>
      </w:pPr>
    </w:p>
    <w:p w14:paraId="2F342E68" w14:textId="7525E66A" w:rsidR="00AD04FF" w:rsidRDefault="00AA3088" w:rsidP="00AA3088">
      <w:pPr>
        <w:pStyle w:val="ListParagraph"/>
        <w:ind w:left="1440"/>
        <w:jc w:val="both"/>
        <w:rPr>
          <w:rFonts w:ascii="Arial" w:hAnsi="Arial" w:cs="Arial"/>
          <w:sz w:val="22"/>
          <w:szCs w:val="22"/>
          <w:lang w:val="en-GB"/>
        </w:rPr>
      </w:pPr>
      <w:r>
        <w:rPr>
          <w:rFonts w:ascii="Arial" w:hAnsi="Arial" w:cs="Arial"/>
          <w:sz w:val="22"/>
          <w:szCs w:val="22"/>
          <w:lang w:val="en-GB"/>
        </w:rPr>
        <w:t>Ordinary preferential debts rank equally amongst themselves and shall be paid in full, unless the assets are insufficient to meet them, in which case they abate in equal portions.</w:t>
      </w:r>
      <w:r>
        <w:rPr>
          <w:rStyle w:val="FootnoteReference"/>
          <w:rFonts w:ascii="Arial" w:hAnsi="Arial" w:cs="Arial"/>
          <w:sz w:val="22"/>
          <w:szCs w:val="22"/>
          <w:lang w:val="en-GB"/>
        </w:rPr>
        <w:footnoteReference w:id="13"/>
      </w:r>
      <w:r>
        <w:rPr>
          <w:rFonts w:ascii="Arial" w:hAnsi="Arial" w:cs="Arial"/>
          <w:sz w:val="22"/>
          <w:szCs w:val="22"/>
          <w:lang w:val="en-GB"/>
        </w:rPr>
        <w:t xml:space="preserve"> Secondary prefere</w:t>
      </w:r>
      <w:r w:rsidR="002E73DC">
        <w:rPr>
          <w:rFonts w:ascii="Arial" w:hAnsi="Arial" w:cs="Arial"/>
          <w:sz w:val="22"/>
          <w:szCs w:val="22"/>
          <w:lang w:val="en-GB"/>
        </w:rPr>
        <w:t>ntial debts rank equally among themselves after ordinary preferential debts and shall be paid in full, unless the assets are insufficient to meet them, in which case they abate in equal portions.</w:t>
      </w:r>
      <w:r w:rsidR="002E73DC">
        <w:rPr>
          <w:rStyle w:val="FootnoteReference"/>
          <w:rFonts w:ascii="Arial" w:hAnsi="Arial" w:cs="Arial"/>
          <w:sz w:val="22"/>
          <w:szCs w:val="22"/>
          <w:lang w:val="en-GB"/>
        </w:rPr>
        <w:footnoteReference w:id="14"/>
      </w:r>
    </w:p>
    <w:p w14:paraId="5762B587" w14:textId="77777777" w:rsidR="000429D4" w:rsidRDefault="000429D4" w:rsidP="00AA3088">
      <w:pPr>
        <w:pStyle w:val="ListParagraph"/>
        <w:ind w:left="1440"/>
        <w:jc w:val="both"/>
        <w:rPr>
          <w:rFonts w:ascii="Arial" w:hAnsi="Arial" w:cs="Arial"/>
          <w:sz w:val="22"/>
          <w:szCs w:val="22"/>
          <w:lang w:val="en-GB"/>
        </w:rPr>
      </w:pPr>
    </w:p>
    <w:p w14:paraId="2044F33D" w14:textId="204884AE" w:rsidR="000429D4" w:rsidRDefault="000429D4" w:rsidP="000429D4">
      <w:pPr>
        <w:pStyle w:val="ListParagraph"/>
        <w:ind w:left="1440"/>
        <w:jc w:val="both"/>
        <w:rPr>
          <w:rFonts w:ascii="Arial" w:hAnsi="Arial" w:cs="Arial"/>
          <w:sz w:val="22"/>
          <w:szCs w:val="22"/>
          <w:lang w:val="en-GB"/>
        </w:rPr>
      </w:pPr>
      <w:r>
        <w:rPr>
          <w:rFonts w:ascii="Arial" w:hAnsi="Arial" w:cs="Arial"/>
          <w:sz w:val="22"/>
          <w:szCs w:val="22"/>
          <w:lang w:val="en-GB"/>
        </w:rPr>
        <w:t>Schedule 6 of the Insolvency Act lists preferential debts in categories as follows</w:t>
      </w:r>
      <w:r w:rsidR="00FE097E">
        <w:rPr>
          <w:rFonts w:ascii="Arial" w:hAnsi="Arial" w:cs="Arial"/>
          <w:sz w:val="22"/>
          <w:szCs w:val="22"/>
          <w:lang w:val="en-GB"/>
        </w:rPr>
        <w:t>:</w:t>
      </w:r>
      <w:r w:rsidR="00FE097E">
        <w:rPr>
          <w:rStyle w:val="FootnoteReference"/>
          <w:rFonts w:ascii="Arial" w:hAnsi="Arial" w:cs="Arial"/>
          <w:sz w:val="22"/>
          <w:szCs w:val="22"/>
          <w:lang w:val="en-GB"/>
        </w:rPr>
        <w:footnoteReference w:id="15"/>
      </w:r>
    </w:p>
    <w:p w14:paraId="57173C42" w14:textId="77777777" w:rsidR="000429D4" w:rsidRDefault="000429D4" w:rsidP="000429D4">
      <w:pPr>
        <w:pStyle w:val="ListParagraph"/>
        <w:ind w:left="1440"/>
        <w:jc w:val="both"/>
        <w:rPr>
          <w:rFonts w:ascii="Arial" w:hAnsi="Arial" w:cs="Arial"/>
          <w:sz w:val="22"/>
          <w:szCs w:val="22"/>
          <w:lang w:val="en-GB"/>
        </w:rPr>
      </w:pPr>
    </w:p>
    <w:p w14:paraId="316F9CEC" w14:textId="1514651C" w:rsidR="000429D4" w:rsidRDefault="000429D4" w:rsidP="000429D4">
      <w:pPr>
        <w:pStyle w:val="ListParagraph"/>
        <w:ind w:left="1440"/>
        <w:jc w:val="both"/>
        <w:rPr>
          <w:rFonts w:ascii="Arial" w:hAnsi="Arial" w:cs="Arial"/>
          <w:sz w:val="22"/>
          <w:szCs w:val="22"/>
          <w:lang w:val="en-GB"/>
        </w:rPr>
      </w:pPr>
      <w:r>
        <w:rPr>
          <w:rFonts w:ascii="Arial" w:hAnsi="Arial" w:cs="Arial"/>
          <w:sz w:val="22"/>
          <w:szCs w:val="22"/>
          <w:lang w:val="en-GB"/>
        </w:rPr>
        <w:t xml:space="preserve">Category 1: Debts due to Inland Revenue </w:t>
      </w:r>
    </w:p>
    <w:p w14:paraId="4A779CDE" w14:textId="6778E9EC" w:rsidR="000429D4" w:rsidRDefault="000429D4" w:rsidP="000429D4">
      <w:pPr>
        <w:pStyle w:val="ListParagraph"/>
        <w:ind w:left="1440"/>
        <w:jc w:val="both"/>
        <w:rPr>
          <w:rFonts w:ascii="Arial" w:hAnsi="Arial" w:cs="Arial"/>
          <w:sz w:val="22"/>
          <w:szCs w:val="22"/>
          <w:lang w:val="en-GB"/>
        </w:rPr>
      </w:pPr>
      <w:r>
        <w:rPr>
          <w:rFonts w:ascii="Arial" w:hAnsi="Arial" w:cs="Arial"/>
          <w:sz w:val="22"/>
          <w:szCs w:val="22"/>
          <w:lang w:val="en-GB"/>
        </w:rPr>
        <w:t>Category 2: Debts due to Customs and Excise</w:t>
      </w:r>
    </w:p>
    <w:p w14:paraId="69C9C53E" w14:textId="1F9E23D8" w:rsidR="000429D4" w:rsidRDefault="000429D4" w:rsidP="000429D4">
      <w:pPr>
        <w:pStyle w:val="ListParagraph"/>
        <w:ind w:left="1440"/>
        <w:jc w:val="both"/>
        <w:rPr>
          <w:rFonts w:ascii="Arial" w:hAnsi="Arial" w:cs="Arial"/>
          <w:sz w:val="22"/>
          <w:szCs w:val="22"/>
          <w:lang w:val="en-GB"/>
        </w:rPr>
      </w:pPr>
      <w:r>
        <w:rPr>
          <w:rFonts w:ascii="Arial" w:hAnsi="Arial" w:cs="Arial"/>
          <w:sz w:val="22"/>
          <w:szCs w:val="22"/>
          <w:lang w:val="en-GB"/>
        </w:rPr>
        <w:t>Category 3: Social Security Contributions</w:t>
      </w:r>
    </w:p>
    <w:p w14:paraId="10D1EB6A" w14:textId="6F7C0807" w:rsidR="000429D4" w:rsidRDefault="000429D4" w:rsidP="000429D4">
      <w:pPr>
        <w:pStyle w:val="ListParagraph"/>
        <w:ind w:left="1440"/>
        <w:jc w:val="both"/>
        <w:rPr>
          <w:rFonts w:ascii="Arial" w:hAnsi="Arial" w:cs="Arial"/>
          <w:sz w:val="22"/>
          <w:szCs w:val="22"/>
          <w:lang w:val="en-GB"/>
        </w:rPr>
      </w:pPr>
      <w:r>
        <w:rPr>
          <w:rFonts w:ascii="Arial" w:hAnsi="Arial" w:cs="Arial"/>
          <w:sz w:val="22"/>
          <w:szCs w:val="22"/>
          <w:lang w:val="en-GB"/>
        </w:rPr>
        <w:lastRenderedPageBreak/>
        <w:t>Category 4: Contributions to Occupational Pension Schemes, etc.</w:t>
      </w:r>
    </w:p>
    <w:p w14:paraId="38FA4296" w14:textId="6627F9B6" w:rsidR="000429D4" w:rsidRDefault="000429D4" w:rsidP="000429D4">
      <w:pPr>
        <w:pStyle w:val="ListParagraph"/>
        <w:ind w:left="1440"/>
        <w:jc w:val="both"/>
        <w:rPr>
          <w:rFonts w:ascii="Arial" w:hAnsi="Arial" w:cs="Arial"/>
          <w:sz w:val="22"/>
          <w:szCs w:val="22"/>
          <w:lang w:val="en-GB"/>
        </w:rPr>
      </w:pPr>
      <w:r>
        <w:rPr>
          <w:rFonts w:ascii="Arial" w:hAnsi="Arial" w:cs="Arial"/>
          <w:sz w:val="22"/>
          <w:szCs w:val="22"/>
          <w:lang w:val="en-GB"/>
        </w:rPr>
        <w:t>Category 5: Remuneration etc. of employees</w:t>
      </w:r>
    </w:p>
    <w:p w14:paraId="019C59A7" w14:textId="2ABFA18C" w:rsidR="000429D4" w:rsidRDefault="000429D4" w:rsidP="000429D4">
      <w:pPr>
        <w:pStyle w:val="ListParagraph"/>
        <w:ind w:left="1440"/>
        <w:jc w:val="both"/>
        <w:rPr>
          <w:rFonts w:ascii="Arial" w:hAnsi="Arial" w:cs="Arial"/>
          <w:sz w:val="22"/>
          <w:szCs w:val="22"/>
          <w:lang w:val="en-GB"/>
        </w:rPr>
      </w:pPr>
      <w:r>
        <w:rPr>
          <w:rFonts w:ascii="Arial" w:hAnsi="Arial" w:cs="Arial"/>
          <w:sz w:val="22"/>
          <w:szCs w:val="22"/>
          <w:lang w:val="en-GB"/>
        </w:rPr>
        <w:t>Category 6: Levies on coal and steel production</w:t>
      </w:r>
    </w:p>
    <w:p w14:paraId="716780A8" w14:textId="7B10FB9E" w:rsidR="000429D4" w:rsidRDefault="000429D4" w:rsidP="000429D4">
      <w:pPr>
        <w:pStyle w:val="ListParagraph"/>
        <w:ind w:left="1440"/>
        <w:jc w:val="both"/>
        <w:rPr>
          <w:rFonts w:ascii="Arial" w:hAnsi="Arial" w:cs="Arial"/>
          <w:sz w:val="22"/>
          <w:szCs w:val="22"/>
          <w:lang w:val="en-GB"/>
        </w:rPr>
      </w:pPr>
      <w:r>
        <w:rPr>
          <w:rFonts w:ascii="Arial" w:hAnsi="Arial" w:cs="Arial"/>
          <w:sz w:val="22"/>
          <w:szCs w:val="22"/>
          <w:lang w:val="en-GB"/>
        </w:rPr>
        <w:t>Category 6A: Debts owed to the Financial Services Compensation Scheme</w:t>
      </w:r>
    </w:p>
    <w:p w14:paraId="5591D69B" w14:textId="6D74611B" w:rsidR="000429D4" w:rsidRDefault="000429D4" w:rsidP="000429D4">
      <w:pPr>
        <w:pStyle w:val="ListParagraph"/>
        <w:ind w:left="1440"/>
        <w:jc w:val="both"/>
        <w:rPr>
          <w:rFonts w:ascii="Arial" w:hAnsi="Arial" w:cs="Arial"/>
          <w:sz w:val="22"/>
          <w:szCs w:val="22"/>
          <w:lang w:val="en-GB"/>
        </w:rPr>
      </w:pPr>
      <w:r>
        <w:rPr>
          <w:rFonts w:ascii="Arial" w:hAnsi="Arial" w:cs="Arial"/>
          <w:sz w:val="22"/>
          <w:szCs w:val="22"/>
          <w:lang w:val="en-GB"/>
        </w:rPr>
        <w:t>Category 7: Deposits recovered from the Financial Services Compensation Scheme</w:t>
      </w:r>
    </w:p>
    <w:p w14:paraId="301F11E3" w14:textId="2591A99F" w:rsidR="0038510F" w:rsidRDefault="000429D4" w:rsidP="000E3C5B">
      <w:pPr>
        <w:pStyle w:val="ListParagraph"/>
        <w:ind w:left="1440"/>
        <w:jc w:val="both"/>
        <w:rPr>
          <w:rFonts w:ascii="Arial" w:hAnsi="Arial" w:cs="Arial"/>
          <w:sz w:val="22"/>
          <w:szCs w:val="22"/>
          <w:lang w:val="en-GB"/>
        </w:rPr>
      </w:pPr>
      <w:r>
        <w:rPr>
          <w:rFonts w:ascii="Arial" w:hAnsi="Arial" w:cs="Arial"/>
          <w:sz w:val="22"/>
          <w:szCs w:val="22"/>
          <w:lang w:val="en-GB"/>
        </w:rPr>
        <w:t>Category 8: Other deposits</w:t>
      </w:r>
    </w:p>
    <w:p w14:paraId="6024F634" w14:textId="77777777" w:rsidR="000E3C5B" w:rsidRDefault="000E3C5B" w:rsidP="000E3C5B">
      <w:pPr>
        <w:pStyle w:val="ListParagraph"/>
        <w:ind w:left="1440"/>
        <w:jc w:val="both"/>
        <w:rPr>
          <w:rFonts w:ascii="Arial" w:hAnsi="Arial" w:cs="Arial"/>
          <w:sz w:val="22"/>
          <w:szCs w:val="22"/>
          <w:lang w:val="en-GB"/>
        </w:rPr>
      </w:pPr>
    </w:p>
    <w:p w14:paraId="050600A3" w14:textId="0E01442F" w:rsidR="000E3C5B" w:rsidRDefault="00D056A8" w:rsidP="000E3C5B">
      <w:pPr>
        <w:pStyle w:val="ListParagraph"/>
        <w:ind w:left="1440"/>
        <w:jc w:val="both"/>
        <w:rPr>
          <w:rFonts w:ascii="Arial" w:hAnsi="Arial" w:cs="Arial"/>
          <w:sz w:val="22"/>
          <w:szCs w:val="22"/>
          <w:lang w:val="en-GB"/>
        </w:rPr>
      </w:pPr>
      <w:r>
        <w:rPr>
          <w:rFonts w:ascii="Arial" w:hAnsi="Arial" w:cs="Arial"/>
          <w:sz w:val="22"/>
          <w:szCs w:val="22"/>
          <w:lang w:val="en-GB"/>
        </w:rPr>
        <w:t>Categories</w:t>
      </w:r>
      <w:r w:rsidR="000E3C5B">
        <w:rPr>
          <w:rFonts w:ascii="Arial" w:hAnsi="Arial" w:cs="Arial"/>
          <w:sz w:val="22"/>
          <w:szCs w:val="22"/>
          <w:lang w:val="en-GB"/>
        </w:rPr>
        <w:t xml:space="preserve"> 4 to 6 of Schedule 6 are “ordinary preferential debts” as contemplated in section 386 (1A) of the Insolvency Act</w:t>
      </w:r>
      <w:r>
        <w:rPr>
          <w:rFonts w:ascii="Arial" w:hAnsi="Arial" w:cs="Arial"/>
          <w:sz w:val="22"/>
          <w:szCs w:val="22"/>
          <w:lang w:val="en-GB"/>
        </w:rPr>
        <w:t xml:space="preserve">. </w:t>
      </w:r>
      <w:proofErr w:type="gramStart"/>
      <w:r>
        <w:rPr>
          <w:rFonts w:ascii="Arial" w:hAnsi="Arial" w:cs="Arial"/>
          <w:sz w:val="22"/>
          <w:szCs w:val="22"/>
          <w:lang w:val="en-GB"/>
        </w:rPr>
        <w:t>Category 8 of Schedule 6 are</w:t>
      </w:r>
      <w:proofErr w:type="gramEnd"/>
      <w:r>
        <w:rPr>
          <w:rFonts w:ascii="Arial" w:hAnsi="Arial" w:cs="Arial"/>
          <w:sz w:val="22"/>
          <w:szCs w:val="22"/>
          <w:lang w:val="en-GB"/>
        </w:rPr>
        <w:t xml:space="preserve"> considered “secondary preferential debts” as contemplated in section 386 (1B) of the Insolvency Act.</w:t>
      </w:r>
      <w:r>
        <w:rPr>
          <w:rStyle w:val="FootnoteReference"/>
          <w:rFonts w:ascii="Arial" w:hAnsi="Arial" w:cs="Arial"/>
          <w:sz w:val="22"/>
          <w:szCs w:val="22"/>
          <w:lang w:val="en-GB"/>
        </w:rPr>
        <w:footnoteReference w:id="16"/>
      </w:r>
    </w:p>
    <w:p w14:paraId="419C9F51" w14:textId="77777777" w:rsidR="00D056A8" w:rsidRDefault="00D056A8" w:rsidP="000E3C5B">
      <w:pPr>
        <w:pStyle w:val="ListParagraph"/>
        <w:ind w:left="1440"/>
        <w:jc w:val="both"/>
        <w:rPr>
          <w:rFonts w:ascii="Arial" w:hAnsi="Arial" w:cs="Arial"/>
          <w:sz w:val="22"/>
          <w:szCs w:val="22"/>
          <w:lang w:val="en-GB"/>
        </w:rPr>
      </w:pPr>
    </w:p>
    <w:p w14:paraId="3098CF67" w14:textId="2E2F6EBB" w:rsidR="00D056A8" w:rsidRPr="000E3C5B" w:rsidRDefault="00D056A8" w:rsidP="000E3C5B">
      <w:pPr>
        <w:pStyle w:val="ListParagraph"/>
        <w:ind w:left="1440"/>
        <w:jc w:val="both"/>
        <w:rPr>
          <w:rFonts w:ascii="Arial" w:hAnsi="Arial" w:cs="Arial"/>
          <w:sz w:val="22"/>
          <w:szCs w:val="22"/>
          <w:lang w:val="en-GB"/>
        </w:rPr>
      </w:pPr>
      <w:r>
        <w:rPr>
          <w:rFonts w:ascii="Arial" w:hAnsi="Arial" w:cs="Arial"/>
          <w:sz w:val="22"/>
          <w:szCs w:val="22"/>
          <w:lang w:val="en-GB"/>
        </w:rPr>
        <w:t>Categories 1 to 3 as well as categories 6A to 8 are considered “secondary preferential debts”.</w:t>
      </w:r>
      <w:r>
        <w:rPr>
          <w:rStyle w:val="FootnoteReference"/>
          <w:rFonts w:ascii="Arial" w:hAnsi="Arial" w:cs="Arial"/>
          <w:sz w:val="22"/>
          <w:szCs w:val="22"/>
          <w:lang w:val="en-GB"/>
        </w:rPr>
        <w:footnoteReference w:id="17"/>
      </w:r>
    </w:p>
    <w:p w14:paraId="2FE4C879" w14:textId="77777777" w:rsidR="0056076E" w:rsidRDefault="0056076E" w:rsidP="0056076E">
      <w:pPr>
        <w:pStyle w:val="ListParagraph"/>
        <w:ind w:left="2160"/>
        <w:jc w:val="both"/>
        <w:rPr>
          <w:rFonts w:ascii="Arial" w:hAnsi="Arial" w:cs="Arial"/>
          <w:sz w:val="22"/>
          <w:szCs w:val="22"/>
          <w:lang w:val="en-GB"/>
        </w:rPr>
      </w:pPr>
    </w:p>
    <w:p w14:paraId="587F208D" w14:textId="6E0A7A24" w:rsidR="00293210" w:rsidRDefault="00293210" w:rsidP="00AD04FF">
      <w:pPr>
        <w:pStyle w:val="ListParagraph"/>
        <w:numPr>
          <w:ilvl w:val="0"/>
          <w:numId w:val="21"/>
        </w:numPr>
        <w:jc w:val="both"/>
        <w:rPr>
          <w:rFonts w:ascii="Arial" w:hAnsi="Arial" w:cs="Arial"/>
          <w:sz w:val="22"/>
          <w:szCs w:val="22"/>
          <w:lang w:val="en-GB"/>
        </w:rPr>
      </w:pPr>
      <w:r>
        <w:rPr>
          <w:rFonts w:ascii="Arial" w:hAnsi="Arial" w:cs="Arial"/>
          <w:sz w:val="22"/>
          <w:szCs w:val="22"/>
          <w:lang w:val="en-GB"/>
        </w:rPr>
        <w:t>Floating charge holder and “prescribed part”</w:t>
      </w:r>
    </w:p>
    <w:p w14:paraId="211E9D9C" w14:textId="77777777" w:rsidR="00DC38D9" w:rsidRDefault="00DC38D9" w:rsidP="00FE097E">
      <w:pPr>
        <w:pStyle w:val="ListParagraph"/>
        <w:ind w:left="1440"/>
        <w:jc w:val="both"/>
        <w:rPr>
          <w:rFonts w:ascii="Arial" w:hAnsi="Arial" w:cs="Arial"/>
          <w:sz w:val="22"/>
          <w:szCs w:val="22"/>
          <w:lang w:val="en-GB"/>
        </w:rPr>
      </w:pPr>
    </w:p>
    <w:p w14:paraId="4E5375CF" w14:textId="1AB98E24" w:rsidR="00FE097E" w:rsidRDefault="00281C56" w:rsidP="00FE097E">
      <w:pPr>
        <w:pStyle w:val="ListParagraph"/>
        <w:ind w:left="1440"/>
        <w:jc w:val="both"/>
        <w:rPr>
          <w:rFonts w:ascii="Arial" w:hAnsi="Arial" w:cs="Arial"/>
          <w:sz w:val="22"/>
          <w:szCs w:val="22"/>
          <w:lang w:val="en-GB"/>
        </w:rPr>
      </w:pPr>
      <w:r>
        <w:rPr>
          <w:rFonts w:ascii="Arial" w:hAnsi="Arial" w:cs="Arial"/>
          <w:sz w:val="22"/>
          <w:szCs w:val="22"/>
          <w:lang w:val="en-GB"/>
        </w:rPr>
        <w:t>After the preferential creditors are paid, then any creditor holding a floating charge will get paid next. If there is more than one floating charge holder, the priority between them turns upon which floating charge was created first.</w:t>
      </w:r>
    </w:p>
    <w:p w14:paraId="1B2EE4B0" w14:textId="77777777" w:rsidR="008E0DD0" w:rsidRDefault="008E0DD0" w:rsidP="00FE097E">
      <w:pPr>
        <w:pStyle w:val="ListParagraph"/>
        <w:ind w:left="1440"/>
        <w:jc w:val="both"/>
        <w:rPr>
          <w:rFonts w:ascii="Arial" w:hAnsi="Arial" w:cs="Arial"/>
          <w:sz w:val="22"/>
          <w:szCs w:val="22"/>
          <w:lang w:val="en-GB"/>
        </w:rPr>
      </w:pPr>
    </w:p>
    <w:p w14:paraId="7107F8DE" w14:textId="0A709A8F" w:rsidR="008E0DD0" w:rsidRDefault="008E0DD0" w:rsidP="00FE097E">
      <w:pPr>
        <w:pStyle w:val="ListParagraph"/>
        <w:ind w:left="1440"/>
        <w:jc w:val="both"/>
        <w:rPr>
          <w:rFonts w:ascii="Arial" w:hAnsi="Arial" w:cs="Arial"/>
          <w:sz w:val="22"/>
          <w:szCs w:val="22"/>
          <w:lang w:val="en-GB"/>
        </w:rPr>
      </w:pPr>
      <w:r>
        <w:rPr>
          <w:rFonts w:ascii="Arial" w:hAnsi="Arial" w:cs="Arial"/>
          <w:sz w:val="22"/>
          <w:szCs w:val="22"/>
          <w:lang w:val="en-GB"/>
        </w:rPr>
        <w:t xml:space="preserve">Before any payments can be made </w:t>
      </w:r>
      <w:r w:rsidR="00F41ECE">
        <w:rPr>
          <w:rFonts w:ascii="Arial" w:hAnsi="Arial" w:cs="Arial"/>
          <w:sz w:val="22"/>
          <w:szCs w:val="22"/>
          <w:lang w:val="en-GB"/>
        </w:rPr>
        <w:t>to any floating charge holder, the liquidator must consider the application of s176A of the Insolvency Act, which applies to a floating charge created on or after 15 September 2003. This provides for a “prescribed part” of the company’s “net property” to be made available for the unsecured creditors. Where the company’s net property is less than £10,000, the prescribed part is 50% of that property. The Liquidator can determine if making a distribution to unsecured creditors would be disproportionate then the prescribed part does not apply. If the net property exceeds £10,000, the prescribed part is 50% of the first £10,000 in value, plus 20% of the excess value above £10,000 subject to a maximum prescribed part of £800,000. A floating charge holder cannot participate in the distribution of a prescribed part.</w:t>
      </w:r>
      <w:r w:rsidR="00F41ECE" w:rsidRPr="00F41ECE">
        <w:rPr>
          <w:rStyle w:val="FootnoteReference"/>
          <w:rFonts w:ascii="Arial" w:hAnsi="Arial" w:cs="Arial"/>
          <w:sz w:val="22"/>
          <w:szCs w:val="22"/>
          <w:lang w:val="en-GB"/>
        </w:rPr>
        <w:t xml:space="preserve"> </w:t>
      </w:r>
      <w:r w:rsidR="00F41ECE">
        <w:rPr>
          <w:rStyle w:val="FootnoteReference"/>
          <w:rFonts w:ascii="Arial" w:hAnsi="Arial" w:cs="Arial"/>
          <w:sz w:val="22"/>
          <w:szCs w:val="22"/>
          <w:lang w:val="en-GB"/>
        </w:rPr>
        <w:footnoteReference w:id="18"/>
      </w:r>
    </w:p>
    <w:p w14:paraId="44D22E9F" w14:textId="77777777" w:rsidR="00FE097E" w:rsidRDefault="00FE097E" w:rsidP="00FE097E">
      <w:pPr>
        <w:pStyle w:val="ListParagraph"/>
        <w:ind w:left="1440"/>
        <w:jc w:val="both"/>
        <w:rPr>
          <w:rFonts w:ascii="Arial" w:hAnsi="Arial" w:cs="Arial"/>
          <w:sz w:val="22"/>
          <w:szCs w:val="22"/>
          <w:lang w:val="en-GB"/>
        </w:rPr>
      </w:pPr>
    </w:p>
    <w:p w14:paraId="510DD301" w14:textId="616A4ACF" w:rsidR="00293210" w:rsidRDefault="00293210" w:rsidP="00AD04FF">
      <w:pPr>
        <w:pStyle w:val="ListParagraph"/>
        <w:numPr>
          <w:ilvl w:val="0"/>
          <w:numId w:val="21"/>
        </w:numPr>
        <w:jc w:val="both"/>
        <w:rPr>
          <w:rFonts w:ascii="Arial" w:hAnsi="Arial" w:cs="Arial"/>
          <w:sz w:val="22"/>
          <w:szCs w:val="22"/>
          <w:lang w:val="en-GB"/>
        </w:rPr>
      </w:pPr>
      <w:r>
        <w:rPr>
          <w:rFonts w:ascii="Arial" w:hAnsi="Arial" w:cs="Arial"/>
          <w:sz w:val="22"/>
          <w:szCs w:val="22"/>
          <w:lang w:val="en-GB"/>
        </w:rPr>
        <w:t>Unsecured creditors</w:t>
      </w:r>
    </w:p>
    <w:p w14:paraId="4C8DAFB2" w14:textId="77777777" w:rsidR="00EE1A9A" w:rsidRDefault="00EE1A9A" w:rsidP="00EE1A9A">
      <w:pPr>
        <w:pStyle w:val="ListParagraph"/>
        <w:ind w:left="1440"/>
        <w:jc w:val="both"/>
        <w:rPr>
          <w:rFonts w:ascii="Arial" w:hAnsi="Arial" w:cs="Arial"/>
          <w:sz w:val="22"/>
          <w:szCs w:val="22"/>
          <w:lang w:val="en-GB"/>
        </w:rPr>
      </w:pPr>
    </w:p>
    <w:p w14:paraId="1C1663F2" w14:textId="5EB463BC" w:rsidR="00EE1A9A" w:rsidRDefault="007458C2" w:rsidP="00EE1A9A">
      <w:pPr>
        <w:pStyle w:val="ListParagraph"/>
        <w:ind w:left="1440"/>
        <w:jc w:val="both"/>
        <w:rPr>
          <w:rFonts w:ascii="Arial" w:hAnsi="Arial" w:cs="Arial"/>
          <w:sz w:val="22"/>
          <w:szCs w:val="22"/>
          <w:lang w:val="en-GB"/>
        </w:rPr>
      </w:pPr>
      <w:r>
        <w:rPr>
          <w:rFonts w:ascii="Arial" w:hAnsi="Arial" w:cs="Arial"/>
          <w:sz w:val="22"/>
          <w:szCs w:val="22"/>
          <w:lang w:val="en-GB"/>
        </w:rPr>
        <w:t xml:space="preserve">There is frequently little </w:t>
      </w:r>
      <w:r w:rsidR="00C7457B">
        <w:rPr>
          <w:rFonts w:ascii="Arial" w:hAnsi="Arial" w:cs="Arial"/>
          <w:sz w:val="22"/>
          <w:szCs w:val="22"/>
          <w:lang w:val="en-GB"/>
        </w:rPr>
        <w:t xml:space="preserve">or nothing </w:t>
      </w:r>
      <w:r>
        <w:rPr>
          <w:rFonts w:ascii="Arial" w:hAnsi="Arial" w:cs="Arial"/>
          <w:sz w:val="22"/>
          <w:szCs w:val="22"/>
          <w:lang w:val="en-GB"/>
        </w:rPr>
        <w:t>left to pay unsecured creditors, who are typically ordinary trade creditors with no secu</w:t>
      </w:r>
      <w:bookmarkStart w:id="0" w:name="_GoBack"/>
      <w:bookmarkEnd w:id="0"/>
      <w:r>
        <w:rPr>
          <w:rFonts w:ascii="Arial" w:hAnsi="Arial" w:cs="Arial"/>
          <w:sz w:val="22"/>
          <w:szCs w:val="22"/>
          <w:lang w:val="en-GB"/>
        </w:rPr>
        <w:t>rity, once expenses of the liquidation are paid and distributions made to secured and preferential creditors.</w:t>
      </w:r>
      <w:r w:rsidR="00C7457B" w:rsidRPr="00C7457B">
        <w:rPr>
          <w:rStyle w:val="FootnoteReference"/>
          <w:rFonts w:ascii="Arial" w:hAnsi="Arial" w:cs="Arial"/>
          <w:sz w:val="22"/>
          <w:szCs w:val="22"/>
          <w:lang w:val="en-GB"/>
        </w:rPr>
        <w:t xml:space="preserve"> </w:t>
      </w:r>
      <w:r w:rsidR="00C7457B">
        <w:rPr>
          <w:rStyle w:val="FootnoteReference"/>
          <w:rFonts w:ascii="Arial" w:hAnsi="Arial" w:cs="Arial"/>
          <w:sz w:val="22"/>
          <w:szCs w:val="22"/>
          <w:lang w:val="en-GB"/>
        </w:rPr>
        <w:footnoteReference w:id="19"/>
      </w:r>
    </w:p>
    <w:p w14:paraId="729A14A1" w14:textId="77777777" w:rsidR="00EE1A9A" w:rsidRDefault="00EE1A9A" w:rsidP="00EE1A9A">
      <w:pPr>
        <w:pStyle w:val="ListParagraph"/>
        <w:ind w:left="1440"/>
        <w:jc w:val="both"/>
        <w:rPr>
          <w:rFonts w:ascii="Arial" w:hAnsi="Arial" w:cs="Arial"/>
          <w:sz w:val="22"/>
          <w:szCs w:val="22"/>
          <w:lang w:val="en-GB"/>
        </w:rPr>
      </w:pPr>
    </w:p>
    <w:p w14:paraId="496304B4" w14:textId="77777777" w:rsidR="00C7457B" w:rsidRDefault="00293210" w:rsidP="00AD04FF">
      <w:pPr>
        <w:pStyle w:val="ListParagraph"/>
        <w:numPr>
          <w:ilvl w:val="0"/>
          <w:numId w:val="21"/>
        </w:numPr>
        <w:jc w:val="both"/>
        <w:rPr>
          <w:rFonts w:ascii="Arial" w:hAnsi="Arial" w:cs="Arial"/>
          <w:sz w:val="22"/>
          <w:szCs w:val="22"/>
          <w:lang w:val="en-GB"/>
        </w:rPr>
      </w:pPr>
      <w:r>
        <w:rPr>
          <w:rFonts w:ascii="Arial" w:hAnsi="Arial" w:cs="Arial"/>
          <w:sz w:val="22"/>
          <w:szCs w:val="22"/>
          <w:lang w:val="en-GB"/>
        </w:rPr>
        <w:t>Shareholders</w:t>
      </w:r>
    </w:p>
    <w:p w14:paraId="23E288A3" w14:textId="77777777" w:rsidR="00C7457B" w:rsidRDefault="00C7457B" w:rsidP="00C7457B">
      <w:pPr>
        <w:pStyle w:val="ListParagraph"/>
        <w:ind w:left="1440"/>
        <w:jc w:val="both"/>
        <w:rPr>
          <w:rFonts w:ascii="Arial" w:hAnsi="Arial" w:cs="Arial"/>
          <w:sz w:val="22"/>
          <w:szCs w:val="22"/>
          <w:lang w:val="en-GB"/>
        </w:rPr>
      </w:pPr>
    </w:p>
    <w:p w14:paraId="1A64BA63" w14:textId="08D664B7" w:rsidR="00293210" w:rsidRPr="00AD04FF" w:rsidRDefault="00C7457B" w:rsidP="00C7457B">
      <w:pPr>
        <w:pStyle w:val="ListParagraph"/>
        <w:ind w:left="1440"/>
        <w:jc w:val="both"/>
        <w:rPr>
          <w:rFonts w:ascii="Arial" w:hAnsi="Arial" w:cs="Arial"/>
          <w:sz w:val="22"/>
          <w:szCs w:val="22"/>
          <w:lang w:val="en-GB"/>
        </w:rPr>
      </w:pPr>
      <w:r>
        <w:rPr>
          <w:rFonts w:ascii="Arial" w:hAnsi="Arial" w:cs="Arial"/>
          <w:sz w:val="22"/>
          <w:szCs w:val="22"/>
          <w:lang w:val="en-GB"/>
        </w:rPr>
        <w:t>If there are surplus funds after paying all the creditors including interest on their debts, the surplus is distributed amongst the shareholders according to the company’s constitution.</w:t>
      </w:r>
      <w:r w:rsidR="00DC38D9">
        <w:rPr>
          <w:rStyle w:val="FootnoteReference"/>
          <w:rFonts w:ascii="Arial" w:hAnsi="Arial" w:cs="Arial"/>
          <w:sz w:val="22"/>
          <w:szCs w:val="22"/>
          <w:lang w:val="en-GB"/>
        </w:rPr>
        <w:footnoteReference w:id="20"/>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1"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 xml:space="preserve">order was </w:t>
      </w:r>
      <w:proofErr w:type="gramStart"/>
      <w:r w:rsidR="0070524B">
        <w:rPr>
          <w:rFonts w:ascii="Arial" w:hAnsi="Arial" w:cs="Arial"/>
        </w:rPr>
        <w:t>made</w:t>
      </w:r>
      <w:r w:rsidRPr="00CB79E4">
        <w:rPr>
          <w:rFonts w:ascii="Arial" w:hAnsi="Arial" w:cs="Arial"/>
        </w:rPr>
        <w:t>,</w:t>
      </w:r>
      <w:proofErr w:type="gramEnd"/>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w:t>
      </w:r>
      <w:proofErr w:type="gramStart"/>
      <w:r w:rsidR="0070524B">
        <w:rPr>
          <w:rFonts w:ascii="Arial" w:hAnsi="Arial" w:cs="Arial"/>
        </w:rPr>
        <w:t>a cash</w:t>
      </w:r>
      <w:proofErr w:type="gramEnd"/>
      <w:r w:rsidR="0070524B">
        <w:rPr>
          <w:rFonts w:ascii="Arial" w:hAnsi="Arial" w:cs="Arial"/>
        </w:rPr>
        <w:t xml:space="preserve"> on delivery basis. As the </w:t>
      </w:r>
      <w:proofErr w:type="gramStart"/>
      <w:r w:rsidR="0070524B">
        <w:rPr>
          <w:rFonts w:ascii="Arial" w:hAnsi="Arial" w:cs="Arial"/>
        </w:rPr>
        <w:t>continued supply of coffee beans was seen as essential by the Company</w:t>
      </w:r>
      <w:proofErr w:type="gramEnd"/>
      <w:r w:rsidR="0070524B">
        <w:rPr>
          <w:rFonts w:ascii="Arial" w:hAnsi="Arial" w:cs="Arial"/>
        </w:rPr>
        <w:t xml:space="preserve">,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Pr="00E921EF" w:rsidRDefault="007E2919" w:rsidP="007E2919">
      <w:pPr>
        <w:rPr>
          <w:rFonts w:ascii="Arial" w:hAnsi="Arial" w:cs="Arial"/>
          <w:b/>
          <w:sz w:val="24"/>
        </w:rPr>
      </w:pPr>
    </w:p>
    <w:p w14:paraId="0A188A55" w14:textId="657127FD" w:rsidR="00FF5098" w:rsidRPr="00E921EF" w:rsidRDefault="00E921EF" w:rsidP="00FF5098">
      <w:pPr>
        <w:jc w:val="both"/>
        <w:rPr>
          <w:rFonts w:ascii="Arial" w:hAnsi="Arial" w:cs="Arial"/>
          <w:sz w:val="22"/>
          <w:szCs w:val="22"/>
          <w:lang w:val="en-GB"/>
        </w:rPr>
      </w:pPr>
      <w:r w:rsidRPr="00E921EF">
        <w:rPr>
          <w:rFonts w:ascii="Arial" w:hAnsi="Arial" w:cs="Arial"/>
          <w:sz w:val="22"/>
          <w:szCs w:val="22"/>
          <w:lang w:val="en-GB"/>
        </w:rPr>
        <w:t>Answer:</w:t>
      </w:r>
    </w:p>
    <w:p w14:paraId="32A0FF5C" w14:textId="77777777" w:rsidR="00E921EF" w:rsidRPr="00E921EF" w:rsidRDefault="00E921EF" w:rsidP="00FF5098">
      <w:pPr>
        <w:jc w:val="both"/>
        <w:rPr>
          <w:rFonts w:ascii="Arial" w:hAnsi="Arial" w:cs="Arial"/>
          <w:sz w:val="22"/>
          <w:szCs w:val="22"/>
          <w:lang w:val="en-GB"/>
        </w:rPr>
      </w:pPr>
    </w:p>
    <w:p w14:paraId="4117FE42" w14:textId="0D5DC00B" w:rsidR="00E921EF" w:rsidRDefault="00E921EF" w:rsidP="00E921EF">
      <w:pPr>
        <w:ind w:left="720"/>
        <w:jc w:val="both"/>
        <w:rPr>
          <w:rFonts w:ascii="Arial" w:hAnsi="Arial" w:cs="Arial"/>
          <w:sz w:val="22"/>
          <w:szCs w:val="22"/>
          <w:lang w:val="en-GB"/>
        </w:rPr>
      </w:pPr>
      <w:r w:rsidRPr="00E921EF">
        <w:rPr>
          <w:rFonts w:ascii="Arial" w:hAnsi="Arial" w:cs="Arial"/>
          <w:sz w:val="22"/>
          <w:szCs w:val="22"/>
          <w:lang w:val="en-GB"/>
        </w:rPr>
        <w:t xml:space="preserve">Section 245 of the Insolvency Act </w:t>
      </w:r>
      <w:r>
        <w:rPr>
          <w:rFonts w:ascii="Arial" w:hAnsi="Arial" w:cs="Arial"/>
          <w:sz w:val="22"/>
          <w:szCs w:val="22"/>
          <w:lang w:val="en-GB"/>
        </w:rPr>
        <w:t>invalidates a floating charge taken on a company’s undertaking or property created at a relevant time. The relevant time for a person not connected with the company is 12 months prior to the onset of insolvency, but only if at the time of the creation of the charge the company was either unable to pay its debts or became unable to do so as a consequence of the transaction.</w:t>
      </w:r>
      <w:r>
        <w:rPr>
          <w:rStyle w:val="FootnoteReference"/>
          <w:rFonts w:ascii="Arial" w:hAnsi="Arial" w:cs="Arial"/>
          <w:sz w:val="22"/>
          <w:szCs w:val="22"/>
          <w:lang w:val="en-GB"/>
        </w:rPr>
        <w:footnoteReference w:id="21"/>
      </w:r>
    </w:p>
    <w:p w14:paraId="6C341ABE" w14:textId="77777777" w:rsidR="00E921EF" w:rsidRDefault="00E921EF" w:rsidP="00E921EF">
      <w:pPr>
        <w:ind w:left="720"/>
        <w:jc w:val="both"/>
        <w:rPr>
          <w:rFonts w:ascii="Arial" w:hAnsi="Arial" w:cs="Arial"/>
          <w:sz w:val="22"/>
          <w:szCs w:val="22"/>
          <w:lang w:val="en-GB"/>
        </w:rPr>
      </w:pPr>
    </w:p>
    <w:p w14:paraId="25F2E037" w14:textId="45CF279F" w:rsidR="00E921EF" w:rsidRPr="00E921EF" w:rsidRDefault="00E921EF" w:rsidP="00E921EF">
      <w:pPr>
        <w:ind w:left="720"/>
        <w:jc w:val="both"/>
        <w:rPr>
          <w:rFonts w:ascii="Arial" w:hAnsi="Arial" w:cs="Arial"/>
          <w:sz w:val="22"/>
          <w:szCs w:val="22"/>
          <w:lang w:val="en-GB"/>
        </w:rPr>
      </w:pPr>
      <w:r>
        <w:rPr>
          <w:rFonts w:ascii="Arial" w:hAnsi="Arial" w:cs="Arial"/>
          <w:sz w:val="22"/>
          <w:szCs w:val="22"/>
          <w:lang w:val="en-GB"/>
        </w:rPr>
        <w:t>As the floating charge was taken in February 2021, the floating charge is subject to section 245 of the Insolvency Act.</w:t>
      </w:r>
      <w:r w:rsidR="003E067B">
        <w:rPr>
          <w:rFonts w:ascii="Arial" w:hAnsi="Arial" w:cs="Arial"/>
          <w:sz w:val="22"/>
          <w:szCs w:val="22"/>
          <w:lang w:val="en-GB"/>
        </w:rPr>
        <w:t xml:space="preserve"> Further the charge was given to prevent </w:t>
      </w:r>
      <w:proofErr w:type="spellStart"/>
      <w:r w:rsidR="003E067B">
        <w:rPr>
          <w:rFonts w:ascii="Arial" w:hAnsi="Arial" w:cs="Arial"/>
          <w:sz w:val="22"/>
          <w:szCs w:val="22"/>
          <w:lang w:val="en-GB"/>
        </w:rPr>
        <w:t>Stercus</w:t>
      </w:r>
      <w:proofErr w:type="spellEnd"/>
      <w:r w:rsidR="003E067B">
        <w:rPr>
          <w:rFonts w:ascii="Arial" w:hAnsi="Arial" w:cs="Arial"/>
          <w:sz w:val="22"/>
          <w:szCs w:val="22"/>
          <w:lang w:val="en-GB"/>
        </w:rPr>
        <w:t xml:space="preserve"> Bank </w:t>
      </w:r>
      <w:proofErr w:type="spellStart"/>
      <w:r w:rsidR="003E067B">
        <w:rPr>
          <w:rFonts w:ascii="Arial" w:hAnsi="Arial" w:cs="Arial"/>
          <w:sz w:val="22"/>
          <w:szCs w:val="22"/>
          <w:lang w:val="en-GB"/>
        </w:rPr>
        <w:t>plc</w:t>
      </w:r>
      <w:proofErr w:type="spellEnd"/>
      <w:r w:rsidR="003E067B">
        <w:rPr>
          <w:rFonts w:ascii="Arial" w:hAnsi="Arial" w:cs="Arial"/>
          <w:sz w:val="22"/>
          <w:szCs w:val="22"/>
          <w:lang w:val="en-GB"/>
        </w:rPr>
        <w:t xml:space="preserve"> from demanding repayment of the Company’s loans without any consideration received in exchange for the charge an the debenture contained a floating charge over the whole of the Company’s undertaking. Accordingly, the </w:t>
      </w:r>
      <w:r w:rsidR="003E067B">
        <w:rPr>
          <w:rFonts w:ascii="Arial" w:hAnsi="Arial" w:cs="Arial"/>
          <w:sz w:val="22"/>
          <w:szCs w:val="22"/>
          <w:lang w:val="en-GB"/>
        </w:rPr>
        <w:lastRenderedPageBreak/>
        <w:t>floating charge would be considered invalid pursuant to section 245 of the Insolvency Act.</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227E45F0" w:rsidR="00FF5098" w:rsidRPr="000C5BC7" w:rsidRDefault="000C5BC7" w:rsidP="00FF5098">
      <w:pPr>
        <w:jc w:val="both"/>
        <w:rPr>
          <w:rFonts w:ascii="Arial" w:hAnsi="Arial" w:cs="Arial"/>
          <w:sz w:val="22"/>
          <w:szCs w:val="22"/>
          <w:lang w:val="en-GB"/>
        </w:rPr>
      </w:pPr>
      <w:r w:rsidRPr="000C5BC7">
        <w:rPr>
          <w:rFonts w:ascii="Arial" w:hAnsi="Arial" w:cs="Arial"/>
          <w:sz w:val="22"/>
          <w:szCs w:val="22"/>
          <w:lang w:val="en-GB"/>
        </w:rPr>
        <w:t>Answer:</w:t>
      </w:r>
    </w:p>
    <w:p w14:paraId="6E9D4573" w14:textId="77777777" w:rsidR="000C5BC7" w:rsidRPr="000C5BC7" w:rsidRDefault="000C5BC7" w:rsidP="00FF5098">
      <w:pPr>
        <w:jc w:val="both"/>
        <w:rPr>
          <w:rFonts w:ascii="Arial" w:hAnsi="Arial" w:cs="Arial"/>
          <w:sz w:val="22"/>
          <w:szCs w:val="22"/>
          <w:lang w:val="en-GB"/>
        </w:rPr>
      </w:pPr>
    </w:p>
    <w:p w14:paraId="614DD716" w14:textId="48E1EAEC" w:rsidR="000C5BC7" w:rsidRDefault="000C5BC7" w:rsidP="000C5BC7">
      <w:pPr>
        <w:ind w:left="720"/>
        <w:jc w:val="both"/>
        <w:rPr>
          <w:rFonts w:ascii="Arial" w:hAnsi="Arial" w:cs="Arial"/>
          <w:sz w:val="22"/>
          <w:szCs w:val="22"/>
          <w:lang w:val="en-GB"/>
        </w:rPr>
      </w:pPr>
      <w:r w:rsidRPr="000C5BC7">
        <w:rPr>
          <w:rFonts w:ascii="Arial" w:hAnsi="Arial" w:cs="Arial"/>
          <w:sz w:val="22"/>
          <w:szCs w:val="22"/>
          <w:lang w:val="en-GB"/>
        </w:rPr>
        <w:t xml:space="preserve">This is a </w:t>
      </w:r>
      <w:r>
        <w:rPr>
          <w:rFonts w:ascii="Arial" w:hAnsi="Arial" w:cs="Arial"/>
          <w:sz w:val="22"/>
          <w:szCs w:val="22"/>
          <w:lang w:val="en-GB"/>
        </w:rPr>
        <w:t>transaction at undervalue as contemplated in section 238 of the Insolvency Act</w:t>
      </w:r>
      <w:r w:rsidR="002E2A55">
        <w:rPr>
          <w:rFonts w:ascii="Arial" w:hAnsi="Arial" w:cs="Arial"/>
          <w:sz w:val="22"/>
          <w:szCs w:val="22"/>
          <w:lang w:val="en-GB"/>
        </w:rPr>
        <w:t xml:space="preserve">. </w:t>
      </w:r>
      <w:r w:rsidR="007E53A8">
        <w:rPr>
          <w:rFonts w:ascii="Arial" w:hAnsi="Arial" w:cs="Arial"/>
          <w:sz w:val="22"/>
          <w:szCs w:val="22"/>
          <w:lang w:val="en-GB"/>
        </w:rPr>
        <w:t>The Liquidator must show that the Company entered into a transaction with another person for consideration which, in money or money’s worth, was, at the date of the transaction, significantly less than the value, in money or money’s worth, to the consideration provided by the company.</w:t>
      </w:r>
      <w:r w:rsidR="007E53A8">
        <w:rPr>
          <w:rStyle w:val="FootnoteReference"/>
          <w:rFonts w:ascii="Arial" w:hAnsi="Arial" w:cs="Arial"/>
          <w:sz w:val="22"/>
          <w:szCs w:val="22"/>
          <w:lang w:val="en-GB"/>
        </w:rPr>
        <w:footnoteReference w:id="22"/>
      </w:r>
      <w:r w:rsidR="007E53A8">
        <w:rPr>
          <w:rFonts w:ascii="Arial" w:hAnsi="Arial" w:cs="Arial"/>
          <w:sz w:val="22"/>
          <w:szCs w:val="22"/>
          <w:lang w:val="en-GB"/>
        </w:rPr>
        <w:t xml:space="preserve"> Where the company has at the relevant time defined in section 240 of the Insolvency Act entered into a transaction </w:t>
      </w:r>
      <w:r w:rsidR="00181840">
        <w:rPr>
          <w:rFonts w:ascii="Arial" w:hAnsi="Arial" w:cs="Arial"/>
          <w:sz w:val="22"/>
          <w:szCs w:val="22"/>
          <w:lang w:val="en-GB"/>
        </w:rPr>
        <w:t>with any person at an undervalue, the office holder may apply to court for an order under section 238 of the Insolvency Act.</w:t>
      </w:r>
      <w:r w:rsidR="00181840">
        <w:rPr>
          <w:rStyle w:val="FootnoteReference"/>
          <w:rFonts w:ascii="Arial" w:hAnsi="Arial" w:cs="Arial"/>
          <w:sz w:val="22"/>
          <w:szCs w:val="22"/>
          <w:lang w:val="en-GB"/>
        </w:rPr>
        <w:footnoteReference w:id="23"/>
      </w:r>
      <w:r w:rsidR="00181840">
        <w:rPr>
          <w:rFonts w:ascii="Arial" w:hAnsi="Arial" w:cs="Arial"/>
          <w:sz w:val="22"/>
          <w:szCs w:val="22"/>
          <w:lang w:val="en-GB"/>
        </w:rPr>
        <w:t xml:space="preserve"> As this transaction is made with a person who is connected with the Company, section 240(1)(a) of the Insolvency Act defines the relevant time being a period of two years ending with the onset of insolvency. Accordingly the transaction can be attacked. </w:t>
      </w:r>
    </w:p>
    <w:p w14:paraId="51190BAE" w14:textId="77777777" w:rsidR="00181840" w:rsidRDefault="00181840" w:rsidP="000C5BC7">
      <w:pPr>
        <w:ind w:left="720"/>
        <w:jc w:val="both"/>
        <w:rPr>
          <w:rFonts w:ascii="Arial" w:hAnsi="Arial" w:cs="Arial"/>
          <w:sz w:val="22"/>
          <w:szCs w:val="22"/>
          <w:lang w:val="en-GB"/>
        </w:rPr>
      </w:pPr>
    </w:p>
    <w:p w14:paraId="1DFE3455" w14:textId="57460377" w:rsidR="00181840" w:rsidRDefault="00181840" w:rsidP="000C5BC7">
      <w:pPr>
        <w:ind w:left="720"/>
        <w:jc w:val="both"/>
        <w:rPr>
          <w:rFonts w:ascii="Arial" w:hAnsi="Arial" w:cs="Arial"/>
          <w:sz w:val="22"/>
          <w:szCs w:val="22"/>
          <w:lang w:val="en-GB"/>
        </w:rPr>
      </w:pPr>
      <w:r>
        <w:rPr>
          <w:rFonts w:ascii="Arial" w:hAnsi="Arial" w:cs="Arial"/>
          <w:sz w:val="22"/>
          <w:szCs w:val="22"/>
          <w:lang w:val="en-GB"/>
        </w:rPr>
        <w:t>As the transaction is a sale of equipment for £10,000, which was purchased for £25,000, the practical difficulty is determining if fair value was paid or if the equipment was sold for undervalue as the equipment is considered second hand so it would be prudent to get a valuation to make a determination if the transaction is an undervalue transaction.</w:t>
      </w:r>
    </w:p>
    <w:p w14:paraId="0EBBD779" w14:textId="77777777" w:rsidR="00181840" w:rsidRDefault="00181840" w:rsidP="000C5BC7">
      <w:pPr>
        <w:ind w:left="720"/>
        <w:jc w:val="both"/>
        <w:rPr>
          <w:rFonts w:ascii="Arial" w:hAnsi="Arial" w:cs="Arial"/>
          <w:sz w:val="22"/>
          <w:szCs w:val="22"/>
          <w:lang w:val="en-GB"/>
        </w:rPr>
      </w:pPr>
    </w:p>
    <w:p w14:paraId="33FFC326" w14:textId="5C142D63" w:rsidR="00181840" w:rsidRDefault="00CF1685" w:rsidP="000C5BC7">
      <w:pPr>
        <w:ind w:left="720"/>
        <w:jc w:val="both"/>
        <w:rPr>
          <w:rFonts w:ascii="Arial" w:hAnsi="Arial" w:cs="Arial"/>
          <w:sz w:val="22"/>
          <w:szCs w:val="22"/>
          <w:lang w:val="en-GB"/>
        </w:rPr>
      </w:pPr>
      <w:r>
        <w:rPr>
          <w:rFonts w:ascii="Arial" w:hAnsi="Arial" w:cs="Arial"/>
          <w:sz w:val="22"/>
          <w:szCs w:val="22"/>
          <w:lang w:val="en-GB"/>
        </w:rPr>
        <w:t>If the purchaser purchased the equipment in good faith and for value, the court could rule against an order under section 238 if the Insolvency Act, the respondent can further lead evidence that the are reasonable grounds for believing that the transaction was for the benefit of the Company</w:t>
      </w:r>
      <w:r>
        <w:rPr>
          <w:rStyle w:val="FootnoteReference"/>
          <w:rFonts w:ascii="Arial" w:hAnsi="Arial" w:cs="Arial"/>
          <w:sz w:val="22"/>
          <w:szCs w:val="22"/>
          <w:lang w:val="en-GB"/>
        </w:rPr>
        <w:footnoteReference w:id="24"/>
      </w:r>
      <w:r>
        <w:rPr>
          <w:rFonts w:ascii="Arial" w:hAnsi="Arial" w:cs="Arial"/>
          <w:sz w:val="22"/>
          <w:szCs w:val="22"/>
          <w:lang w:val="en-GB"/>
        </w:rPr>
        <w:t xml:space="preserve"> in that it injected cash to the Company when he/she purchased the equipment. From the context of the facts it seems that the director purchased the machines from the company but allowed the company to continue to use the machines, only retaining title, in other words the machines were presumably not removed until the date of liquidation. This could further serve to satisfy the court that the transaction was for the benefit of the Company.</w:t>
      </w:r>
    </w:p>
    <w:p w14:paraId="0D1E0FED" w14:textId="77777777" w:rsidR="00CF1685" w:rsidRDefault="00CF1685" w:rsidP="000C5BC7">
      <w:pPr>
        <w:ind w:left="720"/>
        <w:jc w:val="both"/>
        <w:rPr>
          <w:rFonts w:ascii="Arial" w:hAnsi="Arial" w:cs="Arial"/>
          <w:sz w:val="22"/>
          <w:szCs w:val="22"/>
          <w:lang w:val="en-GB"/>
        </w:rPr>
      </w:pPr>
    </w:p>
    <w:p w14:paraId="5555AC39" w14:textId="7208255D" w:rsidR="00CF1685" w:rsidRPr="000C5BC7" w:rsidRDefault="00CF1685" w:rsidP="000C5BC7">
      <w:pPr>
        <w:ind w:left="720"/>
        <w:jc w:val="both"/>
        <w:rPr>
          <w:rFonts w:ascii="Arial" w:hAnsi="Arial" w:cs="Arial"/>
          <w:sz w:val="22"/>
          <w:szCs w:val="22"/>
          <w:lang w:val="en-GB"/>
        </w:rPr>
      </w:pPr>
      <w:r>
        <w:rPr>
          <w:rFonts w:ascii="Arial" w:hAnsi="Arial" w:cs="Arial"/>
          <w:sz w:val="22"/>
          <w:szCs w:val="22"/>
          <w:lang w:val="en-GB"/>
        </w:rPr>
        <w:t>The liquidator will further need to show that the liability under section 238 arises because at the time the transaction was entered into, either the company was unable to pay its debts as and when they become due or because of the transaction the company became unable to pay its debts within the meaning of section 123 of the Insolvency Act.</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proofErr w:type="gramStart"/>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roofErr w:type="gramEnd"/>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4AE8A288" w:rsidR="008769B2" w:rsidRPr="00681D3B" w:rsidRDefault="00681D3B" w:rsidP="008769B2">
      <w:pPr>
        <w:jc w:val="both"/>
        <w:rPr>
          <w:rFonts w:ascii="Arial" w:hAnsi="Arial" w:cs="Arial"/>
          <w:sz w:val="22"/>
          <w:szCs w:val="22"/>
          <w:lang w:val="en-GB"/>
        </w:rPr>
      </w:pPr>
      <w:r w:rsidRPr="00681D3B">
        <w:rPr>
          <w:rFonts w:ascii="Arial" w:hAnsi="Arial" w:cs="Arial"/>
          <w:sz w:val="22"/>
          <w:szCs w:val="22"/>
          <w:lang w:val="en-GB"/>
        </w:rPr>
        <w:lastRenderedPageBreak/>
        <w:t>Answer:</w:t>
      </w:r>
    </w:p>
    <w:p w14:paraId="19617595" w14:textId="77777777" w:rsidR="00681D3B" w:rsidRPr="00681D3B" w:rsidRDefault="00681D3B" w:rsidP="008769B2">
      <w:pPr>
        <w:jc w:val="both"/>
        <w:rPr>
          <w:rFonts w:ascii="Arial" w:hAnsi="Arial" w:cs="Arial"/>
          <w:sz w:val="22"/>
          <w:szCs w:val="22"/>
          <w:lang w:val="en-GB"/>
        </w:rPr>
      </w:pPr>
    </w:p>
    <w:p w14:paraId="59B0073C" w14:textId="77872F08" w:rsidR="00681D3B" w:rsidRDefault="00681D3B" w:rsidP="00681D3B">
      <w:pPr>
        <w:ind w:left="720"/>
        <w:jc w:val="both"/>
        <w:rPr>
          <w:rFonts w:ascii="Arial" w:hAnsi="Arial" w:cs="Arial"/>
          <w:sz w:val="22"/>
          <w:szCs w:val="22"/>
          <w:lang w:val="en-GB"/>
        </w:rPr>
      </w:pPr>
      <w:r>
        <w:rPr>
          <w:rFonts w:ascii="Arial" w:hAnsi="Arial" w:cs="Arial"/>
          <w:sz w:val="22"/>
          <w:szCs w:val="22"/>
          <w:lang w:val="en-GB"/>
        </w:rPr>
        <w:t>Beans and Leaves Ltd enjoyed</w:t>
      </w:r>
      <w:r w:rsidRPr="00681D3B">
        <w:rPr>
          <w:rFonts w:ascii="Arial" w:hAnsi="Arial" w:cs="Arial"/>
          <w:sz w:val="22"/>
          <w:szCs w:val="22"/>
          <w:lang w:val="en-GB"/>
        </w:rPr>
        <w:t xml:space="preserve"> a preference </w:t>
      </w:r>
      <w:r w:rsidR="001C4DEC">
        <w:rPr>
          <w:rFonts w:ascii="Arial" w:hAnsi="Arial" w:cs="Arial"/>
          <w:sz w:val="22"/>
          <w:szCs w:val="22"/>
          <w:lang w:val="en-GB"/>
        </w:rPr>
        <w:t>as contemplated in section 239 of the Insolvency Act. An application under section 239 of the Insolvency act must show that:</w:t>
      </w:r>
    </w:p>
    <w:p w14:paraId="0EDE0C36" w14:textId="77777777" w:rsidR="001C4DEC" w:rsidRDefault="001C4DEC" w:rsidP="00681D3B">
      <w:pPr>
        <w:ind w:left="720"/>
        <w:jc w:val="both"/>
        <w:rPr>
          <w:rFonts w:ascii="Arial" w:hAnsi="Arial" w:cs="Arial"/>
          <w:sz w:val="22"/>
          <w:szCs w:val="22"/>
          <w:lang w:val="en-GB"/>
        </w:rPr>
      </w:pPr>
    </w:p>
    <w:p w14:paraId="182447AF" w14:textId="3C22114B" w:rsidR="001C4DEC" w:rsidRPr="001C4DEC" w:rsidRDefault="001C4DEC" w:rsidP="001C4DEC">
      <w:pPr>
        <w:pStyle w:val="ListParagraph"/>
        <w:numPr>
          <w:ilvl w:val="0"/>
          <w:numId w:val="25"/>
        </w:numPr>
        <w:jc w:val="both"/>
        <w:rPr>
          <w:rFonts w:ascii="Arial" w:hAnsi="Arial" w:cs="Arial"/>
          <w:sz w:val="22"/>
          <w:szCs w:val="22"/>
          <w:lang w:val="en-GB"/>
        </w:rPr>
      </w:pPr>
      <w:proofErr w:type="gramStart"/>
      <w:r w:rsidRPr="001C4DEC">
        <w:rPr>
          <w:rFonts w:ascii="Arial" w:hAnsi="Arial" w:cs="Arial"/>
          <w:sz w:val="22"/>
          <w:szCs w:val="22"/>
          <w:lang w:val="en-GB"/>
        </w:rPr>
        <w:t>the</w:t>
      </w:r>
      <w:proofErr w:type="gramEnd"/>
      <w:r w:rsidRPr="001C4DEC">
        <w:rPr>
          <w:rFonts w:ascii="Arial" w:hAnsi="Arial" w:cs="Arial"/>
          <w:sz w:val="22"/>
          <w:szCs w:val="22"/>
          <w:lang w:val="en-GB"/>
        </w:rPr>
        <w:t xml:space="preserve"> person whom it is alleged has been preferred was, at the time of the transaction, a creditor of the company;</w:t>
      </w:r>
    </w:p>
    <w:p w14:paraId="0DDBC9D6" w14:textId="7A39DB81" w:rsidR="001C4DEC" w:rsidRDefault="001C4DEC" w:rsidP="001C4DEC">
      <w:pPr>
        <w:pStyle w:val="ListParagraph"/>
        <w:numPr>
          <w:ilvl w:val="0"/>
          <w:numId w:val="25"/>
        </w:numPr>
        <w:jc w:val="both"/>
        <w:rPr>
          <w:rFonts w:ascii="Arial" w:hAnsi="Arial" w:cs="Arial"/>
          <w:sz w:val="22"/>
          <w:szCs w:val="22"/>
          <w:lang w:val="en-GB"/>
        </w:rPr>
      </w:pPr>
      <w:proofErr w:type="gramStart"/>
      <w:r>
        <w:rPr>
          <w:rFonts w:ascii="Arial" w:hAnsi="Arial" w:cs="Arial"/>
          <w:sz w:val="22"/>
          <w:szCs w:val="22"/>
          <w:lang w:val="en-GB"/>
        </w:rPr>
        <w:t>something</w:t>
      </w:r>
      <w:proofErr w:type="gramEnd"/>
      <w:r>
        <w:rPr>
          <w:rFonts w:ascii="Arial" w:hAnsi="Arial" w:cs="Arial"/>
          <w:sz w:val="22"/>
          <w:szCs w:val="22"/>
          <w:lang w:val="en-GB"/>
        </w:rPr>
        <w:t xml:space="preserve"> was done, or suffered to be don, by the company which had the effect of putting that person in a better position, in the event of the company going into insolvent liquidation, than the position he or she would have been in if that thing had not been done;</w:t>
      </w:r>
    </w:p>
    <w:p w14:paraId="791EC387" w14:textId="5DFB6480" w:rsidR="00066178" w:rsidRDefault="00066178" w:rsidP="001C4DEC">
      <w:pPr>
        <w:pStyle w:val="ListParagraph"/>
        <w:numPr>
          <w:ilvl w:val="0"/>
          <w:numId w:val="25"/>
        </w:numPr>
        <w:jc w:val="both"/>
        <w:rPr>
          <w:rFonts w:ascii="Arial" w:hAnsi="Arial" w:cs="Arial"/>
          <w:sz w:val="22"/>
          <w:szCs w:val="22"/>
          <w:lang w:val="en-GB"/>
        </w:rPr>
      </w:pPr>
      <w:proofErr w:type="gramStart"/>
      <w:r>
        <w:rPr>
          <w:rFonts w:ascii="Arial" w:hAnsi="Arial" w:cs="Arial"/>
          <w:sz w:val="22"/>
          <w:szCs w:val="22"/>
          <w:lang w:val="en-GB"/>
        </w:rPr>
        <w:t>the</w:t>
      </w:r>
      <w:proofErr w:type="gramEnd"/>
      <w:r>
        <w:rPr>
          <w:rFonts w:ascii="Arial" w:hAnsi="Arial" w:cs="Arial"/>
          <w:sz w:val="22"/>
          <w:szCs w:val="22"/>
          <w:lang w:val="en-GB"/>
        </w:rPr>
        <w:t xml:space="preserve"> company was, in giving the preference, influenced by a desire to produce the effect referred to in (b) above in relation to the person preferred; and</w:t>
      </w:r>
    </w:p>
    <w:p w14:paraId="42E81F09" w14:textId="77FF524F" w:rsidR="00066178" w:rsidRDefault="00066178" w:rsidP="001C4DEC">
      <w:pPr>
        <w:pStyle w:val="ListParagraph"/>
        <w:numPr>
          <w:ilvl w:val="0"/>
          <w:numId w:val="25"/>
        </w:numPr>
        <w:jc w:val="both"/>
        <w:rPr>
          <w:rFonts w:ascii="Arial" w:hAnsi="Arial" w:cs="Arial"/>
          <w:sz w:val="22"/>
          <w:szCs w:val="22"/>
          <w:lang w:val="en-GB"/>
        </w:rPr>
      </w:pPr>
      <w:proofErr w:type="gramStart"/>
      <w:r>
        <w:rPr>
          <w:rFonts w:ascii="Arial" w:hAnsi="Arial" w:cs="Arial"/>
          <w:sz w:val="22"/>
          <w:szCs w:val="22"/>
          <w:lang w:val="en-GB"/>
        </w:rPr>
        <w:t>the</w:t>
      </w:r>
      <w:proofErr w:type="gramEnd"/>
      <w:r>
        <w:rPr>
          <w:rFonts w:ascii="Arial" w:hAnsi="Arial" w:cs="Arial"/>
          <w:sz w:val="22"/>
          <w:szCs w:val="22"/>
          <w:lang w:val="en-GB"/>
        </w:rPr>
        <w:t xml:space="preserve"> preference was given at the relevant time.</w:t>
      </w:r>
      <w:r w:rsidR="00EE02E8">
        <w:rPr>
          <w:rStyle w:val="FootnoteReference"/>
          <w:rFonts w:ascii="Arial" w:hAnsi="Arial" w:cs="Arial"/>
          <w:sz w:val="22"/>
          <w:szCs w:val="22"/>
          <w:lang w:val="en-GB"/>
        </w:rPr>
        <w:footnoteReference w:id="25"/>
      </w:r>
    </w:p>
    <w:p w14:paraId="62FF4BD7" w14:textId="77777777" w:rsidR="00066178" w:rsidRDefault="00066178" w:rsidP="00066178">
      <w:pPr>
        <w:jc w:val="both"/>
        <w:rPr>
          <w:rFonts w:ascii="Arial" w:hAnsi="Arial" w:cs="Arial"/>
          <w:sz w:val="22"/>
          <w:szCs w:val="22"/>
          <w:lang w:val="en-GB"/>
        </w:rPr>
      </w:pPr>
    </w:p>
    <w:p w14:paraId="48F93C48" w14:textId="67A675BA" w:rsidR="00066178" w:rsidRDefault="00066178" w:rsidP="00066178">
      <w:pPr>
        <w:ind w:left="720"/>
        <w:jc w:val="both"/>
        <w:rPr>
          <w:rFonts w:ascii="Arial" w:hAnsi="Arial" w:cs="Arial"/>
          <w:sz w:val="22"/>
          <w:szCs w:val="22"/>
          <w:lang w:val="en-GB"/>
        </w:rPr>
      </w:pPr>
      <w:r>
        <w:rPr>
          <w:rFonts w:ascii="Arial" w:hAnsi="Arial" w:cs="Arial"/>
          <w:sz w:val="22"/>
          <w:szCs w:val="22"/>
          <w:lang w:val="en-GB"/>
        </w:rPr>
        <w:t xml:space="preserve">In this matter, the preference was given as a result of pressure put on the Company by the creditor in that it threatened to stop supply and insisted in cash on delivery payments. The creditor is not a connected person to the Company so the relevant time is six months prior to the </w:t>
      </w:r>
      <w:r w:rsidR="00EE02E8">
        <w:rPr>
          <w:rFonts w:ascii="Arial" w:hAnsi="Arial" w:cs="Arial"/>
          <w:sz w:val="22"/>
          <w:szCs w:val="22"/>
          <w:lang w:val="en-GB"/>
        </w:rPr>
        <w:t>insolvency;</w:t>
      </w:r>
      <w:r>
        <w:rPr>
          <w:rFonts w:ascii="Arial" w:hAnsi="Arial" w:cs="Arial"/>
          <w:sz w:val="22"/>
          <w:szCs w:val="22"/>
          <w:lang w:val="en-GB"/>
        </w:rPr>
        <w:t xml:space="preserve"> in this case, one month prior to the insolvency of the Company falls within the relevant time. </w:t>
      </w:r>
    </w:p>
    <w:p w14:paraId="55FEC4C6" w14:textId="77777777" w:rsidR="00066178" w:rsidRDefault="00066178" w:rsidP="00066178">
      <w:pPr>
        <w:ind w:left="720"/>
        <w:jc w:val="both"/>
        <w:rPr>
          <w:rFonts w:ascii="Arial" w:hAnsi="Arial" w:cs="Arial"/>
          <w:sz w:val="22"/>
          <w:szCs w:val="22"/>
          <w:lang w:val="en-GB"/>
        </w:rPr>
      </w:pPr>
    </w:p>
    <w:p w14:paraId="22445EA9" w14:textId="6AE9146A" w:rsidR="00066178" w:rsidRPr="00066178" w:rsidRDefault="00066178" w:rsidP="00066178">
      <w:pPr>
        <w:ind w:left="720"/>
        <w:jc w:val="both"/>
        <w:rPr>
          <w:rFonts w:ascii="Arial" w:hAnsi="Arial" w:cs="Arial"/>
          <w:sz w:val="22"/>
          <w:szCs w:val="22"/>
          <w:lang w:val="en-GB"/>
        </w:rPr>
      </w:pPr>
      <w:r>
        <w:rPr>
          <w:rFonts w:ascii="Arial" w:hAnsi="Arial" w:cs="Arial"/>
          <w:sz w:val="22"/>
          <w:szCs w:val="22"/>
          <w:lang w:val="en-GB"/>
        </w:rPr>
        <w:t>A</w:t>
      </w:r>
      <w:r w:rsidR="00EE02E8">
        <w:rPr>
          <w:rFonts w:ascii="Arial" w:hAnsi="Arial" w:cs="Arial"/>
          <w:sz w:val="22"/>
          <w:szCs w:val="22"/>
          <w:lang w:val="en-GB"/>
        </w:rPr>
        <w:t>ccordingly the payments to Beans and Leaves Ltd can be recovered as a preference under s239 of the Insolvency Act.</w:t>
      </w: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1"/>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6E08B" w14:textId="77777777" w:rsidR="000E3C5B" w:rsidRDefault="000E3C5B" w:rsidP="00241B44">
      <w:r>
        <w:separator/>
      </w:r>
    </w:p>
  </w:endnote>
  <w:endnote w:type="continuationSeparator" w:id="0">
    <w:p w14:paraId="58D3AFD8" w14:textId="77777777" w:rsidR="000E3C5B" w:rsidRDefault="000E3C5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0E3C5B" w:rsidRPr="00FC7B47" w:rsidRDefault="000E3C5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0E3C5B" w:rsidRPr="00FC7B47" w:rsidRDefault="000E3C5B"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0E3C5B" w:rsidRPr="009B4976" w:rsidRDefault="000E3C5B" w:rsidP="00A318D7">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056A8">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30F05E79" w14:textId="2A006AE9" w:rsidR="000E3C5B" w:rsidRPr="009B4976" w:rsidRDefault="000E3C5B" w:rsidP="009B4976">
    <w:pPr>
      <w:pStyle w:val="Footer"/>
      <w:ind w:right="360"/>
      <w:rPr>
        <w:rFonts w:ascii="Arial" w:hAnsi="Arial" w:cs="Arial"/>
        <w:sz w:val="18"/>
        <w:szCs w:val="18"/>
        <w:lang w:val="en-GB"/>
      </w:rPr>
    </w:pPr>
    <w:r>
      <w:rPr>
        <w:rFonts w:ascii="Arial" w:hAnsi="Arial" w:cs="Arial"/>
        <w:sz w:val="18"/>
        <w:szCs w:val="18"/>
      </w:rPr>
      <w:t>202122-603</w:t>
    </w:r>
    <w:r w:rsidRPr="009B4976">
      <w:rPr>
        <w:rFonts w:ascii="Arial" w:hAnsi="Arial" w:cs="Arial"/>
        <w:sz w:val="18"/>
        <w:szCs w:val="18"/>
        <w:lang w:val="en-GB"/>
      </w:rPr>
      <w:t>.assessment</w:t>
    </w:r>
    <w:r>
      <w:rPr>
        <w:rFonts w:ascii="Arial" w:hAnsi="Arial" w:cs="Arial"/>
        <w:sz w:val="18"/>
        <w:szCs w:val="18"/>
        <w:lang w:val="en-GB"/>
      </w:rPr>
      <w:t>3B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B0129" w14:textId="77777777" w:rsidR="000E3C5B" w:rsidRDefault="000E3C5B" w:rsidP="00241B44">
      <w:r>
        <w:separator/>
      </w:r>
    </w:p>
  </w:footnote>
  <w:footnote w:type="continuationSeparator" w:id="0">
    <w:p w14:paraId="4A2A4F3D" w14:textId="77777777" w:rsidR="000E3C5B" w:rsidRDefault="000E3C5B" w:rsidP="00241B44">
      <w:r>
        <w:continuationSeparator/>
      </w:r>
    </w:p>
  </w:footnote>
  <w:footnote w:id="1">
    <w:p w14:paraId="1F2BBA62" w14:textId="308F4A30" w:rsidR="000E3C5B" w:rsidRDefault="000E3C5B">
      <w:pPr>
        <w:pStyle w:val="FootnoteText"/>
      </w:pPr>
      <w:r>
        <w:rPr>
          <w:rStyle w:val="FootnoteReference"/>
        </w:rPr>
        <w:footnoteRef/>
      </w:r>
      <w:r>
        <w:t xml:space="preserve"> Professor Peter A Walton - Foundation Certificate in International Insolvency Law Module 3B Guidance Text - Insolvency System of the United Kingdom (England and Wales) 2021/2022 (“</w:t>
      </w:r>
      <w:r w:rsidRPr="009C30D1">
        <w:rPr>
          <w:b/>
        </w:rPr>
        <w:t>Guidance Text</w:t>
      </w:r>
      <w:r>
        <w:t>”) 5.10.11 p 69 – 70; Section 424 of the Insolvency Act 1986 c. 45 (“</w:t>
      </w:r>
      <w:r w:rsidRPr="00573E2D">
        <w:rPr>
          <w:b/>
        </w:rPr>
        <w:t>Insolvency Act</w:t>
      </w:r>
      <w:r>
        <w:t>”)</w:t>
      </w:r>
    </w:p>
  </w:footnote>
  <w:footnote w:id="2">
    <w:p w14:paraId="3AB37A26" w14:textId="54CF38A7" w:rsidR="000E3C5B" w:rsidRDefault="000E3C5B">
      <w:pPr>
        <w:pStyle w:val="FootnoteText"/>
      </w:pPr>
      <w:r>
        <w:rPr>
          <w:rStyle w:val="FootnoteReference"/>
        </w:rPr>
        <w:footnoteRef/>
      </w:r>
      <w:r>
        <w:t xml:space="preserve"> Section 7(1) of the Company Directors Disqualification Act 1986 (“</w:t>
      </w:r>
      <w:r w:rsidRPr="00A60A2B">
        <w:rPr>
          <w:b/>
        </w:rPr>
        <w:t>CDDA</w:t>
      </w:r>
      <w:r>
        <w:t>”); Guidance Text 5.10.5 p 61</w:t>
      </w:r>
    </w:p>
  </w:footnote>
  <w:footnote w:id="3">
    <w:p w14:paraId="256E8D13" w14:textId="2A0F06B5" w:rsidR="000E3C5B" w:rsidRDefault="000E3C5B">
      <w:pPr>
        <w:pStyle w:val="FootnoteText"/>
      </w:pPr>
      <w:r>
        <w:rPr>
          <w:rStyle w:val="FootnoteReference"/>
        </w:rPr>
        <w:footnoteRef/>
      </w:r>
      <w:r>
        <w:t xml:space="preserve"> Guidance Text 5.10.3 p 58; Section 214 of the Insolvency Act </w:t>
      </w:r>
    </w:p>
  </w:footnote>
  <w:footnote w:id="4">
    <w:p w14:paraId="58145D67" w14:textId="66E21FBF" w:rsidR="000E3C5B" w:rsidRDefault="000E3C5B">
      <w:pPr>
        <w:pStyle w:val="FootnoteText"/>
      </w:pPr>
      <w:r>
        <w:rPr>
          <w:rStyle w:val="FootnoteReference"/>
        </w:rPr>
        <w:footnoteRef/>
      </w:r>
      <w:r>
        <w:t xml:space="preserve"> Guidance Text 5.10.3 p 58; Section 117 of the Small Business, Enterprise and Employment Act 2015</w:t>
      </w:r>
    </w:p>
  </w:footnote>
  <w:footnote w:id="5">
    <w:p w14:paraId="686DBDEB" w14:textId="57A37C42" w:rsidR="000E3C5B" w:rsidRDefault="000E3C5B">
      <w:pPr>
        <w:pStyle w:val="FootnoteText"/>
      </w:pPr>
      <w:r>
        <w:rPr>
          <w:rStyle w:val="FootnoteReference"/>
        </w:rPr>
        <w:footnoteRef/>
      </w:r>
      <w:r>
        <w:t xml:space="preserve"> Guidance Text 5.4.9 p 26</w:t>
      </w:r>
    </w:p>
  </w:footnote>
  <w:footnote w:id="6">
    <w:p w14:paraId="2EA79196" w14:textId="57708F32" w:rsidR="000E3C5B" w:rsidRDefault="000E3C5B">
      <w:pPr>
        <w:pStyle w:val="FootnoteText"/>
      </w:pPr>
      <w:r>
        <w:rPr>
          <w:rStyle w:val="FootnoteReference"/>
        </w:rPr>
        <w:footnoteRef/>
      </w:r>
      <w:r>
        <w:t xml:space="preserve"> Section 223 of the Insolvency Act; Guidance Text 5.4.4.4 p 20</w:t>
      </w:r>
    </w:p>
  </w:footnote>
  <w:footnote w:id="7">
    <w:p w14:paraId="1677DA1A" w14:textId="03A727B0" w:rsidR="000E3C5B" w:rsidRDefault="000E3C5B">
      <w:pPr>
        <w:pStyle w:val="FootnoteText"/>
      </w:pPr>
      <w:r>
        <w:rPr>
          <w:rStyle w:val="FootnoteReference"/>
        </w:rPr>
        <w:footnoteRef/>
      </w:r>
      <w:r>
        <w:t xml:space="preserve"> Section 223A of the Insolvency Act, Guidance Text 5.4.4.4 p 20</w:t>
      </w:r>
    </w:p>
  </w:footnote>
  <w:footnote w:id="8">
    <w:p w14:paraId="1D507966" w14:textId="52728B84" w:rsidR="000E3C5B" w:rsidRDefault="000E3C5B">
      <w:pPr>
        <w:pStyle w:val="FootnoteText"/>
      </w:pPr>
      <w:r>
        <w:rPr>
          <w:rStyle w:val="FootnoteReference"/>
        </w:rPr>
        <w:footnoteRef/>
      </w:r>
      <w:r>
        <w:t xml:space="preserve"> Section 223B of the Insolvency Act, Guidance Text 5.4.4.4 p 20</w:t>
      </w:r>
    </w:p>
  </w:footnote>
  <w:footnote w:id="9">
    <w:p w14:paraId="2E65E5A3" w14:textId="0771DB6A" w:rsidR="000E3C5B" w:rsidRDefault="000E3C5B">
      <w:pPr>
        <w:pStyle w:val="FootnoteText"/>
      </w:pPr>
      <w:r>
        <w:rPr>
          <w:rStyle w:val="FootnoteReference"/>
        </w:rPr>
        <w:footnoteRef/>
      </w:r>
      <w:r>
        <w:t xml:space="preserve"> Guidance Text 5.9.5.1 p 50</w:t>
      </w:r>
    </w:p>
  </w:footnote>
  <w:footnote w:id="10">
    <w:p w14:paraId="61416B15" w14:textId="792C97BC" w:rsidR="000E3C5B" w:rsidRDefault="000E3C5B">
      <w:pPr>
        <w:pStyle w:val="FootnoteText"/>
      </w:pPr>
      <w:r>
        <w:rPr>
          <w:rStyle w:val="FootnoteReference"/>
        </w:rPr>
        <w:footnoteRef/>
      </w:r>
      <w:r>
        <w:t xml:space="preserve"> Section 115 of the Insolvency Act – inserted by the Corporate Insolvency and Governance Act 2020 (c.12)</w:t>
      </w:r>
    </w:p>
  </w:footnote>
  <w:footnote w:id="11">
    <w:p w14:paraId="3B87F643" w14:textId="0E64CA3F" w:rsidR="000E3C5B" w:rsidRDefault="000E3C5B">
      <w:pPr>
        <w:pStyle w:val="FootnoteText"/>
      </w:pPr>
      <w:r>
        <w:rPr>
          <w:rStyle w:val="FootnoteReference"/>
        </w:rPr>
        <w:footnoteRef/>
      </w:r>
      <w:r>
        <w:t xml:space="preserve"> Guidance Text 5.9.5.2 p 50-51</w:t>
      </w:r>
    </w:p>
  </w:footnote>
  <w:footnote w:id="12">
    <w:p w14:paraId="78D9A913" w14:textId="4BAF998B" w:rsidR="000E3C5B" w:rsidRDefault="000E3C5B">
      <w:pPr>
        <w:pStyle w:val="FootnoteText"/>
      </w:pPr>
      <w:r>
        <w:rPr>
          <w:rStyle w:val="FootnoteReference"/>
        </w:rPr>
        <w:footnoteRef/>
      </w:r>
      <w:r>
        <w:t xml:space="preserve"> Guidance Text 5.9.5.3 p 51-52; </w:t>
      </w:r>
    </w:p>
  </w:footnote>
  <w:footnote w:id="13">
    <w:p w14:paraId="56AD66D4" w14:textId="2D0B132A" w:rsidR="000E3C5B" w:rsidRDefault="000E3C5B">
      <w:pPr>
        <w:pStyle w:val="FootnoteText"/>
      </w:pPr>
      <w:r>
        <w:rPr>
          <w:rStyle w:val="FootnoteReference"/>
        </w:rPr>
        <w:footnoteRef/>
      </w:r>
      <w:r>
        <w:t xml:space="preserve"> Section 175 (1A) of the Insolvency Act</w:t>
      </w:r>
    </w:p>
  </w:footnote>
  <w:footnote w:id="14">
    <w:p w14:paraId="4A056240" w14:textId="7DCF08AF" w:rsidR="000E3C5B" w:rsidRDefault="000E3C5B">
      <w:pPr>
        <w:pStyle w:val="FootnoteText"/>
      </w:pPr>
      <w:r>
        <w:rPr>
          <w:rStyle w:val="FootnoteReference"/>
        </w:rPr>
        <w:footnoteRef/>
      </w:r>
      <w:r>
        <w:t xml:space="preserve"> Section 175 (1B) of the Insolvency Act</w:t>
      </w:r>
    </w:p>
  </w:footnote>
  <w:footnote w:id="15">
    <w:p w14:paraId="01A0F1F1" w14:textId="77777777" w:rsidR="000E3C5B" w:rsidRDefault="000E3C5B" w:rsidP="00FE097E">
      <w:pPr>
        <w:pStyle w:val="FootnoteText"/>
      </w:pPr>
      <w:r>
        <w:rPr>
          <w:rStyle w:val="FootnoteReference"/>
        </w:rPr>
        <w:footnoteRef/>
      </w:r>
      <w:r>
        <w:t xml:space="preserve"> Schedule 6 of the Insolvency Act</w:t>
      </w:r>
    </w:p>
  </w:footnote>
  <w:footnote w:id="16">
    <w:p w14:paraId="56776E1C" w14:textId="5B400214" w:rsidR="00D056A8" w:rsidRDefault="00D056A8">
      <w:pPr>
        <w:pStyle w:val="FootnoteText"/>
      </w:pPr>
      <w:r>
        <w:rPr>
          <w:rStyle w:val="FootnoteReference"/>
        </w:rPr>
        <w:footnoteRef/>
      </w:r>
      <w:r>
        <w:t xml:space="preserve"> </w:t>
      </w:r>
      <w:proofErr w:type="gramStart"/>
      <w:r>
        <w:t>Section 386 of the Insolvency Act.</w:t>
      </w:r>
      <w:proofErr w:type="gramEnd"/>
    </w:p>
  </w:footnote>
  <w:footnote w:id="17">
    <w:p w14:paraId="6CB7D2FF" w14:textId="14F460D7" w:rsidR="00D056A8" w:rsidRDefault="00D056A8">
      <w:pPr>
        <w:pStyle w:val="FootnoteText"/>
      </w:pPr>
      <w:r>
        <w:rPr>
          <w:rStyle w:val="FootnoteReference"/>
        </w:rPr>
        <w:footnoteRef/>
      </w:r>
      <w:r>
        <w:t xml:space="preserve"> Guidance text 5.9.5.3 p 53</w:t>
      </w:r>
    </w:p>
  </w:footnote>
  <w:footnote w:id="18">
    <w:p w14:paraId="5301E30F" w14:textId="77777777" w:rsidR="000E3C5B" w:rsidRDefault="000E3C5B" w:rsidP="00F41ECE">
      <w:pPr>
        <w:pStyle w:val="FootnoteText"/>
      </w:pPr>
      <w:r>
        <w:rPr>
          <w:rStyle w:val="FootnoteReference"/>
        </w:rPr>
        <w:footnoteRef/>
      </w:r>
      <w:r>
        <w:t xml:space="preserve"> Guidance Text 5.9.5.4 p 53</w:t>
      </w:r>
    </w:p>
  </w:footnote>
  <w:footnote w:id="19">
    <w:p w14:paraId="2B0E4D33" w14:textId="77777777" w:rsidR="000E3C5B" w:rsidRDefault="000E3C5B" w:rsidP="00C7457B">
      <w:pPr>
        <w:pStyle w:val="FootnoteText"/>
      </w:pPr>
      <w:r>
        <w:rPr>
          <w:rStyle w:val="FootnoteReference"/>
        </w:rPr>
        <w:footnoteRef/>
      </w:r>
      <w:r>
        <w:t xml:space="preserve"> Guidance Text 5.9.5.5 p 54</w:t>
      </w:r>
    </w:p>
  </w:footnote>
  <w:footnote w:id="20">
    <w:p w14:paraId="5E7F7375" w14:textId="6221C56F" w:rsidR="000E3C5B" w:rsidRDefault="000E3C5B">
      <w:pPr>
        <w:pStyle w:val="FootnoteText"/>
      </w:pPr>
      <w:r>
        <w:rPr>
          <w:rStyle w:val="FootnoteReference"/>
        </w:rPr>
        <w:footnoteRef/>
      </w:r>
      <w:r>
        <w:t xml:space="preserve"> Guidance Text 5.9.5.6 p 54</w:t>
      </w:r>
    </w:p>
  </w:footnote>
  <w:footnote w:id="21">
    <w:p w14:paraId="609D1952" w14:textId="1947A290" w:rsidR="000E3C5B" w:rsidRDefault="000E3C5B">
      <w:pPr>
        <w:pStyle w:val="FootnoteText"/>
      </w:pPr>
      <w:r>
        <w:rPr>
          <w:rStyle w:val="FootnoteReference"/>
        </w:rPr>
        <w:footnoteRef/>
      </w:r>
      <w:r>
        <w:t xml:space="preserve"> Guidance Text 5.10.10 pages 68-69</w:t>
      </w:r>
    </w:p>
  </w:footnote>
  <w:footnote w:id="22">
    <w:p w14:paraId="3D064FBC" w14:textId="28B983DB" w:rsidR="000E3C5B" w:rsidRDefault="000E3C5B">
      <w:pPr>
        <w:pStyle w:val="FootnoteText"/>
      </w:pPr>
      <w:r>
        <w:rPr>
          <w:rStyle w:val="FootnoteReference"/>
        </w:rPr>
        <w:footnoteRef/>
      </w:r>
      <w:r>
        <w:t xml:space="preserve"> Guidance Text 5.10.8 p 66</w:t>
      </w:r>
    </w:p>
  </w:footnote>
  <w:footnote w:id="23">
    <w:p w14:paraId="6D9FA851" w14:textId="3B739B62" w:rsidR="000E3C5B" w:rsidRDefault="000E3C5B">
      <w:pPr>
        <w:pStyle w:val="FootnoteText"/>
      </w:pPr>
      <w:r>
        <w:rPr>
          <w:rStyle w:val="FootnoteReference"/>
        </w:rPr>
        <w:footnoteRef/>
      </w:r>
      <w:r>
        <w:t xml:space="preserve"> Section 238(2) of the Insolvency Act</w:t>
      </w:r>
    </w:p>
  </w:footnote>
  <w:footnote w:id="24">
    <w:p w14:paraId="531EE9ED" w14:textId="263FDE05" w:rsidR="000E3C5B" w:rsidRDefault="000E3C5B">
      <w:pPr>
        <w:pStyle w:val="FootnoteText"/>
      </w:pPr>
      <w:r>
        <w:rPr>
          <w:rStyle w:val="FootnoteReference"/>
        </w:rPr>
        <w:footnoteRef/>
      </w:r>
      <w:r>
        <w:t xml:space="preserve"> Guidance Text 5.10.8 p 66</w:t>
      </w:r>
    </w:p>
  </w:footnote>
  <w:footnote w:id="25">
    <w:p w14:paraId="19059690" w14:textId="52860605" w:rsidR="000E3C5B" w:rsidRDefault="000E3C5B">
      <w:pPr>
        <w:pStyle w:val="FootnoteText"/>
      </w:pPr>
      <w:r>
        <w:rPr>
          <w:rStyle w:val="FootnoteReference"/>
        </w:rPr>
        <w:footnoteRef/>
      </w:r>
      <w:r>
        <w:t xml:space="preserve"> Guidance Text 5.10.9 p 67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FE0F17"/>
    <w:multiLevelType w:val="hybridMultilevel"/>
    <w:tmpl w:val="643A8BE6"/>
    <w:lvl w:ilvl="0" w:tplc="867E0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1F6132"/>
    <w:multiLevelType w:val="hybridMultilevel"/>
    <w:tmpl w:val="1604E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333A20"/>
    <w:multiLevelType w:val="hybridMultilevel"/>
    <w:tmpl w:val="24289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1A2DA7"/>
    <w:multiLevelType w:val="hybridMultilevel"/>
    <w:tmpl w:val="4718D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9F76D6"/>
    <w:multiLevelType w:val="hybridMultilevel"/>
    <w:tmpl w:val="98461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694E49"/>
    <w:multiLevelType w:val="hybridMultilevel"/>
    <w:tmpl w:val="039CB6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1A6D0C"/>
    <w:multiLevelType w:val="hybridMultilevel"/>
    <w:tmpl w:val="4F0E3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F11166"/>
    <w:multiLevelType w:val="hybridMultilevel"/>
    <w:tmpl w:val="3EC8E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1">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4"/>
  </w:num>
  <w:num w:numId="5">
    <w:abstractNumId w:val="17"/>
  </w:num>
  <w:num w:numId="6">
    <w:abstractNumId w:val="4"/>
  </w:num>
  <w:num w:numId="7">
    <w:abstractNumId w:val="18"/>
  </w:num>
  <w:num w:numId="8">
    <w:abstractNumId w:val="23"/>
  </w:num>
  <w:num w:numId="9">
    <w:abstractNumId w:val="15"/>
  </w:num>
  <w:num w:numId="10">
    <w:abstractNumId w:val="24"/>
  </w:num>
  <w:num w:numId="11">
    <w:abstractNumId w:val="10"/>
  </w:num>
  <w:num w:numId="12">
    <w:abstractNumId w:val="21"/>
  </w:num>
  <w:num w:numId="13">
    <w:abstractNumId w:val="16"/>
  </w:num>
  <w:num w:numId="14">
    <w:abstractNumId w:val="8"/>
  </w:num>
  <w:num w:numId="15">
    <w:abstractNumId w:val="20"/>
  </w:num>
  <w:num w:numId="16">
    <w:abstractNumId w:val="22"/>
  </w:num>
  <w:num w:numId="17">
    <w:abstractNumId w:val="13"/>
  </w:num>
  <w:num w:numId="18">
    <w:abstractNumId w:val="11"/>
  </w:num>
  <w:num w:numId="19">
    <w:abstractNumId w:val="12"/>
  </w:num>
  <w:num w:numId="20">
    <w:abstractNumId w:val="9"/>
  </w:num>
  <w:num w:numId="21">
    <w:abstractNumId w:val="3"/>
  </w:num>
  <w:num w:numId="22">
    <w:abstractNumId w:val="5"/>
  </w:num>
  <w:num w:numId="23">
    <w:abstractNumId w:val="6"/>
  </w:num>
  <w:num w:numId="24">
    <w:abstractNumId w:val="19"/>
  </w:num>
  <w:num w:numId="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10BA0"/>
    <w:rsid w:val="00020557"/>
    <w:rsid w:val="00021FC2"/>
    <w:rsid w:val="000250C7"/>
    <w:rsid w:val="00026F16"/>
    <w:rsid w:val="00037621"/>
    <w:rsid w:val="000429D4"/>
    <w:rsid w:val="00044D46"/>
    <w:rsid w:val="00045088"/>
    <w:rsid w:val="00045904"/>
    <w:rsid w:val="000502FD"/>
    <w:rsid w:val="00065166"/>
    <w:rsid w:val="00066178"/>
    <w:rsid w:val="00072D9F"/>
    <w:rsid w:val="00082609"/>
    <w:rsid w:val="000851CC"/>
    <w:rsid w:val="00087F21"/>
    <w:rsid w:val="00093BE8"/>
    <w:rsid w:val="000A407B"/>
    <w:rsid w:val="000A68ED"/>
    <w:rsid w:val="000B5FF1"/>
    <w:rsid w:val="000B609F"/>
    <w:rsid w:val="000C5BC7"/>
    <w:rsid w:val="000D10C6"/>
    <w:rsid w:val="000D55A8"/>
    <w:rsid w:val="000E3C5B"/>
    <w:rsid w:val="000E4841"/>
    <w:rsid w:val="000F1677"/>
    <w:rsid w:val="000F3D6C"/>
    <w:rsid w:val="000F554D"/>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1840"/>
    <w:rsid w:val="0018267A"/>
    <w:rsid w:val="00182779"/>
    <w:rsid w:val="00182788"/>
    <w:rsid w:val="001830DF"/>
    <w:rsid w:val="001966D9"/>
    <w:rsid w:val="001A007A"/>
    <w:rsid w:val="001A7E9A"/>
    <w:rsid w:val="001B0F70"/>
    <w:rsid w:val="001B5016"/>
    <w:rsid w:val="001C45FC"/>
    <w:rsid w:val="001C4DEC"/>
    <w:rsid w:val="001D0469"/>
    <w:rsid w:val="001D29C0"/>
    <w:rsid w:val="001D4862"/>
    <w:rsid w:val="001E25B9"/>
    <w:rsid w:val="001E49E0"/>
    <w:rsid w:val="001E7B5A"/>
    <w:rsid w:val="001F22AD"/>
    <w:rsid w:val="001F7412"/>
    <w:rsid w:val="0020090A"/>
    <w:rsid w:val="0020204E"/>
    <w:rsid w:val="00202DFE"/>
    <w:rsid w:val="0020725B"/>
    <w:rsid w:val="002110F1"/>
    <w:rsid w:val="0021523E"/>
    <w:rsid w:val="002356EA"/>
    <w:rsid w:val="0024116D"/>
    <w:rsid w:val="00241B44"/>
    <w:rsid w:val="00241FA3"/>
    <w:rsid w:val="00245EFB"/>
    <w:rsid w:val="0025386E"/>
    <w:rsid w:val="002638B0"/>
    <w:rsid w:val="0026647A"/>
    <w:rsid w:val="002668D3"/>
    <w:rsid w:val="0027299F"/>
    <w:rsid w:val="00281C56"/>
    <w:rsid w:val="00284EBE"/>
    <w:rsid w:val="002903A7"/>
    <w:rsid w:val="00292F69"/>
    <w:rsid w:val="00293210"/>
    <w:rsid w:val="0029433F"/>
    <w:rsid w:val="00294829"/>
    <w:rsid w:val="0029690F"/>
    <w:rsid w:val="00297C8A"/>
    <w:rsid w:val="002A2A60"/>
    <w:rsid w:val="002A37BB"/>
    <w:rsid w:val="002B1C45"/>
    <w:rsid w:val="002C13C8"/>
    <w:rsid w:val="002C3547"/>
    <w:rsid w:val="002C46CB"/>
    <w:rsid w:val="002D0021"/>
    <w:rsid w:val="002D299D"/>
    <w:rsid w:val="002D3473"/>
    <w:rsid w:val="002E2A55"/>
    <w:rsid w:val="002E73DC"/>
    <w:rsid w:val="002F1956"/>
    <w:rsid w:val="002F3440"/>
    <w:rsid w:val="002F36B0"/>
    <w:rsid w:val="002F75A3"/>
    <w:rsid w:val="002F77D6"/>
    <w:rsid w:val="00303C2F"/>
    <w:rsid w:val="00311816"/>
    <w:rsid w:val="003136E2"/>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10F"/>
    <w:rsid w:val="0038533C"/>
    <w:rsid w:val="00386568"/>
    <w:rsid w:val="00390B57"/>
    <w:rsid w:val="003948D5"/>
    <w:rsid w:val="00396821"/>
    <w:rsid w:val="00397D3A"/>
    <w:rsid w:val="003A051E"/>
    <w:rsid w:val="003A4482"/>
    <w:rsid w:val="003B170F"/>
    <w:rsid w:val="003B3C5F"/>
    <w:rsid w:val="003C4471"/>
    <w:rsid w:val="003D0A6D"/>
    <w:rsid w:val="003E067B"/>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076E"/>
    <w:rsid w:val="0056391B"/>
    <w:rsid w:val="005650E2"/>
    <w:rsid w:val="00567AD7"/>
    <w:rsid w:val="00573E2D"/>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D59E5"/>
    <w:rsid w:val="005E1B79"/>
    <w:rsid w:val="005E41C7"/>
    <w:rsid w:val="005E6076"/>
    <w:rsid w:val="005E7008"/>
    <w:rsid w:val="005F026D"/>
    <w:rsid w:val="005F2AEA"/>
    <w:rsid w:val="005F2D0B"/>
    <w:rsid w:val="005F4B31"/>
    <w:rsid w:val="00610388"/>
    <w:rsid w:val="00610AC7"/>
    <w:rsid w:val="00612CA5"/>
    <w:rsid w:val="006153EC"/>
    <w:rsid w:val="00621A17"/>
    <w:rsid w:val="006229DB"/>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1D3B"/>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556"/>
    <w:rsid w:val="00740DAD"/>
    <w:rsid w:val="00742AF3"/>
    <w:rsid w:val="007458C2"/>
    <w:rsid w:val="007603F5"/>
    <w:rsid w:val="00763348"/>
    <w:rsid w:val="00764DB0"/>
    <w:rsid w:val="0076764D"/>
    <w:rsid w:val="0077498C"/>
    <w:rsid w:val="007809BC"/>
    <w:rsid w:val="00784128"/>
    <w:rsid w:val="00787BCC"/>
    <w:rsid w:val="007913DE"/>
    <w:rsid w:val="00793173"/>
    <w:rsid w:val="007A2A33"/>
    <w:rsid w:val="007A5171"/>
    <w:rsid w:val="007B5C89"/>
    <w:rsid w:val="007C1FCC"/>
    <w:rsid w:val="007C6201"/>
    <w:rsid w:val="007D7C92"/>
    <w:rsid w:val="007E1154"/>
    <w:rsid w:val="007E2919"/>
    <w:rsid w:val="007E46A8"/>
    <w:rsid w:val="007E53A8"/>
    <w:rsid w:val="007E6956"/>
    <w:rsid w:val="007E6BA4"/>
    <w:rsid w:val="007F41F8"/>
    <w:rsid w:val="007F659B"/>
    <w:rsid w:val="0080441E"/>
    <w:rsid w:val="0080454E"/>
    <w:rsid w:val="00804C32"/>
    <w:rsid w:val="00806302"/>
    <w:rsid w:val="00807119"/>
    <w:rsid w:val="00807D0B"/>
    <w:rsid w:val="0082483F"/>
    <w:rsid w:val="008279C0"/>
    <w:rsid w:val="00867701"/>
    <w:rsid w:val="008723F3"/>
    <w:rsid w:val="008769B2"/>
    <w:rsid w:val="00876F56"/>
    <w:rsid w:val="00881DE6"/>
    <w:rsid w:val="008824AA"/>
    <w:rsid w:val="008837A6"/>
    <w:rsid w:val="0089145D"/>
    <w:rsid w:val="00891690"/>
    <w:rsid w:val="008A4DF2"/>
    <w:rsid w:val="008A6CFE"/>
    <w:rsid w:val="008B2766"/>
    <w:rsid w:val="008B5333"/>
    <w:rsid w:val="008B6223"/>
    <w:rsid w:val="008B72B8"/>
    <w:rsid w:val="008C66E0"/>
    <w:rsid w:val="008D1616"/>
    <w:rsid w:val="008E0DD0"/>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200"/>
    <w:rsid w:val="009A3AB7"/>
    <w:rsid w:val="009B0723"/>
    <w:rsid w:val="009B07AD"/>
    <w:rsid w:val="009B0883"/>
    <w:rsid w:val="009B15E2"/>
    <w:rsid w:val="009B4976"/>
    <w:rsid w:val="009C0B8E"/>
    <w:rsid w:val="009C1BC8"/>
    <w:rsid w:val="009C2442"/>
    <w:rsid w:val="009C30D1"/>
    <w:rsid w:val="009D0811"/>
    <w:rsid w:val="009D0EE1"/>
    <w:rsid w:val="009E2AEB"/>
    <w:rsid w:val="009E2E27"/>
    <w:rsid w:val="009E45DF"/>
    <w:rsid w:val="009E4DE3"/>
    <w:rsid w:val="009F275E"/>
    <w:rsid w:val="00A047EE"/>
    <w:rsid w:val="00A1243D"/>
    <w:rsid w:val="00A2274A"/>
    <w:rsid w:val="00A235B7"/>
    <w:rsid w:val="00A27A7A"/>
    <w:rsid w:val="00A318D7"/>
    <w:rsid w:val="00A34ABE"/>
    <w:rsid w:val="00A365F0"/>
    <w:rsid w:val="00A407EF"/>
    <w:rsid w:val="00A46B4C"/>
    <w:rsid w:val="00A5117B"/>
    <w:rsid w:val="00A56D34"/>
    <w:rsid w:val="00A60074"/>
    <w:rsid w:val="00A60A2B"/>
    <w:rsid w:val="00A6627C"/>
    <w:rsid w:val="00A71019"/>
    <w:rsid w:val="00A81029"/>
    <w:rsid w:val="00A845F5"/>
    <w:rsid w:val="00A96489"/>
    <w:rsid w:val="00AA3088"/>
    <w:rsid w:val="00AB2425"/>
    <w:rsid w:val="00AB685C"/>
    <w:rsid w:val="00AB6C2D"/>
    <w:rsid w:val="00AC08F7"/>
    <w:rsid w:val="00AC317D"/>
    <w:rsid w:val="00AC3839"/>
    <w:rsid w:val="00AC7082"/>
    <w:rsid w:val="00AD04FF"/>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A250A"/>
    <w:rsid w:val="00BB0F2B"/>
    <w:rsid w:val="00BE4FF3"/>
    <w:rsid w:val="00BF2C93"/>
    <w:rsid w:val="00BF50F7"/>
    <w:rsid w:val="00BF71B6"/>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457B"/>
    <w:rsid w:val="00C7736C"/>
    <w:rsid w:val="00C818EA"/>
    <w:rsid w:val="00C82D87"/>
    <w:rsid w:val="00C8712A"/>
    <w:rsid w:val="00C902C8"/>
    <w:rsid w:val="00C91062"/>
    <w:rsid w:val="00C919D1"/>
    <w:rsid w:val="00C963D3"/>
    <w:rsid w:val="00CB1983"/>
    <w:rsid w:val="00CB2CBB"/>
    <w:rsid w:val="00CB7CAC"/>
    <w:rsid w:val="00CC5335"/>
    <w:rsid w:val="00CC5BA4"/>
    <w:rsid w:val="00CC652B"/>
    <w:rsid w:val="00CD4998"/>
    <w:rsid w:val="00CE1035"/>
    <w:rsid w:val="00CE6E50"/>
    <w:rsid w:val="00CF1685"/>
    <w:rsid w:val="00CF2819"/>
    <w:rsid w:val="00CF4F9D"/>
    <w:rsid w:val="00CF70DC"/>
    <w:rsid w:val="00D043D3"/>
    <w:rsid w:val="00D056A8"/>
    <w:rsid w:val="00D148DC"/>
    <w:rsid w:val="00D17FDC"/>
    <w:rsid w:val="00D21D8C"/>
    <w:rsid w:val="00D53719"/>
    <w:rsid w:val="00D63EFD"/>
    <w:rsid w:val="00D84752"/>
    <w:rsid w:val="00D86B3B"/>
    <w:rsid w:val="00D8748A"/>
    <w:rsid w:val="00D93196"/>
    <w:rsid w:val="00D951DF"/>
    <w:rsid w:val="00DA0DC0"/>
    <w:rsid w:val="00DB243C"/>
    <w:rsid w:val="00DB482A"/>
    <w:rsid w:val="00DB50FB"/>
    <w:rsid w:val="00DB56F2"/>
    <w:rsid w:val="00DB6EF5"/>
    <w:rsid w:val="00DC3089"/>
    <w:rsid w:val="00DC38D9"/>
    <w:rsid w:val="00DC4420"/>
    <w:rsid w:val="00DD0802"/>
    <w:rsid w:val="00DD2E11"/>
    <w:rsid w:val="00DE03AF"/>
    <w:rsid w:val="00DE121C"/>
    <w:rsid w:val="00DE6633"/>
    <w:rsid w:val="00DF75F8"/>
    <w:rsid w:val="00DF7A3A"/>
    <w:rsid w:val="00E00C00"/>
    <w:rsid w:val="00E07C5A"/>
    <w:rsid w:val="00E15BA9"/>
    <w:rsid w:val="00E24397"/>
    <w:rsid w:val="00E26E19"/>
    <w:rsid w:val="00E31DF3"/>
    <w:rsid w:val="00E443D7"/>
    <w:rsid w:val="00E450A4"/>
    <w:rsid w:val="00E506BE"/>
    <w:rsid w:val="00E55547"/>
    <w:rsid w:val="00E6302B"/>
    <w:rsid w:val="00E6452F"/>
    <w:rsid w:val="00E64F45"/>
    <w:rsid w:val="00E6742D"/>
    <w:rsid w:val="00E71CB0"/>
    <w:rsid w:val="00E73CC0"/>
    <w:rsid w:val="00E77C3D"/>
    <w:rsid w:val="00E833F4"/>
    <w:rsid w:val="00E90991"/>
    <w:rsid w:val="00E909F0"/>
    <w:rsid w:val="00E90D47"/>
    <w:rsid w:val="00E921EF"/>
    <w:rsid w:val="00E93993"/>
    <w:rsid w:val="00E94797"/>
    <w:rsid w:val="00E9597C"/>
    <w:rsid w:val="00EA0913"/>
    <w:rsid w:val="00EA5B00"/>
    <w:rsid w:val="00EB146B"/>
    <w:rsid w:val="00EB45AC"/>
    <w:rsid w:val="00EB56A6"/>
    <w:rsid w:val="00EC441F"/>
    <w:rsid w:val="00EC4755"/>
    <w:rsid w:val="00ED0BC4"/>
    <w:rsid w:val="00ED447D"/>
    <w:rsid w:val="00EE02E8"/>
    <w:rsid w:val="00EE1A9A"/>
    <w:rsid w:val="00EE4971"/>
    <w:rsid w:val="00EE6A44"/>
    <w:rsid w:val="00EE6CB0"/>
    <w:rsid w:val="00EF090E"/>
    <w:rsid w:val="00EF5572"/>
    <w:rsid w:val="00F01D7D"/>
    <w:rsid w:val="00F033DA"/>
    <w:rsid w:val="00F13691"/>
    <w:rsid w:val="00F13FB1"/>
    <w:rsid w:val="00F27CD8"/>
    <w:rsid w:val="00F30351"/>
    <w:rsid w:val="00F3323E"/>
    <w:rsid w:val="00F341F4"/>
    <w:rsid w:val="00F34F9D"/>
    <w:rsid w:val="00F35CCE"/>
    <w:rsid w:val="00F41ECE"/>
    <w:rsid w:val="00F5524B"/>
    <w:rsid w:val="00F60538"/>
    <w:rsid w:val="00F61DD2"/>
    <w:rsid w:val="00F62E7A"/>
    <w:rsid w:val="00F66AFF"/>
    <w:rsid w:val="00F70126"/>
    <w:rsid w:val="00F71433"/>
    <w:rsid w:val="00F87B04"/>
    <w:rsid w:val="00F948FA"/>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097E"/>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8837-E67A-D14D-832C-6DB583BE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13</Pages>
  <Words>3510</Words>
  <Characters>20010</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Kaveer Soni</cp:lastModifiedBy>
  <cp:revision>38</cp:revision>
  <cp:lastPrinted>2022-02-28T08:19:00Z</cp:lastPrinted>
  <dcterms:created xsi:type="dcterms:W3CDTF">2022-02-28T06:10:00Z</dcterms:created>
  <dcterms:modified xsi:type="dcterms:W3CDTF">2022-03-01T18:50:00Z</dcterms:modified>
</cp:coreProperties>
</file>