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1D3C1B" w:rsidRDefault="007B0809" w:rsidP="004F49B5">
      <w:pPr>
        <w:pStyle w:val="AODocTxt"/>
        <w:numPr>
          <w:ilvl w:val="0"/>
          <w:numId w:val="2"/>
        </w:numPr>
        <w:spacing w:before="0" w:line="240" w:lineRule="auto"/>
        <w:ind w:left="426"/>
        <w:rPr>
          <w:rFonts w:ascii="Arial" w:hAnsi="Arial" w:cs="Arial"/>
          <w:highlight w:val="yellow"/>
        </w:rPr>
      </w:pPr>
      <w:r w:rsidRPr="001D3C1B">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1D3C1B" w:rsidRDefault="007B0809" w:rsidP="004F49B5">
      <w:pPr>
        <w:pStyle w:val="AODocTxt"/>
        <w:numPr>
          <w:ilvl w:val="0"/>
          <w:numId w:val="3"/>
        </w:numPr>
        <w:spacing w:before="0" w:line="240" w:lineRule="auto"/>
        <w:ind w:left="426"/>
        <w:rPr>
          <w:rFonts w:ascii="Arial" w:hAnsi="Arial" w:cs="Arial"/>
          <w:highlight w:val="yellow"/>
        </w:rPr>
      </w:pPr>
      <w:r w:rsidRPr="001D3C1B">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601E61" w:rsidRDefault="007B0809" w:rsidP="004F49B5">
      <w:pPr>
        <w:pStyle w:val="AODocTxt"/>
        <w:numPr>
          <w:ilvl w:val="0"/>
          <w:numId w:val="4"/>
        </w:numPr>
        <w:spacing w:before="0" w:line="240" w:lineRule="auto"/>
        <w:ind w:left="426"/>
        <w:rPr>
          <w:rFonts w:ascii="Arial" w:hAnsi="Arial" w:cs="Arial"/>
          <w:highlight w:val="yellow"/>
        </w:rPr>
      </w:pPr>
      <w:r w:rsidRPr="00601E6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601E61" w:rsidRDefault="007B0809" w:rsidP="004F49B5">
      <w:pPr>
        <w:pStyle w:val="AODocTxt"/>
        <w:numPr>
          <w:ilvl w:val="0"/>
          <w:numId w:val="4"/>
        </w:numPr>
        <w:spacing w:before="0" w:line="240" w:lineRule="auto"/>
        <w:ind w:left="426"/>
        <w:rPr>
          <w:rFonts w:ascii="Arial" w:hAnsi="Arial" w:cs="Arial"/>
        </w:rPr>
      </w:pPr>
      <w:r w:rsidRPr="00601E61">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935CA4" w:rsidRDefault="007B0809" w:rsidP="004F49B5">
      <w:pPr>
        <w:pStyle w:val="AODocTxt"/>
        <w:numPr>
          <w:ilvl w:val="0"/>
          <w:numId w:val="5"/>
        </w:numPr>
        <w:spacing w:before="0" w:line="240" w:lineRule="auto"/>
        <w:ind w:left="426"/>
        <w:rPr>
          <w:rFonts w:ascii="Arial" w:hAnsi="Arial" w:cs="Arial"/>
          <w:highlight w:val="yellow"/>
        </w:rPr>
      </w:pPr>
      <w:r w:rsidRPr="00935CA4">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A41EDB" w:rsidRDefault="007B0809" w:rsidP="004F49B5">
      <w:pPr>
        <w:pStyle w:val="AODocTxt"/>
        <w:numPr>
          <w:ilvl w:val="0"/>
          <w:numId w:val="6"/>
        </w:numPr>
        <w:spacing w:before="0" w:line="240" w:lineRule="auto"/>
        <w:ind w:left="426"/>
        <w:rPr>
          <w:rFonts w:ascii="Arial" w:hAnsi="Arial" w:cs="Arial"/>
        </w:rPr>
      </w:pPr>
      <w:r w:rsidRPr="00A41EDB">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A41EDB" w:rsidRDefault="007B0809" w:rsidP="004F49B5">
      <w:pPr>
        <w:pStyle w:val="AODocTxt"/>
        <w:numPr>
          <w:ilvl w:val="0"/>
          <w:numId w:val="6"/>
        </w:numPr>
        <w:spacing w:before="0" w:line="240" w:lineRule="auto"/>
        <w:ind w:left="426"/>
        <w:rPr>
          <w:rFonts w:ascii="Arial" w:hAnsi="Arial" w:cs="Arial"/>
          <w:highlight w:val="yellow"/>
        </w:rPr>
      </w:pPr>
      <w:r w:rsidRPr="00A41EDB">
        <w:rPr>
          <w:rFonts w:ascii="Arial" w:hAnsi="Arial" w:cs="Arial"/>
          <w:highlight w:val="yellow"/>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2025BC" w:rsidRDefault="007B0809" w:rsidP="004F49B5">
      <w:pPr>
        <w:pStyle w:val="AODocTxt"/>
        <w:numPr>
          <w:ilvl w:val="0"/>
          <w:numId w:val="7"/>
        </w:numPr>
        <w:spacing w:before="0" w:line="240" w:lineRule="auto"/>
        <w:ind w:left="426"/>
        <w:rPr>
          <w:rFonts w:ascii="Arial" w:hAnsi="Arial" w:cs="Arial"/>
          <w:highlight w:val="yellow"/>
        </w:rPr>
      </w:pPr>
      <w:r w:rsidRPr="002025BC">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97476E" w:rsidRDefault="007B0809" w:rsidP="004F49B5">
      <w:pPr>
        <w:pStyle w:val="AODocTxt"/>
        <w:numPr>
          <w:ilvl w:val="0"/>
          <w:numId w:val="8"/>
        </w:numPr>
        <w:spacing w:before="0" w:line="240" w:lineRule="auto"/>
        <w:ind w:left="426"/>
        <w:rPr>
          <w:rFonts w:ascii="Arial" w:hAnsi="Arial" w:cs="Arial"/>
          <w:highlight w:val="yellow"/>
        </w:rPr>
      </w:pPr>
      <w:r w:rsidRPr="0097476E">
        <w:rPr>
          <w:rFonts w:ascii="Arial" w:hAnsi="Arial" w:cs="Arial"/>
          <w:highlight w:val="yellow"/>
        </w:rPr>
        <w:t>The automatic stay applies upon the filing of a petition for recognition.</w:t>
      </w:r>
      <w:r w:rsidR="00F92140" w:rsidRPr="0097476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2617E0" w:rsidRDefault="007B0809" w:rsidP="004F49B5">
      <w:pPr>
        <w:pStyle w:val="AODocTxt"/>
        <w:numPr>
          <w:ilvl w:val="0"/>
          <w:numId w:val="8"/>
        </w:numPr>
        <w:spacing w:before="0" w:line="240" w:lineRule="auto"/>
        <w:ind w:left="426"/>
        <w:rPr>
          <w:rFonts w:ascii="Arial" w:hAnsi="Arial" w:cs="Arial"/>
        </w:rPr>
      </w:pPr>
      <w:r w:rsidRPr="002617E0">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787F57" w:rsidRDefault="007B0809" w:rsidP="004F49B5">
      <w:pPr>
        <w:pStyle w:val="AODocTxt"/>
        <w:numPr>
          <w:ilvl w:val="0"/>
          <w:numId w:val="9"/>
        </w:numPr>
        <w:spacing w:before="0" w:line="240" w:lineRule="auto"/>
        <w:ind w:left="426"/>
        <w:rPr>
          <w:rFonts w:ascii="Arial" w:hAnsi="Arial" w:cs="Arial"/>
          <w:highlight w:val="yellow"/>
        </w:rPr>
      </w:pPr>
      <w:r w:rsidRPr="00787F57">
        <w:rPr>
          <w:rFonts w:ascii="Arial" w:hAnsi="Arial" w:cs="Arial"/>
          <w:highlight w:val="yellow"/>
        </w:rPr>
        <w:t>A creditor’s lien on assets sold in a 363 sale attaches to the proceeds of the sale.</w:t>
      </w:r>
      <w:r w:rsidR="00F92140" w:rsidRPr="00787F57">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787F57" w:rsidRDefault="007B0809" w:rsidP="004F49B5">
      <w:pPr>
        <w:pStyle w:val="AODocTxt"/>
        <w:numPr>
          <w:ilvl w:val="0"/>
          <w:numId w:val="10"/>
        </w:numPr>
        <w:spacing w:before="0" w:line="240" w:lineRule="auto"/>
        <w:ind w:left="426"/>
        <w:rPr>
          <w:rFonts w:ascii="Arial" w:hAnsi="Arial" w:cs="Arial"/>
          <w:highlight w:val="yellow"/>
        </w:rPr>
      </w:pPr>
      <w:r w:rsidRPr="00787F57">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E12F33" w:rsidRDefault="007B0809" w:rsidP="004F49B5">
      <w:pPr>
        <w:pStyle w:val="AODocTxt"/>
        <w:numPr>
          <w:ilvl w:val="0"/>
          <w:numId w:val="11"/>
        </w:numPr>
        <w:spacing w:before="0" w:line="240" w:lineRule="auto"/>
        <w:ind w:left="426"/>
        <w:rPr>
          <w:rFonts w:ascii="Arial" w:hAnsi="Arial" w:cs="Arial"/>
        </w:rPr>
      </w:pPr>
      <w:r w:rsidRPr="00E12F33">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F33" w:rsidRDefault="007B0809" w:rsidP="004F49B5">
      <w:pPr>
        <w:pStyle w:val="AODocTxt"/>
        <w:numPr>
          <w:ilvl w:val="0"/>
          <w:numId w:val="11"/>
        </w:numPr>
        <w:spacing w:before="0" w:line="240" w:lineRule="auto"/>
        <w:ind w:left="426"/>
        <w:rPr>
          <w:rFonts w:ascii="Arial" w:hAnsi="Arial" w:cs="Arial"/>
          <w:highlight w:val="yellow"/>
        </w:rPr>
      </w:pPr>
      <w:r w:rsidRPr="00E12F33">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5DC35A70" w:rsidR="00E12EC4" w:rsidRDefault="00036D1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 between a voluntary petition for bankruptcy and an involuntary petition for bankruptcy is that a debtor may commence a voluntary proceeding under any applicable chapter by filing a petition, whereas an involuntary petition for bankruptcy is initiated by creditors under either chapter 7 or chapter 11.</w:t>
      </w:r>
    </w:p>
    <w:p w14:paraId="2A71556D" w14:textId="58E70F29" w:rsidR="000B3B9C" w:rsidRDefault="000B3B9C" w:rsidP="00E12EC4">
      <w:pPr>
        <w:jc w:val="both"/>
        <w:rPr>
          <w:rFonts w:ascii="Arial" w:hAnsi="Arial" w:cs="Arial"/>
          <w:color w:val="7B7B7B" w:themeColor="accent3" w:themeShade="BF"/>
          <w:sz w:val="22"/>
          <w:szCs w:val="22"/>
          <w:lang w:val="en-GB"/>
        </w:rPr>
      </w:pPr>
    </w:p>
    <w:p w14:paraId="333D8C8F" w14:textId="7955B24D" w:rsidR="000B3B9C" w:rsidRPr="00FF5098" w:rsidRDefault="000B3B9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w:t>
      </w:r>
      <w:r w:rsidRPr="000B3B9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difference between a voluntary petition for bankruptcy and an involuntary petition for bankruptcy is that the former does not require a statement confirming the debtor is insolvent, but in order for a creditor to serve an involuntary petition (under either chapter 7 or chapter 11), the creditor must demonstrate that the debtor is insolvent/cannot pay its debts as and when they fall due.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E062E6B" w:rsidR="00E12EC4" w:rsidRDefault="0078683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violation of the automatic stay constitutes contempt of court. In addition, an act taken in violation of the automatic stay is void or voidable, depending on the circuit in which the bankruptcy is pending. These are two potential consequences of a violation of the automatic stay. </w:t>
      </w:r>
    </w:p>
    <w:p w14:paraId="4A17864A" w14:textId="42BDFA2C" w:rsidR="00786837" w:rsidRDefault="00786837" w:rsidP="00E12EC4">
      <w:pPr>
        <w:jc w:val="both"/>
        <w:rPr>
          <w:rFonts w:ascii="Arial" w:hAnsi="Arial" w:cs="Arial"/>
          <w:color w:val="7B7B7B" w:themeColor="accent3" w:themeShade="BF"/>
          <w:sz w:val="22"/>
          <w:szCs w:val="22"/>
          <w:lang w:val="en-GB"/>
        </w:rPr>
      </w:pPr>
    </w:p>
    <w:p w14:paraId="0D3338BD" w14:textId="67A623B0" w:rsidR="00786837" w:rsidRDefault="0078683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instances where the court is concerned that the violator may not act in a prompt manner, it can impose sanctions – for example, paying a daily fine to the court until the stay violation has been rectified. </w:t>
      </w:r>
    </w:p>
    <w:p w14:paraId="6BB4108B" w14:textId="75EB9D21" w:rsidR="000B3B9C" w:rsidRDefault="000B3B9C" w:rsidP="00E12EC4">
      <w:pPr>
        <w:jc w:val="both"/>
        <w:rPr>
          <w:rFonts w:ascii="Arial" w:hAnsi="Arial" w:cs="Arial"/>
          <w:color w:val="7B7B7B" w:themeColor="accent3" w:themeShade="BF"/>
          <w:sz w:val="22"/>
          <w:szCs w:val="22"/>
          <w:lang w:val="en-GB"/>
        </w:rPr>
      </w:pPr>
    </w:p>
    <w:p w14:paraId="6AF7E5E9" w14:textId="35A2E3B8" w:rsidR="000B3B9C" w:rsidRDefault="000B3B9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violator may also be required to pay the legal costs associated with rectifying the violation and the debtor may be able to commence legal proceedings against the violator in respect of the same.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D7622D" w:rsidRDefault="00323167" w:rsidP="00323167">
      <w:pPr>
        <w:pStyle w:val="AODocTxt"/>
        <w:spacing w:before="0" w:line="240" w:lineRule="auto"/>
        <w:rPr>
          <w:rFonts w:ascii="Arial" w:hAnsi="Arial" w:cs="Arial"/>
          <w:b/>
        </w:rPr>
      </w:pPr>
      <w:r w:rsidRPr="00D7622D">
        <w:rPr>
          <w:rFonts w:ascii="Arial" w:hAnsi="Arial" w:cs="Arial"/>
          <w:b/>
        </w:rPr>
        <w:lastRenderedPageBreak/>
        <w:t>Question 2.3 (3 marks)</w:t>
      </w:r>
    </w:p>
    <w:p w14:paraId="0EF9E328" w14:textId="77777777" w:rsidR="003A75F4" w:rsidRPr="00D7622D" w:rsidRDefault="003A75F4" w:rsidP="00323167">
      <w:pPr>
        <w:pStyle w:val="AODocTxt"/>
        <w:spacing w:before="0" w:line="240" w:lineRule="auto"/>
        <w:rPr>
          <w:rFonts w:ascii="Arial" w:hAnsi="Arial" w:cs="Arial"/>
        </w:rPr>
      </w:pPr>
    </w:p>
    <w:p w14:paraId="0FD4A2F3" w14:textId="0E5EC6C6" w:rsidR="00323167" w:rsidRPr="00A42495" w:rsidRDefault="00323167" w:rsidP="00323167">
      <w:pPr>
        <w:pStyle w:val="AODocTxt"/>
        <w:spacing w:before="0" w:line="240" w:lineRule="auto"/>
        <w:rPr>
          <w:rFonts w:ascii="Arial" w:hAnsi="Arial" w:cs="Arial"/>
          <w:highlight w:val="red"/>
        </w:rPr>
      </w:pPr>
      <w:r w:rsidRPr="00D7622D">
        <w:rPr>
          <w:rFonts w:ascii="Arial" w:hAnsi="Arial" w:cs="Arial"/>
        </w:rPr>
        <w:t xml:space="preserve">In what circumstances is a claim considered “impaired”? </w:t>
      </w:r>
      <w:r w:rsidRPr="00601E61">
        <w:rPr>
          <w:rFonts w:ascii="Arial" w:hAnsi="Arial" w:cs="Arial"/>
        </w:rPr>
        <w:t>When is a holder of an impaired claim not entitled to vote on a proposed plan of reorganization and what happens instead?</w:t>
      </w:r>
      <w:r w:rsidR="00F92140" w:rsidRPr="00601E61">
        <w:rPr>
          <w:rFonts w:ascii="Arial" w:hAnsi="Arial" w:cs="Arial"/>
        </w:rPr>
        <w:t xml:space="preserve"> </w:t>
      </w:r>
    </w:p>
    <w:p w14:paraId="55D6E353" w14:textId="2FDBCE54" w:rsidR="003A75F4" w:rsidRPr="00A42495" w:rsidRDefault="003A75F4" w:rsidP="00323167">
      <w:pPr>
        <w:pStyle w:val="AODocTxt"/>
        <w:spacing w:before="0" w:line="240" w:lineRule="auto"/>
        <w:rPr>
          <w:rFonts w:ascii="Arial" w:hAnsi="Arial" w:cs="Arial"/>
          <w:highlight w:val="red"/>
        </w:rPr>
      </w:pPr>
    </w:p>
    <w:p w14:paraId="22FB028C" w14:textId="22F11AA7" w:rsidR="00D7622D" w:rsidRPr="00D7622D" w:rsidRDefault="00D7622D" w:rsidP="00323167">
      <w:pPr>
        <w:pStyle w:val="AODocTxt"/>
        <w:spacing w:before="0" w:line="240" w:lineRule="auto"/>
        <w:rPr>
          <w:rFonts w:ascii="Arial" w:eastAsia="Times New Roman" w:hAnsi="Arial" w:cs="Arial"/>
          <w:color w:val="7B7B7B" w:themeColor="accent3" w:themeShade="BF"/>
          <w:lang w:val="en-GB"/>
        </w:rPr>
      </w:pPr>
      <w:r w:rsidRPr="00D7622D">
        <w:rPr>
          <w:rFonts w:ascii="Arial" w:eastAsia="Times New Roman" w:hAnsi="Arial" w:cs="Arial"/>
          <w:color w:val="7B7B7B" w:themeColor="accent3" w:themeShade="BF"/>
          <w:lang w:val="en-GB"/>
        </w:rPr>
        <w:t>Section 1124 of Subchapter II (The Plan) of Chapter 11 of the Bankruptcy Code (“s1124”) relates to the “impairment of claims or interests”. S1124 states the following:</w:t>
      </w:r>
    </w:p>
    <w:p w14:paraId="16983789" w14:textId="68974574" w:rsidR="00D7622D" w:rsidRPr="00D7622D" w:rsidRDefault="00D7622D" w:rsidP="00323167">
      <w:pPr>
        <w:pStyle w:val="AODocTxt"/>
        <w:spacing w:before="0" w:line="240" w:lineRule="auto"/>
        <w:rPr>
          <w:rFonts w:ascii="Arial" w:eastAsia="Times New Roman" w:hAnsi="Arial" w:cs="Arial"/>
          <w:color w:val="7B7B7B" w:themeColor="accent3" w:themeShade="BF"/>
          <w:lang w:val="en-GB"/>
        </w:rPr>
      </w:pPr>
    </w:p>
    <w:p w14:paraId="7A944B85" w14:textId="434401B6" w:rsidR="00D7622D" w:rsidRDefault="00D7622D" w:rsidP="00D7622D">
      <w:pPr>
        <w:pStyle w:val="statutory-body"/>
        <w:spacing w:before="0" w:beforeAutospacing="0" w:after="0" w:afterAutospacing="0"/>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w:t>
      </w:r>
      <w:r w:rsidRPr="00D7622D">
        <w:rPr>
          <w:rFonts w:ascii="Arial" w:hAnsi="Arial" w:cs="Arial"/>
          <w:color w:val="7B7B7B" w:themeColor="accent3" w:themeShade="BF"/>
          <w:sz w:val="22"/>
          <w:szCs w:val="22"/>
          <w:lang w:eastAsia="en-US"/>
        </w:rPr>
        <w:t>Except as provided in section 1123(a)(4) of this title, a class of claims or interests is impaired under a plan unless, with respect to each claim or interest of such class, the plan—</w:t>
      </w:r>
    </w:p>
    <w:p w14:paraId="771BFC0C" w14:textId="77777777" w:rsidR="00D7622D" w:rsidRPr="00D7622D" w:rsidRDefault="00D7622D" w:rsidP="00D7622D">
      <w:pPr>
        <w:pStyle w:val="statutory-body"/>
        <w:spacing w:before="0" w:beforeAutospacing="0" w:after="0" w:afterAutospacing="0"/>
        <w:jc w:val="both"/>
        <w:rPr>
          <w:rFonts w:ascii="Arial" w:hAnsi="Arial" w:cs="Arial"/>
          <w:color w:val="7B7B7B" w:themeColor="accent3" w:themeShade="BF"/>
          <w:sz w:val="22"/>
          <w:szCs w:val="22"/>
          <w:lang w:eastAsia="en-US"/>
        </w:rPr>
      </w:pPr>
    </w:p>
    <w:p w14:paraId="262226C7" w14:textId="77777777" w:rsidR="00D7622D" w:rsidRPr="00D7622D" w:rsidRDefault="00D7622D" w:rsidP="00D7622D">
      <w:pPr>
        <w:pStyle w:val="statutory-body-1em"/>
        <w:spacing w:before="0" w:beforeAutospacing="0" w:after="0" w:afterAutospacing="0"/>
        <w:jc w:val="both"/>
        <w:rPr>
          <w:rFonts w:ascii="Arial" w:hAnsi="Arial" w:cs="Arial"/>
          <w:color w:val="7B7B7B" w:themeColor="accent3" w:themeShade="BF"/>
          <w:sz w:val="22"/>
          <w:szCs w:val="22"/>
          <w:lang w:eastAsia="en-US"/>
        </w:rPr>
      </w:pPr>
      <w:bookmarkStart w:id="1" w:name="substructure-location_1"/>
      <w:bookmarkEnd w:id="1"/>
      <w:r w:rsidRPr="00D7622D">
        <w:rPr>
          <w:rFonts w:ascii="Arial" w:hAnsi="Arial" w:cs="Arial"/>
          <w:color w:val="7B7B7B" w:themeColor="accent3" w:themeShade="BF"/>
          <w:sz w:val="22"/>
          <w:szCs w:val="22"/>
          <w:lang w:eastAsia="en-US"/>
        </w:rPr>
        <w:t>(1) leaves unaltered the legal, equitable, and contractual rights to which such claim or interest entitles the holder of such claim or interest; or</w:t>
      </w:r>
    </w:p>
    <w:p w14:paraId="073664B5" w14:textId="77777777" w:rsidR="00D7622D" w:rsidRPr="00D7622D" w:rsidRDefault="00D7622D" w:rsidP="00D7622D">
      <w:pPr>
        <w:pStyle w:val="statutory-body-1em"/>
        <w:spacing w:before="0" w:beforeAutospacing="0" w:after="0" w:afterAutospacing="0"/>
        <w:jc w:val="both"/>
        <w:rPr>
          <w:rFonts w:ascii="Arial" w:hAnsi="Arial" w:cs="Arial"/>
          <w:color w:val="7B7B7B" w:themeColor="accent3" w:themeShade="BF"/>
          <w:sz w:val="22"/>
          <w:szCs w:val="22"/>
          <w:lang w:eastAsia="en-US"/>
        </w:rPr>
      </w:pPr>
      <w:bookmarkStart w:id="2" w:name="substructure-location_2"/>
      <w:bookmarkEnd w:id="2"/>
      <w:r w:rsidRPr="00D7622D">
        <w:rPr>
          <w:rFonts w:ascii="Arial" w:hAnsi="Arial" w:cs="Arial"/>
          <w:color w:val="7B7B7B" w:themeColor="accent3" w:themeShade="BF"/>
          <w:sz w:val="22"/>
          <w:szCs w:val="22"/>
          <w:lang w:eastAsia="en-US"/>
        </w:rPr>
        <w:t>(2) notwithstanding any contractual provision or applicable law that entitles the holder of such claim or interest to demand or receive accelerated payment of such claim or interest after the occurrence of a default—</w:t>
      </w:r>
    </w:p>
    <w:p w14:paraId="4CC22103" w14:textId="77777777" w:rsidR="00D7622D" w:rsidRPr="00D7622D" w:rsidRDefault="00D7622D" w:rsidP="00D7622D">
      <w:pPr>
        <w:pStyle w:val="statutory-body-2em"/>
        <w:spacing w:before="0" w:beforeAutospacing="0" w:after="0" w:afterAutospacing="0"/>
        <w:jc w:val="both"/>
        <w:rPr>
          <w:rFonts w:ascii="Arial" w:hAnsi="Arial" w:cs="Arial"/>
          <w:color w:val="7B7B7B" w:themeColor="accent3" w:themeShade="BF"/>
          <w:sz w:val="22"/>
          <w:szCs w:val="22"/>
          <w:lang w:eastAsia="en-US"/>
        </w:rPr>
      </w:pPr>
      <w:bookmarkStart w:id="3" w:name="substructure-location_2_A"/>
      <w:bookmarkEnd w:id="3"/>
      <w:r w:rsidRPr="00D7622D">
        <w:rPr>
          <w:rFonts w:ascii="Arial" w:hAnsi="Arial" w:cs="Arial"/>
          <w:color w:val="7B7B7B" w:themeColor="accent3" w:themeShade="BF"/>
          <w:sz w:val="22"/>
          <w:szCs w:val="22"/>
          <w:lang w:eastAsia="en-US"/>
        </w:rPr>
        <w:t>(A) cures any such default that occurred before or after the commencement of the case under this title, other than a default of a kind specified in section 365(b)(2) of this title or of a kind that section 365(b)(2) expressly does not require to be cured;</w:t>
      </w:r>
    </w:p>
    <w:p w14:paraId="4E793ED7" w14:textId="77777777" w:rsidR="00D7622D" w:rsidRPr="00D7622D" w:rsidRDefault="00D7622D" w:rsidP="00D7622D">
      <w:pPr>
        <w:pStyle w:val="statutory-body-2em"/>
        <w:spacing w:before="0" w:beforeAutospacing="0" w:after="0" w:afterAutospacing="0"/>
        <w:jc w:val="both"/>
        <w:rPr>
          <w:rFonts w:ascii="Arial" w:hAnsi="Arial" w:cs="Arial"/>
          <w:color w:val="7B7B7B" w:themeColor="accent3" w:themeShade="BF"/>
          <w:sz w:val="22"/>
          <w:szCs w:val="22"/>
          <w:lang w:eastAsia="en-US"/>
        </w:rPr>
      </w:pPr>
      <w:bookmarkStart w:id="4" w:name="substructure-location_2_B"/>
      <w:bookmarkEnd w:id="4"/>
      <w:r w:rsidRPr="00D7622D">
        <w:rPr>
          <w:rFonts w:ascii="Arial" w:hAnsi="Arial" w:cs="Arial"/>
          <w:color w:val="7B7B7B" w:themeColor="accent3" w:themeShade="BF"/>
          <w:sz w:val="22"/>
          <w:szCs w:val="22"/>
          <w:lang w:eastAsia="en-US"/>
        </w:rPr>
        <w:t>(B) reinstates the maturity of such claim or interest as such maturity existed before such default;</w:t>
      </w:r>
    </w:p>
    <w:p w14:paraId="1C6C9447" w14:textId="77777777" w:rsidR="00D7622D" w:rsidRPr="00D7622D" w:rsidRDefault="00D7622D" w:rsidP="00D7622D">
      <w:pPr>
        <w:pStyle w:val="statutory-body-2em"/>
        <w:spacing w:before="0" w:beforeAutospacing="0" w:after="0" w:afterAutospacing="0"/>
        <w:jc w:val="both"/>
        <w:rPr>
          <w:rFonts w:ascii="Arial" w:hAnsi="Arial" w:cs="Arial"/>
          <w:color w:val="7B7B7B" w:themeColor="accent3" w:themeShade="BF"/>
          <w:sz w:val="22"/>
          <w:szCs w:val="22"/>
          <w:lang w:eastAsia="en-US"/>
        </w:rPr>
      </w:pPr>
      <w:bookmarkStart w:id="5" w:name="substructure-location_2_C"/>
      <w:bookmarkEnd w:id="5"/>
      <w:r w:rsidRPr="00D7622D">
        <w:rPr>
          <w:rFonts w:ascii="Arial" w:hAnsi="Arial" w:cs="Arial"/>
          <w:color w:val="7B7B7B" w:themeColor="accent3" w:themeShade="BF"/>
          <w:sz w:val="22"/>
          <w:szCs w:val="22"/>
          <w:lang w:eastAsia="en-US"/>
        </w:rPr>
        <w:t>(C) compensates the holder of such claim or interest for any damages incurred as a result of any reasonable reliance by such holder on such contractual provision or such applicable law;</w:t>
      </w:r>
    </w:p>
    <w:p w14:paraId="0C8116ED" w14:textId="77777777" w:rsidR="00D7622D" w:rsidRPr="00D7622D" w:rsidRDefault="00D7622D" w:rsidP="00D7622D">
      <w:pPr>
        <w:pStyle w:val="statutory-body-2em"/>
        <w:spacing w:before="0" w:beforeAutospacing="0" w:after="0" w:afterAutospacing="0"/>
        <w:jc w:val="both"/>
        <w:rPr>
          <w:rFonts w:ascii="Arial" w:hAnsi="Arial" w:cs="Arial"/>
          <w:color w:val="7B7B7B" w:themeColor="accent3" w:themeShade="BF"/>
          <w:sz w:val="22"/>
          <w:szCs w:val="22"/>
          <w:lang w:eastAsia="en-US"/>
        </w:rPr>
      </w:pPr>
      <w:bookmarkStart w:id="6" w:name="substructure-location_2_D"/>
      <w:bookmarkEnd w:id="6"/>
      <w:r w:rsidRPr="00D7622D">
        <w:rPr>
          <w:rFonts w:ascii="Arial" w:hAnsi="Arial" w:cs="Arial"/>
          <w:color w:val="7B7B7B" w:themeColor="accent3" w:themeShade="BF"/>
          <w:sz w:val="22"/>
          <w:szCs w:val="22"/>
          <w:lang w:eastAsia="en-US"/>
        </w:rPr>
        <w:t>(D) if such claim or such interest arises from any failure to perform a nonmonetary obligation, other than a default arising from failure to operate a nonresidential real property lease subject to section 365(b)(1)(A), compensates the holder of such claim or such interest (other than the debtor or an insider) for any actual pecuniary loss incurred by such holder as a result of such failure; and</w:t>
      </w:r>
    </w:p>
    <w:p w14:paraId="4F593F3D" w14:textId="3E6F033D" w:rsidR="00D7622D" w:rsidRPr="00D7622D" w:rsidRDefault="00D7622D" w:rsidP="00D7622D">
      <w:pPr>
        <w:pStyle w:val="statutory-body-2em"/>
        <w:spacing w:before="0" w:beforeAutospacing="0" w:after="0" w:afterAutospacing="0"/>
        <w:jc w:val="both"/>
        <w:rPr>
          <w:rFonts w:ascii="Arial" w:hAnsi="Arial" w:cs="Arial"/>
          <w:color w:val="7B7B7B" w:themeColor="accent3" w:themeShade="BF"/>
          <w:sz w:val="22"/>
          <w:szCs w:val="22"/>
          <w:lang w:eastAsia="en-US"/>
        </w:rPr>
      </w:pPr>
      <w:bookmarkStart w:id="7" w:name="substructure-location_2_E"/>
      <w:bookmarkEnd w:id="7"/>
      <w:r w:rsidRPr="00D7622D">
        <w:rPr>
          <w:rFonts w:ascii="Arial" w:hAnsi="Arial" w:cs="Arial"/>
          <w:color w:val="7B7B7B" w:themeColor="accent3" w:themeShade="BF"/>
          <w:sz w:val="22"/>
          <w:szCs w:val="22"/>
          <w:lang w:eastAsia="en-US"/>
        </w:rPr>
        <w:t>(E) does not otherwise alter the legal, equitable, or contractual rights to which such claim or interest entitles the holder of such claim or interest.</w:t>
      </w:r>
      <w:r>
        <w:rPr>
          <w:rFonts w:ascii="Arial" w:hAnsi="Arial" w:cs="Arial"/>
          <w:color w:val="7B7B7B" w:themeColor="accent3" w:themeShade="BF"/>
          <w:sz w:val="22"/>
          <w:szCs w:val="22"/>
          <w:lang w:eastAsia="en-US"/>
        </w:rPr>
        <w:t>”</w:t>
      </w:r>
    </w:p>
    <w:p w14:paraId="0E50664F" w14:textId="77777777" w:rsidR="00D7622D" w:rsidRDefault="00D7622D" w:rsidP="00323167">
      <w:pPr>
        <w:pStyle w:val="AODocTxt"/>
        <w:spacing w:before="0" w:line="240" w:lineRule="auto"/>
        <w:rPr>
          <w:rFonts w:ascii="Arial" w:hAnsi="Arial" w:cs="Arial"/>
        </w:rPr>
      </w:pPr>
    </w:p>
    <w:p w14:paraId="09115636" w14:textId="10A0EE02" w:rsidR="00D7622D" w:rsidRDefault="00D7622D" w:rsidP="00D7622D">
      <w:pPr>
        <w:jc w:val="both"/>
        <w:rPr>
          <w:rFonts w:ascii="Arial" w:hAnsi="Arial" w:cs="Arial"/>
          <w:color w:val="7B7B7B" w:themeColor="accent3" w:themeShade="BF"/>
          <w:sz w:val="22"/>
          <w:szCs w:val="22"/>
          <w:vertAlign w:val="superscript"/>
          <w:lang w:val="en-GB"/>
        </w:rPr>
      </w:pPr>
      <w:r w:rsidRPr="0037766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s such, a</w:t>
      </w:r>
      <w:r w:rsidRPr="0037766B">
        <w:rPr>
          <w:rFonts w:ascii="Arial" w:hAnsi="Arial" w:cs="Arial"/>
          <w:color w:val="7B7B7B" w:themeColor="accent3" w:themeShade="BF"/>
          <w:sz w:val="22"/>
          <w:szCs w:val="22"/>
          <w:lang w:val="en-GB"/>
        </w:rPr>
        <w:t xml:space="preserve"> claim is considered “impaired” if the holder of the claim is getting less than 100% on the same</w:t>
      </w:r>
      <w:r w:rsidRPr="00D7622D">
        <w:rPr>
          <w:rFonts w:ascii="Arial" w:hAnsi="Arial" w:cs="Arial"/>
          <w:color w:val="7B7B7B" w:themeColor="accent3" w:themeShade="BF"/>
          <w:sz w:val="22"/>
          <w:szCs w:val="22"/>
          <w:lang w:val="en-GB"/>
        </w:rPr>
        <w:t>/what is due in the debtor’s proposed repayment plan.</w:t>
      </w:r>
      <w:r w:rsidRPr="0037766B">
        <w:rPr>
          <w:rFonts w:ascii="Arial" w:hAnsi="Arial" w:cs="Arial"/>
          <w:color w:val="7B7B7B" w:themeColor="accent3" w:themeShade="BF"/>
          <w:sz w:val="22"/>
          <w:szCs w:val="22"/>
          <w:lang w:val="en-GB"/>
        </w:rPr>
        <w:t xml:space="preserve"> A claim is also considered “impaired” if the original debt terms are changed in a negative way, such as reducing the interest rate or lengthening the pay-out period</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vertAlign w:val="superscript"/>
          <w:lang w:val="en-GB"/>
        </w:rPr>
        <w:t>1</w:t>
      </w:r>
    </w:p>
    <w:p w14:paraId="79250352" w14:textId="77777777" w:rsidR="00D7622D" w:rsidRDefault="00D7622D" w:rsidP="00D7622D">
      <w:pPr>
        <w:jc w:val="both"/>
        <w:rPr>
          <w:rFonts w:ascii="Arial" w:hAnsi="Arial" w:cs="Arial"/>
          <w:color w:val="7B7B7B" w:themeColor="accent3" w:themeShade="BF"/>
          <w:sz w:val="22"/>
          <w:szCs w:val="22"/>
          <w:vertAlign w:val="superscript"/>
          <w:lang w:val="en-GB"/>
        </w:rPr>
      </w:pPr>
    </w:p>
    <w:p w14:paraId="1BFD595A" w14:textId="77777777" w:rsidR="00D7622D" w:rsidRPr="00FF5098" w:rsidRDefault="00D7622D" w:rsidP="00D762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vertAlign w:val="superscript"/>
          <w:lang w:val="en-GB"/>
        </w:rPr>
        <w:t>1</w:t>
      </w:r>
      <w:r>
        <w:rPr>
          <w:rFonts w:ascii="Arial" w:hAnsi="Arial" w:cs="Arial"/>
          <w:color w:val="7B7B7B" w:themeColor="accent3" w:themeShade="BF"/>
          <w:sz w:val="22"/>
          <w:szCs w:val="22"/>
          <w:lang w:val="en-GB"/>
        </w:rPr>
        <w:t xml:space="preserve"> </w:t>
      </w:r>
      <w:hyperlink r:id="rId9" w:history="1">
        <w:r w:rsidRPr="00A54CEA">
          <w:rPr>
            <w:rStyle w:val="Hyperlink"/>
            <w:rFonts w:ascii="Arial" w:hAnsi="Arial" w:cs="Arial"/>
            <w:sz w:val="22"/>
            <w:szCs w:val="22"/>
            <w:lang w:val="en-GB"/>
          </w:rPr>
          <w:t>https://www.lawyers.com/legal-info/bankruptcy/commercial-bankruptcy/impaired-creditors-and-your-chapter-11-plan.html</w:t>
        </w:r>
      </w:hyperlink>
    </w:p>
    <w:p w14:paraId="3F7891B8" w14:textId="0D7041BE" w:rsidR="00D7622D" w:rsidRDefault="00D7622D" w:rsidP="00323167">
      <w:pPr>
        <w:pStyle w:val="AODocTxt"/>
        <w:spacing w:before="0" w:line="240" w:lineRule="auto"/>
        <w:rPr>
          <w:rFonts w:ascii="Arial" w:hAnsi="Arial" w:cs="Arial"/>
        </w:rPr>
      </w:pPr>
    </w:p>
    <w:p w14:paraId="2696DB7C" w14:textId="6153DD7E" w:rsidR="00601E61" w:rsidRPr="00601E61" w:rsidRDefault="00601E61"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The</w:t>
      </w:r>
      <w:r w:rsidRPr="00601E61">
        <w:rPr>
          <w:rFonts w:ascii="Arial" w:eastAsia="Times New Roman" w:hAnsi="Arial" w:cs="Arial"/>
          <w:color w:val="7B7B7B" w:themeColor="accent3" w:themeShade="BF"/>
          <w:lang w:val="en-GB"/>
        </w:rPr>
        <w:t xml:space="preserve"> holder of an impaired claim</w:t>
      </w:r>
      <w:r>
        <w:rPr>
          <w:rFonts w:ascii="Arial" w:eastAsia="Times New Roman" w:hAnsi="Arial" w:cs="Arial"/>
          <w:color w:val="7B7B7B" w:themeColor="accent3" w:themeShade="BF"/>
          <w:lang w:val="en-GB"/>
        </w:rPr>
        <w:t xml:space="preserve"> is</w:t>
      </w:r>
      <w:r w:rsidRPr="00601E61">
        <w:rPr>
          <w:rFonts w:ascii="Arial" w:eastAsia="Times New Roman" w:hAnsi="Arial" w:cs="Arial"/>
          <w:color w:val="7B7B7B" w:themeColor="accent3" w:themeShade="BF"/>
          <w:lang w:val="en-GB"/>
        </w:rPr>
        <w:t xml:space="preserve"> not entitled to vote on a proposed plan of reorgani</w:t>
      </w:r>
      <w:r w:rsidR="00C876A8">
        <w:rPr>
          <w:rFonts w:ascii="Arial" w:eastAsia="Times New Roman" w:hAnsi="Arial" w:cs="Arial"/>
          <w:color w:val="7B7B7B" w:themeColor="accent3" w:themeShade="BF"/>
          <w:lang w:val="en-GB"/>
        </w:rPr>
        <w:t>s</w:t>
      </w:r>
      <w:r w:rsidRPr="00601E61">
        <w:rPr>
          <w:rFonts w:ascii="Arial" w:eastAsia="Times New Roman" w:hAnsi="Arial" w:cs="Arial"/>
          <w:color w:val="7B7B7B" w:themeColor="accent3" w:themeShade="BF"/>
          <w:lang w:val="en-GB"/>
        </w:rPr>
        <w:t xml:space="preserve">ation </w:t>
      </w:r>
      <w:r>
        <w:rPr>
          <w:rFonts w:ascii="Arial" w:eastAsia="Times New Roman" w:hAnsi="Arial" w:cs="Arial"/>
          <w:color w:val="7B7B7B" w:themeColor="accent3" w:themeShade="BF"/>
          <w:lang w:val="en-GB"/>
        </w:rPr>
        <w:t>in instances where it is an “insider”, i.e. a connected party.</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66D604EF" w:rsidR="00E12EC4" w:rsidRDefault="00A42495"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4CB04D5A" w:rsidR="00DC359F" w:rsidRDefault="00B21284" w:rsidP="00A42495">
      <w:pPr>
        <w:ind w:firstLine="426"/>
        <w:jc w:val="both"/>
        <w:rPr>
          <w:rFonts w:ascii="Arial" w:hAnsi="Arial" w:cs="Arial"/>
          <w:highlight w:val="yellow"/>
        </w:rPr>
      </w:pPr>
      <w:r>
        <w:rPr>
          <w:rFonts w:ascii="Arial" w:hAnsi="Arial" w:cs="Arial"/>
          <w:color w:val="7B7B7B" w:themeColor="accent3" w:themeShade="BF"/>
          <w:sz w:val="22"/>
          <w:szCs w:val="22"/>
          <w:lang w:val="en-GB"/>
        </w:rPr>
        <w:t>Preferences</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C4D3C5C" w:rsidR="005B2A9B" w:rsidRPr="00FF5098" w:rsidRDefault="00A42495"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fraudulent conveyances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Pr="001871C0" w:rsidRDefault="00323167" w:rsidP="00323167">
      <w:pPr>
        <w:pStyle w:val="AODocTxt"/>
        <w:spacing w:before="0" w:line="240" w:lineRule="auto"/>
        <w:rPr>
          <w:rFonts w:ascii="Arial" w:hAnsi="Arial" w:cs="Arial"/>
          <w:lang w:val="en-GB"/>
        </w:rPr>
      </w:pPr>
      <w:r w:rsidRPr="001871C0">
        <w:rPr>
          <w:rFonts w:ascii="Arial" w:hAnsi="Arial" w:cs="Arial"/>
          <w:lang w:val="en-GB"/>
        </w:rPr>
        <w:t xml:space="preserve">How did </w:t>
      </w:r>
      <w:r w:rsidRPr="001871C0">
        <w:rPr>
          <w:rFonts w:ascii="Arial" w:hAnsi="Arial" w:cs="Arial"/>
          <w:i/>
          <w:lang w:val="en-GB"/>
        </w:rPr>
        <w:t>Stern v Marshall</w:t>
      </w:r>
      <w:r w:rsidRPr="001871C0">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95B27FA" w:rsidR="005B2A9B" w:rsidRDefault="0020532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2011 (and in the case of Stern v Marshall) the US Supreme Court</w:t>
      </w:r>
      <w:r w:rsidR="00EF67F6">
        <w:rPr>
          <w:rFonts w:ascii="Arial" w:hAnsi="Arial" w:cs="Arial"/>
          <w:color w:val="7B7B7B" w:themeColor="accent3" w:themeShade="BF"/>
          <w:sz w:val="22"/>
          <w:szCs w:val="22"/>
          <w:lang w:val="en-GB"/>
        </w:rPr>
        <w:t xml:space="preserve"> (the “USSC”)</w:t>
      </w:r>
      <w:r>
        <w:rPr>
          <w:rFonts w:ascii="Arial" w:hAnsi="Arial" w:cs="Arial"/>
          <w:color w:val="7B7B7B" w:themeColor="accent3" w:themeShade="BF"/>
          <w:sz w:val="22"/>
          <w:szCs w:val="22"/>
          <w:lang w:val="en-GB"/>
        </w:rPr>
        <w:t xml:space="preserve"> held that a bankruptcy court c</w:t>
      </w:r>
      <w:r w:rsidR="00AC18C4">
        <w:rPr>
          <w:rFonts w:ascii="Arial" w:hAnsi="Arial" w:cs="Arial"/>
          <w:color w:val="7B7B7B" w:themeColor="accent3" w:themeShade="BF"/>
          <w:sz w:val="22"/>
          <w:szCs w:val="22"/>
          <w:lang w:val="en-GB"/>
        </w:rPr>
        <w:t xml:space="preserve">ould </w:t>
      </w:r>
      <w:r>
        <w:rPr>
          <w:rFonts w:ascii="Arial" w:hAnsi="Arial" w:cs="Arial"/>
          <w:color w:val="7B7B7B" w:themeColor="accent3" w:themeShade="BF"/>
          <w:sz w:val="22"/>
          <w:szCs w:val="22"/>
          <w:lang w:val="en-GB"/>
        </w:rPr>
        <w:t xml:space="preserve">not issue final orders that </w:t>
      </w:r>
      <w:r w:rsidR="00AC18C4">
        <w:rPr>
          <w:rFonts w:ascii="Arial" w:hAnsi="Arial" w:cs="Arial"/>
          <w:color w:val="7B7B7B" w:themeColor="accent3" w:themeShade="BF"/>
          <w:sz w:val="22"/>
          <w:szCs w:val="22"/>
          <w:lang w:val="en-GB"/>
        </w:rPr>
        <w:t xml:space="preserve">would </w:t>
      </w:r>
      <w:r w:rsidR="00D7622D">
        <w:rPr>
          <w:rFonts w:ascii="Arial" w:hAnsi="Arial" w:cs="Arial"/>
          <w:color w:val="7B7B7B" w:themeColor="accent3" w:themeShade="BF"/>
          <w:sz w:val="22"/>
          <w:szCs w:val="22"/>
          <w:lang w:val="en-GB"/>
        </w:rPr>
        <w:t xml:space="preserve">contravene </w:t>
      </w:r>
      <w:r>
        <w:rPr>
          <w:rFonts w:ascii="Arial" w:hAnsi="Arial" w:cs="Arial"/>
          <w:color w:val="7B7B7B" w:themeColor="accent3" w:themeShade="BF"/>
          <w:sz w:val="22"/>
          <w:szCs w:val="22"/>
          <w:lang w:val="en-GB"/>
        </w:rPr>
        <w:t>Article III jurisdiction</w:t>
      </w:r>
      <w:r w:rsidR="00D7622D">
        <w:rPr>
          <w:rFonts w:ascii="Arial" w:hAnsi="Arial" w:cs="Arial"/>
          <w:color w:val="7B7B7B" w:themeColor="accent3" w:themeShade="BF"/>
          <w:sz w:val="22"/>
          <w:szCs w:val="22"/>
          <w:lang w:val="en-GB"/>
        </w:rPr>
        <w:t>,</w:t>
      </w:r>
      <w:r w:rsidR="00D7622D" w:rsidRPr="00D7622D">
        <w:rPr>
          <w:rFonts w:ascii="Arial" w:hAnsi="Arial" w:cs="Arial"/>
          <w:color w:val="7B7B7B" w:themeColor="accent3" w:themeShade="BF"/>
          <w:sz w:val="22"/>
          <w:szCs w:val="22"/>
          <w:lang w:val="en-GB"/>
        </w:rPr>
        <w:t xml:space="preserve"> </w:t>
      </w:r>
      <w:r w:rsidR="00D7622D">
        <w:rPr>
          <w:rFonts w:ascii="Arial" w:hAnsi="Arial" w:cs="Arial"/>
          <w:color w:val="7B7B7B" w:themeColor="accent3" w:themeShade="BF"/>
          <w:sz w:val="22"/>
          <w:szCs w:val="22"/>
          <w:lang w:val="en-GB"/>
        </w:rPr>
        <w:t>even in core proceedings</w:t>
      </w:r>
      <w:r>
        <w:rPr>
          <w:rFonts w:ascii="Arial" w:hAnsi="Arial" w:cs="Arial"/>
          <w:color w:val="7B7B7B" w:themeColor="accent3" w:themeShade="BF"/>
          <w:sz w:val="22"/>
          <w:szCs w:val="22"/>
          <w:lang w:val="en-GB"/>
        </w:rPr>
        <w:t xml:space="preserve">. </w:t>
      </w:r>
    </w:p>
    <w:p w14:paraId="6ADFE15D" w14:textId="29D5940A" w:rsidR="0048602C" w:rsidRDefault="0048602C" w:rsidP="005B2A9B">
      <w:pPr>
        <w:jc w:val="both"/>
        <w:rPr>
          <w:rFonts w:ascii="Arial" w:hAnsi="Arial" w:cs="Arial"/>
          <w:color w:val="7B7B7B" w:themeColor="accent3" w:themeShade="BF"/>
          <w:sz w:val="22"/>
          <w:szCs w:val="22"/>
          <w:lang w:val="en-GB"/>
        </w:rPr>
      </w:pPr>
    </w:p>
    <w:p w14:paraId="019D02CD" w14:textId="4DC9B5A4" w:rsidR="0048602C" w:rsidRDefault="0048602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way of background, in the Stern v Marshall case, a bankruptcy claim had been filed against</w:t>
      </w:r>
      <w:r w:rsidR="00F76C41">
        <w:rPr>
          <w:rFonts w:ascii="Arial" w:hAnsi="Arial" w:cs="Arial"/>
          <w:color w:val="7B7B7B" w:themeColor="accent3" w:themeShade="BF"/>
          <w:sz w:val="22"/>
          <w:szCs w:val="22"/>
          <w:lang w:val="en-GB"/>
        </w:rPr>
        <w:t xml:space="preserve"> Vickie Lynn Marshall (the “Debtor”), to which the Debtor counterclaimed. NB, </w:t>
      </w:r>
      <w:r w:rsidR="00DB2424">
        <w:rPr>
          <w:rFonts w:ascii="Arial" w:hAnsi="Arial" w:cs="Arial"/>
          <w:color w:val="7B7B7B" w:themeColor="accent3" w:themeShade="BF"/>
          <w:sz w:val="22"/>
          <w:szCs w:val="22"/>
          <w:lang w:val="en-GB"/>
        </w:rPr>
        <w:t>Section 157 of Chapter 6 of Title 28 of the U.S. Code (“s157”) relates to “procedures” and suggests that a counterclaim is considered a “core proceeding” in which a bankruptcy court is able to grant a final order.</w:t>
      </w:r>
    </w:p>
    <w:p w14:paraId="4E4A450C" w14:textId="1247A97D" w:rsidR="00DB2424" w:rsidRDefault="00DB2424" w:rsidP="005B2A9B">
      <w:pPr>
        <w:jc w:val="both"/>
        <w:rPr>
          <w:rFonts w:ascii="Arial" w:hAnsi="Arial" w:cs="Arial"/>
          <w:color w:val="7B7B7B" w:themeColor="accent3" w:themeShade="BF"/>
          <w:sz w:val="22"/>
          <w:szCs w:val="22"/>
          <w:lang w:val="en-GB"/>
        </w:rPr>
      </w:pPr>
    </w:p>
    <w:p w14:paraId="623DE8DD" w14:textId="37B3893A" w:rsidR="00DB2424" w:rsidRDefault="00DB242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also be noted that issues in the counterclaim were subject to court proceedings in a separate state. US law allows for such parallel/simultaneous proceedings, but states that the first judgement issued is binding on both parties.</w:t>
      </w:r>
    </w:p>
    <w:p w14:paraId="18A49F19" w14:textId="7E783FE5" w:rsidR="00F76C41" w:rsidRDefault="00F76C41" w:rsidP="005B2A9B">
      <w:pPr>
        <w:jc w:val="both"/>
        <w:rPr>
          <w:rFonts w:ascii="Arial" w:hAnsi="Arial" w:cs="Arial"/>
          <w:color w:val="7B7B7B" w:themeColor="accent3" w:themeShade="BF"/>
          <w:sz w:val="22"/>
          <w:szCs w:val="22"/>
          <w:lang w:val="en-GB"/>
        </w:rPr>
      </w:pPr>
    </w:p>
    <w:p w14:paraId="66382EC6" w14:textId="14EA0A53" w:rsidR="00F76C41" w:rsidRDefault="00F76C4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the bankruptcy court issued its judgement first, and awarded the Debtor $4m.   As noted </w:t>
      </w:r>
      <w:r w:rsidR="003314F8">
        <w:rPr>
          <w:rFonts w:ascii="Arial" w:hAnsi="Arial" w:cs="Arial"/>
          <w:color w:val="7B7B7B" w:themeColor="accent3" w:themeShade="BF"/>
          <w:sz w:val="22"/>
          <w:szCs w:val="22"/>
          <w:lang w:val="en-GB"/>
        </w:rPr>
        <w:t>above, issues in the counterclaim were subject to court proceedings in a separate state – such proceedings remained ongoing whilst the bankruptcy judgement was appealed to the district court.</w:t>
      </w:r>
    </w:p>
    <w:p w14:paraId="719ACBEB" w14:textId="5A8DF84C" w:rsidR="00EF67F6" w:rsidRDefault="00EF67F6" w:rsidP="005B2A9B">
      <w:pPr>
        <w:jc w:val="both"/>
        <w:rPr>
          <w:rFonts w:ascii="Arial" w:hAnsi="Arial" w:cs="Arial"/>
          <w:color w:val="7B7B7B" w:themeColor="accent3" w:themeShade="BF"/>
          <w:sz w:val="22"/>
          <w:szCs w:val="22"/>
          <w:lang w:val="en-GB"/>
        </w:rPr>
      </w:pPr>
    </w:p>
    <w:p w14:paraId="288E0B67" w14:textId="74A2AD3B" w:rsidR="0048602C" w:rsidRDefault="00DB242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previously, w</w:t>
      </w:r>
      <w:r w:rsidR="00EF67F6">
        <w:rPr>
          <w:rFonts w:ascii="Arial" w:hAnsi="Arial" w:cs="Arial"/>
          <w:color w:val="7B7B7B" w:themeColor="accent3" w:themeShade="BF"/>
          <w:sz w:val="22"/>
          <w:szCs w:val="22"/>
          <w:lang w:val="en-GB"/>
        </w:rPr>
        <w:t>hilst s157 suggests that a counterclaim is considered a “core proceeding” in which a bankruptcy court is able to grant a final order</w:t>
      </w:r>
      <w:r w:rsidR="004860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the matter of Stern v Marshall, </w:t>
      </w:r>
      <w:r w:rsidR="0048602C">
        <w:rPr>
          <w:rFonts w:ascii="Arial" w:hAnsi="Arial" w:cs="Arial"/>
          <w:color w:val="7B7B7B" w:themeColor="accent3" w:themeShade="BF"/>
          <w:sz w:val="22"/>
          <w:szCs w:val="22"/>
          <w:lang w:val="en-GB"/>
        </w:rPr>
        <w:t xml:space="preserve">the </w:t>
      </w:r>
      <w:r w:rsidR="00EF67F6">
        <w:rPr>
          <w:rFonts w:ascii="Arial" w:hAnsi="Arial" w:cs="Arial"/>
          <w:color w:val="7B7B7B" w:themeColor="accent3" w:themeShade="BF"/>
          <w:sz w:val="22"/>
          <w:szCs w:val="22"/>
          <w:lang w:val="en-GB"/>
        </w:rPr>
        <w:t>USSC</w:t>
      </w:r>
      <w:r w:rsidR="0048602C">
        <w:rPr>
          <w:rFonts w:ascii="Arial" w:hAnsi="Arial" w:cs="Arial"/>
          <w:color w:val="7B7B7B" w:themeColor="accent3" w:themeShade="BF"/>
          <w:sz w:val="22"/>
          <w:szCs w:val="22"/>
          <w:lang w:val="en-GB"/>
        </w:rPr>
        <w:t xml:space="preserve"> held that the issuing of a final order by </w:t>
      </w:r>
      <w:r>
        <w:rPr>
          <w:rFonts w:ascii="Arial" w:hAnsi="Arial" w:cs="Arial"/>
          <w:color w:val="7B7B7B" w:themeColor="accent3" w:themeShade="BF"/>
          <w:sz w:val="22"/>
          <w:szCs w:val="22"/>
          <w:lang w:val="en-GB"/>
        </w:rPr>
        <w:t>the bankruptcy</w:t>
      </w:r>
      <w:r w:rsidR="0048602C">
        <w:rPr>
          <w:rFonts w:ascii="Arial" w:hAnsi="Arial" w:cs="Arial"/>
          <w:color w:val="7B7B7B" w:themeColor="accent3" w:themeShade="BF"/>
          <w:sz w:val="22"/>
          <w:szCs w:val="22"/>
          <w:lang w:val="en-GB"/>
        </w:rPr>
        <w:t xml:space="preserve"> court (over a state law claim) was unconstitutional under Article III.</w:t>
      </w:r>
    </w:p>
    <w:p w14:paraId="1FDCB7D5" w14:textId="7185228B" w:rsidR="0035473B" w:rsidRDefault="0035473B" w:rsidP="005B2A9B">
      <w:pPr>
        <w:jc w:val="both"/>
        <w:rPr>
          <w:rFonts w:ascii="Arial" w:hAnsi="Arial" w:cs="Arial"/>
          <w:color w:val="7B7B7B" w:themeColor="accent3" w:themeShade="BF"/>
          <w:sz w:val="22"/>
          <w:szCs w:val="22"/>
          <w:lang w:val="en-GB"/>
        </w:rPr>
      </w:pPr>
    </w:p>
    <w:p w14:paraId="1B8B293B" w14:textId="09460A36" w:rsidR="0035473B" w:rsidRDefault="0035473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case referred to above, the Bankruptcy Rules have been amended and further USSC rulings have provided additional guidance on the grey area that is bankruptcy court jurisdiction. </w:t>
      </w:r>
    </w:p>
    <w:p w14:paraId="5F0275EF" w14:textId="7C733420" w:rsidR="00F9064B" w:rsidRDefault="00F9064B" w:rsidP="005B2A9B">
      <w:pPr>
        <w:jc w:val="both"/>
        <w:rPr>
          <w:rFonts w:ascii="Arial" w:hAnsi="Arial" w:cs="Arial"/>
          <w:color w:val="7B7B7B" w:themeColor="accent3" w:themeShade="BF"/>
          <w:sz w:val="22"/>
          <w:szCs w:val="22"/>
          <w:lang w:val="en-GB"/>
        </w:rPr>
      </w:pPr>
    </w:p>
    <w:p w14:paraId="6AA3BBD0" w14:textId="736EAD19" w:rsidR="00F9064B" w:rsidRDefault="00F9064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district courts have exclusive jurisdiction to decide upon bankruptcy proceedings, a bankruptcy court may grant a final order on a motion challenging the validity of a bankruptcy petition, providing it has authority from the relevant district court to do so. The USSC held that  in proceedings where a bankruptcy judge lacks constitutional authority, said judge may determine a core proceeding by issuing his recommendations together with a report for the district court to review</w:t>
      </w:r>
      <w:r w:rsidR="001871C0">
        <w:rPr>
          <w:rFonts w:ascii="Arial" w:hAnsi="Arial" w:cs="Arial"/>
          <w:color w:val="7B7B7B" w:themeColor="accent3" w:themeShade="BF"/>
          <w:sz w:val="22"/>
          <w:szCs w:val="22"/>
          <w:lang w:val="en-GB"/>
        </w:rPr>
        <w:t xml:space="preserve">, or, he may issue a final order in instances where he has the relevant parties’ consent. </w:t>
      </w:r>
      <w:r>
        <w:rPr>
          <w:rFonts w:ascii="Arial" w:hAnsi="Arial" w:cs="Arial"/>
          <w:color w:val="7B7B7B" w:themeColor="accent3" w:themeShade="BF"/>
          <w:sz w:val="22"/>
          <w:szCs w:val="22"/>
          <w:lang w:val="en-GB"/>
        </w:rPr>
        <w:t xml:space="preserve"> </w:t>
      </w:r>
    </w:p>
    <w:p w14:paraId="2495B476" w14:textId="1E38CDFD" w:rsidR="0035473B" w:rsidRDefault="0035473B" w:rsidP="005B2A9B">
      <w:pPr>
        <w:jc w:val="both"/>
        <w:rPr>
          <w:rFonts w:ascii="Arial" w:hAnsi="Arial" w:cs="Arial"/>
          <w:color w:val="7B7B7B" w:themeColor="accent3" w:themeShade="BF"/>
          <w:sz w:val="22"/>
          <w:szCs w:val="22"/>
          <w:lang w:val="en-GB"/>
        </w:rPr>
      </w:pPr>
    </w:p>
    <w:p w14:paraId="04432274" w14:textId="6C22A57F" w:rsidR="0035473B" w:rsidRPr="00FF5098" w:rsidRDefault="001871C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finalising a judgement or order as a matter of constitutional authority is different to determining whether or not an order is final for the purposes of an appeal.</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F70041">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3E643C46" w14:textId="336969AF" w:rsidR="008A190F" w:rsidRDefault="0098122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8A190F">
        <w:rPr>
          <w:rFonts w:ascii="Arial" w:hAnsi="Arial" w:cs="Arial"/>
          <w:color w:val="7B7B7B" w:themeColor="accent3" w:themeShade="BF"/>
          <w:sz w:val="22"/>
          <w:szCs w:val="22"/>
          <w:lang w:val="en-GB"/>
        </w:rPr>
        <w:t>pon the filing of an involuntary</w:t>
      </w:r>
      <w:r>
        <w:rPr>
          <w:rFonts w:ascii="Arial" w:hAnsi="Arial" w:cs="Arial"/>
          <w:color w:val="7B7B7B" w:themeColor="accent3" w:themeShade="BF"/>
          <w:sz w:val="22"/>
          <w:szCs w:val="22"/>
          <w:lang w:val="en-GB"/>
        </w:rPr>
        <w:t>/any plenary</w:t>
      </w:r>
      <w:r w:rsidR="008A190F">
        <w:rPr>
          <w:rFonts w:ascii="Arial" w:hAnsi="Arial" w:cs="Arial"/>
          <w:color w:val="7B7B7B" w:themeColor="accent3" w:themeShade="BF"/>
          <w:sz w:val="22"/>
          <w:szCs w:val="22"/>
          <w:lang w:val="en-GB"/>
        </w:rPr>
        <w:t xml:space="preserve"> petition</w:t>
      </w:r>
      <w:r>
        <w:rPr>
          <w:rFonts w:ascii="Arial" w:hAnsi="Arial" w:cs="Arial"/>
          <w:color w:val="7B7B7B" w:themeColor="accent3" w:themeShade="BF"/>
          <w:sz w:val="22"/>
          <w:szCs w:val="22"/>
          <w:lang w:val="en-GB"/>
        </w:rPr>
        <w:t xml:space="preserve"> (i.e. one made under any chapter, save for chapter 15)</w:t>
      </w:r>
      <w:r w:rsidR="008A190F">
        <w:rPr>
          <w:rFonts w:ascii="Arial" w:hAnsi="Arial" w:cs="Arial"/>
          <w:color w:val="7B7B7B" w:themeColor="accent3" w:themeShade="BF"/>
          <w:sz w:val="22"/>
          <w:szCs w:val="22"/>
          <w:lang w:val="en-GB"/>
        </w:rPr>
        <w:t>, the automatic stay comes into effect without the need for any action by the court.</w:t>
      </w:r>
      <w:r>
        <w:rPr>
          <w:rFonts w:ascii="Arial" w:hAnsi="Arial" w:cs="Arial"/>
          <w:color w:val="7B7B7B" w:themeColor="accent3" w:themeShade="BF"/>
          <w:sz w:val="22"/>
          <w:szCs w:val="22"/>
          <w:lang w:val="en-GB"/>
        </w:rPr>
        <w:t xml:space="preserve"> This worldwide automatic stay gives a debtor breathing space to prepare a restructuring plan.</w:t>
      </w:r>
    </w:p>
    <w:p w14:paraId="6E0820BC" w14:textId="48DCB50C" w:rsidR="0098122D" w:rsidRDefault="0098122D" w:rsidP="005B2A9B">
      <w:pPr>
        <w:jc w:val="both"/>
        <w:rPr>
          <w:rFonts w:ascii="Arial" w:hAnsi="Arial" w:cs="Arial"/>
          <w:color w:val="7B7B7B" w:themeColor="accent3" w:themeShade="BF"/>
          <w:sz w:val="22"/>
          <w:szCs w:val="22"/>
          <w:lang w:val="en-GB"/>
        </w:rPr>
      </w:pPr>
    </w:p>
    <w:p w14:paraId="0A477329" w14:textId="793BF674" w:rsidR="00B726A5" w:rsidRDefault="00B726A5" w:rsidP="00B726A5">
      <w:pPr>
        <w:jc w:val="both"/>
        <w:rPr>
          <w:rFonts w:ascii="Arial" w:hAnsi="Arial" w:cs="Arial"/>
        </w:rPr>
      </w:pPr>
      <w:r>
        <w:rPr>
          <w:rFonts w:ascii="Arial" w:hAnsi="Arial" w:cs="Arial"/>
          <w:color w:val="7B7B7B" w:themeColor="accent3" w:themeShade="BF"/>
          <w:sz w:val="22"/>
          <w:szCs w:val="22"/>
          <w:lang w:val="en-GB"/>
        </w:rPr>
        <w:t>A chapter 15 petition must be filed by a foreign representative.</w:t>
      </w:r>
      <w:r w:rsidR="0098122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NB, the filing of the petition by a foreign representative does not invoke the automatic stay – this only arises once a petition </w:t>
      </w:r>
      <w:r w:rsidRPr="00B726A5">
        <w:rPr>
          <w:rFonts w:ascii="Arial" w:hAnsi="Arial" w:cs="Arial"/>
          <w:color w:val="7B7B7B" w:themeColor="accent3" w:themeShade="BF"/>
          <w:sz w:val="22"/>
          <w:szCs w:val="22"/>
          <w:lang w:val="en-GB"/>
        </w:rPr>
        <w:t>for recognition of a foreign main proceeding has been granted</w:t>
      </w:r>
      <w:r>
        <w:rPr>
          <w:rFonts w:ascii="Arial" w:hAnsi="Arial" w:cs="Arial"/>
          <w:color w:val="7B7B7B" w:themeColor="accent3" w:themeShade="BF"/>
          <w:sz w:val="22"/>
          <w:szCs w:val="22"/>
          <w:lang w:val="en-GB"/>
        </w:rPr>
        <w:t xml:space="preserve"> and the</w:t>
      </w:r>
      <w:r w:rsidRPr="00B726A5">
        <w:rPr>
          <w:rFonts w:ascii="Arial" w:hAnsi="Arial" w:cs="Arial"/>
          <w:color w:val="7B7B7B" w:themeColor="accent3" w:themeShade="BF"/>
          <w:sz w:val="22"/>
          <w:szCs w:val="22"/>
          <w:lang w:val="en-GB"/>
        </w:rPr>
        <w:t xml:space="preserve"> automatic stay applies only to property within the territorial jurisdiction of the United States.</w:t>
      </w:r>
    </w:p>
    <w:p w14:paraId="72199F84" w14:textId="77777777" w:rsidR="00B726A5" w:rsidRPr="007B0809" w:rsidRDefault="00B726A5" w:rsidP="00B726A5">
      <w:pPr>
        <w:pStyle w:val="AODocTxt"/>
        <w:spacing w:before="0" w:line="240" w:lineRule="auto"/>
        <w:ind w:left="426"/>
        <w:rPr>
          <w:rFonts w:ascii="Arial" w:hAnsi="Arial" w:cs="Arial"/>
        </w:rPr>
      </w:pPr>
    </w:p>
    <w:p w14:paraId="71FE04F4" w14:textId="41DE816A" w:rsidR="00F70041" w:rsidRPr="00F70041" w:rsidRDefault="00A42495" w:rsidP="00F700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Avoidance powers cannot be invoked by a foreign representative in a chapter 15 proceeding</w:t>
      </w:r>
      <w:r w:rsidR="00F70041">
        <w:rPr>
          <w:rFonts w:ascii="Arial" w:hAnsi="Arial" w:cs="Arial"/>
          <w:color w:val="7B7B7B" w:themeColor="accent3" w:themeShade="BF"/>
          <w:sz w:val="22"/>
          <w:szCs w:val="22"/>
          <w:lang w:val="en-GB"/>
        </w:rPr>
        <w:t xml:space="preserve">, pursuant to section 1523 of Chapter 15 of Title 11 of the U.S. Code (“s1523”) – ‘actions to avoid acts detrimental to creditors’ – meaning a foreign representative in a chapter 15 proceeding is unable to pursue preferences or fraudulent conveyances (actual or constructive). Whilst not entirely equivalent, a foreign representative can request that pre-petition dispositions/transactions be declared void using either the legislation of the appointing country, or alternative US legislation. </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Pr="0037766B">
        <w:rPr>
          <w:rFonts w:ascii="Arial" w:hAnsi="Arial" w:cs="Arial"/>
        </w:rPr>
        <w:t>.</w:t>
      </w:r>
      <w:r w:rsidR="00F92140" w:rsidRPr="0037766B">
        <w:rPr>
          <w:rFonts w:ascii="Arial" w:hAnsi="Arial" w:cs="Arial"/>
        </w:rPr>
        <w:t xml:space="preserve"> </w:t>
      </w:r>
      <w:r w:rsidRPr="0037766B">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CCCE276" w:rsidR="005B2A9B" w:rsidRDefault="005E2D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dispose of all issues</w:t>
      </w:r>
      <w:r w:rsidR="00812C03">
        <w:rPr>
          <w:rFonts w:ascii="Arial" w:hAnsi="Arial" w:cs="Arial"/>
          <w:color w:val="7B7B7B" w:themeColor="accent3" w:themeShade="BF"/>
          <w:sz w:val="22"/>
          <w:szCs w:val="22"/>
          <w:lang w:val="en-GB"/>
        </w:rPr>
        <w:t xml:space="preserve"> (resulting in there being no matters that remain to</w:t>
      </w:r>
      <w:r>
        <w:rPr>
          <w:rFonts w:ascii="Arial" w:hAnsi="Arial" w:cs="Arial"/>
          <w:color w:val="7B7B7B" w:themeColor="accent3" w:themeShade="BF"/>
          <w:sz w:val="22"/>
          <w:szCs w:val="22"/>
          <w:lang w:val="en-GB"/>
        </w:rPr>
        <w:t xml:space="preserve"> be decided upon</w:t>
      </w:r>
      <w:r w:rsidR="00812C03">
        <w:rPr>
          <w:rFonts w:ascii="Arial" w:hAnsi="Arial" w:cs="Arial"/>
          <w:color w:val="7B7B7B" w:themeColor="accent3" w:themeShade="BF"/>
          <w:sz w:val="22"/>
          <w:szCs w:val="22"/>
          <w:lang w:val="en-GB"/>
        </w:rPr>
        <w:t>) and</w:t>
      </w:r>
      <w:r>
        <w:rPr>
          <w:rFonts w:ascii="Arial" w:hAnsi="Arial" w:cs="Arial"/>
          <w:color w:val="7B7B7B" w:themeColor="accent3" w:themeShade="BF"/>
          <w:sz w:val="22"/>
          <w:szCs w:val="22"/>
          <w:lang w:val="en-GB"/>
        </w:rPr>
        <w:t xml:space="preserve"> </w:t>
      </w:r>
      <w:r w:rsidR="003074F4">
        <w:rPr>
          <w:rFonts w:ascii="Arial" w:hAnsi="Arial" w:cs="Arial"/>
          <w:color w:val="7B7B7B" w:themeColor="accent3" w:themeShade="BF"/>
          <w:sz w:val="22"/>
          <w:szCs w:val="22"/>
          <w:lang w:val="en-GB"/>
        </w:rPr>
        <w:t>have a right to be appealed</w:t>
      </w:r>
      <w:r>
        <w:rPr>
          <w:rFonts w:ascii="Arial" w:hAnsi="Arial" w:cs="Arial"/>
          <w:color w:val="7B7B7B" w:themeColor="accent3" w:themeShade="BF"/>
          <w:sz w:val="22"/>
          <w:szCs w:val="22"/>
          <w:lang w:val="en-GB"/>
        </w:rPr>
        <w:t>.</w:t>
      </w:r>
    </w:p>
    <w:p w14:paraId="04465F50" w14:textId="1AC342AD" w:rsidR="005E2DF2" w:rsidRDefault="005E2DF2" w:rsidP="005B2A9B">
      <w:pPr>
        <w:jc w:val="both"/>
        <w:rPr>
          <w:rFonts w:ascii="Arial" w:hAnsi="Arial" w:cs="Arial"/>
          <w:color w:val="7B7B7B" w:themeColor="accent3" w:themeShade="BF"/>
          <w:sz w:val="22"/>
          <w:szCs w:val="22"/>
          <w:lang w:val="en-GB"/>
        </w:rPr>
      </w:pPr>
    </w:p>
    <w:p w14:paraId="4FE1ACAE" w14:textId="179A884D" w:rsidR="005E2DF2" w:rsidRDefault="005E2D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Interlocutory orders</w:t>
      </w:r>
      <w:r w:rsidR="007D3EDF">
        <w:rPr>
          <w:rFonts w:ascii="Arial" w:hAnsi="Arial" w:cs="Arial"/>
          <w:color w:val="7B7B7B" w:themeColor="accent3" w:themeShade="BF"/>
          <w:sz w:val="22"/>
          <w:szCs w:val="22"/>
          <w:lang w:val="en-GB"/>
        </w:rPr>
        <w:t xml:space="preserve"> occur within ongoing proceedings and</w:t>
      </w:r>
      <w:r>
        <w:rPr>
          <w:rFonts w:ascii="Arial" w:hAnsi="Arial" w:cs="Arial"/>
          <w:color w:val="7B7B7B" w:themeColor="accent3" w:themeShade="BF"/>
          <w:sz w:val="22"/>
          <w:szCs w:val="22"/>
          <w:lang w:val="en-GB"/>
        </w:rPr>
        <w:t xml:space="preserve"> </w:t>
      </w:r>
      <w:r w:rsidR="003074F4">
        <w:rPr>
          <w:rFonts w:ascii="Arial" w:hAnsi="Arial" w:cs="Arial"/>
          <w:color w:val="7B7B7B" w:themeColor="accent3" w:themeShade="BF"/>
          <w:sz w:val="22"/>
          <w:szCs w:val="22"/>
          <w:lang w:val="en-GB"/>
        </w:rPr>
        <w:t xml:space="preserve">do not dispose of all issues (so </w:t>
      </w:r>
      <w:r>
        <w:rPr>
          <w:rFonts w:ascii="Arial" w:hAnsi="Arial" w:cs="Arial"/>
          <w:color w:val="7B7B7B" w:themeColor="accent3" w:themeShade="BF"/>
          <w:sz w:val="22"/>
          <w:szCs w:val="22"/>
          <w:lang w:val="en-GB"/>
        </w:rPr>
        <w:t>only resolve some issues or claims</w:t>
      </w:r>
      <w:r w:rsidR="003074F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7D3EDF">
        <w:rPr>
          <w:rFonts w:ascii="Arial" w:hAnsi="Arial" w:cs="Arial"/>
          <w:color w:val="7B7B7B" w:themeColor="accent3" w:themeShade="BF"/>
          <w:sz w:val="22"/>
          <w:szCs w:val="22"/>
          <w:lang w:val="en-GB"/>
        </w:rPr>
        <w:t>– these</w:t>
      </w:r>
      <w:r>
        <w:rPr>
          <w:rFonts w:ascii="Arial" w:hAnsi="Arial" w:cs="Arial"/>
          <w:color w:val="7B7B7B" w:themeColor="accent3" w:themeShade="BF"/>
          <w:sz w:val="22"/>
          <w:szCs w:val="22"/>
          <w:lang w:val="en-GB"/>
        </w:rPr>
        <w:t xml:space="preserve"> can only be appealed with leave of the appellate court.</w:t>
      </w:r>
    </w:p>
    <w:p w14:paraId="343762A7" w14:textId="4BD071F7" w:rsidR="0037766B" w:rsidRDefault="0037766B" w:rsidP="005B2A9B">
      <w:pPr>
        <w:jc w:val="both"/>
        <w:rPr>
          <w:rFonts w:ascii="Arial" w:hAnsi="Arial" w:cs="Arial"/>
          <w:color w:val="7B7B7B" w:themeColor="accent3" w:themeShade="BF"/>
          <w:sz w:val="22"/>
          <w:szCs w:val="22"/>
          <w:lang w:val="en-GB"/>
        </w:rPr>
      </w:pPr>
    </w:p>
    <w:p w14:paraId="16B0EDA5" w14:textId="41CDFEFA" w:rsidR="0037766B" w:rsidRPr="00FF5098" w:rsidRDefault="0037766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speaking, direct appeals from bankruptcy court orders are heard by the district court (for the district in which they sit) – although it should be noted that in some circuits, direct appeals from bankruptcy court orders are heard by a Bankruptcy Appellate Panel (“BAP”). A BAP is made up of a panel of judges from the bankruptcy courts within that circuit.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10718">
        <w:rPr>
          <w:rFonts w:ascii="Arial" w:hAnsi="Arial" w:cs="Arial"/>
        </w:rPr>
        <w:t>What fiduciary duties do directors of Delaware corporations owe and to whom are the duties owed in the ordinary course of business?</w:t>
      </w:r>
      <w:r w:rsidRPr="00323167">
        <w:rPr>
          <w:rFonts w:ascii="Arial" w:hAnsi="Arial" w:cs="Arial"/>
        </w:rPr>
        <w:t xml:space="preserve">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1E32935" w:rsidR="005B2A9B" w:rsidRDefault="00D97ED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owe a fiduciary duty of loyalty to the corporation’s best interest and </w:t>
      </w:r>
      <w:r w:rsidR="003314F8">
        <w:rPr>
          <w:rFonts w:ascii="Arial" w:hAnsi="Arial" w:cs="Arial"/>
          <w:color w:val="7B7B7B" w:themeColor="accent3" w:themeShade="BF"/>
          <w:sz w:val="22"/>
          <w:szCs w:val="22"/>
          <w:lang w:val="en-GB"/>
        </w:rPr>
        <w:t>owe these duties</w:t>
      </w:r>
      <w:r w:rsidR="005D083B">
        <w:rPr>
          <w:rFonts w:ascii="Arial" w:hAnsi="Arial" w:cs="Arial"/>
          <w:color w:val="7B7B7B" w:themeColor="accent3" w:themeShade="BF"/>
          <w:sz w:val="22"/>
          <w:szCs w:val="22"/>
          <w:lang w:val="en-GB"/>
        </w:rPr>
        <w:t xml:space="preserve"> to the corporation and its shareholders</w:t>
      </w:r>
      <w:r w:rsidR="003314F8">
        <w:rPr>
          <w:rFonts w:ascii="Arial" w:hAnsi="Arial" w:cs="Arial"/>
          <w:color w:val="7B7B7B" w:themeColor="accent3" w:themeShade="BF"/>
          <w:sz w:val="22"/>
          <w:szCs w:val="22"/>
          <w:lang w:val="en-GB"/>
        </w:rPr>
        <w:t xml:space="preserve"> (</w:t>
      </w:r>
      <w:r w:rsidR="005D083B">
        <w:rPr>
          <w:rFonts w:ascii="Arial" w:hAnsi="Arial" w:cs="Arial"/>
          <w:color w:val="7B7B7B" w:themeColor="accent3" w:themeShade="BF"/>
          <w:sz w:val="22"/>
          <w:szCs w:val="22"/>
          <w:lang w:val="en-GB"/>
        </w:rPr>
        <w:t>interestingly, not its creditors</w:t>
      </w:r>
      <w:r w:rsidR="003314F8">
        <w:rPr>
          <w:rFonts w:ascii="Arial" w:hAnsi="Arial" w:cs="Arial"/>
          <w:color w:val="7B7B7B" w:themeColor="accent3" w:themeShade="BF"/>
          <w:sz w:val="22"/>
          <w:szCs w:val="22"/>
          <w:lang w:val="en-GB"/>
        </w:rPr>
        <w:t>)</w:t>
      </w:r>
      <w:r w:rsidR="005D083B">
        <w:rPr>
          <w:rFonts w:ascii="Arial" w:hAnsi="Arial" w:cs="Arial"/>
          <w:color w:val="7B7B7B" w:themeColor="accent3" w:themeShade="BF"/>
          <w:sz w:val="22"/>
          <w:szCs w:val="22"/>
          <w:lang w:val="en-GB"/>
        </w:rPr>
        <w:t xml:space="preserve">. </w:t>
      </w:r>
    </w:p>
    <w:p w14:paraId="723B3415" w14:textId="6449F36D" w:rsidR="005D083B" w:rsidRDefault="005D083B" w:rsidP="005B2A9B">
      <w:pPr>
        <w:jc w:val="both"/>
        <w:rPr>
          <w:rFonts w:ascii="Arial" w:hAnsi="Arial" w:cs="Arial"/>
          <w:color w:val="7B7B7B" w:themeColor="accent3" w:themeShade="BF"/>
          <w:sz w:val="22"/>
          <w:szCs w:val="22"/>
          <w:lang w:val="en-GB"/>
        </w:rPr>
      </w:pPr>
    </w:p>
    <w:p w14:paraId="7C1292E4" w14:textId="2931FF2E" w:rsidR="005D083B" w:rsidRDefault="005D083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UK legislation</w:t>
      </w:r>
      <w:r w:rsidR="003314F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namely s214 of the Insolvency Act 1986</w:t>
      </w:r>
      <w:r w:rsidR="003314F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covers the concept of “wrongful trading” – unlike this provision, the Delaware Supreme Court has covered the topic of </w:t>
      </w:r>
      <w:r w:rsidRPr="005D083B">
        <w:rPr>
          <w:rFonts w:ascii="Arial" w:hAnsi="Arial" w:cs="Arial"/>
          <w:color w:val="7B7B7B" w:themeColor="accent3" w:themeShade="BF"/>
          <w:sz w:val="22"/>
          <w:szCs w:val="22"/>
          <w:lang w:val="en-GB"/>
        </w:rPr>
        <w:t>whom are duties owed when the corporation is potentially or actually insolvent and has</w:t>
      </w:r>
      <w:r>
        <w:rPr>
          <w:rFonts w:ascii="Arial" w:hAnsi="Arial" w:cs="Arial"/>
          <w:color w:val="7B7B7B" w:themeColor="accent3" w:themeShade="BF"/>
          <w:sz w:val="22"/>
          <w:szCs w:val="22"/>
          <w:lang w:val="en-GB"/>
        </w:rPr>
        <w:t xml:space="preserve"> confirmed that directors do not owe any duties to a corporation’s creditors when said corporation is “operating in the zone of insolvency” (i.e. potentially insolvent) or when it is actually insolvent. </w:t>
      </w:r>
    </w:p>
    <w:p w14:paraId="7E174440" w14:textId="5DA24276" w:rsidR="003314F8" w:rsidRDefault="003314F8" w:rsidP="005B2A9B">
      <w:pPr>
        <w:jc w:val="both"/>
        <w:rPr>
          <w:rFonts w:ascii="Arial" w:hAnsi="Arial" w:cs="Arial"/>
          <w:color w:val="7B7B7B" w:themeColor="accent3" w:themeShade="BF"/>
          <w:sz w:val="22"/>
          <w:szCs w:val="22"/>
          <w:lang w:val="en-GB"/>
        </w:rPr>
      </w:pPr>
    </w:p>
    <w:p w14:paraId="34DC8268" w14:textId="48CD566E" w:rsidR="003314F8" w:rsidRPr="00FF5098" w:rsidRDefault="003314F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directors of Delaware corporations also have a duty of care in educated decision making and</w:t>
      </w:r>
      <w:r w:rsidR="0031071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the business judgement rule, are protected from liability for “errors of judgement”, as the business judgement rule presumes that the directors have acted in good faith, on the basis of reasonable information.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0B62743B" w14:textId="370AF158" w:rsidR="00006440" w:rsidRDefault="00006440" w:rsidP="002037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chapter 15 petition must be filed by a foreign representative and the requirements for recognition are minimal: the foreign representative must be able to demonstrate that a foreign court/administrative proceeding (as regards the debtor) is pending and that he is empowered to act by the same.</w:t>
      </w:r>
    </w:p>
    <w:p w14:paraId="5E7F2019" w14:textId="77777777" w:rsidR="00006440" w:rsidRDefault="00006440" w:rsidP="00203717">
      <w:pPr>
        <w:jc w:val="both"/>
        <w:rPr>
          <w:rFonts w:ascii="Arial" w:hAnsi="Arial" w:cs="Arial"/>
          <w:color w:val="7B7B7B" w:themeColor="accent3" w:themeShade="BF"/>
          <w:sz w:val="22"/>
          <w:szCs w:val="22"/>
          <w:lang w:val="en-GB"/>
        </w:rPr>
      </w:pPr>
    </w:p>
    <w:p w14:paraId="4791386F" w14:textId="7A60613B" w:rsidR="000D477D" w:rsidRPr="008F30CB" w:rsidRDefault="000D477D" w:rsidP="00203717">
      <w:pPr>
        <w:jc w:val="both"/>
        <w:rPr>
          <w:rFonts w:ascii="Arial" w:hAnsi="Arial" w:cs="Arial"/>
          <w:b/>
          <w:bCs/>
          <w:color w:val="7B7B7B" w:themeColor="accent3" w:themeShade="BF"/>
          <w:sz w:val="22"/>
          <w:szCs w:val="22"/>
          <w:u w:val="single"/>
          <w:lang w:val="en-GB"/>
        </w:rPr>
      </w:pPr>
      <w:r w:rsidRPr="008F30CB">
        <w:rPr>
          <w:rFonts w:ascii="Arial" w:hAnsi="Arial" w:cs="Arial"/>
          <w:b/>
          <w:bCs/>
          <w:color w:val="7B7B7B" w:themeColor="accent3" w:themeShade="BF"/>
          <w:sz w:val="22"/>
          <w:szCs w:val="22"/>
          <w:u w:val="single"/>
          <w:lang w:val="en-GB"/>
        </w:rPr>
        <w:t>English scheme of arrangement (“ESA”)</w:t>
      </w:r>
    </w:p>
    <w:p w14:paraId="20247953" w14:textId="77777777" w:rsidR="000D477D" w:rsidRDefault="000D477D" w:rsidP="00203717">
      <w:pPr>
        <w:jc w:val="both"/>
        <w:rPr>
          <w:rFonts w:ascii="Arial" w:hAnsi="Arial" w:cs="Arial"/>
          <w:color w:val="7B7B7B" w:themeColor="accent3" w:themeShade="BF"/>
          <w:sz w:val="22"/>
          <w:szCs w:val="22"/>
          <w:lang w:val="en-GB"/>
        </w:rPr>
      </w:pPr>
    </w:p>
    <w:p w14:paraId="2C6FF013" w14:textId="17982879" w:rsidR="00323167" w:rsidRDefault="000D477D" w:rsidP="00323167">
      <w:pPr>
        <w:pStyle w:val="AODocTxt"/>
        <w:spacing w:before="0" w:line="240" w:lineRule="auto"/>
        <w:rPr>
          <w:rFonts w:ascii="Arial" w:eastAsia="Times New Roman" w:hAnsi="Arial" w:cs="Arial"/>
          <w:color w:val="7B7B7B" w:themeColor="accent3" w:themeShade="BF"/>
          <w:lang w:val="en-GB"/>
        </w:rPr>
      </w:pPr>
      <w:r w:rsidRPr="000D477D">
        <w:rPr>
          <w:rFonts w:ascii="Arial" w:eastAsia="Times New Roman" w:hAnsi="Arial" w:cs="Arial"/>
          <w:color w:val="7B7B7B" w:themeColor="accent3" w:themeShade="BF"/>
          <w:lang w:val="en-GB"/>
        </w:rPr>
        <w:t xml:space="preserve">Gambling Corporation’s bonds are governed by English law and due to mature in one year. Gambling Corporation is unable to repay or refinance the aforementioned bonds and is therefore considering using an </w:t>
      </w:r>
      <w:r>
        <w:rPr>
          <w:rFonts w:ascii="Arial" w:eastAsia="Times New Roman" w:hAnsi="Arial" w:cs="Arial"/>
          <w:color w:val="7B7B7B" w:themeColor="accent3" w:themeShade="BF"/>
          <w:lang w:val="en-GB"/>
        </w:rPr>
        <w:t>ESA</w:t>
      </w:r>
      <w:r w:rsidRPr="000D477D">
        <w:rPr>
          <w:rFonts w:ascii="Arial" w:eastAsia="Times New Roman" w:hAnsi="Arial" w:cs="Arial"/>
          <w:color w:val="7B7B7B" w:themeColor="accent3" w:themeShade="BF"/>
          <w:lang w:val="en-GB"/>
        </w:rPr>
        <w:t xml:space="preserve"> to restructure the same.</w:t>
      </w:r>
    </w:p>
    <w:p w14:paraId="7DB0B1B6" w14:textId="7E9E836E" w:rsidR="000D477D" w:rsidRPr="008F30CB" w:rsidRDefault="000D477D" w:rsidP="00323167">
      <w:pPr>
        <w:pStyle w:val="AODocTxt"/>
        <w:spacing w:before="0" w:line="240" w:lineRule="auto"/>
        <w:rPr>
          <w:rFonts w:ascii="Arial" w:eastAsia="Times New Roman" w:hAnsi="Arial" w:cs="Arial"/>
          <w:b/>
          <w:bCs/>
          <w:color w:val="7B7B7B" w:themeColor="accent3" w:themeShade="BF"/>
          <w:lang w:val="en-GB"/>
        </w:rPr>
      </w:pPr>
    </w:p>
    <w:p w14:paraId="22251DF4" w14:textId="28E018DB" w:rsidR="000D477D" w:rsidRPr="008F30CB" w:rsidRDefault="000D477D" w:rsidP="000D477D">
      <w:pPr>
        <w:jc w:val="both"/>
        <w:rPr>
          <w:rFonts w:ascii="Arial" w:hAnsi="Arial" w:cs="Arial"/>
          <w:b/>
          <w:bCs/>
          <w:color w:val="7B7B7B" w:themeColor="accent3" w:themeShade="BF"/>
          <w:sz w:val="22"/>
          <w:szCs w:val="22"/>
          <w:u w:val="single"/>
          <w:lang w:val="en-GB"/>
        </w:rPr>
      </w:pPr>
      <w:r w:rsidRPr="008F30CB">
        <w:rPr>
          <w:rFonts w:ascii="Arial" w:hAnsi="Arial" w:cs="Arial"/>
          <w:b/>
          <w:bCs/>
          <w:color w:val="7B7B7B" w:themeColor="accent3" w:themeShade="BF"/>
          <w:sz w:val="22"/>
          <w:szCs w:val="22"/>
          <w:u w:val="single"/>
          <w:lang w:val="en-GB"/>
        </w:rPr>
        <w:t xml:space="preserve">Recognition of ESA under US chapter 15 as a </w:t>
      </w:r>
      <w:r w:rsidR="008F30CB" w:rsidRPr="008F30CB">
        <w:rPr>
          <w:rFonts w:ascii="Arial" w:hAnsi="Arial" w:cs="Arial"/>
          <w:b/>
          <w:bCs/>
          <w:color w:val="7B7B7B" w:themeColor="accent3" w:themeShade="BF"/>
          <w:sz w:val="22"/>
          <w:szCs w:val="22"/>
          <w:u w:val="single"/>
          <w:lang w:val="en-GB"/>
        </w:rPr>
        <w:t>foreign main (“FM”)</w:t>
      </w:r>
      <w:r w:rsidRPr="008F30CB">
        <w:rPr>
          <w:rFonts w:ascii="Arial" w:hAnsi="Arial" w:cs="Arial"/>
          <w:b/>
          <w:bCs/>
          <w:color w:val="7B7B7B" w:themeColor="accent3" w:themeShade="BF"/>
          <w:sz w:val="22"/>
          <w:szCs w:val="22"/>
          <w:u w:val="single"/>
          <w:lang w:val="en-GB"/>
        </w:rPr>
        <w:t xml:space="preserve"> or </w:t>
      </w:r>
      <w:r w:rsidR="008F30CB" w:rsidRPr="008F30CB">
        <w:rPr>
          <w:rFonts w:ascii="Arial" w:hAnsi="Arial" w:cs="Arial"/>
          <w:b/>
          <w:bCs/>
          <w:color w:val="7B7B7B" w:themeColor="accent3" w:themeShade="BF"/>
          <w:sz w:val="22"/>
          <w:szCs w:val="22"/>
          <w:u w:val="single"/>
          <w:lang w:val="en-GB"/>
        </w:rPr>
        <w:t>foreign non-main (“FNM”) proceedings</w:t>
      </w:r>
      <w:r w:rsidRPr="008F30CB">
        <w:rPr>
          <w:rFonts w:ascii="Arial" w:hAnsi="Arial" w:cs="Arial"/>
          <w:b/>
          <w:bCs/>
          <w:color w:val="7B7B7B" w:themeColor="accent3" w:themeShade="BF"/>
          <w:sz w:val="22"/>
          <w:szCs w:val="22"/>
          <w:u w:val="single"/>
          <w:lang w:val="en-GB"/>
        </w:rPr>
        <w:t>?</w:t>
      </w:r>
    </w:p>
    <w:p w14:paraId="2A0B0AFA" w14:textId="04B0F283" w:rsidR="000D477D" w:rsidRDefault="000D477D" w:rsidP="00323167">
      <w:pPr>
        <w:pStyle w:val="AODocTxt"/>
        <w:spacing w:before="0" w:line="240" w:lineRule="auto"/>
        <w:rPr>
          <w:rFonts w:ascii="Arial" w:eastAsia="Times New Roman" w:hAnsi="Arial" w:cs="Arial"/>
          <w:color w:val="7B7B7B" w:themeColor="accent3" w:themeShade="BF"/>
          <w:lang w:val="en-GB"/>
        </w:rPr>
      </w:pPr>
    </w:p>
    <w:p w14:paraId="3F03A796" w14:textId="318628DE" w:rsidR="008F30CB" w:rsidRDefault="008F30CB" w:rsidP="008F30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0D477D">
        <w:rPr>
          <w:rFonts w:ascii="Arial" w:hAnsi="Arial" w:cs="Arial"/>
          <w:color w:val="7B7B7B" w:themeColor="accent3" w:themeShade="BF"/>
          <w:sz w:val="22"/>
          <w:szCs w:val="22"/>
          <w:lang w:val="en-GB"/>
        </w:rPr>
        <w:t>he difference between FM and FNM proceedings is that the FM proceedings are commenced in a debtor’s</w:t>
      </w:r>
      <w:r>
        <w:rPr>
          <w:rFonts w:ascii="Arial" w:hAnsi="Arial" w:cs="Arial"/>
          <w:color w:val="7B7B7B" w:themeColor="accent3" w:themeShade="BF"/>
          <w:sz w:val="22"/>
          <w:szCs w:val="22"/>
          <w:lang w:val="en-GB"/>
        </w:rPr>
        <w:t xml:space="preserve"> centre of main interest (“COMI”). </w:t>
      </w:r>
    </w:p>
    <w:p w14:paraId="0A410854" w14:textId="77777777" w:rsidR="008F30CB" w:rsidRDefault="008F30CB" w:rsidP="008F30CB">
      <w:pPr>
        <w:jc w:val="both"/>
        <w:rPr>
          <w:rFonts w:ascii="Arial" w:hAnsi="Arial" w:cs="Arial"/>
          <w:color w:val="7B7B7B" w:themeColor="accent3" w:themeShade="BF"/>
          <w:sz w:val="22"/>
          <w:szCs w:val="22"/>
          <w:lang w:val="en-GB"/>
        </w:rPr>
      </w:pPr>
    </w:p>
    <w:p w14:paraId="7BE92207" w14:textId="77777777" w:rsidR="008F30CB" w:rsidRPr="000D477D" w:rsidRDefault="008F30CB" w:rsidP="008F30CB">
      <w:pPr>
        <w:jc w:val="both"/>
        <w:rPr>
          <w:rFonts w:ascii="Arial" w:hAnsi="Arial" w:cs="Arial"/>
          <w:color w:val="7B7B7B" w:themeColor="accent3" w:themeShade="BF"/>
          <w:sz w:val="22"/>
          <w:szCs w:val="22"/>
          <w:u w:val="single"/>
          <w:lang w:val="en-GB"/>
        </w:rPr>
      </w:pPr>
      <w:r w:rsidRPr="000D477D">
        <w:rPr>
          <w:rFonts w:ascii="Arial" w:hAnsi="Arial" w:cs="Arial"/>
          <w:color w:val="7B7B7B" w:themeColor="accent3" w:themeShade="BF"/>
          <w:sz w:val="22"/>
          <w:szCs w:val="22"/>
          <w:u w:val="single"/>
          <w:lang w:val="en-GB"/>
        </w:rPr>
        <w:t xml:space="preserve">Model Law – COMI </w:t>
      </w:r>
    </w:p>
    <w:p w14:paraId="39CB6A7E" w14:textId="77777777" w:rsidR="008F30CB" w:rsidRDefault="008F30CB" w:rsidP="008F30CB">
      <w:pPr>
        <w:jc w:val="both"/>
        <w:rPr>
          <w:rFonts w:ascii="Arial" w:hAnsi="Arial" w:cs="Arial"/>
          <w:color w:val="7B7B7B" w:themeColor="accent3" w:themeShade="BF"/>
          <w:sz w:val="22"/>
          <w:szCs w:val="22"/>
          <w:lang w:val="en-GB"/>
        </w:rPr>
      </w:pPr>
    </w:p>
    <w:p w14:paraId="4BC138AB" w14:textId="77777777" w:rsidR="008F30CB" w:rsidRDefault="008F30CB" w:rsidP="008F30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Article 16(3) of the Model Law, there is a rebuttable presumption that the place of the registered office of the debtor is the place of its COMI – a key concept and term that is not defined in the Model Law and instead, is set out in paragraphs 157 – 160 of The GEI.</w:t>
      </w:r>
    </w:p>
    <w:p w14:paraId="4EA7CA3E" w14:textId="77777777" w:rsidR="008F30CB" w:rsidRDefault="008F30CB" w:rsidP="008F30CB">
      <w:pPr>
        <w:jc w:val="both"/>
        <w:rPr>
          <w:rFonts w:ascii="Arial" w:hAnsi="Arial" w:cs="Arial"/>
        </w:rPr>
      </w:pPr>
    </w:p>
    <w:p w14:paraId="1606895D" w14:textId="77777777" w:rsidR="008F30CB" w:rsidRDefault="008F30CB" w:rsidP="008F30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17(2)(a) of the Model Law confirms that the foreign proceedings will be recognised as ‘foreign main proceedings’ if they take place in the State where the debtor has its COMI – if the Debtor only has an establishment in the foreign State where the foreign proceedings are being opened, then these will be recognised as ‘foreign non-main proceedings’ in the enacting state, in accordance with Article 17(2)(b)</w:t>
      </w:r>
      <w:r w:rsidRPr="000D477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the Model Law.</w:t>
      </w:r>
    </w:p>
    <w:p w14:paraId="13D06A49" w14:textId="77777777" w:rsidR="008F30CB" w:rsidRDefault="008F30CB" w:rsidP="008F30CB">
      <w:pPr>
        <w:jc w:val="both"/>
        <w:rPr>
          <w:rFonts w:ascii="Arial" w:hAnsi="Arial" w:cs="Arial"/>
          <w:color w:val="7B7B7B" w:themeColor="accent3" w:themeShade="BF"/>
          <w:sz w:val="22"/>
          <w:szCs w:val="22"/>
          <w:lang w:val="en-GB"/>
        </w:rPr>
      </w:pPr>
    </w:p>
    <w:p w14:paraId="3D8A4085" w14:textId="77777777" w:rsidR="008F30CB" w:rsidRDefault="008F30CB" w:rsidP="008F30CB">
      <w:pPr>
        <w:jc w:val="both"/>
        <w:rPr>
          <w:rFonts w:ascii="Arial" w:hAnsi="Arial" w:cs="Arial"/>
          <w:color w:val="7B7B7B" w:themeColor="accent3" w:themeShade="BF"/>
          <w:sz w:val="22"/>
          <w:szCs w:val="22"/>
          <w:lang w:val="en-GB"/>
        </w:rPr>
      </w:pPr>
      <w:r w:rsidRPr="00E44BFE">
        <w:rPr>
          <w:rFonts w:ascii="Arial" w:hAnsi="Arial" w:cs="Arial"/>
          <w:color w:val="7B7B7B" w:themeColor="accent3" w:themeShade="BF"/>
          <w:sz w:val="22"/>
          <w:szCs w:val="22"/>
          <w:lang w:val="en-GB"/>
        </w:rPr>
        <w:t xml:space="preserve">Whilst the </w:t>
      </w:r>
      <w:r>
        <w:rPr>
          <w:rFonts w:ascii="Arial" w:hAnsi="Arial" w:cs="Arial"/>
          <w:color w:val="7B7B7B" w:themeColor="accent3" w:themeShade="BF"/>
          <w:sz w:val="22"/>
          <w:szCs w:val="22"/>
          <w:lang w:val="en-GB"/>
        </w:rPr>
        <w:t xml:space="preserve">Model Law </w:t>
      </w:r>
      <w:r w:rsidRPr="00E44BFE">
        <w:rPr>
          <w:rFonts w:ascii="Arial" w:hAnsi="Arial" w:cs="Arial"/>
          <w:color w:val="7B7B7B" w:themeColor="accent3" w:themeShade="BF"/>
          <w:sz w:val="22"/>
          <w:szCs w:val="22"/>
          <w:lang w:val="en-GB"/>
        </w:rPr>
        <w:t>does not have a definition of</w:t>
      </w:r>
      <w:r>
        <w:rPr>
          <w:rFonts w:ascii="Arial" w:hAnsi="Arial" w:cs="Arial"/>
          <w:color w:val="7B7B7B" w:themeColor="accent3" w:themeShade="BF"/>
          <w:sz w:val="22"/>
          <w:szCs w:val="22"/>
          <w:lang w:val="en-GB"/>
        </w:rPr>
        <w:t xml:space="preserve"> COMI</w:t>
      </w:r>
      <w:r w:rsidRPr="00E44BFE">
        <w:rPr>
          <w:rFonts w:ascii="Arial" w:hAnsi="Arial" w:cs="Arial"/>
          <w:color w:val="7B7B7B" w:themeColor="accent3" w:themeShade="BF"/>
          <w:sz w:val="22"/>
          <w:szCs w:val="22"/>
          <w:lang w:val="en-GB"/>
        </w:rPr>
        <w:t xml:space="preserve">, Article 16(3) of the </w:t>
      </w:r>
      <w:r>
        <w:rPr>
          <w:rFonts w:ascii="Arial" w:hAnsi="Arial" w:cs="Arial"/>
          <w:color w:val="7B7B7B" w:themeColor="accent3" w:themeShade="BF"/>
          <w:sz w:val="22"/>
          <w:szCs w:val="22"/>
          <w:lang w:val="en-GB"/>
        </w:rPr>
        <w:t>same</w:t>
      </w:r>
      <w:r w:rsidRPr="00E44BFE">
        <w:rPr>
          <w:rFonts w:ascii="Arial" w:hAnsi="Arial" w:cs="Arial"/>
          <w:color w:val="7B7B7B" w:themeColor="accent3" w:themeShade="BF"/>
          <w:sz w:val="22"/>
          <w:szCs w:val="22"/>
          <w:lang w:val="en-GB"/>
        </w:rPr>
        <w:t xml:space="preserve"> presumes that, in absence of proof to the contrary, a debtor’s registered office (or habitual residence in the case of an individual) is the debtor’s COMI. </w:t>
      </w:r>
    </w:p>
    <w:p w14:paraId="7BDA0B86" w14:textId="77777777" w:rsidR="008F30CB" w:rsidRDefault="008F30CB" w:rsidP="008F30CB">
      <w:pPr>
        <w:jc w:val="both"/>
        <w:rPr>
          <w:rFonts w:ascii="Arial" w:hAnsi="Arial" w:cs="Arial"/>
          <w:color w:val="7B7B7B" w:themeColor="accent3" w:themeShade="BF"/>
          <w:sz w:val="22"/>
          <w:szCs w:val="22"/>
          <w:lang w:val="en-GB"/>
        </w:rPr>
      </w:pPr>
    </w:p>
    <w:p w14:paraId="76F91261" w14:textId="77777777" w:rsidR="008F30CB" w:rsidRPr="000D477D" w:rsidRDefault="008F30CB" w:rsidP="008F30CB">
      <w:pPr>
        <w:jc w:val="both"/>
        <w:rPr>
          <w:rFonts w:ascii="Arial" w:hAnsi="Arial" w:cs="Arial"/>
          <w:color w:val="7B7B7B" w:themeColor="accent3" w:themeShade="BF"/>
          <w:sz w:val="22"/>
          <w:szCs w:val="22"/>
          <w:u w:val="single"/>
          <w:lang w:val="en-GB"/>
        </w:rPr>
      </w:pPr>
      <w:r w:rsidRPr="000D477D">
        <w:rPr>
          <w:rFonts w:ascii="Arial" w:hAnsi="Arial" w:cs="Arial"/>
          <w:color w:val="7B7B7B" w:themeColor="accent3" w:themeShade="BF"/>
          <w:sz w:val="22"/>
          <w:szCs w:val="22"/>
          <w:u w:val="single"/>
          <w:lang w:val="en-GB"/>
        </w:rPr>
        <w:t xml:space="preserve">US Law – COMI </w:t>
      </w:r>
    </w:p>
    <w:p w14:paraId="4C43196F" w14:textId="77777777" w:rsidR="008F30CB" w:rsidRDefault="008F30CB" w:rsidP="008F30CB">
      <w:pPr>
        <w:jc w:val="both"/>
        <w:rPr>
          <w:rFonts w:ascii="Arial" w:hAnsi="Arial" w:cs="Arial"/>
          <w:color w:val="7B7B7B" w:themeColor="accent3" w:themeShade="BF"/>
          <w:sz w:val="22"/>
          <w:szCs w:val="22"/>
          <w:lang w:val="en-GB"/>
        </w:rPr>
      </w:pPr>
    </w:p>
    <w:p w14:paraId="45339D74" w14:textId="77777777" w:rsidR="008F30CB" w:rsidRDefault="008F30CB" w:rsidP="008F30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a COMI is a foreign concept in US law, it is presumed that a debtor’s COMI is its place of incorporation – NB, this presumption is rebuttable.</w:t>
      </w:r>
    </w:p>
    <w:p w14:paraId="682C34B8" w14:textId="77777777" w:rsidR="008F30CB" w:rsidRDefault="008F30CB" w:rsidP="008F30CB">
      <w:pPr>
        <w:jc w:val="both"/>
        <w:rPr>
          <w:rFonts w:ascii="Arial" w:hAnsi="Arial" w:cs="Arial"/>
          <w:color w:val="7B7B7B" w:themeColor="accent3" w:themeShade="BF"/>
          <w:sz w:val="22"/>
          <w:szCs w:val="22"/>
          <w:lang w:val="en-GB"/>
        </w:rPr>
      </w:pPr>
    </w:p>
    <w:p w14:paraId="02EF5EEC" w14:textId="77777777" w:rsidR="008F30CB" w:rsidRPr="000D477D" w:rsidRDefault="008F30CB" w:rsidP="008F30CB">
      <w:pPr>
        <w:jc w:val="both"/>
        <w:rPr>
          <w:rFonts w:ascii="Arial" w:hAnsi="Arial" w:cs="Arial"/>
          <w:color w:val="7B7B7B" w:themeColor="accent3" w:themeShade="BF"/>
          <w:sz w:val="22"/>
          <w:szCs w:val="22"/>
          <w:u w:val="single"/>
          <w:lang w:val="en-GB"/>
        </w:rPr>
      </w:pPr>
      <w:r w:rsidRPr="000D477D">
        <w:rPr>
          <w:rFonts w:ascii="Arial" w:hAnsi="Arial" w:cs="Arial"/>
          <w:color w:val="7B7B7B" w:themeColor="accent3" w:themeShade="BF"/>
          <w:sz w:val="22"/>
          <w:szCs w:val="22"/>
          <w:u w:val="single"/>
          <w:lang w:val="en-GB"/>
        </w:rPr>
        <w:t>Gambling Corporation’s COMI</w:t>
      </w:r>
    </w:p>
    <w:p w14:paraId="341942AD" w14:textId="77777777" w:rsidR="008F30CB" w:rsidRDefault="008F30CB" w:rsidP="008F30CB">
      <w:pPr>
        <w:jc w:val="both"/>
        <w:rPr>
          <w:rFonts w:ascii="Arial" w:hAnsi="Arial" w:cs="Arial"/>
          <w:color w:val="7B7B7B" w:themeColor="accent3" w:themeShade="BF"/>
          <w:sz w:val="22"/>
          <w:szCs w:val="22"/>
          <w:lang w:val="en-GB"/>
        </w:rPr>
      </w:pPr>
    </w:p>
    <w:p w14:paraId="481FB081" w14:textId="1DEFE171" w:rsidR="008F30CB" w:rsidRDefault="008F30CB" w:rsidP="008F30CB">
      <w:pPr>
        <w:jc w:val="both"/>
        <w:rPr>
          <w:rFonts w:ascii="Arial" w:hAnsi="Arial" w:cs="Arial"/>
          <w:color w:val="7B7B7B" w:themeColor="accent3" w:themeShade="BF"/>
          <w:sz w:val="22"/>
          <w:szCs w:val="22"/>
          <w:lang w:val="en-GB"/>
        </w:rPr>
      </w:pPr>
      <w:r w:rsidRPr="000D477D">
        <w:rPr>
          <w:rFonts w:ascii="Arial" w:hAnsi="Arial" w:cs="Arial"/>
          <w:color w:val="7B7B7B" w:themeColor="accent3" w:themeShade="BF"/>
          <w:sz w:val="22"/>
          <w:szCs w:val="22"/>
          <w:lang w:val="en-GB"/>
        </w:rPr>
        <w:t>Gambling Corporation is incorporated and has a principal place of business in Greece.</w:t>
      </w:r>
      <w:r>
        <w:rPr>
          <w:rFonts w:ascii="Arial" w:hAnsi="Arial" w:cs="Arial"/>
          <w:color w:val="7B7B7B" w:themeColor="accent3" w:themeShade="BF"/>
          <w:sz w:val="22"/>
          <w:szCs w:val="22"/>
          <w:lang w:val="en-GB"/>
        </w:rPr>
        <w:t xml:space="preserve"> As such, it could be argued that its headquarters, management, and primary assets are also located in Greece – factors that also come into play when analysing a debtor’s </w:t>
      </w:r>
      <w:r w:rsidR="00006440">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w:t>
      </w:r>
      <w:r w:rsidRPr="000D477D">
        <w:rPr>
          <w:rFonts w:ascii="Arial" w:hAnsi="Arial" w:cs="Arial"/>
          <w:color w:val="7B7B7B" w:themeColor="accent3" w:themeShade="BF"/>
          <w:sz w:val="22"/>
          <w:szCs w:val="22"/>
          <w:lang w:val="en-GB"/>
        </w:rPr>
        <w:t xml:space="preserve"> In light of the above, it can be assumed that Gambling Corporation’s COMI is Greece.</w:t>
      </w:r>
      <w:r>
        <w:rPr>
          <w:rFonts w:ascii="Arial" w:hAnsi="Arial" w:cs="Arial"/>
          <w:color w:val="7B7B7B" w:themeColor="accent3" w:themeShade="BF"/>
          <w:sz w:val="22"/>
          <w:szCs w:val="22"/>
          <w:lang w:val="en-GB"/>
        </w:rPr>
        <w:t xml:space="preserve"> </w:t>
      </w:r>
    </w:p>
    <w:p w14:paraId="16A877F5" w14:textId="580EA58E" w:rsidR="00006440" w:rsidRDefault="00006440" w:rsidP="008F30CB">
      <w:pPr>
        <w:jc w:val="both"/>
        <w:rPr>
          <w:rFonts w:ascii="Arial" w:hAnsi="Arial" w:cs="Arial"/>
          <w:color w:val="7B7B7B" w:themeColor="accent3" w:themeShade="BF"/>
          <w:sz w:val="22"/>
          <w:szCs w:val="22"/>
          <w:lang w:val="en-GB"/>
        </w:rPr>
      </w:pPr>
    </w:p>
    <w:p w14:paraId="44F2113A" w14:textId="2B6BDF35" w:rsidR="00006440" w:rsidRDefault="00006440" w:rsidP="008F30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14:paraId="645EBC7C" w14:textId="2171BEC9" w:rsidR="00006440" w:rsidRDefault="00006440" w:rsidP="008F30CB">
      <w:pPr>
        <w:jc w:val="both"/>
        <w:rPr>
          <w:rFonts w:ascii="Arial" w:hAnsi="Arial" w:cs="Arial"/>
          <w:color w:val="7B7B7B" w:themeColor="accent3" w:themeShade="BF"/>
          <w:sz w:val="22"/>
          <w:szCs w:val="22"/>
          <w:lang w:val="en-GB"/>
        </w:rPr>
      </w:pPr>
    </w:p>
    <w:p w14:paraId="6AE06EB3" w14:textId="363866B6" w:rsidR="008F30CB" w:rsidRDefault="00006440" w:rsidP="000D47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ESA is to be commenced in England and not Greece – being </w:t>
      </w:r>
      <w:r w:rsidRPr="000D477D">
        <w:rPr>
          <w:rFonts w:ascii="Arial" w:hAnsi="Arial" w:cs="Arial"/>
          <w:color w:val="7B7B7B" w:themeColor="accent3" w:themeShade="BF"/>
          <w:sz w:val="22"/>
          <w:szCs w:val="22"/>
          <w:lang w:val="en-GB"/>
        </w:rPr>
        <w:t>Gambling Corporation</w:t>
      </w:r>
      <w:r>
        <w:rPr>
          <w:rFonts w:ascii="Arial" w:hAnsi="Arial" w:cs="Arial"/>
          <w:color w:val="7B7B7B" w:themeColor="accent3" w:themeShade="BF"/>
          <w:sz w:val="22"/>
          <w:szCs w:val="22"/>
          <w:lang w:val="en-GB"/>
        </w:rPr>
        <w:t xml:space="preserve">’s COMI – I consider that the ESA </w:t>
      </w:r>
      <w:r w:rsidRPr="00006440">
        <w:rPr>
          <w:rFonts w:ascii="Arial" w:hAnsi="Arial" w:cs="Arial"/>
          <w:color w:val="7B7B7B" w:themeColor="accent3" w:themeShade="BF"/>
          <w:sz w:val="22"/>
          <w:szCs w:val="22"/>
          <w:lang w:val="en-GB"/>
        </w:rPr>
        <w:t>could be granted recognition under US chapter 15 as a FNM (foreign non-main) proceeding.</w:t>
      </w:r>
    </w:p>
    <w:p w14:paraId="0DF0D854" w14:textId="77777777" w:rsidR="008F30CB" w:rsidRDefault="008F30CB" w:rsidP="000D477D">
      <w:pPr>
        <w:jc w:val="both"/>
        <w:rPr>
          <w:rFonts w:ascii="Arial" w:hAnsi="Arial" w:cs="Arial"/>
          <w:color w:val="7B7B7B" w:themeColor="accent3" w:themeShade="BF"/>
          <w:sz w:val="22"/>
          <w:szCs w:val="22"/>
          <w:lang w:val="en-GB"/>
        </w:rPr>
      </w:pPr>
    </w:p>
    <w:p w14:paraId="13544F54" w14:textId="77777777" w:rsidR="000D477D" w:rsidRPr="000D477D" w:rsidRDefault="000D477D" w:rsidP="00323167">
      <w:pPr>
        <w:pStyle w:val="AODocTxt"/>
        <w:spacing w:before="0" w:line="240" w:lineRule="auto"/>
        <w:rPr>
          <w:rFonts w:ascii="Arial" w:eastAsia="Times New Roman" w:hAnsi="Arial" w:cs="Arial"/>
          <w:color w:val="7B7B7B" w:themeColor="accent3" w:themeShade="BF"/>
          <w:lang w:val="en-GB"/>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5367B030" w14:textId="05F6B3C6" w:rsidR="00637953" w:rsidRPr="00637953" w:rsidRDefault="00637953" w:rsidP="005B2A9B">
      <w:pPr>
        <w:jc w:val="both"/>
        <w:rPr>
          <w:rFonts w:ascii="Arial" w:hAnsi="Arial" w:cs="Arial"/>
          <w:b/>
          <w:bCs/>
          <w:color w:val="7B7B7B" w:themeColor="accent3" w:themeShade="BF"/>
          <w:sz w:val="22"/>
          <w:szCs w:val="22"/>
          <w:u w:val="single"/>
          <w:lang w:val="en-GB"/>
        </w:rPr>
      </w:pPr>
      <w:r w:rsidRPr="00637953">
        <w:rPr>
          <w:rFonts w:ascii="Arial" w:hAnsi="Arial" w:cs="Arial"/>
          <w:b/>
          <w:bCs/>
          <w:color w:val="7B7B7B" w:themeColor="accent3" w:themeShade="BF"/>
          <w:sz w:val="22"/>
          <w:szCs w:val="22"/>
          <w:u w:val="single"/>
          <w:lang w:val="en-GB"/>
        </w:rPr>
        <w:t>Chapter 11</w:t>
      </w:r>
    </w:p>
    <w:p w14:paraId="645B5FCF" w14:textId="207780D6" w:rsidR="00637953" w:rsidRDefault="00637953" w:rsidP="005B2A9B">
      <w:pPr>
        <w:jc w:val="both"/>
        <w:rPr>
          <w:rFonts w:ascii="Arial" w:hAnsi="Arial" w:cs="Arial"/>
          <w:color w:val="7B7B7B" w:themeColor="accent3" w:themeShade="BF"/>
          <w:sz w:val="22"/>
          <w:szCs w:val="22"/>
          <w:u w:val="single"/>
          <w:lang w:val="en-GB"/>
        </w:rPr>
      </w:pPr>
    </w:p>
    <w:p w14:paraId="23965627" w14:textId="655874C7" w:rsidR="00637953" w:rsidRDefault="0063795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(in this case, Oil Corp.) may continue to operate in the ordinary course of business and may liquidate/reorganise during chapter 11 proceedings.</w:t>
      </w:r>
    </w:p>
    <w:p w14:paraId="0D84F5E6" w14:textId="40DA38D8" w:rsidR="00637953" w:rsidRDefault="00637953" w:rsidP="005B2A9B">
      <w:pPr>
        <w:jc w:val="both"/>
        <w:rPr>
          <w:rFonts w:ascii="Arial" w:hAnsi="Arial" w:cs="Arial"/>
          <w:color w:val="7B7B7B" w:themeColor="accent3" w:themeShade="BF"/>
          <w:sz w:val="22"/>
          <w:szCs w:val="22"/>
          <w:lang w:val="en-GB"/>
        </w:rPr>
      </w:pPr>
    </w:p>
    <w:p w14:paraId="0EC38A77" w14:textId="38BA9B4B" w:rsidR="00637953" w:rsidRDefault="0063795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chapter 11 proceedings, a debtor benefits from a worldwide automatic stay of creditor enforcement proceedings upon a petition for the bankruptcy being filed.</w:t>
      </w:r>
      <w:r w:rsidR="00DF3AD2">
        <w:rPr>
          <w:rFonts w:ascii="Arial" w:hAnsi="Arial" w:cs="Arial"/>
          <w:color w:val="7B7B7B" w:themeColor="accent3" w:themeShade="BF"/>
          <w:sz w:val="22"/>
          <w:szCs w:val="22"/>
          <w:lang w:val="en-GB"/>
        </w:rPr>
        <w:t xml:space="preserve"> In all four of the situations outlined below, Oil Corp. would benefit from this worldwide stay upon commencing a voluntary proceeding/filing a</w:t>
      </w:r>
      <w:r w:rsidR="00DF3AD2" w:rsidRPr="00DF3AD2">
        <w:rPr>
          <w:rFonts w:ascii="Arial" w:hAnsi="Arial" w:cs="Arial"/>
          <w:color w:val="7B7B7B" w:themeColor="accent3" w:themeShade="BF"/>
          <w:sz w:val="22"/>
          <w:szCs w:val="22"/>
          <w:lang w:val="en-GB"/>
        </w:rPr>
        <w:t xml:space="preserve"> chapter 11 petition. </w:t>
      </w:r>
    </w:p>
    <w:p w14:paraId="69E462DC" w14:textId="79B19139" w:rsidR="00E7758D" w:rsidRDefault="00E7758D" w:rsidP="005B2A9B">
      <w:pPr>
        <w:jc w:val="both"/>
        <w:rPr>
          <w:rFonts w:ascii="Arial" w:hAnsi="Arial" w:cs="Arial"/>
          <w:color w:val="7B7B7B" w:themeColor="accent3" w:themeShade="BF"/>
          <w:sz w:val="22"/>
          <w:szCs w:val="22"/>
          <w:lang w:val="en-GB"/>
        </w:rPr>
      </w:pPr>
    </w:p>
    <w:p w14:paraId="75B4F175" w14:textId="77777777" w:rsidR="00E7758D" w:rsidRPr="00DC6278" w:rsidRDefault="00E7758D" w:rsidP="00E7758D">
      <w:pPr>
        <w:jc w:val="both"/>
        <w:rPr>
          <w:rFonts w:ascii="Arial" w:hAnsi="Arial" w:cs="Arial"/>
          <w:color w:val="7B7B7B" w:themeColor="accent3" w:themeShade="BF"/>
          <w:sz w:val="22"/>
          <w:szCs w:val="22"/>
          <w:lang w:val="en-GB"/>
        </w:rPr>
      </w:pPr>
      <w:r w:rsidRPr="00DC6278">
        <w:rPr>
          <w:rFonts w:ascii="Arial" w:hAnsi="Arial" w:cs="Arial"/>
          <w:color w:val="7B7B7B" w:themeColor="accent3" w:themeShade="BF"/>
          <w:sz w:val="22"/>
          <w:szCs w:val="22"/>
          <w:lang w:val="en-GB"/>
        </w:rPr>
        <w:t xml:space="preserve">A violation of the automatic stay constitutes contempt of court. In addition, an act taken in violation of the automatic stay is void or voidable, depending on the circuit in which the bankruptcy is pending. These are two potential consequences of a violation of the automatic stay. </w:t>
      </w:r>
    </w:p>
    <w:p w14:paraId="39A01389" w14:textId="77777777" w:rsidR="00E7758D" w:rsidRPr="00DC6278" w:rsidRDefault="00E7758D" w:rsidP="00E7758D">
      <w:pPr>
        <w:jc w:val="both"/>
        <w:rPr>
          <w:rFonts w:ascii="Arial" w:hAnsi="Arial" w:cs="Arial"/>
          <w:color w:val="7B7B7B" w:themeColor="accent3" w:themeShade="BF"/>
          <w:sz w:val="22"/>
          <w:szCs w:val="22"/>
          <w:lang w:val="en-GB"/>
        </w:rPr>
      </w:pPr>
    </w:p>
    <w:p w14:paraId="4D1A3653" w14:textId="77777777" w:rsidR="00E7758D" w:rsidRPr="00DC6278" w:rsidRDefault="00E7758D" w:rsidP="00E7758D">
      <w:pPr>
        <w:jc w:val="both"/>
        <w:rPr>
          <w:rFonts w:ascii="Arial" w:hAnsi="Arial" w:cs="Arial"/>
          <w:color w:val="7B7B7B" w:themeColor="accent3" w:themeShade="BF"/>
          <w:sz w:val="22"/>
          <w:szCs w:val="22"/>
          <w:lang w:val="en-GB"/>
        </w:rPr>
      </w:pPr>
      <w:r w:rsidRPr="00DC6278">
        <w:rPr>
          <w:rFonts w:ascii="Arial" w:hAnsi="Arial" w:cs="Arial"/>
          <w:color w:val="7B7B7B" w:themeColor="accent3" w:themeShade="BF"/>
          <w:sz w:val="22"/>
          <w:szCs w:val="22"/>
          <w:lang w:val="en-GB"/>
        </w:rPr>
        <w:t xml:space="preserve">In instances where the court is concerned that the violator may not act in a prompt manner, it can impose sanctions – for example, paying a daily fine to the court until the stay violation has been rectified. </w:t>
      </w:r>
    </w:p>
    <w:p w14:paraId="01A2F9E7" w14:textId="77777777" w:rsidR="00E7758D" w:rsidRPr="00DC6278" w:rsidRDefault="00E7758D" w:rsidP="00E7758D">
      <w:pPr>
        <w:jc w:val="both"/>
        <w:rPr>
          <w:rFonts w:ascii="Arial" w:hAnsi="Arial" w:cs="Arial"/>
          <w:color w:val="7B7B7B" w:themeColor="accent3" w:themeShade="BF"/>
          <w:sz w:val="22"/>
          <w:szCs w:val="22"/>
          <w:lang w:val="en-GB"/>
        </w:rPr>
      </w:pPr>
    </w:p>
    <w:p w14:paraId="6459CE09" w14:textId="77777777" w:rsidR="00E7758D" w:rsidRDefault="00E7758D" w:rsidP="00E7758D">
      <w:pPr>
        <w:jc w:val="both"/>
        <w:rPr>
          <w:rFonts w:ascii="Arial" w:hAnsi="Arial" w:cs="Arial"/>
          <w:color w:val="7B7B7B" w:themeColor="accent3" w:themeShade="BF"/>
          <w:sz w:val="22"/>
          <w:szCs w:val="22"/>
          <w:lang w:val="en-GB"/>
        </w:rPr>
      </w:pPr>
      <w:r w:rsidRPr="00DC6278">
        <w:rPr>
          <w:rFonts w:ascii="Arial" w:hAnsi="Arial" w:cs="Arial"/>
          <w:color w:val="7B7B7B" w:themeColor="accent3" w:themeShade="BF"/>
          <w:sz w:val="22"/>
          <w:szCs w:val="22"/>
          <w:lang w:val="en-GB"/>
        </w:rPr>
        <w:t>The violator may also be required to pay the legal costs associated with rectifying the violation and the debtor may be able to commence legal proceedings against the violator in respect of the same.</w:t>
      </w:r>
      <w:r>
        <w:rPr>
          <w:rFonts w:ascii="Arial" w:hAnsi="Arial" w:cs="Arial"/>
          <w:color w:val="7B7B7B" w:themeColor="accent3" w:themeShade="BF"/>
          <w:sz w:val="22"/>
          <w:szCs w:val="22"/>
          <w:lang w:val="en-GB"/>
        </w:rPr>
        <w:t xml:space="preserve">  </w:t>
      </w:r>
    </w:p>
    <w:p w14:paraId="2C1D28DA" w14:textId="2430935D" w:rsidR="00E7758D" w:rsidRDefault="00E7758D" w:rsidP="005B2A9B">
      <w:pPr>
        <w:jc w:val="both"/>
        <w:rPr>
          <w:rFonts w:ascii="Arial" w:hAnsi="Arial" w:cs="Arial"/>
          <w:color w:val="7B7B7B" w:themeColor="accent3" w:themeShade="BF"/>
          <w:sz w:val="22"/>
          <w:szCs w:val="22"/>
          <w:lang w:val="en-GB"/>
        </w:rPr>
      </w:pPr>
    </w:p>
    <w:p w14:paraId="60B3C38E" w14:textId="77777777" w:rsidR="00397BE9" w:rsidRPr="004E7B14" w:rsidRDefault="00397BE9" w:rsidP="00397BE9">
      <w:pPr>
        <w:jc w:val="both"/>
        <w:rPr>
          <w:rFonts w:ascii="Arial" w:hAnsi="Arial" w:cs="Arial"/>
          <w:b/>
          <w:bCs/>
          <w:color w:val="7B7B7B" w:themeColor="accent3" w:themeShade="BF"/>
          <w:sz w:val="22"/>
          <w:szCs w:val="22"/>
          <w:u w:val="single"/>
          <w:lang w:val="en-GB"/>
        </w:rPr>
      </w:pPr>
      <w:r w:rsidRPr="004E7B14">
        <w:rPr>
          <w:rFonts w:ascii="Arial" w:hAnsi="Arial" w:cs="Arial"/>
          <w:b/>
          <w:bCs/>
          <w:color w:val="7B7B7B" w:themeColor="accent3" w:themeShade="BF"/>
          <w:sz w:val="22"/>
          <w:szCs w:val="22"/>
          <w:u w:val="single"/>
          <w:lang w:val="en-GB"/>
        </w:rPr>
        <w:lastRenderedPageBreak/>
        <w:t>Executory contracts</w:t>
      </w:r>
    </w:p>
    <w:p w14:paraId="6B620935" w14:textId="77777777" w:rsidR="00397BE9" w:rsidRDefault="00397BE9" w:rsidP="00397BE9">
      <w:pPr>
        <w:jc w:val="both"/>
        <w:rPr>
          <w:rFonts w:ascii="Arial" w:hAnsi="Arial" w:cs="Arial"/>
          <w:color w:val="7B7B7B" w:themeColor="accent3" w:themeShade="BF"/>
          <w:sz w:val="22"/>
          <w:szCs w:val="22"/>
          <w:lang w:val="en-GB"/>
        </w:rPr>
      </w:pPr>
    </w:p>
    <w:p w14:paraId="2B08224D"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Per 1.2:</w:t>
      </w:r>
    </w:p>
    <w:p w14:paraId="7218BB1D"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p>
    <w:p w14:paraId="39CF2AE4"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 xml:space="preserve">“Chapter 11 debtors have greater flexibility than chapter 7 debtors on when they may assume, assign or reject an executory contract. </w:t>
      </w:r>
    </w:p>
    <w:p w14:paraId="5BAD4145"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p>
    <w:p w14:paraId="20ADE91B"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In the most common formulation, executory contracts are defined as those where both sides to a contract have material unperformed obligations.</w:t>
      </w:r>
    </w:p>
    <w:p w14:paraId="4AD48002"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p>
    <w:p w14:paraId="553FA657"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 xml:space="preserve">A court will generally defer to a debtor’s business judgment regarding whether to assume or reject an executory contract. </w:t>
      </w:r>
    </w:p>
    <w:p w14:paraId="05DD3ABD"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p>
    <w:p w14:paraId="1323240D" w14:textId="77777777" w:rsidR="00397BE9" w:rsidRPr="004E7B14" w:rsidRDefault="00397BE9" w:rsidP="00397BE9">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 xml:space="preserve">Under the hypothetical test, a debtor cannot assume an executory contract if the debtor could not also assign the contract.” </w:t>
      </w:r>
    </w:p>
    <w:p w14:paraId="475A21EF" w14:textId="77777777" w:rsidR="00637953" w:rsidRDefault="00637953" w:rsidP="005B2A9B">
      <w:pPr>
        <w:jc w:val="both"/>
        <w:rPr>
          <w:rFonts w:ascii="Arial" w:hAnsi="Arial" w:cs="Arial"/>
          <w:color w:val="7B7B7B" w:themeColor="accent3" w:themeShade="BF"/>
          <w:sz w:val="22"/>
          <w:szCs w:val="22"/>
          <w:u w:val="single"/>
          <w:lang w:val="en-GB"/>
        </w:rPr>
      </w:pPr>
    </w:p>
    <w:p w14:paraId="6A802C40" w14:textId="4BDF0F48" w:rsidR="005B2A9B" w:rsidRPr="000F3C01" w:rsidRDefault="000F3C01" w:rsidP="005B2A9B">
      <w:pPr>
        <w:jc w:val="both"/>
        <w:rPr>
          <w:rFonts w:ascii="Arial" w:hAnsi="Arial" w:cs="Arial"/>
          <w:color w:val="7B7B7B" w:themeColor="accent3" w:themeShade="BF"/>
          <w:sz w:val="22"/>
          <w:szCs w:val="22"/>
          <w:u w:val="single"/>
          <w:lang w:val="en-GB"/>
        </w:rPr>
      </w:pPr>
      <w:r w:rsidRPr="000F3C01">
        <w:rPr>
          <w:rFonts w:ascii="Arial" w:hAnsi="Arial" w:cs="Arial"/>
          <w:color w:val="7B7B7B" w:themeColor="accent3" w:themeShade="BF"/>
          <w:sz w:val="22"/>
          <w:szCs w:val="22"/>
          <w:u w:val="single"/>
          <w:lang w:val="en-GB"/>
        </w:rPr>
        <w:t>Situation 1</w:t>
      </w:r>
    </w:p>
    <w:p w14:paraId="3F7362D0" w14:textId="48A2925D" w:rsidR="000F3C01" w:rsidRDefault="000F3C01" w:rsidP="005B2A9B">
      <w:pPr>
        <w:jc w:val="both"/>
        <w:rPr>
          <w:rFonts w:ascii="Arial" w:hAnsi="Arial" w:cs="Arial"/>
          <w:color w:val="7B7B7B" w:themeColor="accent3" w:themeShade="BF"/>
          <w:sz w:val="22"/>
          <w:szCs w:val="22"/>
          <w:lang w:val="en-GB"/>
        </w:rPr>
      </w:pPr>
    </w:p>
    <w:p w14:paraId="1FD5DA98" w14:textId="5DD798FE" w:rsidR="000F3C01" w:rsidRDefault="000F3C01" w:rsidP="005B2A9B">
      <w:pPr>
        <w:jc w:val="both"/>
        <w:rPr>
          <w:rFonts w:ascii="Arial" w:hAnsi="Arial" w:cs="Arial"/>
          <w:color w:val="7B7B7B" w:themeColor="accent3" w:themeShade="BF"/>
          <w:sz w:val="22"/>
          <w:szCs w:val="22"/>
          <w:lang w:val="en-GB"/>
        </w:rPr>
      </w:pPr>
      <w:r w:rsidRPr="000F3C01">
        <w:rPr>
          <w:rFonts w:ascii="Arial" w:hAnsi="Arial" w:cs="Arial"/>
          <w:color w:val="7B7B7B" w:themeColor="accent3" w:themeShade="BF"/>
          <w:sz w:val="22"/>
          <w:szCs w:val="22"/>
          <w:lang w:val="en-GB"/>
        </w:rPr>
        <w:t>ShipCo</w:t>
      </w:r>
      <w:r>
        <w:rPr>
          <w:rFonts w:ascii="Arial" w:hAnsi="Arial" w:cs="Arial"/>
          <w:color w:val="7B7B7B" w:themeColor="accent3" w:themeShade="BF"/>
          <w:sz w:val="22"/>
          <w:szCs w:val="22"/>
          <w:lang w:val="en-GB"/>
        </w:rPr>
        <w:t xml:space="preserve"> </w:t>
      </w:r>
      <w:r w:rsidRPr="000F3C01">
        <w:rPr>
          <w:rFonts w:ascii="Arial" w:hAnsi="Arial" w:cs="Arial"/>
          <w:color w:val="7B7B7B" w:themeColor="accent3" w:themeShade="BF"/>
          <w:sz w:val="22"/>
          <w:szCs w:val="22"/>
          <w:lang w:val="en-GB"/>
        </w:rPr>
        <w:t>has filed a breach of contract lawsuit in Texas state court alleging that Oil Corp sold it contaminated oil that caused USD 1 billion in damage to ShipCo’s container ships.</w:t>
      </w:r>
    </w:p>
    <w:p w14:paraId="33153DD6" w14:textId="50F2145B" w:rsidR="00A56330" w:rsidRDefault="00A56330" w:rsidP="005B2A9B">
      <w:pPr>
        <w:jc w:val="both"/>
        <w:rPr>
          <w:rFonts w:ascii="Arial" w:hAnsi="Arial" w:cs="Arial"/>
          <w:color w:val="7B7B7B" w:themeColor="accent3" w:themeShade="BF"/>
          <w:sz w:val="22"/>
          <w:szCs w:val="22"/>
          <w:lang w:val="en-GB"/>
        </w:rPr>
      </w:pPr>
    </w:p>
    <w:p w14:paraId="07F0CCDB" w14:textId="00DFE81F" w:rsidR="00883D16" w:rsidRDefault="00883D1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ShipCo would have a claim against Oil Corp. in the proceedings but would be unable to take any further action as a result of the automatic worldwide stay </w:t>
      </w:r>
      <w:r w:rsidR="006D1C16">
        <w:rPr>
          <w:rFonts w:ascii="Arial" w:hAnsi="Arial" w:cs="Arial"/>
          <w:color w:val="7B7B7B" w:themeColor="accent3" w:themeShade="BF"/>
          <w:sz w:val="22"/>
          <w:szCs w:val="22"/>
          <w:lang w:val="en-GB"/>
        </w:rPr>
        <w:t>(upon commencing a voluntary proceeding/filing a</w:t>
      </w:r>
      <w:r w:rsidR="006D1C16" w:rsidRPr="00DF3AD2">
        <w:rPr>
          <w:rFonts w:ascii="Arial" w:hAnsi="Arial" w:cs="Arial"/>
          <w:color w:val="7B7B7B" w:themeColor="accent3" w:themeShade="BF"/>
          <w:sz w:val="22"/>
          <w:szCs w:val="22"/>
          <w:lang w:val="en-GB"/>
        </w:rPr>
        <w:t xml:space="preserve"> chapter 11 petition</w:t>
      </w:r>
      <w:r w:rsidR="006D1C1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the Bankruptcy Code explicitly prohibits litigation on pre-petition claims.</w:t>
      </w:r>
    </w:p>
    <w:p w14:paraId="28D8AE27" w14:textId="1B9DCD30" w:rsidR="00C86004" w:rsidRDefault="00C86004" w:rsidP="005B2A9B">
      <w:pPr>
        <w:jc w:val="both"/>
        <w:rPr>
          <w:rFonts w:ascii="Arial" w:hAnsi="Arial" w:cs="Arial"/>
          <w:color w:val="7B7B7B" w:themeColor="accent3" w:themeShade="BF"/>
          <w:sz w:val="22"/>
          <w:szCs w:val="22"/>
          <w:lang w:val="en-GB"/>
        </w:rPr>
      </w:pPr>
    </w:p>
    <w:p w14:paraId="07D857BD" w14:textId="0BA6044D" w:rsidR="00C86004" w:rsidRDefault="00C86004" w:rsidP="00C860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Oil Corp. may continue to operate in the ordinary course of business and may liquidate/reorganise during chapter 11 proceedings.</w:t>
      </w:r>
    </w:p>
    <w:p w14:paraId="60270B06" w14:textId="54DED618" w:rsidR="00A56330" w:rsidRDefault="00A56330" w:rsidP="005B2A9B">
      <w:pPr>
        <w:jc w:val="both"/>
        <w:rPr>
          <w:rFonts w:ascii="Arial" w:hAnsi="Arial" w:cs="Arial"/>
          <w:color w:val="7B7B7B" w:themeColor="accent3" w:themeShade="BF"/>
          <w:sz w:val="22"/>
          <w:szCs w:val="22"/>
          <w:lang w:val="en-GB"/>
        </w:rPr>
      </w:pPr>
    </w:p>
    <w:p w14:paraId="03C84CA9" w14:textId="5F5798B7" w:rsidR="00A56330" w:rsidRPr="00A56330" w:rsidRDefault="00A56330" w:rsidP="005B2A9B">
      <w:pPr>
        <w:jc w:val="both"/>
        <w:rPr>
          <w:rFonts w:ascii="Arial" w:hAnsi="Arial" w:cs="Arial"/>
          <w:color w:val="7B7B7B" w:themeColor="accent3" w:themeShade="BF"/>
          <w:sz w:val="22"/>
          <w:szCs w:val="22"/>
          <w:u w:val="single"/>
          <w:lang w:val="en-GB"/>
        </w:rPr>
      </w:pPr>
      <w:r w:rsidRPr="00A56330">
        <w:rPr>
          <w:rFonts w:ascii="Arial" w:hAnsi="Arial" w:cs="Arial"/>
          <w:color w:val="7B7B7B" w:themeColor="accent3" w:themeShade="BF"/>
          <w:sz w:val="22"/>
          <w:szCs w:val="22"/>
          <w:u w:val="single"/>
          <w:lang w:val="en-GB"/>
        </w:rPr>
        <w:t>Situation 2</w:t>
      </w:r>
    </w:p>
    <w:p w14:paraId="3E8A9AA5" w14:textId="665B7093" w:rsidR="00A56330" w:rsidRDefault="00A56330" w:rsidP="005B2A9B">
      <w:pPr>
        <w:jc w:val="both"/>
        <w:rPr>
          <w:rFonts w:ascii="Arial" w:hAnsi="Arial" w:cs="Arial"/>
          <w:color w:val="7B7B7B" w:themeColor="accent3" w:themeShade="BF"/>
          <w:sz w:val="22"/>
          <w:szCs w:val="22"/>
          <w:lang w:val="en-GB"/>
        </w:rPr>
      </w:pPr>
    </w:p>
    <w:p w14:paraId="5CFA9FED" w14:textId="1CE732F9" w:rsidR="00A56330" w:rsidRDefault="00A5633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A56330">
        <w:rPr>
          <w:rFonts w:ascii="Arial" w:hAnsi="Arial" w:cs="Arial"/>
          <w:color w:val="7B7B7B" w:themeColor="accent3" w:themeShade="BF"/>
          <w:sz w:val="22"/>
          <w:szCs w:val="22"/>
          <w:lang w:val="en-GB"/>
        </w:rPr>
        <w:t xml:space="preserve">he US Department of Justice </w:t>
      </w:r>
      <w:r w:rsidR="006D1C16">
        <w:rPr>
          <w:rFonts w:ascii="Arial" w:hAnsi="Arial" w:cs="Arial"/>
          <w:color w:val="7B7B7B" w:themeColor="accent3" w:themeShade="BF"/>
          <w:sz w:val="22"/>
          <w:szCs w:val="22"/>
          <w:lang w:val="en-GB"/>
        </w:rPr>
        <w:t xml:space="preserve">(“DoJ”) </w:t>
      </w:r>
      <w:r w:rsidRPr="00A56330">
        <w:rPr>
          <w:rFonts w:ascii="Arial" w:hAnsi="Arial" w:cs="Arial"/>
          <w:color w:val="7B7B7B" w:themeColor="accent3" w:themeShade="BF"/>
          <w:sz w:val="22"/>
          <w:szCs w:val="22"/>
          <w:lang w:val="en-GB"/>
        </w:rPr>
        <w:t>is investigating whether Oil Corp illegally purchased oil from countries subject to US sanctions</w:t>
      </w:r>
      <w:r>
        <w:rPr>
          <w:rFonts w:ascii="Arial" w:hAnsi="Arial" w:cs="Arial"/>
          <w:color w:val="7B7B7B" w:themeColor="accent3" w:themeShade="BF"/>
          <w:sz w:val="22"/>
          <w:szCs w:val="22"/>
          <w:lang w:val="en-GB"/>
        </w:rPr>
        <w:t>.</w:t>
      </w:r>
    </w:p>
    <w:p w14:paraId="7189DB44" w14:textId="50ADAC93" w:rsidR="00883D16" w:rsidRDefault="00883D16" w:rsidP="005B2A9B">
      <w:pPr>
        <w:jc w:val="both"/>
        <w:rPr>
          <w:rFonts w:ascii="Arial" w:hAnsi="Arial" w:cs="Arial"/>
          <w:color w:val="7B7B7B" w:themeColor="accent3" w:themeShade="BF"/>
          <w:sz w:val="22"/>
          <w:szCs w:val="22"/>
          <w:lang w:val="en-GB"/>
        </w:rPr>
      </w:pPr>
    </w:p>
    <w:p w14:paraId="55DDB78B" w14:textId="3C7BE1E5" w:rsidR="006D1C16" w:rsidRDefault="006D1C16" w:rsidP="006D1C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Oil Corp. would be subject to an automatic worldwide stay (upon commencing a voluntary proceeding/filing a</w:t>
      </w:r>
      <w:r w:rsidRPr="00DF3AD2">
        <w:rPr>
          <w:rFonts w:ascii="Arial" w:hAnsi="Arial" w:cs="Arial"/>
          <w:color w:val="7B7B7B" w:themeColor="accent3" w:themeShade="BF"/>
          <w:sz w:val="22"/>
          <w:szCs w:val="22"/>
          <w:lang w:val="en-GB"/>
        </w:rPr>
        <w:t xml:space="preserve"> chapter 11 petition</w:t>
      </w:r>
      <w:r>
        <w:rPr>
          <w:rFonts w:ascii="Arial" w:hAnsi="Arial" w:cs="Arial"/>
          <w:color w:val="7B7B7B" w:themeColor="accent3" w:themeShade="BF"/>
          <w:sz w:val="22"/>
          <w:szCs w:val="22"/>
          <w:lang w:val="en-GB"/>
        </w:rPr>
        <w:t>), regulatory investigations – such as those being conducted by the DoJ – are permitted to continue, as are criminal proceedings.</w:t>
      </w:r>
    </w:p>
    <w:p w14:paraId="7795E04F" w14:textId="4BCB39E6" w:rsidR="006D1C16" w:rsidRDefault="006D1C16" w:rsidP="006D1C16">
      <w:pPr>
        <w:jc w:val="both"/>
        <w:rPr>
          <w:rFonts w:ascii="Arial" w:hAnsi="Arial" w:cs="Arial"/>
          <w:color w:val="7B7B7B" w:themeColor="accent3" w:themeShade="BF"/>
          <w:sz w:val="22"/>
          <w:szCs w:val="22"/>
          <w:lang w:val="en-GB"/>
        </w:rPr>
      </w:pPr>
    </w:p>
    <w:p w14:paraId="31C25A65" w14:textId="65558C74" w:rsidR="00883D16" w:rsidRDefault="000E538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Oil Corp. owe a fiduciary duty of loyalty to the corporation’s best interest and owe these duties to the corporation and its shareholders (interestingly, not its creditors). NB, the directors of Oil Corp. also have a duty of care in educated decision making and, under the business judgement rule, are protected from liability for “errors of judgement”, as the business judgement rule presumes that the directors have acted in good faith, on the basis of reasonable information. If the DoJ can prove that the directors of Oil Corp. have not acted in good faith (on the basis of reasonable information), despite commencing a voluntary proceeding/filing a</w:t>
      </w:r>
      <w:r w:rsidRPr="00DF3AD2">
        <w:rPr>
          <w:rFonts w:ascii="Arial" w:hAnsi="Arial" w:cs="Arial"/>
          <w:color w:val="7B7B7B" w:themeColor="accent3" w:themeShade="BF"/>
          <w:sz w:val="22"/>
          <w:szCs w:val="22"/>
          <w:lang w:val="en-GB"/>
        </w:rPr>
        <w:t xml:space="preserve"> chapter 11 petition</w:t>
      </w:r>
      <w:r>
        <w:rPr>
          <w:rFonts w:ascii="Arial" w:hAnsi="Arial" w:cs="Arial"/>
          <w:color w:val="7B7B7B" w:themeColor="accent3" w:themeShade="BF"/>
          <w:sz w:val="22"/>
          <w:szCs w:val="22"/>
          <w:lang w:val="en-GB"/>
        </w:rPr>
        <w:t>, the directors may still be found personally liable for any potential misconduct.</w:t>
      </w:r>
    </w:p>
    <w:p w14:paraId="16BC439B" w14:textId="4F7A4B27" w:rsidR="00A56330" w:rsidRDefault="00A56330" w:rsidP="005B2A9B">
      <w:pPr>
        <w:jc w:val="both"/>
        <w:rPr>
          <w:rFonts w:ascii="Arial" w:hAnsi="Arial" w:cs="Arial"/>
          <w:color w:val="7B7B7B" w:themeColor="accent3" w:themeShade="BF"/>
          <w:sz w:val="22"/>
          <w:szCs w:val="22"/>
          <w:lang w:val="en-GB"/>
        </w:rPr>
      </w:pPr>
    </w:p>
    <w:p w14:paraId="21A1F9B3" w14:textId="7BC8327A" w:rsidR="00A56330" w:rsidRPr="00A56330" w:rsidRDefault="00A56330" w:rsidP="005B2A9B">
      <w:pPr>
        <w:jc w:val="both"/>
        <w:rPr>
          <w:rFonts w:ascii="Arial" w:hAnsi="Arial" w:cs="Arial"/>
          <w:color w:val="7B7B7B" w:themeColor="accent3" w:themeShade="BF"/>
          <w:sz w:val="22"/>
          <w:szCs w:val="22"/>
          <w:u w:val="single"/>
          <w:lang w:val="en-GB"/>
        </w:rPr>
      </w:pPr>
      <w:r w:rsidRPr="00A56330">
        <w:rPr>
          <w:rFonts w:ascii="Arial" w:hAnsi="Arial" w:cs="Arial"/>
          <w:color w:val="7B7B7B" w:themeColor="accent3" w:themeShade="BF"/>
          <w:sz w:val="22"/>
          <w:szCs w:val="22"/>
          <w:u w:val="single"/>
          <w:lang w:val="en-GB"/>
        </w:rPr>
        <w:t>Situation 3</w:t>
      </w:r>
    </w:p>
    <w:p w14:paraId="4A45620A" w14:textId="62CEECE0" w:rsidR="00A56330" w:rsidRDefault="00A56330" w:rsidP="005B2A9B">
      <w:pPr>
        <w:jc w:val="both"/>
        <w:rPr>
          <w:rFonts w:ascii="Arial" w:hAnsi="Arial" w:cs="Arial"/>
          <w:color w:val="7B7B7B" w:themeColor="accent3" w:themeShade="BF"/>
          <w:sz w:val="22"/>
          <w:szCs w:val="22"/>
          <w:lang w:val="en-GB"/>
        </w:rPr>
      </w:pPr>
    </w:p>
    <w:p w14:paraId="37624603" w14:textId="457489B3" w:rsidR="00A56330" w:rsidRDefault="00A56330" w:rsidP="005B2A9B">
      <w:pPr>
        <w:jc w:val="both"/>
        <w:rPr>
          <w:rFonts w:ascii="Arial" w:hAnsi="Arial" w:cs="Arial"/>
          <w:color w:val="7B7B7B" w:themeColor="accent3" w:themeShade="BF"/>
          <w:sz w:val="22"/>
          <w:szCs w:val="22"/>
          <w:lang w:val="en-GB"/>
        </w:rPr>
      </w:pPr>
      <w:r w:rsidRPr="00A56330">
        <w:rPr>
          <w:rFonts w:ascii="Arial" w:hAnsi="Arial" w:cs="Arial"/>
          <w:color w:val="7B7B7B" w:themeColor="accent3" w:themeShade="BF"/>
          <w:sz w:val="22"/>
          <w:szCs w:val="22"/>
          <w:lang w:val="en-GB"/>
        </w:rPr>
        <w:t>Oil Corp. has missed a payment on its secured loan from USA Bank, and USA Bank is threatening to foreclose on an Oil Corp refinery located in the Philippines</w:t>
      </w:r>
      <w:r>
        <w:rPr>
          <w:rFonts w:ascii="Arial" w:hAnsi="Arial" w:cs="Arial"/>
          <w:color w:val="7B7B7B" w:themeColor="accent3" w:themeShade="BF"/>
          <w:sz w:val="22"/>
          <w:szCs w:val="22"/>
          <w:lang w:val="en-GB"/>
        </w:rPr>
        <w:t>.</w:t>
      </w:r>
    </w:p>
    <w:p w14:paraId="764CF877" w14:textId="77777777" w:rsidR="00C86004" w:rsidRDefault="00C86004" w:rsidP="00C86004">
      <w:pPr>
        <w:jc w:val="both"/>
        <w:rPr>
          <w:rFonts w:ascii="Arial" w:hAnsi="Arial" w:cs="Arial"/>
          <w:color w:val="7B7B7B" w:themeColor="accent3" w:themeShade="BF"/>
          <w:sz w:val="22"/>
          <w:szCs w:val="22"/>
          <w:lang w:val="en-GB"/>
        </w:rPr>
      </w:pPr>
    </w:p>
    <w:p w14:paraId="096DD454" w14:textId="40020689" w:rsidR="00C86004" w:rsidRDefault="00C8600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USA Bank would have a claim against Oil Corp. in the proceedings but would be unable to foreclose on an Oil Corp. refinery located in the Philippines as a result of the automatic </w:t>
      </w:r>
      <w:r>
        <w:rPr>
          <w:rFonts w:ascii="Arial" w:hAnsi="Arial" w:cs="Arial"/>
          <w:color w:val="7B7B7B" w:themeColor="accent3" w:themeShade="BF"/>
          <w:sz w:val="22"/>
          <w:szCs w:val="22"/>
          <w:lang w:val="en-GB"/>
        </w:rPr>
        <w:lastRenderedPageBreak/>
        <w:t>worldwide stay (upon commencing a voluntary proceeding/filing a</w:t>
      </w:r>
      <w:r w:rsidRPr="00DF3AD2">
        <w:rPr>
          <w:rFonts w:ascii="Arial" w:hAnsi="Arial" w:cs="Arial"/>
          <w:color w:val="7B7B7B" w:themeColor="accent3" w:themeShade="BF"/>
          <w:sz w:val="22"/>
          <w:szCs w:val="22"/>
          <w:lang w:val="en-GB"/>
        </w:rPr>
        <w:t xml:space="preserve"> chapter 11 petition</w:t>
      </w:r>
      <w:r>
        <w:rPr>
          <w:rFonts w:ascii="Arial" w:hAnsi="Arial" w:cs="Arial"/>
          <w:color w:val="7B7B7B" w:themeColor="accent3" w:themeShade="BF"/>
          <w:sz w:val="22"/>
          <w:szCs w:val="22"/>
          <w:lang w:val="en-GB"/>
        </w:rPr>
        <w:t>) as the Bankruptcy Code explicitly prohibits enforcement of pre-petition judgements against the debtor or property of the estate and any act to obtain possession or control of property of the estate.</w:t>
      </w:r>
    </w:p>
    <w:p w14:paraId="28C17A55" w14:textId="217ECA13" w:rsidR="00C86004" w:rsidRDefault="00C86004" w:rsidP="005B2A9B">
      <w:pPr>
        <w:jc w:val="both"/>
        <w:rPr>
          <w:rFonts w:ascii="Arial" w:hAnsi="Arial" w:cs="Arial"/>
          <w:color w:val="7B7B7B" w:themeColor="accent3" w:themeShade="BF"/>
          <w:sz w:val="22"/>
          <w:szCs w:val="22"/>
          <w:lang w:val="en-GB"/>
        </w:rPr>
      </w:pPr>
    </w:p>
    <w:p w14:paraId="5F11F00F" w14:textId="77777777" w:rsidR="00C86004" w:rsidRDefault="00C86004" w:rsidP="00C860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Oil Corp. may continue to operate in the ordinary course of business and may liquidate/reorganise during chapter 11 proceedings.</w:t>
      </w:r>
    </w:p>
    <w:p w14:paraId="7C1FC4EB" w14:textId="69D269EC" w:rsidR="00A56330" w:rsidRDefault="00A56330" w:rsidP="005B2A9B">
      <w:pPr>
        <w:jc w:val="both"/>
        <w:rPr>
          <w:rFonts w:ascii="Arial" w:hAnsi="Arial" w:cs="Arial"/>
          <w:color w:val="7B7B7B" w:themeColor="accent3" w:themeShade="BF"/>
          <w:sz w:val="22"/>
          <w:szCs w:val="22"/>
          <w:lang w:val="en-GB"/>
        </w:rPr>
      </w:pPr>
    </w:p>
    <w:p w14:paraId="48367AFE" w14:textId="1BB9612C" w:rsidR="00A56330" w:rsidRPr="00A56330" w:rsidRDefault="00A56330" w:rsidP="005B2A9B">
      <w:pPr>
        <w:jc w:val="both"/>
        <w:rPr>
          <w:rFonts w:ascii="Arial" w:hAnsi="Arial" w:cs="Arial"/>
          <w:color w:val="7B7B7B" w:themeColor="accent3" w:themeShade="BF"/>
          <w:sz w:val="22"/>
          <w:szCs w:val="22"/>
          <w:u w:val="single"/>
          <w:lang w:val="en-GB"/>
        </w:rPr>
      </w:pPr>
      <w:r w:rsidRPr="00A56330">
        <w:rPr>
          <w:rFonts w:ascii="Arial" w:hAnsi="Arial" w:cs="Arial"/>
          <w:color w:val="7B7B7B" w:themeColor="accent3" w:themeShade="BF"/>
          <w:sz w:val="22"/>
          <w:szCs w:val="22"/>
          <w:u w:val="single"/>
          <w:lang w:val="en-GB"/>
        </w:rPr>
        <w:t>Situation 4</w:t>
      </w:r>
    </w:p>
    <w:p w14:paraId="6742B999" w14:textId="7B659E91" w:rsidR="00323167" w:rsidRDefault="00323167" w:rsidP="00323167">
      <w:pPr>
        <w:pStyle w:val="AODocTxt"/>
        <w:spacing w:before="0" w:line="240" w:lineRule="auto"/>
        <w:rPr>
          <w:rFonts w:ascii="Arial" w:hAnsi="Arial" w:cs="Arial"/>
        </w:rPr>
      </w:pPr>
    </w:p>
    <w:p w14:paraId="04811112" w14:textId="1B0467F3" w:rsidR="005B2A9B" w:rsidRDefault="00A56330" w:rsidP="00A56330">
      <w:pPr>
        <w:jc w:val="both"/>
        <w:rPr>
          <w:rFonts w:ascii="Arial" w:hAnsi="Arial" w:cs="Arial"/>
          <w:color w:val="7B7B7B" w:themeColor="accent3" w:themeShade="BF"/>
          <w:sz w:val="22"/>
          <w:szCs w:val="22"/>
          <w:lang w:val="en-GB"/>
        </w:rPr>
      </w:pPr>
      <w:r w:rsidRPr="00A56330">
        <w:rPr>
          <w:rFonts w:ascii="Arial" w:hAnsi="Arial" w:cs="Arial"/>
          <w:color w:val="7B7B7B" w:themeColor="accent3" w:themeShade="BF"/>
          <w:sz w:val="22"/>
          <w:szCs w:val="22"/>
          <w:lang w:val="en-GB"/>
        </w:rPr>
        <w:t>Oil Corp has forgotten to pay rent on its Houston, Texas office space and its landlord is threatening to evict it</w:t>
      </w:r>
      <w:r w:rsidR="00E7758D">
        <w:rPr>
          <w:rFonts w:ascii="Arial" w:hAnsi="Arial" w:cs="Arial"/>
          <w:color w:val="7B7B7B" w:themeColor="accent3" w:themeShade="BF"/>
          <w:sz w:val="22"/>
          <w:szCs w:val="22"/>
          <w:lang w:val="en-GB"/>
        </w:rPr>
        <w:t>.</w:t>
      </w:r>
    </w:p>
    <w:p w14:paraId="13149CB0" w14:textId="18CBC363" w:rsidR="00C86004" w:rsidRDefault="00C86004" w:rsidP="00A56330">
      <w:pPr>
        <w:jc w:val="both"/>
        <w:rPr>
          <w:rFonts w:ascii="Arial" w:hAnsi="Arial" w:cs="Arial"/>
          <w:color w:val="7B7B7B" w:themeColor="accent3" w:themeShade="BF"/>
          <w:sz w:val="22"/>
          <w:szCs w:val="22"/>
          <w:lang w:val="en-GB"/>
        </w:rPr>
      </w:pPr>
    </w:p>
    <w:p w14:paraId="5C137053" w14:textId="72EB114C" w:rsidR="00C86004" w:rsidRDefault="00C86004" w:rsidP="00A5633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Oil Corp. has “forgotten” to pay rent on its Houston, Texas office space, as opposed to being unable to.</w:t>
      </w:r>
    </w:p>
    <w:p w14:paraId="4115C538" w14:textId="3E1B29E0" w:rsidR="00C86004" w:rsidRDefault="00766A9C" w:rsidP="00C860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w:t>
      </w:r>
      <w:r w:rsidR="00C86004">
        <w:rPr>
          <w:rFonts w:ascii="Arial" w:hAnsi="Arial" w:cs="Arial"/>
          <w:color w:val="7B7B7B" w:themeColor="accent3" w:themeShade="BF"/>
          <w:sz w:val="22"/>
          <w:szCs w:val="22"/>
          <w:lang w:val="en-GB"/>
        </w:rPr>
        <w:t xml:space="preserve"> landlord would have a claim against Oil Corp. in the proceedings but would be unable to evict it as a result of the automatic worldwide stay (upon commencing a voluntary proceeding/filing a</w:t>
      </w:r>
      <w:r w:rsidR="00C86004" w:rsidRPr="00DF3AD2">
        <w:rPr>
          <w:rFonts w:ascii="Arial" w:hAnsi="Arial" w:cs="Arial"/>
          <w:color w:val="7B7B7B" w:themeColor="accent3" w:themeShade="BF"/>
          <w:sz w:val="22"/>
          <w:szCs w:val="22"/>
          <w:lang w:val="en-GB"/>
        </w:rPr>
        <w:t xml:space="preserve"> chapter 11 petition</w:t>
      </w:r>
      <w:r w:rsidR="00C86004">
        <w:rPr>
          <w:rFonts w:ascii="Arial" w:hAnsi="Arial" w:cs="Arial"/>
          <w:color w:val="7B7B7B" w:themeColor="accent3" w:themeShade="BF"/>
          <w:sz w:val="22"/>
          <w:szCs w:val="22"/>
          <w:lang w:val="en-GB"/>
        </w:rPr>
        <w:t>) as the Bankruptcy Code explicitly prohibits enforcement of pre-petition judgements against the debtor or property of the estate and any act to obtain possession or control of property of the estate.</w:t>
      </w:r>
    </w:p>
    <w:p w14:paraId="7B3BC98F" w14:textId="77777777" w:rsidR="00C86004" w:rsidRDefault="00C86004" w:rsidP="00C86004">
      <w:pPr>
        <w:jc w:val="both"/>
        <w:rPr>
          <w:rFonts w:ascii="Arial" w:hAnsi="Arial" w:cs="Arial"/>
          <w:color w:val="7B7B7B" w:themeColor="accent3" w:themeShade="BF"/>
          <w:sz w:val="22"/>
          <w:szCs w:val="22"/>
          <w:lang w:val="en-GB"/>
        </w:rPr>
      </w:pPr>
    </w:p>
    <w:p w14:paraId="3FB07972" w14:textId="77777777" w:rsidR="00C86004" w:rsidRDefault="00C86004" w:rsidP="00C860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Oil Corp. may continue to operate in the ordinary course of business and may liquidate/reorganise during chapter 11 proceedings.</w:t>
      </w:r>
    </w:p>
    <w:p w14:paraId="69108D36" w14:textId="3B062FDA" w:rsidR="00A56330" w:rsidRDefault="00A56330" w:rsidP="00323167">
      <w:pPr>
        <w:pStyle w:val="AODocTxt"/>
        <w:spacing w:before="0" w:line="240" w:lineRule="auto"/>
        <w:rPr>
          <w:rFonts w:ascii="Arial" w:hAnsi="Arial" w:cs="Arial"/>
        </w:rPr>
      </w:pPr>
    </w:p>
    <w:p w14:paraId="776692DC" w14:textId="351D0BDE" w:rsidR="00A56330" w:rsidRDefault="00A56330" w:rsidP="00323167">
      <w:pPr>
        <w:pStyle w:val="AODocTxt"/>
        <w:spacing w:before="0" w:line="240" w:lineRule="auto"/>
        <w:rPr>
          <w:rFonts w:ascii="Arial" w:hAnsi="Arial" w:cs="Arial"/>
        </w:rPr>
      </w:pPr>
    </w:p>
    <w:p w14:paraId="365D068F" w14:textId="77777777" w:rsidR="00A56330" w:rsidRPr="00323167" w:rsidRDefault="00A56330"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6B95472" w14:textId="42B291A5" w:rsidR="00B42204" w:rsidRPr="00637953" w:rsidRDefault="00B42204" w:rsidP="00B42204">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 xml:space="preserve">Oil Corp. has filed for bankruptcy </w:t>
      </w:r>
    </w:p>
    <w:p w14:paraId="1EE96F0F" w14:textId="77777777" w:rsidR="00B42204" w:rsidRDefault="00B42204" w:rsidP="00B42204">
      <w:pPr>
        <w:jc w:val="both"/>
        <w:rPr>
          <w:rFonts w:ascii="Arial" w:hAnsi="Arial" w:cs="Arial"/>
          <w:color w:val="7B7B7B" w:themeColor="accent3" w:themeShade="BF"/>
          <w:sz w:val="22"/>
          <w:szCs w:val="22"/>
          <w:u w:val="single"/>
          <w:lang w:val="en-GB"/>
        </w:rPr>
      </w:pPr>
    </w:p>
    <w:p w14:paraId="0DE43B91" w14:textId="77777777" w:rsidR="00B42204" w:rsidRDefault="00B42204" w:rsidP="00B42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has commenced a voluntary proceeding by filing a</w:t>
      </w:r>
      <w:r w:rsidRPr="00DF3AD2">
        <w:rPr>
          <w:rFonts w:ascii="Arial" w:hAnsi="Arial" w:cs="Arial"/>
          <w:color w:val="7B7B7B" w:themeColor="accent3" w:themeShade="BF"/>
          <w:sz w:val="22"/>
          <w:szCs w:val="22"/>
          <w:lang w:val="en-GB"/>
        </w:rPr>
        <w:t xml:space="preserve"> chapter 11 petition</w:t>
      </w:r>
      <w:r>
        <w:rPr>
          <w:rFonts w:ascii="Arial" w:hAnsi="Arial" w:cs="Arial"/>
          <w:color w:val="7B7B7B" w:themeColor="accent3" w:themeShade="BF"/>
          <w:sz w:val="22"/>
          <w:szCs w:val="22"/>
          <w:lang w:val="en-GB"/>
        </w:rPr>
        <w:t xml:space="preserve"> and is considered a “debtor in possession”</w:t>
      </w:r>
      <w:r w:rsidRPr="00DF3AD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may continue to operate in the ordinary course of business and may liquidate/reorganise during chapter 11 proceedings. </w:t>
      </w:r>
    </w:p>
    <w:p w14:paraId="7ECF7CAA" w14:textId="77777777" w:rsidR="00B42204" w:rsidRDefault="00B42204" w:rsidP="00B42204">
      <w:pPr>
        <w:jc w:val="both"/>
        <w:rPr>
          <w:rFonts w:ascii="Arial" w:hAnsi="Arial" w:cs="Arial"/>
          <w:color w:val="7B7B7B" w:themeColor="accent3" w:themeShade="BF"/>
          <w:sz w:val="22"/>
          <w:szCs w:val="22"/>
          <w:lang w:val="en-GB"/>
        </w:rPr>
      </w:pPr>
    </w:p>
    <w:p w14:paraId="24A8B897" w14:textId="3562FA16" w:rsidR="00B42204" w:rsidRDefault="00B42204" w:rsidP="00B42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above, in light of petition for the bankruptcy being filed, Oil Corp. will benefit from a worldwide automatic stay of creditor enforcement proceedings.</w:t>
      </w:r>
    </w:p>
    <w:p w14:paraId="3120EACB" w14:textId="56DC4E8D" w:rsidR="004E7B14" w:rsidRDefault="004E7B14" w:rsidP="00B42204">
      <w:pPr>
        <w:jc w:val="both"/>
        <w:rPr>
          <w:rFonts w:ascii="Arial" w:hAnsi="Arial" w:cs="Arial"/>
          <w:color w:val="7B7B7B" w:themeColor="accent3" w:themeShade="BF"/>
          <w:sz w:val="22"/>
          <w:szCs w:val="22"/>
          <w:lang w:val="en-GB"/>
        </w:rPr>
      </w:pPr>
    </w:p>
    <w:p w14:paraId="5CBE6B23" w14:textId="69CA1E84" w:rsidR="004E7B14" w:rsidRPr="004E7B14" w:rsidRDefault="004E7B14" w:rsidP="00B42204">
      <w:pPr>
        <w:jc w:val="both"/>
        <w:rPr>
          <w:rFonts w:ascii="Arial" w:hAnsi="Arial" w:cs="Arial"/>
          <w:b/>
          <w:bCs/>
          <w:color w:val="7B7B7B" w:themeColor="accent3" w:themeShade="BF"/>
          <w:sz w:val="22"/>
          <w:szCs w:val="22"/>
          <w:u w:val="single"/>
          <w:lang w:val="en-GB"/>
        </w:rPr>
      </w:pPr>
      <w:r w:rsidRPr="004E7B14">
        <w:rPr>
          <w:rFonts w:ascii="Arial" w:hAnsi="Arial" w:cs="Arial"/>
          <w:b/>
          <w:bCs/>
          <w:color w:val="7B7B7B" w:themeColor="accent3" w:themeShade="BF"/>
          <w:sz w:val="22"/>
          <w:szCs w:val="22"/>
          <w:u w:val="single"/>
          <w:lang w:val="en-GB"/>
        </w:rPr>
        <w:t>Executory contracts</w:t>
      </w:r>
    </w:p>
    <w:p w14:paraId="0A0191E9" w14:textId="794756F5" w:rsidR="004E7B14" w:rsidRDefault="004E7B14" w:rsidP="00B42204">
      <w:pPr>
        <w:jc w:val="both"/>
        <w:rPr>
          <w:rFonts w:ascii="Arial" w:hAnsi="Arial" w:cs="Arial"/>
          <w:color w:val="7B7B7B" w:themeColor="accent3" w:themeShade="BF"/>
          <w:sz w:val="22"/>
          <w:szCs w:val="22"/>
          <w:lang w:val="en-GB"/>
        </w:rPr>
      </w:pPr>
    </w:p>
    <w:p w14:paraId="42F7BBF6"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Per 1.2:</w:t>
      </w:r>
    </w:p>
    <w:p w14:paraId="34F29892"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p>
    <w:p w14:paraId="59D3E876"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lastRenderedPageBreak/>
        <w:t xml:space="preserve">“Chapter 11 debtors have greater flexibility than chapter 7 debtors on when they may assume, assign or reject an executory contract. </w:t>
      </w:r>
    </w:p>
    <w:p w14:paraId="3189E563"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p>
    <w:p w14:paraId="1231DDBC"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In the most common formulation, executory contracts are defined as those where both sides to a contract have material unperformed obligations.</w:t>
      </w:r>
    </w:p>
    <w:p w14:paraId="1E1435D0"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p>
    <w:p w14:paraId="08612F1A"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 xml:space="preserve">A court will generally defer to a debtor’s business judgment regarding whether to assume or reject an executory contract. </w:t>
      </w:r>
    </w:p>
    <w:p w14:paraId="1358B750"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p>
    <w:p w14:paraId="4D7D3AC0" w14:textId="77777777" w:rsidR="004E7B14" w:rsidRPr="004E7B14" w:rsidRDefault="004E7B14" w:rsidP="004E7B14">
      <w:pPr>
        <w:pStyle w:val="AODocTxt"/>
        <w:spacing w:before="0" w:line="240" w:lineRule="auto"/>
        <w:rPr>
          <w:rFonts w:ascii="Arial" w:eastAsia="Times New Roman" w:hAnsi="Arial" w:cs="Arial"/>
          <w:color w:val="7B7B7B" w:themeColor="accent3" w:themeShade="BF"/>
          <w:lang w:val="en-GB"/>
        </w:rPr>
      </w:pPr>
      <w:r w:rsidRPr="004E7B14">
        <w:rPr>
          <w:rFonts w:ascii="Arial" w:eastAsia="Times New Roman" w:hAnsi="Arial" w:cs="Arial"/>
          <w:color w:val="7B7B7B" w:themeColor="accent3" w:themeShade="BF"/>
          <w:lang w:val="en-GB"/>
        </w:rPr>
        <w:t xml:space="preserve">Under the hypothetical test, a debtor cannot assume an executory contract if the debtor could not also assign the contract.” </w:t>
      </w:r>
    </w:p>
    <w:p w14:paraId="631A4D69" w14:textId="03189B20" w:rsidR="00B42204" w:rsidRDefault="00B42204" w:rsidP="00B42204">
      <w:pPr>
        <w:jc w:val="both"/>
        <w:rPr>
          <w:rFonts w:ascii="Arial" w:hAnsi="Arial" w:cs="Arial"/>
          <w:color w:val="7B7B7B" w:themeColor="accent3" w:themeShade="BF"/>
          <w:sz w:val="22"/>
          <w:szCs w:val="22"/>
          <w:lang w:val="en-GB"/>
        </w:rPr>
      </w:pPr>
    </w:p>
    <w:p w14:paraId="6203D644" w14:textId="53F836BB" w:rsidR="00B42204" w:rsidRPr="00B42204" w:rsidRDefault="00B42204" w:rsidP="00B42204">
      <w:pPr>
        <w:jc w:val="both"/>
        <w:rPr>
          <w:rFonts w:ascii="Arial" w:hAnsi="Arial" w:cs="Arial"/>
          <w:b/>
          <w:bCs/>
          <w:color w:val="7B7B7B" w:themeColor="accent3" w:themeShade="BF"/>
          <w:sz w:val="22"/>
          <w:szCs w:val="22"/>
          <w:u w:val="single"/>
          <w:lang w:val="en-GB"/>
        </w:rPr>
      </w:pPr>
      <w:r w:rsidRPr="00B42204">
        <w:rPr>
          <w:rFonts w:ascii="Arial" w:hAnsi="Arial" w:cs="Arial"/>
          <w:b/>
          <w:bCs/>
          <w:color w:val="7B7B7B" w:themeColor="accent3" w:themeShade="BF"/>
          <w:sz w:val="22"/>
          <w:szCs w:val="22"/>
          <w:u w:val="single"/>
          <w:lang w:val="en-GB"/>
        </w:rPr>
        <w:t>363 sale</w:t>
      </w:r>
    </w:p>
    <w:p w14:paraId="74587DC5" w14:textId="01DDE69B" w:rsidR="00B42204" w:rsidRDefault="00B42204" w:rsidP="00B42204">
      <w:pPr>
        <w:jc w:val="both"/>
        <w:rPr>
          <w:rFonts w:ascii="Arial" w:hAnsi="Arial" w:cs="Arial"/>
          <w:color w:val="7B7B7B" w:themeColor="accent3" w:themeShade="BF"/>
          <w:sz w:val="22"/>
          <w:szCs w:val="22"/>
          <w:lang w:val="en-GB"/>
        </w:rPr>
      </w:pPr>
    </w:p>
    <w:p w14:paraId="38E47B7C" w14:textId="181E0ED2" w:rsidR="00B42204" w:rsidRDefault="00B42204" w:rsidP="00B42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debtor in possession and as regards a 363 sale, Oil Corp. is able to sell its property free and clear of creditor interests with approval of the court.</w:t>
      </w:r>
    </w:p>
    <w:p w14:paraId="542B45A9" w14:textId="1B1C4727" w:rsidR="00B42204" w:rsidRDefault="00B42204" w:rsidP="00B42204">
      <w:pPr>
        <w:jc w:val="both"/>
        <w:rPr>
          <w:rFonts w:ascii="Arial" w:hAnsi="Arial" w:cs="Arial"/>
          <w:color w:val="7B7B7B" w:themeColor="accent3" w:themeShade="BF"/>
          <w:sz w:val="22"/>
          <w:szCs w:val="22"/>
          <w:lang w:val="en-GB"/>
        </w:rPr>
      </w:pPr>
    </w:p>
    <w:p w14:paraId="40755AB2" w14:textId="57CDF747" w:rsidR="00B42204" w:rsidRDefault="00B42204" w:rsidP="00B42204">
      <w:pPr>
        <w:pStyle w:val="ListParagraph"/>
        <w:numPr>
          <w:ilvl w:val="0"/>
          <w:numId w:val="15"/>
        </w:numPr>
        <w:jc w:val="both"/>
        <w:rPr>
          <w:rFonts w:ascii="Arial" w:hAnsi="Arial" w:cs="Arial"/>
          <w:color w:val="7B7B7B" w:themeColor="accent3" w:themeShade="BF"/>
          <w:sz w:val="22"/>
          <w:szCs w:val="22"/>
          <w:u w:val="single"/>
          <w:lang w:val="en-GB"/>
        </w:rPr>
      </w:pPr>
      <w:r w:rsidRPr="00B42204">
        <w:rPr>
          <w:rFonts w:ascii="Arial" w:hAnsi="Arial" w:cs="Arial"/>
          <w:color w:val="7B7B7B" w:themeColor="accent3" w:themeShade="BF"/>
          <w:sz w:val="22"/>
          <w:szCs w:val="22"/>
          <w:u w:val="single"/>
          <w:lang w:val="en-GB"/>
        </w:rPr>
        <w:t>assume and assign the trademark license</w:t>
      </w:r>
    </w:p>
    <w:p w14:paraId="1394424D" w14:textId="0CEF03FF" w:rsidR="00B42204" w:rsidRDefault="00B42204" w:rsidP="00B42204">
      <w:pPr>
        <w:jc w:val="both"/>
        <w:rPr>
          <w:rFonts w:ascii="Arial" w:hAnsi="Arial" w:cs="Arial"/>
          <w:color w:val="7B7B7B" w:themeColor="accent3" w:themeShade="BF"/>
          <w:sz w:val="22"/>
          <w:szCs w:val="22"/>
          <w:u w:val="single"/>
          <w:lang w:val="en-GB"/>
        </w:rPr>
      </w:pPr>
    </w:p>
    <w:p w14:paraId="0B4C8718" w14:textId="27AEA0A3" w:rsidR="005B2A9B" w:rsidRPr="00B42204" w:rsidRDefault="00B42204" w:rsidP="00B42204">
      <w:pPr>
        <w:jc w:val="both"/>
        <w:rPr>
          <w:rFonts w:ascii="Arial" w:hAnsi="Arial" w:cs="Arial"/>
          <w:color w:val="7B7B7B" w:themeColor="accent3" w:themeShade="BF"/>
          <w:sz w:val="22"/>
          <w:szCs w:val="22"/>
          <w:lang w:val="en-GB"/>
        </w:rPr>
      </w:pPr>
      <w:r w:rsidRPr="00B42204">
        <w:rPr>
          <w:rFonts w:ascii="Arial" w:hAnsi="Arial" w:cs="Arial"/>
          <w:color w:val="7B7B7B" w:themeColor="accent3" w:themeShade="BF"/>
          <w:sz w:val="22"/>
          <w:szCs w:val="22"/>
          <w:lang w:val="en-GB"/>
        </w:rPr>
        <w:t>I note that Oil Corp is planning to sell its plastic manufacturing business through a 363 sale. The plastic manufacturing business operates under the trademark “Interconnect”, which is licensed from Plastic Corp.</w:t>
      </w:r>
    </w:p>
    <w:p w14:paraId="715542C9" w14:textId="6EF01459" w:rsidR="00B42204" w:rsidRPr="00B42204" w:rsidRDefault="00B42204" w:rsidP="00B42204">
      <w:pPr>
        <w:jc w:val="both"/>
        <w:rPr>
          <w:rFonts w:ascii="Arial" w:hAnsi="Arial" w:cs="Arial"/>
          <w:color w:val="7B7B7B" w:themeColor="accent3" w:themeShade="BF"/>
          <w:sz w:val="22"/>
          <w:szCs w:val="22"/>
          <w:lang w:val="en-GB"/>
        </w:rPr>
      </w:pPr>
    </w:p>
    <w:p w14:paraId="75A02461" w14:textId="27B87ED4" w:rsidR="00B42204" w:rsidRDefault="00B42204" w:rsidP="00B42204">
      <w:pPr>
        <w:jc w:val="both"/>
        <w:rPr>
          <w:rFonts w:ascii="Arial" w:hAnsi="Arial" w:cs="Arial"/>
        </w:rPr>
      </w:pPr>
      <w:r w:rsidRPr="00B42204">
        <w:rPr>
          <w:rFonts w:ascii="Arial" w:hAnsi="Arial" w:cs="Arial"/>
          <w:color w:val="7B7B7B" w:themeColor="accent3" w:themeShade="BF"/>
          <w:sz w:val="22"/>
          <w:szCs w:val="22"/>
          <w:lang w:val="en-GB"/>
        </w:rPr>
        <w:t xml:space="preserve">Trademark licenses </w:t>
      </w:r>
      <w:r>
        <w:rPr>
          <w:rFonts w:ascii="Arial" w:hAnsi="Arial" w:cs="Arial"/>
          <w:color w:val="7B7B7B" w:themeColor="accent3" w:themeShade="BF"/>
          <w:sz w:val="22"/>
          <w:szCs w:val="22"/>
          <w:lang w:val="en-GB"/>
        </w:rPr>
        <w:t xml:space="preserve">are not assignable without consent of the licensor. Given that </w:t>
      </w:r>
      <w:r w:rsidRPr="00B42204">
        <w:rPr>
          <w:rFonts w:ascii="Arial" w:hAnsi="Arial" w:cs="Arial"/>
          <w:color w:val="7B7B7B" w:themeColor="accent3" w:themeShade="BF"/>
          <w:sz w:val="22"/>
          <w:szCs w:val="22"/>
          <w:lang w:val="en-GB"/>
        </w:rPr>
        <w:t>the trademark “Interconnect” is licensed from Plastic Corp, Oil Corp cannot achieve goal (i) without the consent of Plastic Corp.</w:t>
      </w:r>
      <w:r w:rsidRPr="00323167">
        <w:rPr>
          <w:rFonts w:ascii="Arial" w:hAnsi="Arial" w:cs="Arial"/>
        </w:rPr>
        <w:t xml:space="preserve"> </w:t>
      </w:r>
    </w:p>
    <w:p w14:paraId="6BE66288" w14:textId="005EDB3E" w:rsidR="00B42204" w:rsidRDefault="00B42204" w:rsidP="00B42204">
      <w:pPr>
        <w:jc w:val="both"/>
        <w:rPr>
          <w:rFonts w:ascii="Arial" w:hAnsi="Arial" w:cs="Arial"/>
        </w:rPr>
      </w:pPr>
    </w:p>
    <w:p w14:paraId="520D9949" w14:textId="6D0178FB" w:rsidR="00B42204" w:rsidRDefault="00173618" w:rsidP="00B42204">
      <w:pPr>
        <w:pStyle w:val="ListParagraph"/>
        <w:numPr>
          <w:ilvl w:val="0"/>
          <w:numId w:val="15"/>
        </w:numPr>
        <w:jc w:val="both"/>
        <w:rPr>
          <w:rFonts w:ascii="Arial" w:hAnsi="Arial" w:cs="Arial"/>
          <w:color w:val="7B7B7B" w:themeColor="accent3" w:themeShade="BF"/>
          <w:sz w:val="22"/>
          <w:szCs w:val="22"/>
          <w:u w:val="single"/>
          <w:lang w:val="en-GB"/>
        </w:rPr>
      </w:pPr>
      <w:r w:rsidRPr="00173618">
        <w:rPr>
          <w:rFonts w:ascii="Arial" w:hAnsi="Arial" w:cs="Arial"/>
          <w:color w:val="7B7B7B" w:themeColor="accent3" w:themeShade="BF"/>
          <w:sz w:val="22"/>
          <w:szCs w:val="22"/>
          <w:u w:val="single"/>
          <w:lang w:val="en-GB"/>
        </w:rPr>
        <w:t>reject the patent licenses so the purchaser has the exclusive right to use the patents</w:t>
      </w:r>
    </w:p>
    <w:p w14:paraId="27D42845" w14:textId="77777777" w:rsidR="004E7B14" w:rsidRDefault="004E7B14" w:rsidP="003646E4">
      <w:pPr>
        <w:jc w:val="both"/>
        <w:rPr>
          <w:rFonts w:ascii="Arial" w:hAnsi="Arial" w:cs="Arial"/>
          <w:color w:val="7B7B7B" w:themeColor="accent3" w:themeShade="BF"/>
          <w:sz w:val="22"/>
          <w:szCs w:val="22"/>
          <w:lang w:val="en-GB"/>
        </w:rPr>
      </w:pPr>
    </w:p>
    <w:p w14:paraId="6C8B2A85" w14:textId="1BE47E76" w:rsidR="00173618" w:rsidRDefault="003646E4" w:rsidP="003646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w:t>
      </w:r>
      <w:r w:rsidRPr="003646E4">
        <w:rPr>
          <w:rFonts w:ascii="Arial" w:hAnsi="Arial" w:cs="Arial"/>
          <w:color w:val="7B7B7B" w:themeColor="accent3" w:themeShade="BF"/>
          <w:sz w:val="22"/>
          <w:szCs w:val="22"/>
          <w:lang w:val="en-GB"/>
        </w:rPr>
        <w:t>Oil Corp</w:t>
      </w:r>
      <w:r>
        <w:rPr>
          <w:rFonts w:ascii="Arial" w:hAnsi="Arial" w:cs="Arial"/>
          <w:color w:val="7B7B7B" w:themeColor="accent3" w:themeShade="BF"/>
          <w:sz w:val="22"/>
          <w:szCs w:val="22"/>
          <w:lang w:val="en-GB"/>
        </w:rPr>
        <w:t>.</w:t>
      </w:r>
      <w:r w:rsidRPr="003646E4">
        <w:rPr>
          <w:rFonts w:ascii="Arial" w:hAnsi="Arial" w:cs="Arial"/>
          <w:color w:val="7B7B7B" w:themeColor="accent3" w:themeShade="BF"/>
          <w:sz w:val="22"/>
          <w:szCs w:val="22"/>
          <w:lang w:val="en-GB"/>
        </w:rPr>
        <w:t xml:space="preserve"> has invented several patented processes for plastic manufacturing, which it licenses to Plastic Corp</w:t>
      </w:r>
      <w:r>
        <w:rPr>
          <w:rFonts w:ascii="Arial" w:hAnsi="Arial" w:cs="Arial"/>
          <w:color w:val="7B7B7B" w:themeColor="accent3" w:themeShade="BF"/>
          <w:sz w:val="22"/>
          <w:szCs w:val="22"/>
          <w:lang w:val="en-GB"/>
        </w:rPr>
        <w:t>.</w:t>
      </w:r>
    </w:p>
    <w:p w14:paraId="1BD40F3A" w14:textId="3158E542" w:rsidR="004E7B14" w:rsidRDefault="004E7B14" w:rsidP="003646E4">
      <w:pPr>
        <w:jc w:val="both"/>
        <w:rPr>
          <w:rFonts w:ascii="Arial" w:hAnsi="Arial" w:cs="Arial"/>
          <w:color w:val="7B7B7B" w:themeColor="accent3" w:themeShade="BF"/>
          <w:sz w:val="22"/>
          <w:szCs w:val="22"/>
          <w:lang w:val="en-GB"/>
        </w:rPr>
      </w:pPr>
    </w:p>
    <w:p w14:paraId="3A5FEFDE" w14:textId="6E44ED49" w:rsidR="004E7B14" w:rsidRPr="00173618" w:rsidRDefault="004E7B14" w:rsidP="003646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License</w:t>
      </w:r>
      <w:r w:rsidR="00401381">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s </w:t>
      </w:r>
      <w:r w:rsidR="00401381">
        <w:rPr>
          <w:rFonts w:ascii="Arial" w:hAnsi="Arial" w:cs="Arial"/>
          <w:color w:val="7B7B7B" w:themeColor="accent3" w:themeShade="BF"/>
          <w:sz w:val="22"/>
          <w:szCs w:val="22"/>
          <w:lang w:val="en-GB"/>
        </w:rPr>
        <w:t xml:space="preserve">(in this case, Plastic Corp.) </w:t>
      </w:r>
      <w:r>
        <w:rPr>
          <w:rFonts w:ascii="Arial" w:hAnsi="Arial" w:cs="Arial"/>
          <w:color w:val="7B7B7B" w:themeColor="accent3" w:themeShade="BF"/>
          <w:sz w:val="22"/>
          <w:szCs w:val="22"/>
          <w:lang w:val="en-GB"/>
        </w:rPr>
        <w:t xml:space="preserve">of patents owned by </w:t>
      </w:r>
      <w:r w:rsidR="00401381">
        <w:rPr>
          <w:rFonts w:ascii="Arial" w:hAnsi="Arial" w:cs="Arial"/>
          <w:color w:val="7B7B7B" w:themeColor="accent3" w:themeShade="BF"/>
          <w:sz w:val="22"/>
          <w:szCs w:val="22"/>
          <w:lang w:val="en-GB"/>
        </w:rPr>
        <w:t xml:space="preserve">a debtor (in this case, </w:t>
      </w:r>
      <w:r>
        <w:rPr>
          <w:rFonts w:ascii="Arial" w:hAnsi="Arial" w:cs="Arial"/>
          <w:color w:val="7B7B7B" w:themeColor="accent3" w:themeShade="BF"/>
          <w:sz w:val="22"/>
          <w:szCs w:val="22"/>
          <w:lang w:val="en-GB"/>
        </w:rPr>
        <w:t>Oil Corp.</w:t>
      </w:r>
      <w:r w:rsidR="0040138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are protected insofar as the</w:t>
      </w:r>
      <w:r w:rsidR="00401381">
        <w:rPr>
          <w:rFonts w:ascii="Arial" w:hAnsi="Arial" w:cs="Arial"/>
          <w:color w:val="7B7B7B" w:themeColor="accent3" w:themeShade="BF"/>
          <w:sz w:val="22"/>
          <w:szCs w:val="22"/>
          <w:lang w:val="en-GB"/>
        </w:rPr>
        <w:t xml:space="preserve">ir licenses are unable to be terminated in connection with a sale without their consent. To this end, </w:t>
      </w:r>
      <w:r w:rsidR="00401381" w:rsidRPr="00B42204">
        <w:rPr>
          <w:rFonts w:ascii="Arial" w:hAnsi="Arial" w:cs="Arial"/>
          <w:color w:val="7B7B7B" w:themeColor="accent3" w:themeShade="BF"/>
          <w:sz w:val="22"/>
          <w:szCs w:val="22"/>
          <w:lang w:val="en-GB"/>
        </w:rPr>
        <w:t>Oil Corp cannot achieve goal (</w:t>
      </w:r>
      <w:r w:rsidR="00B76A42">
        <w:rPr>
          <w:rFonts w:ascii="Arial" w:hAnsi="Arial" w:cs="Arial"/>
          <w:color w:val="7B7B7B" w:themeColor="accent3" w:themeShade="BF"/>
          <w:sz w:val="22"/>
          <w:szCs w:val="22"/>
          <w:lang w:val="en-GB"/>
        </w:rPr>
        <w:t>i</w:t>
      </w:r>
      <w:r w:rsidR="00401381" w:rsidRPr="00B42204">
        <w:rPr>
          <w:rFonts w:ascii="Arial" w:hAnsi="Arial" w:cs="Arial"/>
          <w:color w:val="7B7B7B" w:themeColor="accent3" w:themeShade="BF"/>
          <w:sz w:val="22"/>
          <w:szCs w:val="22"/>
          <w:lang w:val="en-GB"/>
        </w:rPr>
        <w:t>i) without the consent of Plastic Corp.</w:t>
      </w:r>
    </w:p>
    <w:p w14:paraId="21A34C8E" w14:textId="45C6F6E3" w:rsidR="00B42204" w:rsidRPr="00B42204" w:rsidRDefault="00B42204" w:rsidP="00B42204">
      <w:pPr>
        <w:jc w:val="both"/>
        <w:rPr>
          <w:rFonts w:ascii="Arial" w:hAnsi="Arial" w:cs="Arial"/>
          <w:color w:val="7B7B7B" w:themeColor="accent3" w:themeShade="BF"/>
          <w:sz w:val="22"/>
          <w:szCs w:val="22"/>
          <w:lang w:val="en-GB"/>
        </w:rPr>
      </w:pPr>
    </w:p>
    <w:p w14:paraId="0B4999F0" w14:textId="2FBA1220" w:rsidR="00B42204" w:rsidRPr="00401381" w:rsidRDefault="00401381" w:rsidP="00401381">
      <w:pPr>
        <w:pStyle w:val="ListParagraph"/>
        <w:numPr>
          <w:ilvl w:val="0"/>
          <w:numId w:val="15"/>
        </w:numPr>
        <w:jc w:val="both"/>
        <w:rPr>
          <w:rFonts w:ascii="Arial" w:hAnsi="Arial" w:cs="Arial"/>
          <w:color w:val="7B7B7B" w:themeColor="accent3" w:themeShade="BF"/>
          <w:sz w:val="22"/>
          <w:szCs w:val="22"/>
          <w:u w:val="single"/>
          <w:lang w:val="en-GB"/>
        </w:rPr>
      </w:pPr>
      <w:r w:rsidRPr="00401381">
        <w:rPr>
          <w:rFonts w:ascii="Arial" w:hAnsi="Arial" w:cs="Arial"/>
          <w:color w:val="7B7B7B" w:themeColor="accent3" w:themeShade="BF"/>
          <w:sz w:val="22"/>
          <w:szCs w:val="22"/>
          <w:u w:val="single"/>
          <w:lang w:val="en-GB"/>
        </w:rPr>
        <w:t>(iii) sell the manufacturing facility free and clear of the USA Bank lien</w:t>
      </w:r>
      <w:r w:rsidRPr="00401381">
        <w:rPr>
          <w:rFonts w:ascii="Arial" w:hAnsi="Arial" w:cs="Arial"/>
          <w:color w:val="7B7B7B" w:themeColor="accent3" w:themeShade="BF"/>
          <w:sz w:val="22"/>
          <w:szCs w:val="22"/>
          <w:u w:val="single"/>
          <w:lang w:val="en-GB"/>
        </w:rPr>
        <w:t xml:space="preserve"> </w:t>
      </w:r>
    </w:p>
    <w:p w14:paraId="70C6A8B6" w14:textId="258E3A7F" w:rsidR="00126A4D" w:rsidRDefault="00126A4D" w:rsidP="00323167">
      <w:pPr>
        <w:autoSpaceDE w:val="0"/>
        <w:autoSpaceDN w:val="0"/>
        <w:adjustRightInd w:val="0"/>
        <w:jc w:val="both"/>
        <w:rPr>
          <w:rFonts w:ascii="Arial" w:hAnsi="Arial" w:cs="Arial"/>
          <w:color w:val="808080" w:themeColor="background1" w:themeShade="80"/>
          <w:sz w:val="22"/>
          <w:szCs w:val="22"/>
          <w:lang w:val="en-GB"/>
        </w:rPr>
      </w:pPr>
    </w:p>
    <w:p w14:paraId="4585B6CB" w14:textId="442E61E2" w:rsidR="00401381" w:rsidRDefault="00401381" w:rsidP="004013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the </w:t>
      </w:r>
      <w:r w:rsidRPr="00B42204">
        <w:rPr>
          <w:rFonts w:ascii="Arial" w:hAnsi="Arial" w:cs="Arial"/>
          <w:color w:val="7B7B7B" w:themeColor="accent3" w:themeShade="BF"/>
          <w:sz w:val="22"/>
          <w:szCs w:val="22"/>
          <w:lang w:val="en-GB"/>
        </w:rPr>
        <w:t>main manufacturing facility for the plastic business is in Dallas, and Oil Corp</w:t>
      </w:r>
      <w:r>
        <w:rPr>
          <w:rFonts w:ascii="Arial" w:hAnsi="Arial" w:cs="Arial"/>
          <w:color w:val="7B7B7B" w:themeColor="accent3" w:themeShade="BF"/>
          <w:sz w:val="22"/>
          <w:szCs w:val="22"/>
          <w:lang w:val="en-GB"/>
        </w:rPr>
        <w:t>.</w:t>
      </w:r>
      <w:r w:rsidRPr="00B42204">
        <w:rPr>
          <w:rFonts w:ascii="Arial" w:hAnsi="Arial" w:cs="Arial"/>
          <w:color w:val="7B7B7B" w:themeColor="accent3" w:themeShade="BF"/>
          <w:sz w:val="22"/>
          <w:szCs w:val="22"/>
          <w:lang w:val="en-GB"/>
        </w:rPr>
        <w:t xml:space="preserve"> has granted a lien on the facility to USA Bank to secure its USD 500 million loan</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a result, USA Bank’s claim in the proceedings is a secured claim and it therefore has the benefit of being protected when Oil Corp. proposes to sell the facility subject to the lien. </w:t>
      </w:r>
      <w:r w:rsidR="00A813C4">
        <w:rPr>
          <w:rFonts w:ascii="Arial" w:hAnsi="Arial" w:cs="Arial"/>
          <w:color w:val="7B7B7B" w:themeColor="accent3" w:themeShade="BF"/>
          <w:sz w:val="22"/>
          <w:szCs w:val="22"/>
          <w:lang w:val="en-GB"/>
        </w:rPr>
        <w:t>In this scenario</w:t>
      </w:r>
      <w:r w:rsidR="00A813C4">
        <w:rPr>
          <w:rFonts w:ascii="Arial" w:hAnsi="Arial" w:cs="Arial"/>
          <w:color w:val="7B7B7B" w:themeColor="accent3" w:themeShade="BF"/>
          <w:sz w:val="22"/>
          <w:szCs w:val="22"/>
          <w:lang w:val="en-GB"/>
        </w:rPr>
        <w:t xml:space="preserve">, </w:t>
      </w:r>
      <w:r w:rsidR="00A813C4" w:rsidRPr="00B42204">
        <w:rPr>
          <w:rFonts w:ascii="Arial" w:hAnsi="Arial" w:cs="Arial"/>
          <w:color w:val="7B7B7B" w:themeColor="accent3" w:themeShade="BF"/>
          <w:sz w:val="22"/>
          <w:szCs w:val="22"/>
          <w:lang w:val="en-GB"/>
        </w:rPr>
        <w:t xml:space="preserve">Oil Corp </w:t>
      </w:r>
      <w:r w:rsidR="00A813C4">
        <w:rPr>
          <w:rFonts w:ascii="Arial" w:hAnsi="Arial" w:cs="Arial"/>
          <w:color w:val="7B7B7B" w:themeColor="accent3" w:themeShade="BF"/>
          <w:sz w:val="22"/>
          <w:szCs w:val="22"/>
          <w:lang w:val="en-GB"/>
        </w:rPr>
        <w:t>could not</w:t>
      </w:r>
      <w:r w:rsidR="00A813C4" w:rsidRPr="00B42204">
        <w:rPr>
          <w:rFonts w:ascii="Arial" w:hAnsi="Arial" w:cs="Arial"/>
          <w:color w:val="7B7B7B" w:themeColor="accent3" w:themeShade="BF"/>
          <w:sz w:val="22"/>
          <w:szCs w:val="22"/>
          <w:lang w:val="en-GB"/>
        </w:rPr>
        <w:t xml:space="preserve"> achieve goal (</w:t>
      </w:r>
      <w:r w:rsidR="00A813C4">
        <w:rPr>
          <w:rFonts w:ascii="Arial" w:hAnsi="Arial" w:cs="Arial"/>
          <w:color w:val="7B7B7B" w:themeColor="accent3" w:themeShade="BF"/>
          <w:sz w:val="22"/>
          <w:szCs w:val="22"/>
          <w:lang w:val="en-GB"/>
        </w:rPr>
        <w:t>i</w:t>
      </w:r>
      <w:r w:rsidR="00A813C4" w:rsidRPr="00B42204">
        <w:rPr>
          <w:rFonts w:ascii="Arial" w:hAnsi="Arial" w:cs="Arial"/>
          <w:color w:val="7B7B7B" w:themeColor="accent3" w:themeShade="BF"/>
          <w:sz w:val="22"/>
          <w:szCs w:val="22"/>
          <w:lang w:val="en-GB"/>
        </w:rPr>
        <w:t>i</w:t>
      </w:r>
      <w:r w:rsidR="00A813C4">
        <w:rPr>
          <w:rFonts w:ascii="Arial" w:hAnsi="Arial" w:cs="Arial"/>
          <w:color w:val="7B7B7B" w:themeColor="accent3" w:themeShade="BF"/>
          <w:sz w:val="22"/>
          <w:szCs w:val="22"/>
          <w:lang w:val="en-GB"/>
        </w:rPr>
        <w:t>i</w:t>
      </w:r>
      <w:r w:rsidR="00A813C4" w:rsidRPr="00B42204">
        <w:rPr>
          <w:rFonts w:ascii="Arial" w:hAnsi="Arial" w:cs="Arial"/>
          <w:color w:val="7B7B7B" w:themeColor="accent3" w:themeShade="BF"/>
          <w:sz w:val="22"/>
          <w:szCs w:val="22"/>
          <w:lang w:val="en-GB"/>
        </w:rPr>
        <w:t xml:space="preserve">) without the consent of </w:t>
      </w:r>
      <w:r w:rsidR="00A813C4">
        <w:rPr>
          <w:rFonts w:ascii="Arial" w:hAnsi="Arial" w:cs="Arial"/>
          <w:color w:val="7B7B7B" w:themeColor="accent3" w:themeShade="BF"/>
          <w:sz w:val="22"/>
          <w:szCs w:val="22"/>
          <w:lang w:val="en-GB"/>
        </w:rPr>
        <w:t>USA Bank</w:t>
      </w:r>
      <w:r w:rsidR="00A813C4" w:rsidRPr="00B42204">
        <w:rPr>
          <w:rFonts w:ascii="Arial" w:hAnsi="Arial" w:cs="Arial"/>
          <w:color w:val="7B7B7B" w:themeColor="accent3" w:themeShade="BF"/>
          <w:sz w:val="22"/>
          <w:szCs w:val="22"/>
          <w:lang w:val="en-GB"/>
        </w:rPr>
        <w:t>.</w:t>
      </w:r>
    </w:p>
    <w:p w14:paraId="7D2A59E8" w14:textId="5CC825C5" w:rsidR="00401381" w:rsidRDefault="00401381" w:rsidP="00401381">
      <w:pPr>
        <w:jc w:val="both"/>
        <w:rPr>
          <w:rFonts w:ascii="Arial" w:hAnsi="Arial" w:cs="Arial"/>
          <w:color w:val="7B7B7B" w:themeColor="accent3" w:themeShade="BF"/>
          <w:sz w:val="22"/>
          <w:szCs w:val="22"/>
          <w:lang w:val="en-GB"/>
        </w:rPr>
      </w:pPr>
    </w:p>
    <w:p w14:paraId="055DE697" w14:textId="0537EA8B" w:rsidR="00401381" w:rsidRDefault="00401381" w:rsidP="004013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t>
      </w:r>
      <w:r w:rsidR="00A813C4">
        <w:rPr>
          <w:rFonts w:ascii="Arial" w:hAnsi="Arial" w:cs="Arial"/>
          <w:color w:val="7B7B7B" w:themeColor="accent3" w:themeShade="BF"/>
          <w:sz w:val="22"/>
          <w:szCs w:val="22"/>
          <w:lang w:val="en-GB"/>
        </w:rPr>
        <w:t xml:space="preserve">it could be interpreted that </w:t>
      </w:r>
      <w:r>
        <w:rPr>
          <w:rFonts w:ascii="Arial" w:hAnsi="Arial" w:cs="Arial"/>
          <w:color w:val="7B7B7B" w:themeColor="accent3" w:themeShade="BF"/>
          <w:sz w:val="22"/>
          <w:szCs w:val="22"/>
          <w:lang w:val="en-GB"/>
        </w:rPr>
        <w:t xml:space="preserve">USA Bank </w:t>
      </w:r>
      <w:r>
        <w:rPr>
          <w:rFonts w:ascii="Arial" w:hAnsi="Arial" w:cs="Arial"/>
          <w:color w:val="7B7B7B" w:themeColor="accent3" w:themeShade="BF"/>
          <w:sz w:val="22"/>
          <w:szCs w:val="22"/>
          <w:lang w:val="en-GB"/>
        </w:rPr>
        <w:t>would have a claim against Oil Corp. in the proceedings but would be unable to take any further action as a result of the automatic worldwide stay (upon commencing a voluntary proceeding/filing a</w:t>
      </w:r>
      <w:r w:rsidRPr="00DF3AD2">
        <w:rPr>
          <w:rFonts w:ascii="Arial" w:hAnsi="Arial" w:cs="Arial"/>
          <w:color w:val="7B7B7B" w:themeColor="accent3" w:themeShade="BF"/>
          <w:sz w:val="22"/>
          <w:szCs w:val="22"/>
          <w:lang w:val="en-GB"/>
        </w:rPr>
        <w:t xml:space="preserve"> chapter 11 petition</w:t>
      </w:r>
      <w:r>
        <w:rPr>
          <w:rFonts w:ascii="Arial" w:hAnsi="Arial" w:cs="Arial"/>
          <w:color w:val="7B7B7B" w:themeColor="accent3" w:themeShade="BF"/>
          <w:sz w:val="22"/>
          <w:szCs w:val="22"/>
          <w:lang w:val="en-GB"/>
        </w:rPr>
        <w:t xml:space="preserve">) as the Bankruptcy Code explicitly prohibits </w:t>
      </w:r>
      <w:r>
        <w:rPr>
          <w:rFonts w:ascii="Arial" w:hAnsi="Arial" w:cs="Arial"/>
          <w:color w:val="7B7B7B" w:themeColor="accent3" w:themeShade="BF"/>
          <w:sz w:val="22"/>
          <w:szCs w:val="22"/>
          <w:lang w:val="en-GB"/>
        </w:rPr>
        <w:t xml:space="preserve">enforcement of a lien against property of the estate on account of a pre-petition claim. </w:t>
      </w:r>
      <w:r w:rsidR="00A813C4">
        <w:rPr>
          <w:rFonts w:ascii="Arial" w:hAnsi="Arial" w:cs="Arial"/>
          <w:color w:val="7B7B7B" w:themeColor="accent3" w:themeShade="BF"/>
          <w:sz w:val="22"/>
          <w:szCs w:val="22"/>
          <w:lang w:val="en-GB"/>
        </w:rPr>
        <w:t>Should this interpretation be correct</w:t>
      </w:r>
      <w:r w:rsidR="00A813C4">
        <w:rPr>
          <w:rFonts w:ascii="Arial" w:hAnsi="Arial" w:cs="Arial"/>
          <w:color w:val="7B7B7B" w:themeColor="accent3" w:themeShade="BF"/>
          <w:sz w:val="22"/>
          <w:szCs w:val="22"/>
          <w:lang w:val="en-GB"/>
        </w:rPr>
        <w:t xml:space="preserve">, </w:t>
      </w:r>
      <w:r w:rsidR="00A813C4" w:rsidRPr="00B42204">
        <w:rPr>
          <w:rFonts w:ascii="Arial" w:hAnsi="Arial" w:cs="Arial"/>
          <w:color w:val="7B7B7B" w:themeColor="accent3" w:themeShade="BF"/>
          <w:sz w:val="22"/>
          <w:szCs w:val="22"/>
          <w:lang w:val="en-GB"/>
        </w:rPr>
        <w:t xml:space="preserve">Oil Corp </w:t>
      </w:r>
      <w:r w:rsidR="00A813C4">
        <w:rPr>
          <w:rFonts w:ascii="Arial" w:hAnsi="Arial" w:cs="Arial"/>
          <w:color w:val="7B7B7B" w:themeColor="accent3" w:themeShade="BF"/>
          <w:sz w:val="22"/>
          <w:szCs w:val="22"/>
          <w:lang w:val="en-GB"/>
        </w:rPr>
        <w:t xml:space="preserve">could </w:t>
      </w:r>
      <w:r w:rsidR="00A813C4" w:rsidRPr="00B42204">
        <w:rPr>
          <w:rFonts w:ascii="Arial" w:hAnsi="Arial" w:cs="Arial"/>
          <w:color w:val="7B7B7B" w:themeColor="accent3" w:themeShade="BF"/>
          <w:sz w:val="22"/>
          <w:szCs w:val="22"/>
          <w:lang w:val="en-GB"/>
        </w:rPr>
        <w:t>achieve goal (</w:t>
      </w:r>
      <w:r w:rsidR="00A813C4">
        <w:rPr>
          <w:rFonts w:ascii="Arial" w:hAnsi="Arial" w:cs="Arial"/>
          <w:color w:val="7B7B7B" w:themeColor="accent3" w:themeShade="BF"/>
          <w:sz w:val="22"/>
          <w:szCs w:val="22"/>
          <w:lang w:val="en-GB"/>
        </w:rPr>
        <w:t>i</w:t>
      </w:r>
      <w:r w:rsidR="00A813C4" w:rsidRPr="00B42204">
        <w:rPr>
          <w:rFonts w:ascii="Arial" w:hAnsi="Arial" w:cs="Arial"/>
          <w:color w:val="7B7B7B" w:themeColor="accent3" w:themeShade="BF"/>
          <w:sz w:val="22"/>
          <w:szCs w:val="22"/>
          <w:lang w:val="en-GB"/>
        </w:rPr>
        <w:t>i</w:t>
      </w:r>
      <w:r w:rsidR="00A813C4">
        <w:rPr>
          <w:rFonts w:ascii="Arial" w:hAnsi="Arial" w:cs="Arial"/>
          <w:color w:val="7B7B7B" w:themeColor="accent3" w:themeShade="BF"/>
          <w:sz w:val="22"/>
          <w:szCs w:val="22"/>
          <w:lang w:val="en-GB"/>
        </w:rPr>
        <w:t>i</w:t>
      </w:r>
      <w:r w:rsidR="00A813C4" w:rsidRPr="00B42204">
        <w:rPr>
          <w:rFonts w:ascii="Arial" w:hAnsi="Arial" w:cs="Arial"/>
          <w:color w:val="7B7B7B" w:themeColor="accent3" w:themeShade="BF"/>
          <w:sz w:val="22"/>
          <w:szCs w:val="22"/>
          <w:lang w:val="en-GB"/>
        </w:rPr>
        <w:t xml:space="preserve">) without the consent of </w:t>
      </w:r>
      <w:r w:rsidR="00A813C4">
        <w:rPr>
          <w:rFonts w:ascii="Arial" w:hAnsi="Arial" w:cs="Arial"/>
          <w:color w:val="7B7B7B" w:themeColor="accent3" w:themeShade="BF"/>
          <w:sz w:val="22"/>
          <w:szCs w:val="22"/>
          <w:lang w:val="en-GB"/>
        </w:rPr>
        <w:t>USA Bank</w:t>
      </w:r>
      <w:r w:rsidR="00A813C4" w:rsidRPr="00B42204">
        <w:rPr>
          <w:rFonts w:ascii="Arial" w:hAnsi="Arial" w:cs="Arial"/>
          <w:color w:val="7B7B7B" w:themeColor="accent3" w:themeShade="BF"/>
          <w:sz w:val="22"/>
          <w:szCs w:val="22"/>
          <w:lang w:val="en-GB"/>
        </w:rPr>
        <w:t>.</w:t>
      </w:r>
    </w:p>
    <w:p w14:paraId="0DA444F7" w14:textId="77777777" w:rsidR="00401381" w:rsidRPr="00323167" w:rsidRDefault="00401381"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10"/>
      <w:footerReference w:type="even" r:id="rId11"/>
      <w:footerReference w:type="default" r:id="rId12"/>
      <w:head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2CEB" w14:textId="77777777" w:rsidR="00F23057" w:rsidRDefault="00F23057" w:rsidP="00241B44">
      <w:r>
        <w:separator/>
      </w:r>
    </w:p>
  </w:endnote>
  <w:endnote w:type="continuationSeparator" w:id="0">
    <w:p w14:paraId="11C1336B" w14:textId="77777777" w:rsidR="00F23057" w:rsidRDefault="00F230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BAE14C0" w:rsidR="00241FA3" w:rsidRPr="009B4976" w:rsidRDefault="007D0AD0" w:rsidP="009B4976">
    <w:pPr>
      <w:pStyle w:val="Footer"/>
      <w:ind w:right="360"/>
      <w:rPr>
        <w:rFonts w:ascii="Arial" w:hAnsi="Arial" w:cs="Arial"/>
        <w:sz w:val="18"/>
        <w:szCs w:val="18"/>
        <w:lang w:val="en-GB"/>
      </w:rPr>
    </w:pPr>
    <w:r>
      <w:rPr>
        <w:rFonts w:ascii="Arial" w:hAnsi="Arial" w:cs="Arial"/>
        <w:sz w:val="18"/>
        <w:szCs w:val="18"/>
        <w:lang w:val="en-GB"/>
      </w:rPr>
      <w:t>202122-611</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F086" w14:textId="77777777" w:rsidR="00F23057" w:rsidRDefault="00F23057" w:rsidP="00241B44">
      <w:r>
        <w:separator/>
      </w:r>
    </w:p>
  </w:footnote>
  <w:footnote w:type="continuationSeparator" w:id="0">
    <w:p w14:paraId="71091A08" w14:textId="77777777" w:rsidR="00F23057" w:rsidRDefault="00F2305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FF4" w14:textId="38C02C3C" w:rsidR="007D0AD0" w:rsidRDefault="007D0AD0">
    <w:pPr>
      <w:pStyle w:val="Header"/>
    </w:pPr>
    <w:r>
      <w:rPr>
        <w:noProof/>
      </w:rPr>
      <mc:AlternateContent>
        <mc:Choice Requires="wps">
          <w:drawing>
            <wp:anchor distT="0" distB="0" distL="114300" distR="114300" simplePos="0" relativeHeight="251659264" behindDoc="0" locked="0" layoutInCell="0" allowOverlap="1" wp14:anchorId="3F6DD9A1" wp14:editId="35A78EA6">
              <wp:simplePos x="0" y="0"/>
              <wp:positionH relativeFrom="page">
                <wp:posOffset>0</wp:posOffset>
              </wp:positionH>
              <wp:positionV relativeFrom="page">
                <wp:posOffset>190500</wp:posOffset>
              </wp:positionV>
              <wp:extent cx="7560310" cy="252095"/>
              <wp:effectExtent l="0" t="0" r="0" b="14605"/>
              <wp:wrapNone/>
              <wp:docPr id="1" name="MSIPCMf57d4738b36e27309221bb5c"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AD92A" w14:textId="2E11F24B" w:rsidR="007D0AD0" w:rsidRPr="007D0AD0" w:rsidRDefault="007D0AD0" w:rsidP="007D0AD0">
                          <w:pPr>
                            <w:jc w:val="right"/>
                            <w:rPr>
                              <w:rFonts w:ascii="Arial" w:hAnsi="Arial" w:cs="Arial"/>
                              <w:color w:val="000000"/>
                              <w:sz w:val="16"/>
                            </w:rPr>
                          </w:pPr>
                          <w:r w:rsidRPr="007D0AD0">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F6DD9A1" id="_x0000_t202" coordsize="21600,21600" o:spt="202" path="m,l,21600r21600,l21600,xe">
              <v:stroke joinstyle="miter"/>
              <v:path gradientshapeok="t" o:connecttype="rect"/>
            </v:shapetype>
            <v:shape id="MSIPCMf57d4738b36e27309221bb5c"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394AD92A" w14:textId="2E11F24B" w:rsidR="007D0AD0" w:rsidRPr="007D0AD0" w:rsidRDefault="007D0AD0" w:rsidP="007D0AD0">
                    <w:pPr>
                      <w:jc w:val="right"/>
                      <w:rPr>
                        <w:rFonts w:ascii="Arial" w:hAnsi="Arial" w:cs="Arial"/>
                        <w:color w:val="000000"/>
                        <w:sz w:val="16"/>
                      </w:rPr>
                    </w:pPr>
                    <w:r w:rsidRPr="007D0AD0">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AF2" w14:textId="575FF1C5" w:rsidR="007D0AD0" w:rsidRDefault="007D0AD0">
    <w:pPr>
      <w:pStyle w:val="Header"/>
    </w:pPr>
    <w:r>
      <w:rPr>
        <w:noProof/>
      </w:rPr>
      <mc:AlternateContent>
        <mc:Choice Requires="wps">
          <w:drawing>
            <wp:anchor distT="0" distB="0" distL="114300" distR="114300" simplePos="0" relativeHeight="251660288" behindDoc="0" locked="0" layoutInCell="0" allowOverlap="1" wp14:anchorId="16CAE703" wp14:editId="72FC1127">
              <wp:simplePos x="0" y="0"/>
              <wp:positionH relativeFrom="page">
                <wp:posOffset>0</wp:posOffset>
              </wp:positionH>
              <wp:positionV relativeFrom="page">
                <wp:posOffset>190500</wp:posOffset>
              </wp:positionV>
              <wp:extent cx="7560310" cy="252095"/>
              <wp:effectExtent l="0" t="0" r="0" b="14605"/>
              <wp:wrapNone/>
              <wp:docPr id="2" name="MSIPCMe91d46cfbf3b12be056c52f5"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68B09" w14:textId="0E0F88D7" w:rsidR="007D0AD0" w:rsidRPr="007D0AD0" w:rsidRDefault="007D0AD0" w:rsidP="007D0AD0">
                          <w:pPr>
                            <w:jc w:val="right"/>
                            <w:rPr>
                              <w:rFonts w:ascii="Arial" w:hAnsi="Arial" w:cs="Arial"/>
                              <w:color w:val="000000"/>
                              <w:sz w:val="16"/>
                            </w:rPr>
                          </w:pPr>
                          <w:r w:rsidRPr="007D0AD0">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CAE703" id="_x0000_t202" coordsize="21600,21600" o:spt="202" path="m,l,21600r21600,l21600,xe">
              <v:stroke joinstyle="miter"/>
              <v:path gradientshapeok="t" o:connecttype="rect"/>
            </v:shapetype>
            <v:shape id="MSIPCMe91d46cfbf3b12be056c52f5"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1D168B09" w14:textId="0E0F88D7" w:rsidR="007D0AD0" w:rsidRPr="007D0AD0" w:rsidRDefault="007D0AD0" w:rsidP="007D0AD0">
                    <w:pPr>
                      <w:jc w:val="right"/>
                      <w:rPr>
                        <w:rFonts w:ascii="Arial" w:hAnsi="Arial" w:cs="Arial"/>
                        <w:color w:val="000000"/>
                        <w:sz w:val="16"/>
                      </w:rPr>
                    </w:pPr>
                    <w:r w:rsidRPr="007D0AD0">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46FC"/>
    <w:multiLevelType w:val="hybridMultilevel"/>
    <w:tmpl w:val="9E98AE0A"/>
    <w:lvl w:ilvl="0" w:tplc="88583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64D6E"/>
    <w:multiLevelType w:val="hybridMultilevel"/>
    <w:tmpl w:val="331875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05281"/>
    <w:multiLevelType w:val="hybridMultilevel"/>
    <w:tmpl w:val="5BB6D8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5"/>
  </w:num>
  <w:num w:numId="5">
    <w:abstractNumId w:val="6"/>
  </w:num>
  <w:num w:numId="6">
    <w:abstractNumId w:val="14"/>
  </w:num>
  <w:num w:numId="7">
    <w:abstractNumId w:val="4"/>
  </w:num>
  <w:num w:numId="8">
    <w:abstractNumId w:val="15"/>
  </w:num>
  <w:num w:numId="9">
    <w:abstractNumId w:val="7"/>
  </w:num>
  <w:num w:numId="10">
    <w:abstractNumId w:val="12"/>
  </w:num>
  <w:num w:numId="11">
    <w:abstractNumId w:val="8"/>
  </w:num>
  <w:num w:numId="12">
    <w:abstractNumId w:val="10"/>
  </w:num>
  <w:num w:numId="13">
    <w:abstractNumId w:val="0"/>
  </w:num>
  <w:num w:numId="14">
    <w:abstractNumId w:val="9"/>
  </w:num>
  <w:num w:numId="15">
    <w:abstractNumId w:val="1"/>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B2"/>
    <w:rsid w:val="00006440"/>
    <w:rsid w:val="00010BA0"/>
    <w:rsid w:val="000146B7"/>
    <w:rsid w:val="0001655B"/>
    <w:rsid w:val="00020557"/>
    <w:rsid w:val="00021FC2"/>
    <w:rsid w:val="00022E00"/>
    <w:rsid w:val="000234A7"/>
    <w:rsid w:val="000250C7"/>
    <w:rsid w:val="00026F16"/>
    <w:rsid w:val="00036D15"/>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3B9C"/>
    <w:rsid w:val="000B5FF1"/>
    <w:rsid w:val="000B609F"/>
    <w:rsid w:val="000C1309"/>
    <w:rsid w:val="000C4C5B"/>
    <w:rsid w:val="000D477D"/>
    <w:rsid w:val="000D55A8"/>
    <w:rsid w:val="000D5CC9"/>
    <w:rsid w:val="000E4841"/>
    <w:rsid w:val="000E538C"/>
    <w:rsid w:val="000F1677"/>
    <w:rsid w:val="000F3C01"/>
    <w:rsid w:val="000F3D6C"/>
    <w:rsid w:val="000F7FC2"/>
    <w:rsid w:val="00101707"/>
    <w:rsid w:val="00102CC9"/>
    <w:rsid w:val="00111D4B"/>
    <w:rsid w:val="0011473D"/>
    <w:rsid w:val="00115C85"/>
    <w:rsid w:val="0012224B"/>
    <w:rsid w:val="00123855"/>
    <w:rsid w:val="00126A4D"/>
    <w:rsid w:val="00127D5B"/>
    <w:rsid w:val="0014171F"/>
    <w:rsid w:val="0014622C"/>
    <w:rsid w:val="00152348"/>
    <w:rsid w:val="0015456D"/>
    <w:rsid w:val="00155FA2"/>
    <w:rsid w:val="00160679"/>
    <w:rsid w:val="00161F1B"/>
    <w:rsid w:val="00162829"/>
    <w:rsid w:val="00173618"/>
    <w:rsid w:val="00180548"/>
    <w:rsid w:val="00180AC4"/>
    <w:rsid w:val="00180CCE"/>
    <w:rsid w:val="0018267A"/>
    <w:rsid w:val="00182779"/>
    <w:rsid w:val="001830DF"/>
    <w:rsid w:val="001871C0"/>
    <w:rsid w:val="001966D9"/>
    <w:rsid w:val="001A7E9A"/>
    <w:rsid w:val="001B0F70"/>
    <w:rsid w:val="001B5016"/>
    <w:rsid w:val="001B5160"/>
    <w:rsid w:val="001C0288"/>
    <w:rsid w:val="001C45FC"/>
    <w:rsid w:val="001D0469"/>
    <w:rsid w:val="001D3C1B"/>
    <w:rsid w:val="001D4862"/>
    <w:rsid w:val="001E25B9"/>
    <w:rsid w:val="001E49E0"/>
    <w:rsid w:val="001E7B5A"/>
    <w:rsid w:val="001F7412"/>
    <w:rsid w:val="002025BC"/>
    <w:rsid w:val="00202DFE"/>
    <w:rsid w:val="00203717"/>
    <w:rsid w:val="00205329"/>
    <w:rsid w:val="0020725B"/>
    <w:rsid w:val="002110F1"/>
    <w:rsid w:val="0021154D"/>
    <w:rsid w:val="002178DE"/>
    <w:rsid w:val="0022030B"/>
    <w:rsid w:val="00223917"/>
    <w:rsid w:val="0024116D"/>
    <w:rsid w:val="00241B44"/>
    <w:rsid w:val="00241FA3"/>
    <w:rsid w:val="00245EFB"/>
    <w:rsid w:val="0025386E"/>
    <w:rsid w:val="00256B74"/>
    <w:rsid w:val="002617E0"/>
    <w:rsid w:val="002638B0"/>
    <w:rsid w:val="0026647A"/>
    <w:rsid w:val="002668D3"/>
    <w:rsid w:val="00267549"/>
    <w:rsid w:val="0027299F"/>
    <w:rsid w:val="00284EBE"/>
    <w:rsid w:val="002903A7"/>
    <w:rsid w:val="0029433F"/>
    <w:rsid w:val="00294829"/>
    <w:rsid w:val="0029690F"/>
    <w:rsid w:val="00297C8A"/>
    <w:rsid w:val="002A2A60"/>
    <w:rsid w:val="002A37BB"/>
    <w:rsid w:val="002B1C45"/>
    <w:rsid w:val="002B6F48"/>
    <w:rsid w:val="002B7EBC"/>
    <w:rsid w:val="002C0121"/>
    <w:rsid w:val="002C13C8"/>
    <w:rsid w:val="002C3547"/>
    <w:rsid w:val="002D0021"/>
    <w:rsid w:val="002D299D"/>
    <w:rsid w:val="002D3473"/>
    <w:rsid w:val="002D6789"/>
    <w:rsid w:val="002D759F"/>
    <w:rsid w:val="002D78C5"/>
    <w:rsid w:val="002F1956"/>
    <w:rsid w:val="002F3440"/>
    <w:rsid w:val="002F75A3"/>
    <w:rsid w:val="00301D2B"/>
    <w:rsid w:val="00303C2F"/>
    <w:rsid w:val="003074F4"/>
    <w:rsid w:val="00310718"/>
    <w:rsid w:val="003144EF"/>
    <w:rsid w:val="00323167"/>
    <w:rsid w:val="00326292"/>
    <w:rsid w:val="00326415"/>
    <w:rsid w:val="00330937"/>
    <w:rsid w:val="00330F31"/>
    <w:rsid w:val="003314F8"/>
    <w:rsid w:val="00334648"/>
    <w:rsid w:val="0033768C"/>
    <w:rsid w:val="00337938"/>
    <w:rsid w:val="00340769"/>
    <w:rsid w:val="00341AA6"/>
    <w:rsid w:val="00344BD1"/>
    <w:rsid w:val="003502EB"/>
    <w:rsid w:val="0035473B"/>
    <w:rsid w:val="00361A0A"/>
    <w:rsid w:val="003646E4"/>
    <w:rsid w:val="00364836"/>
    <w:rsid w:val="0036565C"/>
    <w:rsid w:val="0036625E"/>
    <w:rsid w:val="0037465A"/>
    <w:rsid w:val="0037766B"/>
    <w:rsid w:val="00380915"/>
    <w:rsid w:val="00382C98"/>
    <w:rsid w:val="0038533C"/>
    <w:rsid w:val="00386568"/>
    <w:rsid w:val="00390B57"/>
    <w:rsid w:val="003948D5"/>
    <w:rsid w:val="00396821"/>
    <w:rsid w:val="00397BE9"/>
    <w:rsid w:val="00397D3A"/>
    <w:rsid w:val="003A051E"/>
    <w:rsid w:val="003A75F4"/>
    <w:rsid w:val="003B170F"/>
    <w:rsid w:val="003B177F"/>
    <w:rsid w:val="003B3C5F"/>
    <w:rsid w:val="003B7184"/>
    <w:rsid w:val="003C4471"/>
    <w:rsid w:val="003C53FE"/>
    <w:rsid w:val="003D0A6D"/>
    <w:rsid w:val="003D1409"/>
    <w:rsid w:val="003E0B16"/>
    <w:rsid w:val="003E1615"/>
    <w:rsid w:val="003E2450"/>
    <w:rsid w:val="003E67D1"/>
    <w:rsid w:val="003F2F02"/>
    <w:rsid w:val="00401381"/>
    <w:rsid w:val="00404329"/>
    <w:rsid w:val="00405DC1"/>
    <w:rsid w:val="00415F1F"/>
    <w:rsid w:val="0042108F"/>
    <w:rsid w:val="004248F6"/>
    <w:rsid w:val="004273B0"/>
    <w:rsid w:val="00430FED"/>
    <w:rsid w:val="00434A8C"/>
    <w:rsid w:val="00437297"/>
    <w:rsid w:val="004406A0"/>
    <w:rsid w:val="00444284"/>
    <w:rsid w:val="00445A1C"/>
    <w:rsid w:val="00445CE6"/>
    <w:rsid w:val="004534C2"/>
    <w:rsid w:val="0045446F"/>
    <w:rsid w:val="00455018"/>
    <w:rsid w:val="0045683E"/>
    <w:rsid w:val="00477C72"/>
    <w:rsid w:val="0048602C"/>
    <w:rsid w:val="00491675"/>
    <w:rsid w:val="00493855"/>
    <w:rsid w:val="00495E79"/>
    <w:rsid w:val="004A3126"/>
    <w:rsid w:val="004A57DD"/>
    <w:rsid w:val="004A7B51"/>
    <w:rsid w:val="004A7D71"/>
    <w:rsid w:val="004A7EF3"/>
    <w:rsid w:val="004B11FD"/>
    <w:rsid w:val="004B23A2"/>
    <w:rsid w:val="004B32BD"/>
    <w:rsid w:val="004D1A5A"/>
    <w:rsid w:val="004D2FFF"/>
    <w:rsid w:val="004D3721"/>
    <w:rsid w:val="004D64F9"/>
    <w:rsid w:val="004E3A6B"/>
    <w:rsid w:val="004E5AF5"/>
    <w:rsid w:val="004E622C"/>
    <w:rsid w:val="004E65BA"/>
    <w:rsid w:val="004E7B14"/>
    <w:rsid w:val="004F49B5"/>
    <w:rsid w:val="004F4EDF"/>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4991"/>
    <w:rsid w:val="005A6FF2"/>
    <w:rsid w:val="005A726D"/>
    <w:rsid w:val="005B2A9B"/>
    <w:rsid w:val="005B67AC"/>
    <w:rsid w:val="005B79F4"/>
    <w:rsid w:val="005C64DE"/>
    <w:rsid w:val="005C7CA4"/>
    <w:rsid w:val="005D083B"/>
    <w:rsid w:val="005D1293"/>
    <w:rsid w:val="005D43E0"/>
    <w:rsid w:val="005D58A3"/>
    <w:rsid w:val="005D6642"/>
    <w:rsid w:val="005E1B79"/>
    <w:rsid w:val="005E2DF2"/>
    <w:rsid w:val="005E6076"/>
    <w:rsid w:val="005E7008"/>
    <w:rsid w:val="005F026D"/>
    <w:rsid w:val="005F2653"/>
    <w:rsid w:val="005F2AEA"/>
    <w:rsid w:val="005F2D0B"/>
    <w:rsid w:val="005F4B31"/>
    <w:rsid w:val="00601E61"/>
    <w:rsid w:val="00610388"/>
    <w:rsid w:val="00610AC7"/>
    <w:rsid w:val="00612CA5"/>
    <w:rsid w:val="006153EC"/>
    <w:rsid w:val="00621A17"/>
    <w:rsid w:val="006245E3"/>
    <w:rsid w:val="00627CC9"/>
    <w:rsid w:val="00627E7B"/>
    <w:rsid w:val="00630542"/>
    <w:rsid w:val="00632E44"/>
    <w:rsid w:val="00634622"/>
    <w:rsid w:val="00635ACC"/>
    <w:rsid w:val="00636808"/>
    <w:rsid w:val="00637953"/>
    <w:rsid w:val="00641515"/>
    <w:rsid w:val="00654C2F"/>
    <w:rsid w:val="00657087"/>
    <w:rsid w:val="006639DB"/>
    <w:rsid w:val="0066479A"/>
    <w:rsid w:val="006661EF"/>
    <w:rsid w:val="00677AEB"/>
    <w:rsid w:val="00680EF2"/>
    <w:rsid w:val="00687A1D"/>
    <w:rsid w:val="00697EA1"/>
    <w:rsid w:val="006A018B"/>
    <w:rsid w:val="006A2646"/>
    <w:rsid w:val="006A5353"/>
    <w:rsid w:val="006A6530"/>
    <w:rsid w:val="006B3571"/>
    <w:rsid w:val="006B435A"/>
    <w:rsid w:val="006B4C64"/>
    <w:rsid w:val="006D1C16"/>
    <w:rsid w:val="006D6BD5"/>
    <w:rsid w:val="006E481A"/>
    <w:rsid w:val="006E5298"/>
    <w:rsid w:val="006F4A78"/>
    <w:rsid w:val="006F734A"/>
    <w:rsid w:val="00700D83"/>
    <w:rsid w:val="00704852"/>
    <w:rsid w:val="007074E9"/>
    <w:rsid w:val="00713DA4"/>
    <w:rsid w:val="00713F0E"/>
    <w:rsid w:val="00714BF1"/>
    <w:rsid w:val="00717C2C"/>
    <w:rsid w:val="00717D14"/>
    <w:rsid w:val="00721383"/>
    <w:rsid w:val="0073158B"/>
    <w:rsid w:val="007333CC"/>
    <w:rsid w:val="0073399A"/>
    <w:rsid w:val="007575B7"/>
    <w:rsid w:val="007603F5"/>
    <w:rsid w:val="00764DB0"/>
    <w:rsid w:val="00766A9C"/>
    <w:rsid w:val="0076764D"/>
    <w:rsid w:val="0077498C"/>
    <w:rsid w:val="00777C53"/>
    <w:rsid w:val="007809BC"/>
    <w:rsid w:val="00784128"/>
    <w:rsid w:val="00785DA7"/>
    <w:rsid w:val="00786837"/>
    <w:rsid w:val="00787BCC"/>
    <w:rsid w:val="00787F57"/>
    <w:rsid w:val="00793173"/>
    <w:rsid w:val="00795CB8"/>
    <w:rsid w:val="007A2A33"/>
    <w:rsid w:val="007B0809"/>
    <w:rsid w:val="007B5C89"/>
    <w:rsid w:val="007C1FCC"/>
    <w:rsid w:val="007C6201"/>
    <w:rsid w:val="007C713D"/>
    <w:rsid w:val="007D0192"/>
    <w:rsid w:val="007D0AD0"/>
    <w:rsid w:val="007D3EDF"/>
    <w:rsid w:val="007D5F95"/>
    <w:rsid w:val="007D7C92"/>
    <w:rsid w:val="007E1154"/>
    <w:rsid w:val="007E6BA4"/>
    <w:rsid w:val="007F12AB"/>
    <w:rsid w:val="007F41F8"/>
    <w:rsid w:val="007F659B"/>
    <w:rsid w:val="008041DA"/>
    <w:rsid w:val="0080454E"/>
    <w:rsid w:val="00804C32"/>
    <w:rsid w:val="00805305"/>
    <w:rsid w:val="00806302"/>
    <w:rsid w:val="00807119"/>
    <w:rsid w:val="00811CD9"/>
    <w:rsid w:val="00812C03"/>
    <w:rsid w:val="0082483F"/>
    <w:rsid w:val="008279C0"/>
    <w:rsid w:val="00834F92"/>
    <w:rsid w:val="00836547"/>
    <w:rsid w:val="008723F3"/>
    <w:rsid w:val="00881DE6"/>
    <w:rsid w:val="008837A6"/>
    <w:rsid w:val="00883D16"/>
    <w:rsid w:val="0089145D"/>
    <w:rsid w:val="00895EF1"/>
    <w:rsid w:val="008A190F"/>
    <w:rsid w:val="008A4DF2"/>
    <w:rsid w:val="008A6CFE"/>
    <w:rsid w:val="008A771D"/>
    <w:rsid w:val="008B5333"/>
    <w:rsid w:val="008B6223"/>
    <w:rsid w:val="008C66E0"/>
    <w:rsid w:val="008E2C3E"/>
    <w:rsid w:val="008E3339"/>
    <w:rsid w:val="008F20FC"/>
    <w:rsid w:val="008F30CB"/>
    <w:rsid w:val="008F5FFE"/>
    <w:rsid w:val="00902FA7"/>
    <w:rsid w:val="00905A43"/>
    <w:rsid w:val="00911EC6"/>
    <w:rsid w:val="00912C79"/>
    <w:rsid w:val="00913901"/>
    <w:rsid w:val="00917B7E"/>
    <w:rsid w:val="00921B8C"/>
    <w:rsid w:val="0092565E"/>
    <w:rsid w:val="0093467C"/>
    <w:rsid w:val="00935CA4"/>
    <w:rsid w:val="009374B1"/>
    <w:rsid w:val="00942123"/>
    <w:rsid w:val="0095207B"/>
    <w:rsid w:val="009529D6"/>
    <w:rsid w:val="00962045"/>
    <w:rsid w:val="0097476E"/>
    <w:rsid w:val="00980E61"/>
    <w:rsid w:val="0098122D"/>
    <w:rsid w:val="00983AFA"/>
    <w:rsid w:val="00984F85"/>
    <w:rsid w:val="00991428"/>
    <w:rsid w:val="00992676"/>
    <w:rsid w:val="00993C22"/>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38BE"/>
    <w:rsid w:val="009E45DF"/>
    <w:rsid w:val="009E4DE3"/>
    <w:rsid w:val="009E6812"/>
    <w:rsid w:val="009F0008"/>
    <w:rsid w:val="009F275E"/>
    <w:rsid w:val="009F46CD"/>
    <w:rsid w:val="00A024E7"/>
    <w:rsid w:val="00A047EE"/>
    <w:rsid w:val="00A1458E"/>
    <w:rsid w:val="00A2274A"/>
    <w:rsid w:val="00A235B7"/>
    <w:rsid w:val="00A27A7A"/>
    <w:rsid w:val="00A3165E"/>
    <w:rsid w:val="00A342E1"/>
    <w:rsid w:val="00A34ABE"/>
    <w:rsid w:val="00A407EF"/>
    <w:rsid w:val="00A41EDB"/>
    <w:rsid w:val="00A42495"/>
    <w:rsid w:val="00A46B4C"/>
    <w:rsid w:val="00A5117B"/>
    <w:rsid w:val="00A56330"/>
    <w:rsid w:val="00A56D34"/>
    <w:rsid w:val="00A60074"/>
    <w:rsid w:val="00A6627C"/>
    <w:rsid w:val="00A71019"/>
    <w:rsid w:val="00A81029"/>
    <w:rsid w:val="00A813C4"/>
    <w:rsid w:val="00A86DAC"/>
    <w:rsid w:val="00A94F58"/>
    <w:rsid w:val="00A95463"/>
    <w:rsid w:val="00A96489"/>
    <w:rsid w:val="00A978EA"/>
    <w:rsid w:val="00AA7BE3"/>
    <w:rsid w:val="00AB1B65"/>
    <w:rsid w:val="00AB2425"/>
    <w:rsid w:val="00AB3304"/>
    <w:rsid w:val="00AB3DEC"/>
    <w:rsid w:val="00AB685C"/>
    <w:rsid w:val="00AB6C2D"/>
    <w:rsid w:val="00AC08F7"/>
    <w:rsid w:val="00AC0E87"/>
    <w:rsid w:val="00AC18C4"/>
    <w:rsid w:val="00AC3839"/>
    <w:rsid w:val="00AC7082"/>
    <w:rsid w:val="00AD4BE8"/>
    <w:rsid w:val="00AD5187"/>
    <w:rsid w:val="00AF228E"/>
    <w:rsid w:val="00AF3EB6"/>
    <w:rsid w:val="00B016A8"/>
    <w:rsid w:val="00B10961"/>
    <w:rsid w:val="00B14819"/>
    <w:rsid w:val="00B15E2F"/>
    <w:rsid w:val="00B1682B"/>
    <w:rsid w:val="00B17AA9"/>
    <w:rsid w:val="00B21284"/>
    <w:rsid w:val="00B27E6E"/>
    <w:rsid w:val="00B341AC"/>
    <w:rsid w:val="00B42204"/>
    <w:rsid w:val="00B44713"/>
    <w:rsid w:val="00B56103"/>
    <w:rsid w:val="00B56701"/>
    <w:rsid w:val="00B64929"/>
    <w:rsid w:val="00B6778E"/>
    <w:rsid w:val="00B726A5"/>
    <w:rsid w:val="00B736DF"/>
    <w:rsid w:val="00B743D6"/>
    <w:rsid w:val="00B74FBD"/>
    <w:rsid w:val="00B76A42"/>
    <w:rsid w:val="00B77F46"/>
    <w:rsid w:val="00B82586"/>
    <w:rsid w:val="00B829A3"/>
    <w:rsid w:val="00B86DB1"/>
    <w:rsid w:val="00B87869"/>
    <w:rsid w:val="00B930E6"/>
    <w:rsid w:val="00B9639B"/>
    <w:rsid w:val="00BA1D4C"/>
    <w:rsid w:val="00BB0F2B"/>
    <w:rsid w:val="00BC7FB0"/>
    <w:rsid w:val="00BD4A58"/>
    <w:rsid w:val="00BD7337"/>
    <w:rsid w:val="00BE4FF3"/>
    <w:rsid w:val="00BF50F7"/>
    <w:rsid w:val="00BF53B8"/>
    <w:rsid w:val="00BF7138"/>
    <w:rsid w:val="00C02F29"/>
    <w:rsid w:val="00C20AFE"/>
    <w:rsid w:val="00C22A25"/>
    <w:rsid w:val="00C34192"/>
    <w:rsid w:val="00C35671"/>
    <w:rsid w:val="00C356E8"/>
    <w:rsid w:val="00C35B77"/>
    <w:rsid w:val="00C362AA"/>
    <w:rsid w:val="00C376EB"/>
    <w:rsid w:val="00C46A92"/>
    <w:rsid w:val="00C46EC1"/>
    <w:rsid w:val="00C52796"/>
    <w:rsid w:val="00C53E2C"/>
    <w:rsid w:val="00C550C8"/>
    <w:rsid w:val="00C56B61"/>
    <w:rsid w:val="00C606C3"/>
    <w:rsid w:val="00C620F4"/>
    <w:rsid w:val="00C651D6"/>
    <w:rsid w:val="00C72848"/>
    <w:rsid w:val="00C77327"/>
    <w:rsid w:val="00C7736C"/>
    <w:rsid w:val="00C82D87"/>
    <w:rsid w:val="00C86004"/>
    <w:rsid w:val="00C8712A"/>
    <w:rsid w:val="00C876A8"/>
    <w:rsid w:val="00C87E0A"/>
    <w:rsid w:val="00C902C8"/>
    <w:rsid w:val="00C919D1"/>
    <w:rsid w:val="00C963D3"/>
    <w:rsid w:val="00CA164B"/>
    <w:rsid w:val="00CB0125"/>
    <w:rsid w:val="00CB1983"/>
    <w:rsid w:val="00CB2CBB"/>
    <w:rsid w:val="00CB591B"/>
    <w:rsid w:val="00CB6578"/>
    <w:rsid w:val="00CB7CAC"/>
    <w:rsid w:val="00CC175B"/>
    <w:rsid w:val="00CC4818"/>
    <w:rsid w:val="00CC5335"/>
    <w:rsid w:val="00CC5BA4"/>
    <w:rsid w:val="00CD28E2"/>
    <w:rsid w:val="00CD4998"/>
    <w:rsid w:val="00CE1035"/>
    <w:rsid w:val="00CE6E50"/>
    <w:rsid w:val="00CF2819"/>
    <w:rsid w:val="00CF4F9D"/>
    <w:rsid w:val="00CF70DC"/>
    <w:rsid w:val="00D041E0"/>
    <w:rsid w:val="00D14336"/>
    <w:rsid w:val="00D148DC"/>
    <w:rsid w:val="00D17FDC"/>
    <w:rsid w:val="00D21021"/>
    <w:rsid w:val="00D21D8C"/>
    <w:rsid w:val="00D316F2"/>
    <w:rsid w:val="00D31B0E"/>
    <w:rsid w:val="00D53719"/>
    <w:rsid w:val="00D63EFD"/>
    <w:rsid w:val="00D7622D"/>
    <w:rsid w:val="00D829B8"/>
    <w:rsid w:val="00D84752"/>
    <w:rsid w:val="00D86B3B"/>
    <w:rsid w:val="00D8748A"/>
    <w:rsid w:val="00D93196"/>
    <w:rsid w:val="00D968C7"/>
    <w:rsid w:val="00D97EDB"/>
    <w:rsid w:val="00DA0DC0"/>
    <w:rsid w:val="00DA1D45"/>
    <w:rsid w:val="00DB2424"/>
    <w:rsid w:val="00DB243C"/>
    <w:rsid w:val="00DB482A"/>
    <w:rsid w:val="00DB50FB"/>
    <w:rsid w:val="00DB56F2"/>
    <w:rsid w:val="00DB6EF5"/>
    <w:rsid w:val="00DC3089"/>
    <w:rsid w:val="00DC359F"/>
    <w:rsid w:val="00DC4420"/>
    <w:rsid w:val="00DC6278"/>
    <w:rsid w:val="00DD0802"/>
    <w:rsid w:val="00DD1B6B"/>
    <w:rsid w:val="00DD2E11"/>
    <w:rsid w:val="00DE03AF"/>
    <w:rsid w:val="00DE121C"/>
    <w:rsid w:val="00DE5357"/>
    <w:rsid w:val="00DE6633"/>
    <w:rsid w:val="00DF158F"/>
    <w:rsid w:val="00DF3AD2"/>
    <w:rsid w:val="00DF75F8"/>
    <w:rsid w:val="00DF7A3A"/>
    <w:rsid w:val="00E00C00"/>
    <w:rsid w:val="00E02175"/>
    <w:rsid w:val="00E07C5A"/>
    <w:rsid w:val="00E12EC4"/>
    <w:rsid w:val="00E12F33"/>
    <w:rsid w:val="00E15BA9"/>
    <w:rsid w:val="00E26E10"/>
    <w:rsid w:val="00E26E19"/>
    <w:rsid w:val="00E30E60"/>
    <w:rsid w:val="00E31DF3"/>
    <w:rsid w:val="00E450A4"/>
    <w:rsid w:val="00E506BE"/>
    <w:rsid w:val="00E55547"/>
    <w:rsid w:val="00E6302B"/>
    <w:rsid w:val="00E6452F"/>
    <w:rsid w:val="00E64C7A"/>
    <w:rsid w:val="00E64F45"/>
    <w:rsid w:val="00E6742D"/>
    <w:rsid w:val="00E71CB0"/>
    <w:rsid w:val="00E7315A"/>
    <w:rsid w:val="00E7758D"/>
    <w:rsid w:val="00E77C3D"/>
    <w:rsid w:val="00E90991"/>
    <w:rsid w:val="00E909F0"/>
    <w:rsid w:val="00E90D47"/>
    <w:rsid w:val="00E93993"/>
    <w:rsid w:val="00E9597C"/>
    <w:rsid w:val="00EA0913"/>
    <w:rsid w:val="00EA0ABF"/>
    <w:rsid w:val="00EA5B00"/>
    <w:rsid w:val="00EB146B"/>
    <w:rsid w:val="00EB45AC"/>
    <w:rsid w:val="00EC441F"/>
    <w:rsid w:val="00EC4755"/>
    <w:rsid w:val="00ED0BC4"/>
    <w:rsid w:val="00ED447D"/>
    <w:rsid w:val="00ED738F"/>
    <w:rsid w:val="00ED74BC"/>
    <w:rsid w:val="00EE4971"/>
    <w:rsid w:val="00EF090E"/>
    <w:rsid w:val="00EF5572"/>
    <w:rsid w:val="00EF67F6"/>
    <w:rsid w:val="00F033DA"/>
    <w:rsid w:val="00F12FC2"/>
    <w:rsid w:val="00F13691"/>
    <w:rsid w:val="00F13C20"/>
    <w:rsid w:val="00F13FB1"/>
    <w:rsid w:val="00F23057"/>
    <w:rsid w:val="00F27CD8"/>
    <w:rsid w:val="00F30351"/>
    <w:rsid w:val="00F3323E"/>
    <w:rsid w:val="00F341F4"/>
    <w:rsid w:val="00F34F9D"/>
    <w:rsid w:val="00F35CCE"/>
    <w:rsid w:val="00F42D50"/>
    <w:rsid w:val="00F5524B"/>
    <w:rsid w:val="00F60538"/>
    <w:rsid w:val="00F60D9B"/>
    <w:rsid w:val="00F61DD2"/>
    <w:rsid w:val="00F66AFF"/>
    <w:rsid w:val="00F70041"/>
    <w:rsid w:val="00F71433"/>
    <w:rsid w:val="00F76C41"/>
    <w:rsid w:val="00F9064B"/>
    <w:rsid w:val="00F92140"/>
    <w:rsid w:val="00F95052"/>
    <w:rsid w:val="00F959C4"/>
    <w:rsid w:val="00F97C5B"/>
    <w:rsid w:val="00FA3D50"/>
    <w:rsid w:val="00FB40C6"/>
    <w:rsid w:val="00FB7FBD"/>
    <w:rsid w:val="00FC195E"/>
    <w:rsid w:val="00FC374A"/>
    <w:rsid w:val="00FC43EC"/>
    <w:rsid w:val="00FC7AC7"/>
    <w:rsid w:val="00FC7B47"/>
    <w:rsid w:val="00FD035C"/>
    <w:rsid w:val="00FD1A35"/>
    <w:rsid w:val="00FD2EA4"/>
    <w:rsid w:val="00FD320B"/>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9F46CD"/>
    <w:rPr>
      <w:color w:val="605E5C"/>
      <w:shd w:val="clear" w:color="auto" w:fill="E1DFDD"/>
    </w:rPr>
  </w:style>
  <w:style w:type="paragraph" w:customStyle="1" w:styleId="statutory-body">
    <w:name w:val="statutory-body"/>
    <w:basedOn w:val="Normal"/>
    <w:rsid w:val="00D7622D"/>
    <w:pPr>
      <w:spacing w:before="100" w:beforeAutospacing="1" w:after="100" w:afterAutospacing="1"/>
    </w:pPr>
    <w:rPr>
      <w:rFonts w:ascii="Times New Roman" w:hAnsi="Times New Roman" w:cs="Times New Roman"/>
      <w:sz w:val="24"/>
      <w:lang w:val="en-GB" w:eastAsia="en-GB"/>
    </w:rPr>
  </w:style>
  <w:style w:type="paragraph" w:customStyle="1" w:styleId="statutory-body-1em">
    <w:name w:val="statutory-body-1em"/>
    <w:basedOn w:val="Normal"/>
    <w:rsid w:val="00D7622D"/>
    <w:pPr>
      <w:spacing w:before="100" w:beforeAutospacing="1" w:after="100" w:afterAutospacing="1"/>
    </w:pPr>
    <w:rPr>
      <w:rFonts w:ascii="Times New Roman" w:hAnsi="Times New Roman" w:cs="Times New Roman"/>
      <w:sz w:val="24"/>
      <w:lang w:val="en-GB" w:eastAsia="en-GB"/>
    </w:rPr>
  </w:style>
  <w:style w:type="paragraph" w:customStyle="1" w:styleId="statutory-body-2em">
    <w:name w:val="statutory-body-2em"/>
    <w:basedOn w:val="Normal"/>
    <w:rsid w:val="00D7622D"/>
    <w:pPr>
      <w:spacing w:before="100" w:beforeAutospacing="1" w:after="100" w:afterAutospacing="1"/>
    </w:pPr>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63233714">
      <w:bodyDiv w:val="1"/>
      <w:marLeft w:val="0"/>
      <w:marRight w:val="0"/>
      <w:marTop w:val="0"/>
      <w:marBottom w:val="0"/>
      <w:divBdr>
        <w:top w:val="none" w:sz="0" w:space="0" w:color="auto"/>
        <w:left w:val="none" w:sz="0" w:space="0" w:color="auto"/>
        <w:bottom w:val="none" w:sz="0" w:space="0" w:color="auto"/>
        <w:right w:val="none" w:sz="0" w:space="0" w:color="auto"/>
      </w:divBdr>
    </w:div>
    <w:div w:id="180381391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yers.com/legal-info/bankruptcy/commercial-bankruptcy/impaired-creditors-and-your-chapter-11-pl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14</Pages>
  <Words>5723</Words>
  <Characters>28792</Characters>
  <Application>Microsoft Office Word</Application>
  <DocSecurity>0</DocSecurity>
  <Lines>757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Blair Lomax</cp:lastModifiedBy>
  <cp:revision>90</cp:revision>
  <cp:lastPrinted>2019-08-27T05:42:00Z</cp:lastPrinted>
  <dcterms:created xsi:type="dcterms:W3CDTF">2022-02-28T22:11:00Z</dcterms:created>
  <dcterms:modified xsi:type="dcterms:W3CDTF">2022-03-01T18:48:00Z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2022-03-01T18:48:48Z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051577da-3b85-44b1-80a5-9aa2b9f99283</vt:lpwstr>
  </property>
  <property fmtid="{D5CDD505-2E9C-101B-9397-08002B2CF9AE}" pid="8" name="MSIP_Label_785837b0-ed5a-4fd4-94ae-ef361c98d083_ContentBits">
    <vt:lpwstr>1</vt:lpwstr>
  </property>
</Properties>
</file>