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jstalinea"/>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jstalinea"/>
        <w:ind w:left="426"/>
        <w:jc w:val="both"/>
        <w:rPr>
          <w:rFonts w:ascii="Arial" w:hAnsi="Arial" w:cs="Arial"/>
          <w:sz w:val="22"/>
          <w:szCs w:val="22"/>
          <w:lang w:val="en-GB"/>
        </w:rPr>
      </w:pPr>
    </w:p>
    <w:p w14:paraId="284B9BBE" w14:textId="18A26DD1" w:rsidR="005B79F4" w:rsidRPr="00D21F62" w:rsidRDefault="00D21F62" w:rsidP="003C4BCB">
      <w:pPr>
        <w:pStyle w:val="Lijstalinea"/>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jstalinea"/>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6B2F96" w:rsidRDefault="00D21F62" w:rsidP="003C4BCB">
      <w:pPr>
        <w:pStyle w:val="Lijstalinea"/>
        <w:numPr>
          <w:ilvl w:val="0"/>
          <w:numId w:val="2"/>
        </w:numPr>
        <w:ind w:left="426"/>
        <w:jc w:val="both"/>
        <w:rPr>
          <w:rFonts w:ascii="Arial" w:hAnsi="Arial" w:cs="Arial"/>
          <w:sz w:val="22"/>
          <w:szCs w:val="22"/>
          <w:highlight w:val="yellow"/>
          <w:lang w:val="en-GB"/>
        </w:rPr>
      </w:pPr>
      <w:r w:rsidRPr="006B2F96">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6B2F96">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6B2F96" w:rsidRDefault="006D217A" w:rsidP="006D217A">
      <w:pPr>
        <w:pStyle w:val="Lijstalinea"/>
        <w:numPr>
          <w:ilvl w:val="0"/>
          <w:numId w:val="3"/>
        </w:numPr>
        <w:ind w:left="426"/>
        <w:jc w:val="both"/>
        <w:rPr>
          <w:rFonts w:ascii="Arial" w:hAnsi="Arial" w:cs="Arial"/>
          <w:iCs/>
          <w:sz w:val="22"/>
          <w:szCs w:val="22"/>
          <w:highlight w:val="yellow"/>
          <w:lang w:val="en-GB"/>
        </w:rPr>
      </w:pPr>
      <w:r w:rsidRPr="006B2F96">
        <w:rPr>
          <w:rFonts w:ascii="Arial" w:hAnsi="Arial" w:cs="Arial"/>
          <w:iCs/>
          <w:sz w:val="22"/>
          <w:szCs w:val="22"/>
          <w:highlight w:val="yellow"/>
          <w:lang w:val="en-GB"/>
        </w:rPr>
        <w:t>False</w:t>
      </w:r>
      <w:r w:rsidR="00D21F62" w:rsidRPr="006B2F96">
        <w:rPr>
          <w:rFonts w:ascii="Arial" w:hAnsi="Arial" w:cs="Arial"/>
          <w:iCs/>
          <w:sz w:val="22"/>
          <w:szCs w:val="22"/>
          <w:highlight w:val="yellow"/>
          <w:lang w:val="en-GB"/>
        </w:rPr>
        <w:t>.</w:t>
      </w:r>
      <w:r w:rsidRPr="006B2F96">
        <w:rPr>
          <w:rFonts w:ascii="Arial" w:hAnsi="Arial" w:cs="Arial"/>
          <w:iCs/>
          <w:sz w:val="22"/>
          <w:szCs w:val="22"/>
          <w:highlight w:val="yellow"/>
          <w:lang w:val="en-GB"/>
        </w:rPr>
        <w:t xml:space="preserve"> </w:t>
      </w:r>
      <w:r w:rsidR="00D21F62" w:rsidRPr="006B2F96">
        <w:rPr>
          <w:rFonts w:ascii="Arial" w:hAnsi="Arial" w:cs="Arial"/>
          <w:sz w:val="22"/>
          <w:szCs w:val="22"/>
          <w:highlight w:val="yellow"/>
          <w:lang w:val="en-GB"/>
        </w:rPr>
        <w:t>T</w:t>
      </w:r>
      <w:r w:rsidRPr="006B2F96">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jstalinea"/>
        <w:ind w:left="426"/>
        <w:jc w:val="both"/>
        <w:rPr>
          <w:rFonts w:ascii="Arial" w:hAnsi="Arial" w:cs="Arial"/>
          <w:iCs/>
          <w:sz w:val="22"/>
          <w:szCs w:val="22"/>
          <w:lang w:val="en-GB"/>
        </w:rPr>
      </w:pPr>
    </w:p>
    <w:p w14:paraId="41F30847" w14:textId="15ADA3FC" w:rsidR="006D217A" w:rsidRPr="005D2CD6" w:rsidRDefault="006D217A" w:rsidP="006D217A">
      <w:pPr>
        <w:pStyle w:val="Lijstaline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jstalinea"/>
        <w:ind w:left="426"/>
        <w:jc w:val="both"/>
        <w:rPr>
          <w:rFonts w:ascii="Arial" w:hAnsi="Arial" w:cs="Arial"/>
          <w:iCs/>
          <w:sz w:val="22"/>
          <w:szCs w:val="22"/>
          <w:lang w:val="en-GB"/>
        </w:rPr>
      </w:pPr>
    </w:p>
    <w:p w14:paraId="74C0E9B6" w14:textId="67EBDC94" w:rsidR="005B79F4" w:rsidRPr="005D2CD6" w:rsidRDefault="006D217A" w:rsidP="00D21F62">
      <w:pPr>
        <w:pStyle w:val="Lijstaline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jstalinea"/>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jstalinea"/>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jstalinea"/>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jstalinea"/>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4710F9" w:rsidRDefault="00D21F62" w:rsidP="003C4BCB">
      <w:pPr>
        <w:pStyle w:val="Lijstalinea"/>
        <w:numPr>
          <w:ilvl w:val="0"/>
          <w:numId w:val="4"/>
        </w:numPr>
        <w:ind w:left="426"/>
        <w:jc w:val="both"/>
        <w:rPr>
          <w:rFonts w:ascii="Arial" w:hAnsi="Arial" w:cs="Arial"/>
          <w:sz w:val="22"/>
          <w:szCs w:val="22"/>
          <w:highlight w:val="yellow"/>
          <w:lang w:val="en-GB"/>
        </w:rPr>
      </w:pPr>
      <w:r w:rsidRPr="004710F9">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jstalinea"/>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jstalinea"/>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4710F9" w:rsidRDefault="00971896" w:rsidP="003C4BCB">
      <w:pPr>
        <w:pStyle w:val="Lijstalinea"/>
        <w:numPr>
          <w:ilvl w:val="0"/>
          <w:numId w:val="5"/>
        </w:numPr>
        <w:ind w:left="426"/>
        <w:jc w:val="both"/>
        <w:rPr>
          <w:rFonts w:ascii="Arial" w:hAnsi="Arial" w:cs="Arial"/>
          <w:sz w:val="22"/>
          <w:szCs w:val="22"/>
          <w:highlight w:val="yellow"/>
          <w:lang w:val="en-GB"/>
        </w:rPr>
      </w:pPr>
      <w:r w:rsidRPr="004710F9">
        <w:rPr>
          <w:rFonts w:ascii="Arial" w:hAnsi="Arial" w:cs="Arial"/>
          <w:sz w:val="22"/>
          <w:szCs w:val="22"/>
          <w:highlight w:val="yellow"/>
          <w:lang w:val="en-GB"/>
        </w:rPr>
        <w:t xml:space="preserve">Although the EIR Recast includes relevant and useful innovations, it has stuck with the framework of the </w:t>
      </w:r>
      <w:r w:rsidR="006F0106" w:rsidRPr="004710F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jstaline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jstalinea"/>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jstalinea"/>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jstalinea"/>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jstalinea"/>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7F7034" w:rsidRDefault="008E7371" w:rsidP="003C4BCB">
      <w:pPr>
        <w:pStyle w:val="Lijstalinea"/>
        <w:numPr>
          <w:ilvl w:val="0"/>
          <w:numId w:val="6"/>
        </w:numPr>
        <w:ind w:left="426"/>
        <w:jc w:val="both"/>
        <w:rPr>
          <w:rFonts w:ascii="Arial" w:hAnsi="Arial" w:cs="Arial"/>
          <w:sz w:val="22"/>
          <w:szCs w:val="22"/>
          <w:highlight w:val="yellow"/>
          <w:lang w:val="en-GB"/>
        </w:rPr>
      </w:pPr>
      <w:r w:rsidRPr="007F7034">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7F7034" w:rsidRDefault="00113E29" w:rsidP="00D509A5">
      <w:pPr>
        <w:pStyle w:val="Lijstalinea"/>
        <w:numPr>
          <w:ilvl w:val="0"/>
          <w:numId w:val="7"/>
        </w:numPr>
        <w:ind w:left="426"/>
        <w:jc w:val="both"/>
        <w:rPr>
          <w:rFonts w:ascii="Arial" w:hAnsi="Arial" w:cs="Arial"/>
          <w:sz w:val="22"/>
          <w:szCs w:val="22"/>
          <w:highlight w:val="yellow"/>
          <w:lang w:val="en-GB"/>
        </w:rPr>
      </w:pPr>
      <w:r w:rsidRPr="007F7034">
        <w:rPr>
          <w:rFonts w:ascii="Arial" w:hAnsi="Arial" w:cs="Arial"/>
          <w:sz w:val="22"/>
          <w:szCs w:val="22"/>
          <w:highlight w:val="yellow"/>
          <w:lang w:val="en-GB"/>
        </w:rPr>
        <w:t xml:space="preserve">The </w:t>
      </w:r>
      <w:r w:rsidR="008E7371" w:rsidRPr="007F7034">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jstalinea"/>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jstalinea"/>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jstalinea"/>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jstalinea"/>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jstalinea"/>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jstaline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jstaline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jstalinea"/>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jstalinea"/>
        <w:ind w:left="426"/>
        <w:jc w:val="both"/>
        <w:rPr>
          <w:rFonts w:ascii="Arial" w:hAnsi="Arial" w:cs="Arial"/>
          <w:sz w:val="22"/>
          <w:szCs w:val="22"/>
          <w:lang w:val="en-GB"/>
        </w:rPr>
      </w:pPr>
    </w:p>
    <w:p w14:paraId="7793DAFC" w14:textId="67E69AED" w:rsidR="00F814B4" w:rsidRPr="00A44200" w:rsidRDefault="0034705B" w:rsidP="003C4BCB">
      <w:pPr>
        <w:pStyle w:val="Lijstalinea"/>
        <w:numPr>
          <w:ilvl w:val="0"/>
          <w:numId w:val="8"/>
        </w:numPr>
        <w:ind w:left="426"/>
        <w:jc w:val="both"/>
        <w:rPr>
          <w:rFonts w:ascii="Arial" w:hAnsi="Arial" w:cs="Arial"/>
          <w:sz w:val="22"/>
          <w:szCs w:val="22"/>
          <w:highlight w:val="yellow"/>
          <w:lang w:val="en-GB"/>
        </w:rPr>
      </w:pPr>
      <w:r w:rsidRPr="00A44200">
        <w:rPr>
          <w:rFonts w:ascii="Arial" w:hAnsi="Arial" w:cs="Arial"/>
          <w:sz w:val="22"/>
          <w:szCs w:val="22"/>
          <w:highlight w:val="yellow"/>
          <w:lang w:val="en-GB"/>
        </w:rPr>
        <w:t>“</w:t>
      </w:r>
      <w:r w:rsidR="00F814B4" w:rsidRPr="00A44200">
        <w:rPr>
          <w:rFonts w:ascii="Arial" w:hAnsi="Arial" w:cs="Arial"/>
          <w:sz w:val="22"/>
          <w:szCs w:val="22"/>
          <w:highlight w:val="yellow"/>
          <w:lang w:val="en-GB"/>
        </w:rPr>
        <w:t>Synthetic proceedings</w:t>
      </w:r>
      <w:r w:rsidRPr="00A44200">
        <w:rPr>
          <w:rFonts w:ascii="Arial" w:hAnsi="Arial" w:cs="Arial"/>
          <w:sz w:val="22"/>
          <w:szCs w:val="22"/>
          <w:highlight w:val="yellow"/>
          <w:lang w:val="en-GB"/>
        </w:rPr>
        <w:t>”</w:t>
      </w:r>
      <w:r w:rsidR="00F814B4" w:rsidRPr="00A4420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Tekstopmerking"/>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jstaline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jstalinea"/>
        <w:ind w:left="426"/>
        <w:jc w:val="both"/>
        <w:rPr>
          <w:rFonts w:ascii="Arial" w:hAnsi="Arial" w:cs="Arial"/>
          <w:sz w:val="22"/>
          <w:szCs w:val="22"/>
          <w:lang w:val="en-GB"/>
        </w:rPr>
      </w:pPr>
    </w:p>
    <w:p w14:paraId="2C0C9375" w14:textId="74A9BBD3" w:rsidR="00AD6870" w:rsidRPr="005D2CD6" w:rsidRDefault="00AD6870" w:rsidP="00AD6870">
      <w:pPr>
        <w:pStyle w:val="Lijstaline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jstalinea"/>
        <w:ind w:left="426"/>
        <w:jc w:val="both"/>
        <w:rPr>
          <w:rFonts w:ascii="Arial" w:hAnsi="Arial" w:cs="Arial"/>
          <w:sz w:val="22"/>
          <w:szCs w:val="22"/>
          <w:lang w:val="en-GB"/>
        </w:rPr>
      </w:pPr>
    </w:p>
    <w:p w14:paraId="7CF1BB8B" w14:textId="77777777" w:rsidR="00F814B4" w:rsidRPr="00923A52" w:rsidRDefault="00F814B4" w:rsidP="00F814B4">
      <w:pPr>
        <w:pStyle w:val="Lijstalinea"/>
        <w:numPr>
          <w:ilvl w:val="0"/>
          <w:numId w:val="10"/>
        </w:numPr>
        <w:ind w:left="426"/>
        <w:jc w:val="both"/>
        <w:rPr>
          <w:rFonts w:ascii="Arial" w:hAnsi="Arial" w:cs="Arial"/>
          <w:sz w:val="22"/>
          <w:szCs w:val="22"/>
          <w:highlight w:val="yellow"/>
          <w:lang w:val="en-GB"/>
        </w:rPr>
      </w:pPr>
      <w:r w:rsidRPr="00923A52">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jstalinea"/>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jstaline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AD7A47" w:rsidRDefault="00375D11" w:rsidP="00375D11">
      <w:pPr>
        <w:pStyle w:val="Lijstalinea"/>
        <w:numPr>
          <w:ilvl w:val="0"/>
          <w:numId w:val="9"/>
        </w:numPr>
        <w:ind w:left="426"/>
        <w:jc w:val="both"/>
        <w:rPr>
          <w:rFonts w:ascii="Arial" w:hAnsi="Arial" w:cs="Arial"/>
          <w:sz w:val="22"/>
          <w:szCs w:val="22"/>
          <w:highlight w:val="yellow"/>
          <w:lang w:val="en-GB"/>
        </w:rPr>
      </w:pPr>
      <w:r w:rsidRPr="00AD7A47">
        <w:rPr>
          <w:rFonts w:ascii="Arial" w:hAnsi="Arial" w:cs="Arial"/>
          <w:sz w:val="22"/>
          <w:szCs w:val="22"/>
          <w:highlight w:val="yellow"/>
          <w:lang w:val="en-GB"/>
        </w:rPr>
        <w:t xml:space="preserve">The contested transactions cannot be avoided if Lacroix SARL can prove that the </w:t>
      </w:r>
      <w:r w:rsidRPr="00AD7A47">
        <w:rPr>
          <w:rFonts w:ascii="Arial" w:hAnsi="Arial" w:cs="Arial"/>
          <w:i/>
          <w:sz w:val="22"/>
          <w:szCs w:val="22"/>
          <w:highlight w:val="yellow"/>
          <w:lang w:val="en-GB"/>
        </w:rPr>
        <w:t>lex causae</w:t>
      </w:r>
      <w:r w:rsidRPr="00AD7A47">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jstalinea"/>
        <w:ind w:left="426"/>
        <w:jc w:val="both"/>
        <w:rPr>
          <w:rFonts w:ascii="Arial" w:hAnsi="Arial" w:cs="Arial"/>
          <w:sz w:val="22"/>
          <w:szCs w:val="22"/>
          <w:lang w:val="en-GB"/>
        </w:rPr>
      </w:pPr>
    </w:p>
    <w:p w14:paraId="1A7B7775" w14:textId="4A1D42B1" w:rsidR="00375D11" w:rsidRPr="005D2CD6" w:rsidRDefault="00113E29" w:rsidP="00375D11">
      <w:pPr>
        <w:pStyle w:val="Lijstalinea"/>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jstalinea"/>
        <w:ind w:left="426"/>
        <w:jc w:val="both"/>
        <w:rPr>
          <w:rFonts w:ascii="Arial" w:hAnsi="Arial" w:cs="Arial"/>
          <w:sz w:val="22"/>
          <w:szCs w:val="22"/>
          <w:lang w:val="en-GB"/>
        </w:rPr>
      </w:pPr>
    </w:p>
    <w:p w14:paraId="3BB4C572" w14:textId="0D9E3986" w:rsidR="00375D11" w:rsidRPr="005D2CD6" w:rsidRDefault="00375D11" w:rsidP="00375D11">
      <w:pPr>
        <w:pStyle w:val="Lijstalinea"/>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jstaline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jstalinea"/>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jstaline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EB1EC1" w:rsidRDefault="00FC48D8" w:rsidP="003C4BCB">
      <w:pPr>
        <w:pStyle w:val="Lijstalinea"/>
        <w:numPr>
          <w:ilvl w:val="0"/>
          <w:numId w:val="11"/>
        </w:numPr>
        <w:ind w:left="426"/>
        <w:jc w:val="both"/>
        <w:rPr>
          <w:rFonts w:ascii="Arial" w:hAnsi="Arial" w:cs="Arial"/>
          <w:sz w:val="22"/>
          <w:szCs w:val="22"/>
          <w:highlight w:val="yellow"/>
          <w:lang w:val="en-GB"/>
        </w:rPr>
      </w:pPr>
      <w:r w:rsidRPr="00EB1EC1">
        <w:rPr>
          <w:rFonts w:ascii="Arial" w:hAnsi="Arial" w:cs="Arial"/>
          <w:sz w:val="22"/>
          <w:szCs w:val="22"/>
          <w:highlight w:val="yellow"/>
          <w:lang w:val="en-GB"/>
        </w:rPr>
        <w:t xml:space="preserve">Within </w:t>
      </w:r>
      <w:r w:rsidR="006F2B12" w:rsidRPr="00EB1EC1">
        <w:rPr>
          <w:rFonts w:ascii="Arial" w:hAnsi="Arial" w:cs="Arial"/>
          <w:sz w:val="22"/>
          <w:szCs w:val="22"/>
          <w:highlight w:val="yellow"/>
          <w:lang w:val="en-GB"/>
        </w:rPr>
        <w:t>one month</w:t>
      </w:r>
      <w:r w:rsidRPr="00EB1EC1">
        <w:rPr>
          <w:rFonts w:ascii="Arial" w:hAnsi="Arial" w:cs="Arial"/>
          <w:sz w:val="22"/>
          <w:szCs w:val="22"/>
          <w:highlight w:val="yellow"/>
          <w:lang w:val="en-GB"/>
        </w:rPr>
        <w:t xml:space="preserve">, as stipulated in the applicable </w:t>
      </w:r>
      <w:r w:rsidRPr="00EB1EC1">
        <w:rPr>
          <w:rFonts w:ascii="Arial" w:hAnsi="Arial" w:cs="Arial"/>
          <w:i/>
          <w:sz w:val="22"/>
          <w:szCs w:val="22"/>
          <w:highlight w:val="yellow"/>
          <w:lang w:val="en-GB"/>
        </w:rPr>
        <w:t>lex concursus secundarii</w:t>
      </w:r>
      <w:r w:rsidRPr="00EB1EC1">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jstalinea"/>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jstalinea"/>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3D99DEA0" w14:textId="0294092F" w:rsidR="00145612" w:rsidRDefault="00D845C9" w:rsidP="00D845C9">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w:t>
      </w:r>
      <w:r w:rsidR="00EF2660">
        <w:rPr>
          <w:rFonts w:ascii="Arial" w:hAnsi="Arial" w:cs="Arial"/>
          <w:color w:val="7B7B7B" w:themeColor="accent3" w:themeShade="BF"/>
          <w:sz w:val="22"/>
          <w:szCs w:val="22"/>
        </w:rPr>
        <w:t xml:space="preserve">refers to Recital 42 EIR Recast. It </w:t>
      </w:r>
      <w:r>
        <w:rPr>
          <w:rFonts w:ascii="Arial" w:hAnsi="Arial" w:cs="Arial"/>
          <w:color w:val="7B7B7B" w:themeColor="accent3" w:themeShade="BF"/>
          <w:sz w:val="22"/>
          <w:szCs w:val="22"/>
        </w:rPr>
        <w:t xml:space="preserve">relates to </w:t>
      </w:r>
      <w:r w:rsidR="00145612">
        <w:rPr>
          <w:rFonts w:ascii="Arial" w:hAnsi="Arial" w:cs="Arial"/>
          <w:color w:val="7B7B7B" w:themeColor="accent3" w:themeShade="BF"/>
          <w:sz w:val="22"/>
          <w:szCs w:val="22"/>
        </w:rPr>
        <w:t xml:space="preserve">one of the options found in the EIR Recast to avoid the opening of secondary insolvency proceedings, namely </w:t>
      </w:r>
      <w:r>
        <w:rPr>
          <w:rFonts w:ascii="Arial" w:hAnsi="Arial" w:cs="Arial"/>
          <w:color w:val="7B7B7B" w:themeColor="accent3" w:themeShade="BF"/>
          <w:sz w:val="22"/>
          <w:szCs w:val="22"/>
        </w:rPr>
        <w:t>the right to give an undertaking in order to avoid secondary insolvency</w:t>
      </w:r>
      <w:r w:rsidR="00145612">
        <w:rPr>
          <w:rFonts w:ascii="Arial" w:hAnsi="Arial" w:cs="Arial"/>
          <w:color w:val="7B7B7B" w:themeColor="accent3" w:themeShade="BF"/>
          <w:sz w:val="22"/>
          <w:szCs w:val="22"/>
        </w:rPr>
        <w:t xml:space="preserve"> proceedings (“synthetic” secondary proceedings) – Article 36 EIR Recast (see also Article 38(2) EIR</w:t>
      </w:r>
      <w:r w:rsidR="004E190A">
        <w:rPr>
          <w:rFonts w:ascii="Arial" w:hAnsi="Arial" w:cs="Arial"/>
          <w:color w:val="7B7B7B" w:themeColor="accent3" w:themeShade="BF"/>
          <w:sz w:val="22"/>
          <w:szCs w:val="22"/>
        </w:rPr>
        <w:t xml:space="preserve"> Recast</w:t>
      </w:r>
      <w:r w:rsidR="00145612">
        <w:rPr>
          <w:rFonts w:ascii="Arial" w:hAnsi="Arial" w:cs="Arial"/>
          <w:color w:val="7B7B7B" w:themeColor="accent3" w:themeShade="BF"/>
          <w:sz w:val="22"/>
          <w:szCs w:val="22"/>
        </w:rPr>
        <w:t>)</w:t>
      </w:r>
    </w:p>
    <w:p w14:paraId="0491AD53" w14:textId="40E185F8" w:rsidR="00145612" w:rsidRDefault="00145612" w:rsidP="00D845C9">
      <w:pPr>
        <w:ind w:left="720"/>
        <w:jc w:val="both"/>
        <w:rPr>
          <w:rFonts w:ascii="Arial" w:hAnsi="Arial" w:cs="Arial"/>
          <w:color w:val="7B7B7B" w:themeColor="accent3" w:themeShade="BF"/>
          <w:sz w:val="22"/>
          <w:szCs w:val="22"/>
        </w:rPr>
      </w:pPr>
    </w:p>
    <w:p w14:paraId="5C7DD9F3" w14:textId="3AC98DCC" w:rsidR="00636C15" w:rsidRPr="00145612" w:rsidRDefault="004E190A" w:rsidP="008954B3">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2 refers to Recital 3 EIR Recast: “</w:t>
      </w:r>
      <w:r w:rsidRPr="004E190A">
        <w:rPr>
          <w:rFonts w:ascii="Arial" w:hAnsi="Arial" w:cs="Arial"/>
          <w:i/>
          <w:iCs/>
          <w:color w:val="7B7B7B" w:themeColor="accent3" w:themeShade="BF"/>
          <w:sz w:val="22"/>
          <w:szCs w:val="22"/>
        </w:rPr>
        <w:t>The proper functioning of the internal market requires that cross-border insolvency proceedings should operate efficiently and effectively. This Regulation needs to be adopted in order to achieve that objective, which falls within the scope of judicial cooperation in civil matters within the meaning of Article 81 of the Treaty</w:t>
      </w:r>
      <w:r>
        <w:rPr>
          <w:rFonts w:ascii="Arial" w:hAnsi="Arial" w:cs="Arial"/>
          <w:color w:val="7B7B7B" w:themeColor="accent3" w:themeShade="BF"/>
          <w:sz w:val="22"/>
          <w:szCs w:val="22"/>
        </w:rPr>
        <w:t>”</w:t>
      </w:r>
      <w:r w:rsidR="00DE1C32">
        <w:rPr>
          <w:rFonts w:ascii="Arial" w:hAnsi="Arial" w:cs="Arial"/>
          <w:color w:val="7B7B7B" w:themeColor="accent3" w:themeShade="BF"/>
          <w:sz w:val="22"/>
          <w:szCs w:val="22"/>
        </w:rPr>
        <w:t xml:space="preserve"> (i.e. Treaty on the functioning of the European Union)</w:t>
      </w:r>
      <w:r>
        <w:rPr>
          <w:rFonts w:ascii="Arial" w:hAnsi="Arial" w:cs="Arial"/>
          <w:color w:val="7B7B7B" w:themeColor="accent3" w:themeShade="BF"/>
          <w:sz w:val="22"/>
          <w:szCs w:val="22"/>
        </w:rPr>
        <w:t>.</w:t>
      </w:r>
      <w:r w:rsidR="00DE1C32">
        <w:rPr>
          <w:rFonts w:ascii="Arial" w:hAnsi="Arial" w:cs="Arial"/>
          <w:color w:val="7B7B7B" w:themeColor="accent3" w:themeShade="BF"/>
          <w:sz w:val="22"/>
          <w:szCs w:val="22"/>
        </w:rPr>
        <w:t xml:space="preserve"> Recital</w:t>
      </w:r>
      <w:r w:rsidR="001D664D">
        <w:rPr>
          <w:rFonts w:ascii="Arial" w:hAnsi="Arial" w:cs="Arial"/>
          <w:color w:val="7B7B7B" w:themeColor="accent3" w:themeShade="BF"/>
          <w:sz w:val="22"/>
          <w:szCs w:val="22"/>
        </w:rPr>
        <w:t xml:space="preserve"> </w:t>
      </w:r>
      <w:r w:rsidR="00DE1C32">
        <w:rPr>
          <w:rFonts w:ascii="Arial" w:hAnsi="Arial" w:cs="Arial"/>
          <w:color w:val="7B7B7B" w:themeColor="accent3" w:themeShade="BF"/>
          <w:sz w:val="22"/>
          <w:szCs w:val="22"/>
        </w:rPr>
        <w:t>48 further stresses the importance of cooperation and communication</w:t>
      </w:r>
      <w:r w:rsidR="001D664D">
        <w:rPr>
          <w:rFonts w:ascii="Arial" w:hAnsi="Arial" w:cs="Arial"/>
          <w:color w:val="7B7B7B" w:themeColor="accent3" w:themeShade="BF"/>
          <w:sz w:val="22"/>
          <w:szCs w:val="22"/>
        </w:rPr>
        <w:t>, and also refers to best practices as set out in authoritative texts such as UNCITRAL. The provisions in the EIR Recast addressing the issue of cooperation and communication are: Article 41 EIR Recast (‘insolvency practitioner-to-insolvency practitioner cooperation and communication’), Article 42 EIR Recast (‘court-to-court cooperation and communication’) and Article 43 EIR Recast (‘court-to-insolvency practitioner cooperation and communication’</w:t>
      </w:r>
      <w:r w:rsidR="00EF2660">
        <w:rPr>
          <w:rFonts w:ascii="Arial" w:hAnsi="Arial" w:cs="Arial"/>
          <w:color w:val="7B7B7B" w:themeColor="accent3" w:themeShade="BF"/>
          <w:sz w:val="22"/>
          <w:szCs w:val="22"/>
        </w:rPr>
        <w:t>); s</w:t>
      </w:r>
      <w:r w:rsidR="001D664D">
        <w:rPr>
          <w:rFonts w:ascii="Arial" w:hAnsi="Arial" w:cs="Arial"/>
          <w:color w:val="7B7B7B" w:themeColor="accent3" w:themeShade="BF"/>
          <w:sz w:val="22"/>
          <w:szCs w:val="22"/>
        </w:rPr>
        <w:t xml:space="preserve">ee also Articles </w:t>
      </w:r>
      <w:r w:rsidR="006A28A8">
        <w:rPr>
          <w:rFonts w:ascii="Arial" w:hAnsi="Arial" w:cs="Arial"/>
          <w:color w:val="7B7B7B" w:themeColor="accent3" w:themeShade="BF"/>
          <w:sz w:val="22"/>
          <w:szCs w:val="22"/>
        </w:rPr>
        <w:t>56-58 EIR Recast regarding cooperation and communication in case of insolvency proceedings of members of a group of companies.</w:t>
      </w:r>
      <w:r w:rsidR="00145612">
        <w:rPr>
          <w:rFonts w:ascii="Arial" w:hAnsi="Arial" w:cs="Arial"/>
          <w:color w:val="7B7B7B" w:themeColor="accent3" w:themeShade="BF"/>
          <w:sz w:val="22"/>
          <w:szCs w:val="22"/>
        </w:rPr>
        <w:t xml:space="preserve"> </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6503852F" w:rsidR="00636C15" w:rsidRDefault="00C54E6E" w:rsidP="00154B9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3(1) EIR Recast provides for the opening of main insolvency proceedings in one Member State, when the debtor’s centre of main interests (‘COMI’) is in that Member State. </w:t>
      </w:r>
      <w:r w:rsidR="00154B93">
        <w:rPr>
          <w:rFonts w:ascii="Arial" w:hAnsi="Arial" w:cs="Arial"/>
          <w:color w:val="7B7B7B" w:themeColor="accent3" w:themeShade="BF"/>
          <w:sz w:val="22"/>
          <w:szCs w:val="22"/>
          <w:lang w:val="en-GB"/>
        </w:rPr>
        <w:t xml:space="preserve">Such main proceedings have ‘universal’ scope </w:t>
      </w:r>
      <w:r w:rsidR="00154B93" w:rsidRPr="00154B93">
        <w:rPr>
          <w:rFonts w:ascii="Arial" w:hAnsi="Arial" w:cs="Arial"/>
          <w:color w:val="7B7B7B" w:themeColor="accent3" w:themeShade="BF"/>
          <w:sz w:val="22"/>
          <w:szCs w:val="22"/>
          <w:lang w:val="en-GB"/>
        </w:rPr>
        <w:t xml:space="preserve">encompassing </w:t>
      </w:r>
      <w:r w:rsidR="00154B93">
        <w:rPr>
          <w:rFonts w:ascii="Arial" w:hAnsi="Arial" w:cs="Arial"/>
          <w:color w:val="7B7B7B" w:themeColor="accent3" w:themeShade="BF"/>
          <w:sz w:val="22"/>
          <w:szCs w:val="22"/>
          <w:lang w:val="en-GB"/>
        </w:rPr>
        <w:t xml:space="preserve">all debtor’s </w:t>
      </w:r>
      <w:r w:rsidR="00154B93" w:rsidRPr="00154B93">
        <w:rPr>
          <w:rFonts w:ascii="Arial" w:hAnsi="Arial" w:cs="Arial"/>
          <w:color w:val="7B7B7B" w:themeColor="accent3" w:themeShade="BF"/>
          <w:sz w:val="22"/>
          <w:szCs w:val="22"/>
          <w:lang w:val="en-GB"/>
        </w:rPr>
        <w:t>assets and (unsecured)</w:t>
      </w:r>
      <w:r w:rsidR="00154B93">
        <w:rPr>
          <w:rFonts w:ascii="Arial" w:hAnsi="Arial" w:cs="Arial"/>
          <w:color w:val="7B7B7B" w:themeColor="accent3" w:themeShade="BF"/>
          <w:sz w:val="22"/>
          <w:szCs w:val="22"/>
          <w:lang w:val="en-GB"/>
        </w:rPr>
        <w:t xml:space="preserve"> </w:t>
      </w:r>
      <w:r w:rsidR="00154B93" w:rsidRPr="00154B93">
        <w:rPr>
          <w:rFonts w:ascii="Arial" w:hAnsi="Arial" w:cs="Arial"/>
          <w:color w:val="7B7B7B" w:themeColor="accent3" w:themeShade="BF"/>
          <w:sz w:val="22"/>
          <w:szCs w:val="22"/>
          <w:lang w:val="en-GB"/>
        </w:rPr>
        <w:t>creditors throughout the EU</w:t>
      </w:r>
      <w:r w:rsidR="00154B9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main insolvency proceedings are</w:t>
      </w:r>
      <w:r w:rsidR="002B1955">
        <w:rPr>
          <w:rFonts w:ascii="Arial" w:hAnsi="Arial" w:cs="Arial"/>
          <w:color w:val="7B7B7B" w:themeColor="accent3" w:themeShade="BF"/>
          <w:sz w:val="22"/>
          <w:szCs w:val="22"/>
          <w:lang w:val="en-GB"/>
        </w:rPr>
        <w:t xml:space="preserve"> (i)</w:t>
      </w:r>
      <w:r>
        <w:rPr>
          <w:rFonts w:ascii="Arial" w:hAnsi="Arial" w:cs="Arial"/>
          <w:color w:val="7B7B7B" w:themeColor="accent3" w:themeShade="BF"/>
          <w:sz w:val="22"/>
          <w:szCs w:val="22"/>
          <w:lang w:val="en-GB"/>
        </w:rPr>
        <w:t xml:space="preserve"> primarily</w:t>
      </w:r>
      <w:r w:rsidR="002B195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governed by the law of that Member </w:t>
      </w:r>
      <w:r w:rsidR="002B195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 (Article</w:t>
      </w:r>
      <w:r w:rsidR="00370F5E">
        <w:rPr>
          <w:rFonts w:ascii="Arial" w:hAnsi="Arial" w:cs="Arial"/>
          <w:color w:val="7B7B7B" w:themeColor="accent3" w:themeShade="BF"/>
          <w:sz w:val="22"/>
          <w:szCs w:val="22"/>
          <w:lang w:val="en-GB"/>
        </w:rPr>
        <w:t xml:space="preserve"> 7, subject to the exceptions in Articles 8-</w:t>
      </w:r>
      <w:r w:rsidR="002B1955">
        <w:rPr>
          <w:rFonts w:ascii="Arial" w:hAnsi="Arial" w:cs="Arial"/>
          <w:color w:val="7B7B7B" w:themeColor="accent3" w:themeShade="BF"/>
          <w:sz w:val="22"/>
          <w:szCs w:val="22"/>
          <w:lang w:val="en-GB"/>
        </w:rPr>
        <w:t>18 EIR Recast)</w:t>
      </w:r>
      <w:r w:rsidR="00154B93">
        <w:rPr>
          <w:rFonts w:ascii="Arial" w:hAnsi="Arial" w:cs="Arial"/>
          <w:color w:val="7B7B7B" w:themeColor="accent3" w:themeShade="BF"/>
          <w:sz w:val="22"/>
          <w:szCs w:val="22"/>
          <w:lang w:val="en-GB"/>
        </w:rPr>
        <w:t>;</w:t>
      </w:r>
      <w:r w:rsidR="002B1955">
        <w:rPr>
          <w:rFonts w:ascii="Arial" w:hAnsi="Arial" w:cs="Arial"/>
          <w:color w:val="7B7B7B" w:themeColor="accent3" w:themeShade="BF"/>
          <w:sz w:val="22"/>
          <w:szCs w:val="22"/>
          <w:lang w:val="en-GB"/>
        </w:rPr>
        <w:t xml:space="preserve"> (ii) afforded automatic recognition in the other Member States (Article 19 EIR, subject to the public policy exception in Article 33 EIR), and (iii) produce the same </w:t>
      </w:r>
      <w:r w:rsidR="002B1955" w:rsidRPr="002B1955">
        <w:rPr>
          <w:rFonts w:ascii="Arial" w:hAnsi="Arial" w:cs="Arial"/>
          <w:color w:val="7B7B7B" w:themeColor="accent3" w:themeShade="BF"/>
          <w:sz w:val="22"/>
          <w:szCs w:val="22"/>
          <w:lang w:val="en-GB"/>
        </w:rPr>
        <w:t xml:space="preserve">effects in any other Member State as under the law of the </w:t>
      </w:r>
      <w:r w:rsidR="002B1955">
        <w:rPr>
          <w:rFonts w:ascii="Arial" w:hAnsi="Arial" w:cs="Arial"/>
          <w:color w:val="7B7B7B" w:themeColor="accent3" w:themeShade="BF"/>
          <w:sz w:val="22"/>
          <w:szCs w:val="22"/>
          <w:lang w:val="en-GB"/>
        </w:rPr>
        <w:t xml:space="preserve">Member </w:t>
      </w:r>
      <w:r w:rsidR="002B1955" w:rsidRPr="002B1955">
        <w:rPr>
          <w:rFonts w:ascii="Arial" w:hAnsi="Arial" w:cs="Arial"/>
          <w:color w:val="7B7B7B" w:themeColor="accent3" w:themeShade="BF"/>
          <w:sz w:val="22"/>
          <w:szCs w:val="22"/>
          <w:lang w:val="en-GB"/>
        </w:rPr>
        <w:t xml:space="preserve">State of the opening of </w:t>
      </w:r>
      <w:r w:rsidR="002B1955">
        <w:rPr>
          <w:rFonts w:ascii="Arial" w:hAnsi="Arial" w:cs="Arial"/>
          <w:color w:val="7B7B7B" w:themeColor="accent3" w:themeShade="BF"/>
          <w:sz w:val="22"/>
          <w:szCs w:val="22"/>
          <w:lang w:val="en-GB"/>
        </w:rPr>
        <w:t xml:space="preserve">the main </w:t>
      </w:r>
      <w:r w:rsidR="002B1955" w:rsidRPr="002B1955">
        <w:rPr>
          <w:rFonts w:ascii="Arial" w:hAnsi="Arial" w:cs="Arial"/>
          <w:color w:val="7B7B7B" w:themeColor="accent3" w:themeShade="BF"/>
          <w:sz w:val="22"/>
          <w:szCs w:val="22"/>
          <w:lang w:val="en-GB"/>
        </w:rPr>
        <w:t>proceedings</w:t>
      </w:r>
      <w:r w:rsidR="00370F5E">
        <w:rPr>
          <w:rFonts w:ascii="Arial" w:hAnsi="Arial" w:cs="Arial"/>
          <w:color w:val="7B7B7B" w:themeColor="accent3" w:themeShade="BF"/>
          <w:sz w:val="22"/>
          <w:szCs w:val="22"/>
          <w:lang w:val="en-GB"/>
        </w:rPr>
        <w:t xml:space="preserve"> (Article 20(1) EIR Recast);</w:t>
      </w:r>
      <w:r w:rsidR="002B1955">
        <w:rPr>
          <w:rFonts w:ascii="Arial" w:hAnsi="Arial" w:cs="Arial"/>
          <w:color w:val="7B7B7B" w:themeColor="accent3" w:themeShade="BF"/>
          <w:sz w:val="22"/>
          <w:szCs w:val="22"/>
          <w:lang w:val="en-GB"/>
        </w:rPr>
        <w:t xml:space="preserve"> </w:t>
      </w:r>
      <w:r w:rsidR="002B1955" w:rsidRPr="00154B93">
        <w:rPr>
          <w:rFonts w:ascii="Arial" w:hAnsi="Arial" w:cs="Arial"/>
          <w:color w:val="7B7B7B" w:themeColor="accent3" w:themeShade="BF"/>
          <w:sz w:val="22"/>
          <w:szCs w:val="22"/>
          <w:lang w:val="en-GB"/>
        </w:rPr>
        <w:t>except</w:t>
      </w:r>
      <w:r w:rsidR="002B1955">
        <w:rPr>
          <w:rFonts w:ascii="Arial" w:hAnsi="Arial" w:cs="Arial"/>
          <w:color w:val="7B7B7B" w:themeColor="accent3" w:themeShade="BF"/>
          <w:sz w:val="22"/>
          <w:szCs w:val="22"/>
          <w:lang w:val="en-GB"/>
        </w:rPr>
        <w:t xml:space="preserve"> to the extent the EIR Recast otherwise provides.</w:t>
      </w:r>
    </w:p>
    <w:p w14:paraId="6F0108A8" w14:textId="15B60CC5" w:rsidR="00154B93" w:rsidRDefault="00154B93" w:rsidP="00154B93">
      <w:pPr>
        <w:ind w:left="720"/>
        <w:jc w:val="both"/>
        <w:rPr>
          <w:rFonts w:ascii="Arial" w:hAnsi="Arial" w:cs="Arial"/>
          <w:color w:val="7B7B7B" w:themeColor="accent3" w:themeShade="BF"/>
          <w:sz w:val="22"/>
          <w:szCs w:val="22"/>
          <w:lang w:val="en-GB"/>
        </w:rPr>
      </w:pPr>
    </w:p>
    <w:p w14:paraId="04149F3D" w14:textId="0AAB76DC" w:rsidR="00154B93" w:rsidRDefault="00154B93" w:rsidP="00154B9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universalist model is however a “modified” one</w:t>
      </w:r>
      <w:r w:rsidR="007E22CD">
        <w:rPr>
          <w:rFonts w:ascii="Arial" w:hAnsi="Arial" w:cs="Arial"/>
          <w:color w:val="7B7B7B" w:themeColor="accent3" w:themeShade="BF"/>
          <w:sz w:val="22"/>
          <w:szCs w:val="22"/>
          <w:lang w:val="en-GB"/>
        </w:rPr>
        <w:t>, as Article 3(2) EIR Recast provides for the possibility of opening secondary (territorial) proceedings in a Member State where the debtor has an ‘establishment’ in the meaning of Article 2(10) EIR Recast. However, such secondary proceedings are restricted in scope to local assets.</w:t>
      </w:r>
    </w:p>
    <w:p w14:paraId="2A14178C" w14:textId="5FD8255B" w:rsidR="007E22CD" w:rsidRDefault="007E22CD" w:rsidP="00154B93">
      <w:pPr>
        <w:ind w:left="720"/>
        <w:jc w:val="both"/>
        <w:rPr>
          <w:rFonts w:ascii="Arial" w:hAnsi="Arial" w:cs="Arial"/>
          <w:color w:val="7B7B7B" w:themeColor="accent3" w:themeShade="BF"/>
          <w:sz w:val="22"/>
          <w:szCs w:val="22"/>
          <w:lang w:val="en-GB"/>
        </w:rPr>
      </w:pPr>
    </w:p>
    <w:p w14:paraId="021E098D" w14:textId="6EFB8832" w:rsidR="007E22CD" w:rsidRDefault="00370F5E" w:rsidP="00154B9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modified universalism approach is also highlighted in Article 8(1) EIR Recast</w:t>
      </w:r>
      <w:r w:rsidR="008954B3">
        <w:rPr>
          <w:rFonts w:ascii="Arial" w:hAnsi="Arial" w:cs="Arial"/>
          <w:color w:val="7B7B7B" w:themeColor="accent3" w:themeShade="BF"/>
          <w:sz w:val="22"/>
          <w:szCs w:val="22"/>
          <w:lang w:val="en-GB"/>
        </w:rPr>
        <w:t xml:space="preserve"> </w:t>
      </w:r>
      <w:r w:rsidR="008954B3" w:rsidRPr="008954B3">
        <w:rPr>
          <w:rFonts w:ascii="Arial" w:hAnsi="Arial" w:cs="Arial"/>
          <w:color w:val="7B7B7B" w:themeColor="accent3" w:themeShade="BF"/>
          <w:sz w:val="22"/>
          <w:szCs w:val="22"/>
          <w:lang w:val="en-GB"/>
        </w:rPr>
        <w:t>law applicable to the main insolvency proceedings and its effects is that of the Member State within the territory of which those proceedings were opened</w:t>
      </w:r>
      <w:r>
        <w:rPr>
          <w:rFonts w:ascii="Arial" w:hAnsi="Arial" w:cs="Arial"/>
          <w:color w:val="7B7B7B" w:themeColor="accent3" w:themeShade="BF"/>
          <w:sz w:val="22"/>
          <w:szCs w:val="22"/>
          <w:lang w:val="en-GB"/>
        </w:rPr>
        <w:t xml:space="preserve">. This provision lays down an exception to the rule that the </w:t>
      </w:r>
      <w:r w:rsidRPr="00370F5E">
        <w:rPr>
          <w:rFonts w:ascii="Arial" w:hAnsi="Arial" w:cs="Arial"/>
          <w:color w:val="7B7B7B" w:themeColor="accent3" w:themeShade="BF"/>
          <w:sz w:val="22"/>
          <w:szCs w:val="22"/>
          <w:lang w:val="en-GB"/>
        </w:rPr>
        <w:t>law applicable to the main insolvency proceedings and its effects is that of the Member State within the territory of which those proceedings were opened</w:t>
      </w:r>
      <w:r>
        <w:rPr>
          <w:rFonts w:ascii="Arial" w:hAnsi="Arial" w:cs="Arial"/>
          <w:color w:val="7B7B7B" w:themeColor="accent3" w:themeShade="BF"/>
          <w:sz w:val="22"/>
          <w:szCs w:val="22"/>
          <w:lang w:val="en-GB"/>
        </w:rPr>
        <w:t xml:space="preserve"> (an exception the application of the </w:t>
      </w:r>
      <w:r>
        <w:rPr>
          <w:rFonts w:ascii="Arial" w:hAnsi="Arial" w:cs="Arial"/>
          <w:i/>
          <w:iCs/>
          <w:color w:val="7B7B7B" w:themeColor="accent3" w:themeShade="BF"/>
          <w:sz w:val="22"/>
          <w:szCs w:val="22"/>
          <w:lang w:val="en-GB"/>
        </w:rPr>
        <w:t>lex concursus</w:t>
      </w:r>
      <w:r>
        <w:rPr>
          <w:rFonts w:ascii="Arial" w:hAnsi="Arial" w:cs="Arial"/>
          <w:color w:val="7B7B7B" w:themeColor="accent3" w:themeShade="BF"/>
          <w:sz w:val="22"/>
          <w:szCs w:val="22"/>
          <w:lang w:val="en-GB"/>
        </w:rPr>
        <w:t>).</w:t>
      </w:r>
    </w:p>
    <w:p w14:paraId="51BDB1D2" w14:textId="755BAF29" w:rsidR="00370F5E" w:rsidRDefault="00370F5E" w:rsidP="00154B93">
      <w:pPr>
        <w:ind w:left="720"/>
        <w:jc w:val="both"/>
        <w:rPr>
          <w:rFonts w:ascii="Arial" w:hAnsi="Arial" w:cs="Arial"/>
          <w:color w:val="7B7B7B" w:themeColor="accent3" w:themeShade="BF"/>
          <w:sz w:val="22"/>
          <w:szCs w:val="22"/>
          <w:lang w:val="en-GB"/>
        </w:rPr>
      </w:pPr>
    </w:p>
    <w:p w14:paraId="2D5A2909" w14:textId="04FB611F" w:rsidR="002B1955" w:rsidRPr="008954B3" w:rsidRDefault="008954B3" w:rsidP="008954B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reference can be made to Article 19(2) EIR Recast as an example of how the EIR Recast uses a “modified universalism” model in relation the debtor’s assets. This provision states that the r</w:t>
      </w:r>
      <w:r w:rsidRPr="008954B3">
        <w:rPr>
          <w:rFonts w:ascii="Arial" w:hAnsi="Arial" w:cs="Arial"/>
          <w:color w:val="7B7B7B" w:themeColor="accent3" w:themeShade="BF"/>
          <w:sz w:val="22"/>
          <w:szCs w:val="22"/>
          <w:lang w:val="en-GB"/>
        </w:rPr>
        <w:t xml:space="preserve">ecognition of the </w:t>
      </w:r>
      <w:r>
        <w:rPr>
          <w:rFonts w:ascii="Arial" w:hAnsi="Arial" w:cs="Arial"/>
          <w:color w:val="7B7B7B" w:themeColor="accent3" w:themeShade="BF"/>
          <w:sz w:val="22"/>
          <w:szCs w:val="22"/>
          <w:lang w:val="en-GB"/>
        </w:rPr>
        <w:t xml:space="preserve">main </w:t>
      </w:r>
      <w:r w:rsidRPr="008954B3">
        <w:rPr>
          <w:rFonts w:ascii="Arial" w:hAnsi="Arial" w:cs="Arial"/>
          <w:color w:val="7B7B7B" w:themeColor="accent3" w:themeShade="BF"/>
          <w:sz w:val="22"/>
          <w:szCs w:val="22"/>
          <w:lang w:val="en-GB"/>
        </w:rPr>
        <w:t xml:space="preserve">proceedings </w:t>
      </w:r>
      <w:r>
        <w:rPr>
          <w:rFonts w:ascii="Arial" w:hAnsi="Arial" w:cs="Arial"/>
          <w:color w:val="7B7B7B" w:themeColor="accent3" w:themeShade="BF"/>
          <w:sz w:val="22"/>
          <w:szCs w:val="22"/>
          <w:lang w:val="en-GB"/>
        </w:rPr>
        <w:t>(</w:t>
      </w:r>
      <w:r w:rsidRPr="008954B3">
        <w:rPr>
          <w:rFonts w:ascii="Arial" w:hAnsi="Arial" w:cs="Arial"/>
          <w:color w:val="7B7B7B" w:themeColor="accent3" w:themeShade="BF"/>
          <w:sz w:val="22"/>
          <w:szCs w:val="22"/>
          <w:lang w:val="en-GB"/>
        </w:rPr>
        <w:t>Article 3(1)</w:t>
      </w:r>
      <w:r>
        <w:rPr>
          <w:rFonts w:ascii="Arial" w:hAnsi="Arial" w:cs="Arial"/>
          <w:color w:val="7B7B7B" w:themeColor="accent3" w:themeShade="BF"/>
          <w:sz w:val="22"/>
          <w:szCs w:val="22"/>
          <w:lang w:val="en-GB"/>
        </w:rPr>
        <w:t xml:space="preserve"> EIR Recast)</w:t>
      </w:r>
      <w:r w:rsidRPr="008954B3">
        <w:rPr>
          <w:rFonts w:ascii="Arial" w:hAnsi="Arial" w:cs="Arial"/>
          <w:color w:val="7B7B7B" w:themeColor="accent3" w:themeShade="BF"/>
          <w:sz w:val="22"/>
          <w:szCs w:val="22"/>
          <w:lang w:val="en-GB"/>
        </w:rPr>
        <w:t xml:space="preserve"> shall not preclude the opening of the</w:t>
      </w:r>
      <w:r>
        <w:rPr>
          <w:rFonts w:ascii="Arial" w:hAnsi="Arial" w:cs="Arial"/>
          <w:color w:val="7B7B7B" w:themeColor="accent3" w:themeShade="BF"/>
          <w:sz w:val="22"/>
          <w:szCs w:val="22"/>
          <w:lang w:val="en-GB"/>
        </w:rPr>
        <w:t xml:space="preserve"> secondary</w:t>
      </w:r>
      <w:r w:rsidRPr="008954B3">
        <w:rPr>
          <w:rFonts w:ascii="Arial" w:hAnsi="Arial" w:cs="Arial"/>
          <w:color w:val="7B7B7B" w:themeColor="accent3" w:themeShade="BF"/>
          <w:sz w:val="22"/>
          <w:szCs w:val="22"/>
          <w:lang w:val="en-GB"/>
        </w:rPr>
        <w:t xml:space="preserve"> proceedings</w:t>
      </w:r>
      <w:r>
        <w:rPr>
          <w:rFonts w:ascii="Arial" w:hAnsi="Arial" w:cs="Arial"/>
          <w:color w:val="7B7B7B" w:themeColor="accent3" w:themeShade="BF"/>
          <w:sz w:val="22"/>
          <w:szCs w:val="22"/>
          <w:lang w:val="en-GB"/>
        </w:rPr>
        <w:t xml:space="preserve"> (</w:t>
      </w:r>
      <w:r w:rsidRPr="008954B3">
        <w:rPr>
          <w:rFonts w:ascii="Arial" w:hAnsi="Arial" w:cs="Arial"/>
          <w:color w:val="7B7B7B" w:themeColor="accent3" w:themeShade="BF"/>
          <w:sz w:val="22"/>
          <w:szCs w:val="22"/>
          <w:lang w:val="en-GB"/>
        </w:rPr>
        <w:t>Article 3(2)</w:t>
      </w:r>
      <w:r>
        <w:rPr>
          <w:rFonts w:ascii="Arial" w:hAnsi="Arial" w:cs="Arial"/>
          <w:color w:val="7B7B7B" w:themeColor="accent3" w:themeShade="BF"/>
          <w:sz w:val="22"/>
          <w:szCs w:val="22"/>
          <w:lang w:val="en-GB"/>
        </w:rPr>
        <w:t xml:space="preserve"> EIR Recast)</w:t>
      </w:r>
      <w:r w:rsidRPr="008954B3">
        <w:rPr>
          <w:rFonts w:ascii="Arial" w:hAnsi="Arial" w:cs="Arial"/>
          <w:color w:val="7B7B7B" w:themeColor="accent3" w:themeShade="BF"/>
          <w:sz w:val="22"/>
          <w:szCs w:val="22"/>
          <w:lang w:val="en-GB"/>
        </w:rPr>
        <w:t xml:space="preserve"> by a court in another Member State</w:t>
      </w:r>
      <w:r>
        <w:rPr>
          <w:rFonts w:ascii="Arial" w:hAnsi="Arial" w:cs="Arial"/>
          <w:color w:val="7B7B7B" w:themeColor="accent3" w:themeShade="BF"/>
          <w:sz w:val="22"/>
          <w:szCs w:val="22"/>
          <w:lang w:val="en-GB"/>
        </w:rPr>
        <w: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58C6B20" w14:textId="68DEEB4C" w:rsidR="00247CF6" w:rsidRPr="00247CF6" w:rsidRDefault="008954B3" w:rsidP="00247CF6">
      <w:pPr>
        <w:ind w:left="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Recital </w:t>
      </w:r>
      <w:r w:rsidR="00247CF6">
        <w:rPr>
          <w:rFonts w:ascii="Arial" w:hAnsi="Arial" w:cs="Arial"/>
          <w:color w:val="7B7B7B" w:themeColor="accent3" w:themeShade="BF"/>
          <w:sz w:val="22"/>
          <w:szCs w:val="22"/>
          <w:lang w:val="en-GB"/>
        </w:rPr>
        <w:t xml:space="preserve">48 EIR Recast: </w:t>
      </w:r>
      <w:r w:rsidR="00247CF6" w:rsidRPr="00247CF6">
        <w:rPr>
          <w:rFonts w:ascii="Arial" w:hAnsi="Arial" w:cs="Arial"/>
          <w:i/>
          <w:iCs/>
          <w:color w:val="7B7B7B" w:themeColor="accent3" w:themeShade="BF"/>
          <w:sz w:val="22"/>
          <w:szCs w:val="22"/>
          <w:lang w:val="en-GB"/>
        </w:rPr>
        <w:t>“(…) Proper cooperation implies the various insolvency practitioners and the courts involved cooperating closely, in particular by exchanging a sufficient amount of information. (…). When cooperating, insolvency practitioners and courts should take into account best practices for cooperation in cross-border insolvency cases, as set out in principles and guidelines on communication and cooperation adopted by European and international organisations active in the area of</w:t>
      </w:r>
    </w:p>
    <w:p w14:paraId="78DB9FD8" w14:textId="1C80329B" w:rsidR="00C72848" w:rsidRDefault="00247CF6" w:rsidP="00247CF6">
      <w:pPr>
        <w:ind w:left="720"/>
        <w:jc w:val="both"/>
        <w:rPr>
          <w:rFonts w:ascii="Arial" w:hAnsi="Arial" w:cs="Arial"/>
          <w:color w:val="7B7B7B" w:themeColor="accent3" w:themeShade="BF"/>
          <w:sz w:val="22"/>
          <w:szCs w:val="22"/>
          <w:lang w:val="en-GB"/>
        </w:rPr>
      </w:pPr>
      <w:r w:rsidRPr="00247CF6">
        <w:rPr>
          <w:rFonts w:ascii="Arial" w:hAnsi="Arial" w:cs="Arial"/>
          <w:i/>
          <w:iCs/>
          <w:color w:val="7B7B7B" w:themeColor="accent3" w:themeShade="BF"/>
          <w:sz w:val="22"/>
          <w:szCs w:val="22"/>
          <w:lang w:val="en-GB"/>
        </w:rPr>
        <w:t>insolvency law, and in particular the relevant guidelines prepared by the United Nations Commission on International Trade Law (Uncitral).”</w:t>
      </w:r>
    </w:p>
    <w:p w14:paraId="7D221562" w14:textId="1F9B4FD5" w:rsidR="00247CF6" w:rsidRDefault="00247CF6" w:rsidP="00247CF6">
      <w:pPr>
        <w:ind w:left="720"/>
        <w:jc w:val="both"/>
        <w:rPr>
          <w:rFonts w:ascii="Arial" w:hAnsi="Arial" w:cs="Arial"/>
          <w:color w:val="7B7B7B" w:themeColor="accent3" w:themeShade="BF"/>
          <w:sz w:val="22"/>
          <w:szCs w:val="22"/>
          <w:lang w:val="en-GB"/>
        </w:rPr>
      </w:pPr>
    </w:p>
    <w:p w14:paraId="24526257" w14:textId="7DC0CA99" w:rsidR="00247CF6" w:rsidRDefault="00247CF6" w:rsidP="00247CF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EIR Recast on court-to-court cooperation and communication.</w:t>
      </w:r>
    </w:p>
    <w:p w14:paraId="6CEA49DB" w14:textId="73203A49" w:rsidR="00247CF6" w:rsidRDefault="00247CF6" w:rsidP="00247CF6">
      <w:pPr>
        <w:ind w:left="720"/>
        <w:jc w:val="both"/>
        <w:rPr>
          <w:rFonts w:ascii="Arial" w:hAnsi="Arial" w:cs="Arial"/>
          <w:color w:val="7B7B7B" w:themeColor="accent3" w:themeShade="BF"/>
          <w:sz w:val="22"/>
          <w:szCs w:val="22"/>
          <w:lang w:val="en-GB"/>
        </w:rPr>
      </w:pPr>
    </w:p>
    <w:p w14:paraId="3668F9BB" w14:textId="361EFE24" w:rsidR="00247CF6" w:rsidRPr="00247CF6" w:rsidRDefault="00247CF6" w:rsidP="00247CF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57 EIR Recast on court-to-court cooperation and communication when</w:t>
      </w:r>
      <w:r w:rsidRPr="00247CF6">
        <w:rPr>
          <w:rFonts w:ascii="Arial" w:hAnsi="Arial" w:cs="Arial"/>
          <w:color w:val="7B7B7B" w:themeColor="accent3" w:themeShade="BF"/>
          <w:sz w:val="22"/>
          <w:szCs w:val="22"/>
          <w:lang w:val="en-GB"/>
        </w:rPr>
        <w:t xml:space="preserve"> insolvency proceedings relate to two or more members of a group of companies</w:t>
      </w:r>
      <w:r>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21358EA" w14:textId="62DF495E" w:rsidR="009954B2" w:rsidRDefault="00437382" w:rsidP="0043738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in Recital 41 EIR Recast, the EIR Recast “</w:t>
      </w:r>
      <w:r w:rsidR="0042027A" w:rsidRPr="00437382">
        <w:rPr>
          <w:rFonts w:ascii="Arial" w:hAnsi="Arial" w:cs="Arial"/>
          <w:i/>
          <w:iCs/>
          <w:color w:val="7B7B7B" w:themeColor="accent3" w:themeShade="BF"/>
          <w:sz w:val="22"/>
          <w:szCs w:val="22"/>
          <w:lang w:val="en-GB"/>
        </w:rPr>
        <w:t>sets out two specific situations in which the court seised of a request to open secondary insolvency proceedings should be able, at the request of the insolvency practitioner in the main insolvency proceedings, to postpone or refuse the opening of such proceedings</w:t>
      </w:r>
      <w:r>
        <w:rPr>
          <w:rFonts w:ascii="Arial" w:hAnsi="Arial" w:cs="Arial"/>
          <w:color w:val="7B7B7B" w:themeColor="accent3" w:themeShade="BF"/>
          <w:sz w:val="22"/>
          <w:szCs w:val="22"/>
          <w:lang w:val="en-GB"/>
        </w:rPr>
        <w:t>”, namely:</w:t>
      </w:r>
    </w:p>
    <w:p w14:paraId="2B0E7883" w14:textId="6531F980" w:rsidR="00437382" w:rsidRDefault="00437382" w:rsidP="00437382">
      <w:pPr>
        <w:ind w:left="720"/>
        <w:jc w:val="both"/>
        <w:rPr>
          <w:rFonts w:ascii="Arial" w:hAnsi="Arial" w:cs="Arial"/>
          <w:color w:val="7B7B7B" w:themeColor="accent3" w:themeShade="BF"/>
          <w:sz w:val="22"/>
          <w:szCs w:val="22"/>
          <w:lang w:val="en-GB"/>
        </w:rPr>
      </w:pPr>
    </w:p>
    <w:p w14:paraId="493DA161" w14:textId="1D980C98" w:rsidR="00437382" w:rsidRDefault="00437382" w:rsidP="00BF678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Article 36 EIR Recast provides for so-called ‘synthetic secondary proceedings’, whereby the insolvency practitioner </w:t>
      </w:r>
      <w:r w:rsidRPr="00437382">
        <w:rPr>
          <w:rFonts w:ascii="Arial" w:hAnsi="Arial" w:cs="Arial"/>
          <w:color w:val="7B7B7B" w:themeColor="accent3" w:themeShade="BF"/>
          <w:sz w:val="22"/>
          <w:szCs w:val="22"/>
          <w:lang w:val="en-GB"/>
        </w:rPr>
        <w:t>may give a unilateral undertaking</w:t>
      </w:r>
      <w:r w:rsidR="004436F0">
        <w:rPr>
          <w:rFonts w:ascii="Arial" w:hAnsi="Arial" w:cs="Arial"/>
          <w:color w:val="7B7B7B" w:themeColor="accent3" w:themeShade="BF"/>
          <w:sz w:val="22"/>
          <w:szCs w:val="22"/>
          <w:lang w:val="en-GB"/>
        </w:rPr>
        <w:t xml:space="preserve"> (a promise)</w:t>
      </w:r>
      <w:r w:rsidRPr="00437382">
        <w:rPr>
          <w:rFonts w:ascii="Arial" w:hAnsi="Arial" w:cs="Arial"/>
          <w:color w:val="7B7B7B" w:themeColor="accent3" w:themeShade="BF"/>
          <w:sz w:val="22"/>
          <w:szCs w:val="22"/>
          <w:lang w:val="en-GB"/>
        </w:rPr>
        <w:t xml:space="preserve"> to </w:t>
      </w:r>
      <w:r w:rsidRPr="00437382">
        <w:rPr>
          <w:rFonts w:ascii="Arial" w:hAnsi="Arial" w:cs="Arial"/>
          <w:color w:val="7B7B7B" w:themeColor="accent3" w:themeShade="BF"/>
          <w:sz w:val="22"/>
          <w:szCs w:val="22"/>
          <w:lang w:val="en-GB"/>
        </w:rPr>
        <w:lastRenderedPageBreak/>
        <w:t xml:space="preserve">the effect that local creditors, when it comes to </w:t>
      </w:r>
      <w:r w:rsidR="004436F0">
        <w:rPr>
          <w:rFonts w:ascii="Arial" w:hAnsi="Arial" w:cs="Arial"/>
          <w:color w:val="7B7B7B" w:themeColor="accent3" w:themeShade="BF"/>
          <w:sz w:val="22"/>
          <w:szCs w:val="22"/>
          <w:lang w:val="en-GB"/>
        </w:rPr>
        <w:t>distributing the assets located in the Member State in which secondary insolvency proceedings could be opened or the proceeds as a result of their realisation</w:t>
      </w:r>
      <w:r w:rsidRPr="00437382">
        <w:rPr>
          <w:rFonts w:ascii="Arial" w:hAnsi="Arial" w:cs="Arial"/>
          <w:color w:val="7B7B7B" w:themeColor="accent3" w:themeShade="BF"/>
          <w:sz w:val="22"/>
          <w:szCs w:val="22"/>
          <w:lang w:val="en-GB"/>
        </w:rPr>
        <w:t>, will be treated as if secondary proceedings ha</w:t>
      </w:r>
      <w:r>
        <w:rPr>
          <w:rFonts w:ascii="Arial" w:hAnsi="Arial" w:cs="Arial"/>
          <w:color w:val="7B7B7B" w:themeColor="accent3" w:themeShade="BF"/>
          <w:sz w:val="22"/>
          <w:szCs w:val="22"/>
          <w:lang w:val="en-GB"/>
        </w:rPr>
        <w:t>ve</w:t>
      </w:r>
      <w:r w:rsidRPr="00437382">
        <w:rPr>
          <w:rFonts w:ascii="Arial" w:hAnsi="Arial" w:cs="Arial"/>
          <w:color w:val="7B7B7B" w:themeColor="accent3" w:themeShade="BF"/>
          <w:sz w:val="22"/>
          <w:szCs w:val="22"/>
          <w:lang w:val="en-GB"/>
        </w:rPr>
        <w:t xml:space="preserve"> been opened</w:t>
      </w:r>
      <w:r>
        <w:rPr>
          <w:rFonts w:ascii="Arial" w:hAnsi="Arial" w:cs="Arial"/>
          <w:color w:val="7B7B7B" w:themeColor="accent3" w:themeShade="BF"/>
          <w:sz w:val="22"/>
          <w:szCs w:val="22"/>
          <w:lang w:val="en-GB"/>
        </w:rPr>
        <w:t>.</w:t>
      </w:r>
      <w:r w:rsidR="004436F0">
        <w:rPr>
          <w:rFonts w:ascii="Arial" w:hAnsi="Arial" w:cs="Arial"/>
          <w:color w:val="7B7B7B" w:themeColor="accent3" w:themeShade="BF"/>
          <w:sz w:val="22"/>
          <w:szCs w:val="22"/>
          <w:lang w:val="en-GB"/>
        </w:rPr>
        <w:t xml:space="preserve"> </w:t>
      </w:r>
      <w:r w:rsidR="005054BE">
        <w:rPr>
          <w:rFonts w:ascii="Arial" w:hAnsi="Arial" w:cs="Arial"/>
          <w:color w:val="7B7B7B" w:themeColor="accent3" w:themeShade="BF"/>
          <w:sz w:val="22"/>
          <w:szCs w:val="22"/>
          <w:lang w:val="en-GB"/>
        </w:rPr>
        <w:t xml:space="preserve">The insolvency practitioner is required to assess the “factual assumptions (value of the assets and available options to realise them) on which his undertaking shall be based. </w:t>
      </w:r>
      <w:r w:rsidR="004436F0">
        <w:rPr>
          <w:rFonts w:ascii="Arial" w:hAnsi="Arial" w:cs="Arial"/>
          <w:color w:val="7B7B7B" w:themeColor="accent3" w:themeShade="BF"/>
          <w:sz w:val="22"/>
          <w:szCs w:val="22"/>
          <w:lang w:val="en-GB"/>
        </w:rPr>
        <w:t>“</w:t>
      </w:r>
      <w:r w:rsidR="004436F0" w:rsidRPr="004436F0">
        <w:rPr>
          <w:rFonts w:ascii="Arial" w:hAnsi="Arial" w:cs="Arial"/>
          <w:color w:val="7B7B7B" w:themeColor="accent3" w:themeShade="BF"/>
          <w:sz w:val="22"/>
          <w:szCs w:val="22"/>
          <w:lang w:val="en-GB"/>
        </w:rPr>
        <w:t>Known local creditors</w:t>
      </w:r>
      <w:r w:rsidR="004436F0">
        <w:rPr>
          <w:rFonts w:ascii="Arial" w:hAnsi="Arial" w:cs="Arial"/>
          <w:color w:val="7B7B7B" w:themeColor="accent3" w:themeShade="BF"/>
          <w:sz w:val="22"/>
          <w:szCs w:val="22"/>
          <w:lang w:val="en-GB"/>
        </w:rPr>
        <w:t>”</w:t>
      </w:r>
      <w:r w:rsidR="004436F0" w:rsidRPr="004436F0">
        <w:rPr>
          <w:rFonts w:ascii="Arial" w:hAnsi="Arial" w:cs="Arial"/>
          <w:color w:val="7B7B7B" w:themeColor="accent3" w:themeShade="BF"/>
          <w:sz w:val="22"/>
          <w:szCs w:val="22"/>
          <w:lang w:val="en-GB"/>
        </w:rPr>
        <w:t xml:space="preserve"> must approve the undertaking, </w:t>
      </w:r>
      <w:r w:rsidR="004436F0">
        <w:rPr>
          <w:rFonts w:ascii="Arial" w:hAnsi="Arial" w:cs="Arial"/>
          <w:color w:val="7B7B7B" w:themeColor="accent3" w:themeShade="BF"/>
          <w:sz w:val="22"/>
          <w:szCs w:val="22"/>
          <w:lang w:val="en-GB"/>
        </w:rPr>
        <w:t xml:space="preserve">whereby </w:t>
      </w:r>
      <w:r w:rsidR="004436F0" w:rsidRPr="004436F0">
        <w:rPr>
          <w:rFonts w:ascii="Arial" w:hAnsi="Arial" w:cs="Arial"/>
          <w:color w:val="7B7B7B" w:themeColor="accent3" w:themeShade="BF"/>
          <w:sz w:val="22"/>
          <w:szCs w:val="22"/>
          <w:lang w:val="en-GB"/>
        </w:rPr>
        <w:t xml:space="preserve">such approval </w:t>
      </w:r>
      <w:r w:rsidR="004436F0">
        <w:rPr>
          <w:rFonts w:ascii="Arial" w:hAnsi="Arial" w:cs="Arial"/>
          <w:color w:val="7B7B7B" w:themeColor="accent3" w:themeShade="BF"/>
          <w:sz w:val="22"/>
          <w:szCs w:val="22"/>
          <w:lang w:val="en-GB"/>
        </w:rPr>
        <w:t>must be</w:t>
      </w:r>
      <w:r w:rsidR="004436F0" w:rsidRPr="004436F0">
        <w:rPr>
          <w:rFonts w:ascii="Arial" w:hAnsi="Arial" w:cs="Arial"/>
          <w:color w:val="7B7B7B" w:themeColor="accent3" w:themeShade="BF"/>
          <w:sz w:val="22"/>
          <w:szCs w:val="22"/>
          <w:lang w:val="en-GB"/>
        </w:rPr>
        <w:t xml:space="preserve"> obtained in line with the local rules on the adoption of a restructuring plan</w:t>
      </w:r>
      <w:r w:rsidR="004436F0">
        <w:rPr>
          <w:rFonts w:ascii="Arial" w:hAnsi="Arial" w:cs="Arial"/>
          <w:color w:val="7B7B7B" w:themeColor="accent3" w:themeShade="BF"/>
          <w:sz w:val="22"/>
          <w:szCs w:val="22"/>
          <w:lang w:val="en-GB"/>
        </w:rPr>
        <w:t xml:space="preserve">. </w:t>
      </w:r>
      <w:r w:rsidR="00BF678A">
        <w:rPr>
          <w:rFonts w:ascii="Arial" w:hAnsi="Arial" w:cs="Arial"/>
          <w:color w:val="7B7B7B" w:themeColor="accent3" w:themeShade="BF"/>
          <w:sz w:val="22"/>
          <w:szCs w:val="22"/>
          <w:lang w:val="en-GB"/>
        </w:rPr>
        <w:t xml:space="preserve">Article 38(2) contains the mandatory refusal </w:t>
      </w:r>
      <w:r w:rsidR="00BF678A" w:rsidRPr="00BF678A">
        <w:rPr>
          <w:rFonts w:ascii="Arial" w:hAnsi="Arial" w:cs="Arial"/>
          <w:color w:val="7B7B7B" w:themeColor="accent3" w:themeShade="BF"/>
          <w:sz w:val="22"/>
          <w:szCs w:val="22"/>
          <w:lang w:val="en-GB"/>
        </w:rPr>
        <w:t>to open secondary</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proceedings if the court is</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satisfied that the undertaking</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adequately protects the</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general interests of the local</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creditors</w:t>
      </w:r>
      <w:r w:rsidR="00BF678A">
        <w:rPr>
          <w:rFonts w:ascii="Arial" w:hAnsi="Arial" w:cs="Arial"/>
          <w:color w:val="7B7B7B" w:themeColor="accent3" w:themeShade="BF"/>
          <w:sz w:val="22"/>
          <w:szCs w:val="22"/>
          <w:lang w:val="en-GB"/>
        </w:rPr>
        <w:t xml:space="preserve">. </w:t>
      </w:r>
      <w:r w:rsidR="004436F0">
        <w:rPr>
          <w:rFonts w:ascii="Arial" w:hAnsi="Arial" w:cs="Arial"/>
          <w:color w:val="7B7B7B" w:themeColor="accent3" w:themeShade="BF"/>
          <w:sz w:val="22"/>
          <w:szCs w:val="22"/>
          <w:lang w:val="en-GB"/>
        </w:rPr>
        <w:t>The objective of this instrument is thus to avoid the opening of ‘real’ secondary insolvency proceedings</w:t>
      </w:r>
      <w:r w:rsidR="005054BE">
        <w:rPr>
          <w:rFonts w:ascii="Arial" w:hAnsi="Arial" w:cs="Arial"/>
          <w:color w:val="7B7B7B" w:themeColor="accent3" w:themeShade="BF"/>
          <w:sz w:val="22"/>
          <w:szCs w:val="22"/>
          <w:lang w:val="en-GB"/>
        </w:rPr>
        <w:t xml:space="preserve"> (see also Recitals 42-44 EIR Recast)</w:t>
      </w:r>
      <w:r w:rsidR="004436F0">
        <w:rPr>
          <w:rFonts w:ascii="Arial" w:hAnsi="Arial" w:cs="Arial"/>
          <w:color w:val="7B7B7B" w:themeColor="accent3" w:themeShade="BF"/>
          <w:sz w:val="22"/>
          <w:szCs w:val="22"/>
          <w:lang w:val="en-GB"/>
        </w:rPr>
        <w:t>.</w:t>
      </w:r>
    </w:p>
    <w:p w14:paraId="20A510F4" w14:textId="77881B15" w:rsidR="005054BE" w:rsidRDefault="005054BE" w:rsidP="00437382">
      <w:pPr>
        <w:ind w:left="720"/>
        <w:jc w:val="both"/>
        <w:rPr>
          <w:rFonts w:ascii="Arial" w:hAnsi="Arial" w:cs="Arial"/>
          <w:color w:val="7B7B7B" w:themeColor="accent3" w:themeShade="BF"/>
          <w:sz w:val="22"/>
          <w:szCs w:val="22"/>
          <w:lang w:val="en-GB"/>
        </w:rPr>
      </w:pPr>
    </w:p>
    <w:p w14:paraId="16549983" w14:textId="76AEA975" w:rsidR="00437382" w:rsidRDefault="005054BE" w:rsidP="00BF678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Pursuant to Article 38(3) EIR Recast the insolvency practitioner or the debtor in possession </w:t>
      </w:r>
      <w:r w:rsidRPr="005054BE">
        <w:rPr>
          <w:rFonts w:ascii="Arial" w:hAnsi="Arial" w:cs="Arial"/>
          <w:color w:val="7B7B7B" w:themeColor="accent3" w:themeShade="BF"/>
          <w:sz w:val="22"/>
          <w:szCs w:val="22"/>
          <w:lang w:val="en-GB"/>
        </w:rPr>
        <w:t>may request a</w:t>
      </w:r>
      <w:r>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stay of the opening of secondary</w:t>
      </w:r>
      <w:r>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insolvency proceedings for a</w:t>
      </w:r>
      <w:r>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period not exceeding 3 months</w:t>
      </w:r>
      <w:r>
        <w:rPr>
          <w:rFonts w:ascii="Arial" w:hAnsi="Arial" w:cs="Arial"/>
          <w:color w:val="7B7B7B" w:themeColor="accent3" w:themeShade="BF"/>
          <w:sz w:val="22"/>
          <w:szCs w:val="22"/>
          <w:lang w:val="en-GB"/>
        </w:rPr>
        <w:t xml:space="preserve">. </w:t>
      </w:r>
      <w:r w:rsidR="00BF678A">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text of this provision, taken literally, means that is </w:t>
      </w:r>
      <w:r w:rsidRPr="005054BE">
        <w:rPr>
          <w:rFonts w:ascii="Arial" w:hAnsi="Arial" w:cs="Arial"/>
          <w:color w:val="7B7B7B" w:themeColor="accent3" w:themeShade="BF"/>
          <w:sz w:val="22"/>
          <w:szCs w:val="22"/>
          <w:lang w:val="en-GB"/>
        </w:rPr>
        <w:t>only applicable in the event of a</w:t>
      </w:r>
      <w:r w:rsidR="00BF678A">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temporary stay of individual</w:t>
      </w:r>
      <w:r w:rsidR="00BF678A">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enforcement proceedings which</w:t>
      </w:r>
      <w:r w:rsidR="00BF678A">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has been granted in order to allow</w:t>
      </w:r>
      <w:r w:rsidR="00BF678A">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for negotiations between the</w:t>
      </w:r>
      <w:r w:rsidR="00BF678A">
        <w:rPr>
          <w:rFonts w:ascii="Arial" w:hAnsi="Arial" w:cs="Arial"/>
          <w:color w:val="7B7B7B" w:themeColor="accent3" w:themeShade="BF"/>
          <w:sz w:val="22"/>
          <w:szCs w:val="22"/>
          <w:lang w:val="en-GB"/>
        </w:rPr>
        <w:t xml:space="preserve"> </w:t>
      </w:r>
      <w:r w:rsidRPr="005054BE">
        <w:rPr>
          <w:rFonts w:ascii="Arial" w:hAnsi="Arial" w:cs="Arial"/>
          <w:color w:val="7B7B7B" w:themeColor="accent3" w:themeShade="BF"/>
          <w:sz w:val="22"/>
          <w:szCs w:val="22"/>
          <w:lang w:val="en-GB"/>
        </w:rPr>
        <w:t>debtor and the creditors</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The option to stay the</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opening of the secondary</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 xml:space="preserve">proceedings </w:t>
      </w:r>
      <w:r w:rsidR="00BF678A">
        <w:rPr>
          <w:rFonts w:ascii="Arial" w:hAnsi="Arial" w:cs="Arial"/>
          <w:color w:val="7B7B7B" w:themeColor="accent3" w:themeShade="BF"/>
          <w:sz w:val="22"/>
          <w:szCs w:val="22"/>
          <w:lang w:val="en-GB"/>
        </w:rPr>
        <w:t>is</w:t>
      </w:r>
      <w:r w:rsidR="00BF678A" w:rsidRPr="00BF678A">
        <w:rPr>
          <w:rFonts w:ascii="Arial" w:hAnsi="Arial" w:cs="Arial"/>
          <w:color w:val="7B7B7B" w:themeColor="accent3" w:themeShade="BF"/>
          <w:sz w:val="22"/>
          <w:szCs w:val="22"/>
          <w:lang w:val="en-GB"/>
        </w:rPr>
        <w:t xml:space="preserve"> well</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embedded by the right to</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order protective measures for</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protection of the interests of</w:t>
      </w:r>
      <w:r w:rsidR="00BF678A">
        <w:rPr>
          <w:rFonts w:ascii="Arial" w:hAnsi="Arial" w:cs="Arial"/>
          <w:color w:val="7B7B7B" w:themeColor="accent3" w:themeShade="BF"/>
          <w:sz w:val="22"/>
          <w:szCs w:val="22"/>
          <w:lang w:val="en-GB"/>
        </w:rPr>
        <w:t xml:space="preserve"> </w:t>
      </w:r>
      <w:r w:rsidR="00BF678A" w:rsidRPr="00BF678A">
        <w:rPr>
          <w:rFonts w:ascii="Arial" w:hAnsi="Arial" w:cs="Arial"/>
          <w:color w:val="7B7B7B" w:themeColor="accent3" w:themeShade="BF"/>
          <w:sz w:val="22"/>
          <w:szCs w:val="22"/>
          <w:lang w:val="en-GB"/>
        </w:rPr>
        <w:t>local creditor</w:t>
      </w:r>
      <w:r w:rsidR="000132E0">
        <w:rPr>
          <w:rFonts w:ascii="Arial" w:hAnsi="Arial" w:cs="Arial"/>
          <w:color w:val="7B7B7B" w:themeColor="accent3" w:themeShade="BF"/>
          <w:sz w:val="22"/>
          <w:szCs w:val="22"/>
          <w:lang w:val="en-GB"/>
        </w:rPr>
        <w:t>s</w:t>
      </w:r>
      <w:r w:rsidR="00BF678A">
        <w:rPr>
          <w:rFonts w:ascii="Arial" w:hAnsi="Arial" w:cs="Arial"/>
          <w:color w:val="7B7B7B" w:themeColor="accent3" w:themeShade="BF"/>
          <w:sz w:val="22"/>
          <w:szCs w:val="22"/>
          <w:lang w:val="en-GB"/>
        </w:rPr>
        <w:t xml:space="preserve"> (see also Recital 45 EIR Recast).</w:t>
      </w:r>
    </w:p>
    <w:p w14:paraId="69FDBB1E" w14:textId="77777777" w:rsidR="00437382" w:rsidRPr="0042027A" w:rsidRDefault="00437382" w:rsidP="00BF678A">
      <w:pPr>
        <w:jc w:val="both"/>
        <w:rPr>
          <w:rFonts w:ascii="Arial" w:hAnsi="Arial" w:cs="Arial"/>
          <w:color w:val="7B7B7B" w:themeColor="accent3" w:themeShade="BF"/>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3A33AEE0" w:rsidR="00544127" w:rsidRPr="005730C1" w:rsidRDefault="005730C1" w:rsidP="005730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(see H. Eidenmüller and K. van Zwieten, “</w:t>
      </w:r>
      <w:r w:rsidRPr="005730C1">
        <w:rPr>
          <w:rFonts w:ascii="Arial" w:hAnsi="Arial" w:cs="Arial"/>
          <w:color w:val="7B7B7B" w:themeColor="accent3" w:themeShade="BF"/>
          <w:sz w:val="22"/>
          <w:szCs w:val="22"/>
          <w:lang w:val="en-GB"/>
        </w:rPr>
        <w:t>Restructuring the European Business Enterprise:</w:t>
      </w:r>
      <w:r>
        <w:rPr>
          <w:rFonts w:ascii="Arial" w:hAnsi="Arial" w:cs="Arial"/>
          <w:color w:val="7B7B7B" w:themeColor="accent3" w:themeShade="BF"/>
          <w:sz w:val="22"/>
          <w:szCs w:val="22"/>
          <w:lang w:val="en-GB"/>
        </w:rPr>
        <w:t xml:space="preserve"> </w:t>
      </w:r>
      <w:r w:rsidRPr="005730C1">
        <w:rPr>
          <w:rFonts w:ascii="Arial" w:hAnsi="Arial" w:cs="Arial"/>
          <w:color w:val="7B7B7B" w:themeColor="accent3" w:themeShade="BF"/>
          <w:sz w:val="22"/>
          <w:szCs w:val="22"/>
          <w:lang w:val="en-GB"/>
        </w:rPr>
        <w:t>The EU Commission Recommendation on a New Approach to</w:t>
      </w:r>
      <w:r>
        <w:rPr>
          <w:rFonts w:ascii="Arial" w:hAnsi="Arial" w:cs="Arial"/>
          <w:color w:val="7B7B7B" w:themeColor="accent3" w:themeShade="BF"/>
          <w:sz w:val="22"/>
          <w:szCs w:val="22"/>
          <w:lang w:val="en-GB"/>
        </w:rPr>
        <w:t xml:space="preserve"> </w:t>
      </w:r>
      <w:r w:rsidRPr="005730C1">
        <w:rPr>
          <w:rFonts w:ascii="Arial" w:hAnsi="Arial" w:cs="Arial"/>
          <w:color w:val="7B7B7B" w:themeColor="accent3" w:themeShade="BF"/>
          <w:sz w:val="22"/>
          <w:szCs w:val="22"/>
          <w:lang w:val="en-GB"/>
        </w:rPr>
        <w:t>Business Failure and Insolvency</w:t>
      </w:r>
      <w:r>
        <w:rPr>
          <w:rFonts w:ascii="Arial" w:hAnsi="Arial" w:cs="Arial"/>
          <w:color w:val="7B7B7B" w:themeColor="accent3" w:themeShade="BF"/>
          <w:sz w:val="22"/>
          <w:szCs w:val="22"/>
          <w:lang w:val="en-GB"/>
        </w:rPr>
        <w:t xml:space="preserve">”, 18 december 2015, </w:t>
      </w:r>
      <w:r w:rsidRPr="005730C1">
        <w:rPr>
          <w:rFonts w:ascii="Arial" w:hAnsi="Arial" w:cs="Arial"/>
          <w:color w:val="7B7B7B" w:themeColor="accent3" w:themeShade="BF"/>
          <w:sz w:val="22"/>
          <w:szCs w:val="22"/>
          <w:u w:val="single"/>
          <w:lang w:val="en-GB"/>
        </w:rPr>
        <w:t>ecgi.global</w:t>
      </w:r>
      <w:r>
        <w:rPr>
          <w:rFonts w:ascii="Arial" w:hAnsi="Arial" w:cs="Arial"/>
          <w:color w:val="7B7B7B" w:themeColor="accent3" w:themeShade="BF"/>
          <w:sz w:val="22"/>
          <w:szCs w:val="22"/>
          <w:lang w:val="en-GB"/>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2E3EF3F8" w14:textId="551FA59E" w:rsidR="00F83CDB" w:rsidRDefault="00833A73" w:rsidP="00C87D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t>
      </w:r>
      <w:r w:rsidRPr="00833A73">
        <w:rPr>
          <w:rFonts w:ascii="Arial" w:hAnsi="Arial" w:cs="Arial"/>
          <w:color w:val="7B7B7B" w:themeColor="accent3" w:themeShade="BF"/>
          <w:sz w:val="22"/>
          <w:szCs w:val="22"/>
          <w:lang w:val="en-GB"/>
        </w:rPr>
        <w:t>introduce</w:t>
      </w:r>
      <w:r w:rsidR="00C87D52">
        <w:rPr>
          <w:rFonts w:ascii="Arial" w:hAnsi="Arial" w:cs="Arial"/>
          <w:color w:val="7B7B7B" w:themeColor="accent3" w:themeShade="BF"/>
          <w:sz w:val="22"/>
          <w:szCs w:val="22"/>
          <w:lang w:val="en-GB"/>
        </w:rPr>
        <w:t>d</w:t>
      </w:r>
      <w:r w:rsidRPr="00833A73">
        <w:rPr>
          <w:rFonts w:ascii="Arial" w:hAnsi="Arial" w:cs="Arial"/>
          <w:color w:val="7B7B7B" w:themeColor="accent3" w:themeShade="BF"/>
          <w:sz w:val="22"/>
          <w:szCs w:val="22"/>
          <w:lang w:val="en-GB"/>
        </w:rPr>
        <w:t xml:space="preserve"> several </w:t>
      </w:r>
      <w:r w:rsidR="00C87D52">
        <w:rPr>
          <w:rFonts w:ascii="Arial" w:hAnsi="Arial" w:cs="Arial"/>
          <w:color w:val="7B7B7B" w:themeColor="accent3" w:themeShade="BF"/>
          <w:sz w:val="22"/>
          <w:szCs w:val="22"/>
          <w:lang w:val="en-GB"/>
        </w:rPr>
        <w:t>improvements</w:t>
      </w:r>
      <w:r w:rsidRPr="00833A73">
        <w:rPr>
          <w:rFonts w:ascii="Arial" w:hAnsi="Arial" w:cs="Arial"/>
          <w:color w:val="7B7B7B" w:themeColor="accent3" w:themeShade="BF"/>
          <w:sz w:val="22"/>
          <w:szCs w:val="22"/>
          <w:lang w:val="en-GB"/>
        </w:rPr>
        <w:t xml:space="preserve"> aimed at</w:t>
      </w:r>
      <w:r w:rsidR="00C87D52">
        <w:rPr>
          <w:rFonts w:ascii="Arial" w:hAnsi="Arial" w:cs="Arial"/>
          <w:color w:val="7B7B7B" w:themeColor="accent3" w:themeShade="BF"/>
          <w:sz w:val="22"/>
          <w:szCs w:val="22"/>
          <w:lang w:val="en-GB"/>
        </w:rPr>
        <w:t xml:space="preserve"> </w:t>
      </w:r>
      <w:r w:rsidRPr="00833A73">
        <w:rPr>
          <w:rFonts w:ascii="Arial" w:hAnsi="Arial" w:cs="Arial"/>
          <w:color w:val="7B7B7B" w:themeColor="accent3" w:themeShade="BF"/>
          <w:sz w:val="22"/>
          <w:szCs w:val="22"/>
          <w:lang w:val="en-GB"/>
        </w:rPr>
        <w:t xml:space="preserve">increasing clarity and simplifying </w:t>
      </w:r>
      <w:r w:rsidR="00C87D52">
        <w:rPr>
          <w:rFonts w:ascii="Arial" w:hAnsi="Arial" w:cs="Arial"/>
          <w:color w:val="7B7B7B" w:themeColor="accent3" w:themeShade="BF"/>
          <w:sz w:val="22"/>
          <w:szCs w:val="22"/>
          <w:lang w:val="en-GB"/>
        </w:rPr>
        <w:t xml:space="preserve">the </w:t>
      </w:r>
      <w:r w:rsidRPr="00833A73">
        <w:rPr>
          <w:rFonts w:ascii="Arial" w:hAnsi="Arial" w:cs="Arial"/>
          <w:color w:val="7B7B7B" w:themeColor="accent3" w:themeShade="BF"/>
          <w:sz w:val="22"/>
          <w:szCs w:val="22"/>
          <w:lang w:val="en-GB"/>
        </w:rPr>
        <w:t>procedure concerning</w:t>
      </w:r>
      <w:r w:rsidR="00C87D52">
        <w:rPr>
          <w:rFonts w:ascii="Arial" w:hAnsi="Arial" w:cs="Arial"/>
          <w:color w:val="7B7B7B" w:themeColor="accent3" w:themeShade="BF"/>
          <w:sz w:val="22"/>
          <w:szCs w:val="22"/>
          <w:lang w:val="en-GB"/>
        </w:rPr>
        <w:t xml:space="preserve"> the</w:t>
      </w:r>
      <w:r w:rsidRPr="00833A73">
        <w:rPr>
          <w:rFonts w:ascii="Arial" w:hAnsi="Arial" w:cs="Arial"/>
          <w:color w:val="7B7B7B" w:themeColor="accent3" w:themeShade="BF"/>
          <w:sz w:val="22"/>
          <w:szCs w:val="22"/>
          <w:lang w:val="en-GB"/>
        </w:rPr>
        <w:t xml:space="preserve"> lodgement of claims. Two</w:t>
      </w:r>
      <w:r w:rsidR="00C87D52">
        <w:rPr>
          <w:rFonts w:ascii="Arial" w:hAnsi="Arial" w:cs="Arial"/>
          <w:color w:val="7B7B7B" w:themeColor="accent3" w:themeShade="BF"/>
          <w:sz w:val="22"/>
          <w:szCs w:val="22"/>
          <w:lang w:val="en-GB"/>
        </w:rPr>
        <w:t xml:space="preserve"> </w:t>
      </w:r>
      <w:r w:rsidRPr="00833A73">
        <w:rPr>
          <w:rFonts w:ascii="Arial" w:hAnsi="Arial" w:cs="Arial"/>
          <w:color w:val="7B7B7B" w:themeColor="accent3" w:themeShade="BF"/>
          <w:sz w:val="22"/>
          <w:szCs w:val="22"/>
          <w:lang w:val="en-GB"/>
        </w:rPr>
        <w:t>innovations</w:t>
      </w:r>
      <w:r w:rsidR="00C87D52">
        <w:rPr>
          <w:rFonts w:ascii="Arial" w:hAnsi="Arial" w:cs="Arial"/>
          <w:color w:val="7B7B7B" w:themeColor="accent3" w:themeShade="BF"/>
          <w:sz w:val="22"/>
          <w:szCs w:val="22"/>
          <w:lang w:val="en-GB"/>
        </w:rPr>
        <w:t xml:space="preserve"> in this regard</w:t>
      </w:r>
      <w:r w:rsidRPr="00833A73">
        <w:rPr>
          <w:rFonts w:ascii="Arial" w:hAnsi="Arial" w:cs="Arial"/>
          <w:color w:val="7B7B7B" w:themeColor="accent3" w:themeShade="BF"/>
          <w:sz w:val="22"/>
          <w:szCs w:val="22"/>
          <w:lang w:val="en-GB"/>
        </w:rPr>
        <w:t xml:space="preserve"> </w:t>
      </w:r>
      <w:r w:rsidR="00C87D52">
        <w:rPr>
          <w:rFonts w:ascii="Arial" w:hAnsi="Arial" w:cs="Arial"/>
          <w:color w:val="7B7B7B" w:themeColor="accent3" w:themeShade="BF"/>
          <w:sz w:val="22"/>
          <w:szCs w:val="22"/>
          <w:lang w:val="en-GB"/>
        </w:rPr>
        <w:t>are</w:t>
      </w:r>
      <w:r w:rsidRPr="00833A73">
        <w:rPr>
          <w:rFonts w:ascii="Arial" w:hAnsi="Arial" w:cs="Arial"/>
          <w:color w:val="7B7B7B" w:themeColor="accent3" w:themeShade="BF"/>
          <w:sz w:val="22"/>
          <w:szCs w:val="22"/>
          <w:lang w:val="en-GB"/>
        </w:rPr>
        <w:t xml:space="preserve">: </w:t>
      </w:r>
      <w:r w:rsidR="00C87D52">
        <w:rPr>
          <w:rFonts w:ascii="Arial" w:hAnsi="Arial" w:cs="Arial"/>
          <w:color w:val="7B7B7B" w:themeColor="accent3" w:themeShade="BF"/>
          <w:sz w:val="22"/>
          <w:szCs w:val="22"/>
          <w:lang w:val="en-GB"/>
        </w:rPr>
        <w:t>(1</w:t>
      </w:r>
      <w:r w:rsidRPr="00833A73">
        <w:rPr>
          <w:rFonts w:ascii="Arial" w:hAnsi="Arial" w:cs="Arial"/>
          <w:color w:val="7B7B7B" w:themeColor="accent3" w:themeShade="BF"/>
          <w:sz w:val="22"/>
          <w:szCs w:val="22"/>
          <w:lang w:val="en-GB"/>
        </w:rPr>
        <w:t>) the standardized procedure to file and lodge claims</w:t>
      </w:r>
      <w:r w:rsidR="00C87D52">
        <w:rPr>
          <w:rFonts w:ascii="Arial" w:hAnsi="Arial" w:cs="Arial"/>
          <w:color w:val="7B7B7B" w:themeColor="accent3" w:themeShade="BF"/>
          <w:sz w:val="22"/>
          <w:szCs w:val="22"/>
          <w:lang w:val="en-GB"/>
        </w:rPr>
        <w:t xml:space="preserve"> (</w:t>
      </w:r>
      <w:r w:rsidR="00C87D52" w:rsidRPr="00C87D52">
        <w:rPr>
          <w:rFonts w:ascii="Arial" w:hAnsi="Arial" w:cs="Arial"/>
          <w:color w:val="7B7B7B" w:themeColor="accent3" w:themeShade="BF"/>
          <w:sz w:val="22"/>
          <w:szCs w:val="22"/>
          <w:lang w:val="en-GB"/>
        </w:rPr>
        <w:t xml:space="preserve">any foreign creditor may </w:t>
      </w:r>
      <w:r w:rsidR="00C87D52">
        <w:rPr>
          <w:rFonts w:ascii="Arial" w:hAnsi="Arial" w:cs="Arial"/>
          <w:color w:val="7B7B7B" w:themeColor="accent3" w:themeShade="BF"/>
          <w:sz w:val="22"/>
          <w:szCs w:val="22"/>
          <w:lang w:val="en-GB"/>
        </w:rPr>
        <w:t xml:space="preserve">now </w:t>
      </w:r>
      <w:r w:rsidR="00C87D52" w:rsidRPr="00C87D52">
        <w:rPr>
          <w:rFonts w:ascii="Arial" w:hAnsi="Arial" w:cs="Arial"/>
          <w:color w:val="7B7B7B" w:themeColor="accent3" w:themeShade="BF"/>
          <w:sz w:val="22"/>
          <w:szCs w:val="22"/>
          <w:lang w:val="en-GB"/>
        </w:rPr>
        <w:t>lodge claims in insolvency proceedings by any means</w:t>
      </w:r>
      <w:r w:rsidR="00C87D52">
        <w:rPr>
          <w:rFonts w:ascii="Arial" w:hAnsi="Arial" w:cs="Arial"/>
          <w:color w:val="7B7B7B" w:themeColor="accent3" w:themeShade="BF"/>
          <w:sz w:val="22"/>
          <w:szCs w:val="22"/>
          <w:lang w:val="en-GB"/>
        </w:rPr>
        <w:t xml:space="preserve"> </w:t>
      </w:r>
      <w:r w:rsidR="00C87D52" w:rsidRPr="00C87D52">
        <w:rPr>
          <w:rFonts w:ascii="Arial" w:hAnsi="Arial" w:cs="Arial"/>
          <w:color w:val="7B7B7B" w:themeColor="accent3" w:themeShade="BF"/>
          <w:sz w:val="22"/>
          <w:szCs w:val="22"/>
          <w:lang w:val="en-GB"/>
        </w:rPr>
        <w:t>of communication, which are prescribed by the law of the</w:t>
      </w:r>
      <w:r w:rsidR="00C87D52">
        <w:rPr>
          <w:rFonts w:ascii="Arial" w:hAnsi="Arial" w:cs="Arial"/>
          <w:color w:val="7B7B7B" w:themeColor="accent3" w:themeShade="BF"/>
          <w:sz w:val="22"/>
          <w:szCs w:val="22"/>
          <w:lang w:val="en-GB"/>
        </w:rPr>
        <w:t xml:space="preserve"> Member</w:t>
      </w:r>
      <w:r w:rsidR="00C87D52" w:rsidRPr="00C87D52">
        <w:rPr>
          <w:rFonts w:ascii="Arial" w:hAnsi="Arial" w:cs="Arial"/>
          <w:color w:val="7B7B7B" w:themeColor="accent3" w:themeShade="BF"/>
          <w:sz w:val="22"/>
          <w:szCs w:val="22"/>
          <w:lang w:val="en-GB"/>
        </w:rPr>
        <w:t xml:space="preserve"> State of the opening</w:t>
      </w:r>
      <w:r w:rsidR="00C87D52">
        <w:rPr>
          <w:rFonts w:ascii="Arial" w:hAnsi="Arial" w:cs="Arial"/>
          <w:color w:val="7B7B7B" w:themeColor="accent3" w:themeShade="BF"/>
          <w:sz w:val="22"/>
          <w:szCs w:val="22"/>
          <w:lang w:val="en-GB"/>
        </w:rPr>
        <w:t xml:space="preserve"> </w:t>
      </w:r>
      <w:r w:rsidR="00C87D52" w:rsidRPr="00C87D52">
        <w:rPr>
          <w:rFonts w:ascii="Arial" w:hAnsi="Arial" w:cs="Arial"/>
          <w:color w:val="7B7B7B" w:themeColor="accent3" w:themeShade="BF"/>
          <w:sz w:val="22"/>
          <w:szCs w:val="22"/>
          <w:lang w:val="en-GB"/>
        </w:rPr>
        <w:t>of proceedings</w:t>
      </w:r>
      <w:r w:rsidR="00C87D52">
        <w:rPr>
          <w:rFonts w:ascii="Arial" w:hAnsi="Arial" w:cs="Arial"/>
          <w:color w:val="7B7B7B" w:themeColor="accent3" w:themeShade="BF"/>
          <w:sz w:val="22"/>
          <w:szCs w:val="22"/>
          <w:lang w:val="en-GB"/>
        </w:rPr>
        <w:t>, thereby using standard claim forms – Articles 53 and 55 EIR Recast)</w:t>
      </w:r>
      <w:r w:rsidRPr="00833A73">
        <w:rPr>
          <w:rFonts w:ascii="Arial" w:hAnsi="Arial" w:cs="Arial"/>
          <w:color w:val="7B7B7B" w:themeColor="accent3" w:themeShade="BF"/>
          <w:sz w:val="22"/>
          <w:szCs w:val="22"/>
          <w:lang w:val="en-GB"/>
        </w:rPr>
        <w:t>,</w:t>
      </w:r>
      <w:r w:rsidR="00C87D52">
        <w:rPr>
          <w:rFonts w:ascii="Arial" w:hAnsi="Arial" w:cs="Arial"/>
          <w:color w:val="7B7B7B" w:themeColor="accent3" w:themeShade="BF"/>
          <w:sz w:val="22"/>
          <w:szCs w:val="22"/>
          <w:lang w:val="en-GB"/>
        </w:rPr>
        <w:t xml:space="preserve"> </w:t>
      </w:r>
      <w:r w:rsidRPr="00833A73">
        <w:rPr>
          <w:rFonts w:ascii="Arial" w:hAnsi="Arial" w:cs="Arial"/>
          <w:color w:val="7B7B7B" w:themeColor="accent3" w:themeShade="BF"/>
          <w:sz w:val="22"/>
          <w:szCs w:val="22"/>
          <w:lang w:val="en-GB"/>
        </w:rPr>
        <w:t xml:space="preserve">and </w:t>
      </w:r>
      <w:r w:rsidR="00C87D52">
        <w:rPr>
          <w:rFonts w:ascii="Arial" w:hAnsi="Arial" w:cs="Arial"/>
          <w:color w:val="7B7B7B" w:themeColor="accent3" w:themeShade="BF"/>
          <w:sz w:val="22"/>
          <w:szCs w:val="22"/>
          <w:lang w:val="en-GB"/>
        </w:rPr>
        <w:t>(2</w:t>
      </w:r>
      <w:r w:rsidRPr="00833A73">
        <w:rPr>
          <w:rFonts w:ascii="Arial" w:hAnsi="Arial" w:cs="Arial"/>
          <w:color w:val="7B7B7B" w:themeColor="accent3" w:themeShade="BF"/>
          <w:sz w:val="22"/>
          <w:szCs w:val="22"/>
          <w:lang w:val="en-GB"/>
        </w:rPr>
        <w:t xml:space="preserve">) the reinforcement of the publicity of information relating to </w:t>
      </w:r>
      <w:r w:rsidRPr="00833A73">
        <w:rPr>
          <w:rFonts w:ascii="Arial" w:hAnsi="Arial" w:cs="Arial"/>
          <w:color w:val="7B7B7B" w:themeColor="accent3" w:themeShade="BF"/>
          <w:sz w:val="22"/>
          <w:szCs w:val="22"/>
          <w:lang w:val="en-GB"/>
        </w:rPr>
        <w:lastRenderedPageBreak/>
        <w:t>insolvency</w:t>
      </w:r>
      <w:r w:rsidR="00C87D52">
        <w:rPr>
          <w:rFonts w:ascii="Arial" w:hAnsi="Arial" w:cs="Arial"/>
          <w:color w:val="7B7B7B" w:themeColor="accent3" w:themeShade="BF"/>
          <w:sz w:val="22"/>
          <w:szCs w:val="22"/>
          <w:lang w:val="en-GB"/>
        </w:rPr>
        <w:t xml:space="preserve"> </w:t>
      </w:r>
      <w:r w:rsidRPr="00833A73">
        <w:rPr>
          <w:rFonts w:ascii="Arial" w:hAnsi="Arial" w:cs="Arial"/>
          <w:color w:val="7B7B7B" w:themeColor="accent3" w:themeShade="BF"/>
          <w:sz w:val="22"/>
          <w:szCs w:val="22"/>
          <w:lang w:val="en-GB"/>
        </w:rPr>
        <w:t>proceedings</w:t>
      </w:r>
      <w:r w:rsidR="00C87D52">
        <w:rPr>
          <w:rFonts w:ascii="Arial" w:hAnsi="Arial" w:cs="Arial"/>
          <w:color w:val="7B7B7B" w:themeColor="accent3" w:themeShade="BF"/>
          <w:sz w:val="22"/>
          <w:szCs w:val="22"/>
          <w:lang w:val="en-GB"/>
        </w:rPr>
        <w:t xml:space="preserve"> (a</w:t>
      </w:r>
      <w:r w:rsidR="00C87D52" w:rsidRPr="00C87D52">
        <w:rPr>
          <w:rFonts w:ascii="Arial" w:hAnsi="Arial" w:cs="Arial"/>
          <w:color w:val="7B7B7B" w:themeColor="accent3" w:themeShade="BF"/>
          <w:sz w:val="22"/>
          <w:szCs w:val="22"/>
          <w:lang w:val="en-GB"/>
        </w:rPr>
        <w:t>s soon as insolvency proceedings are opened in a Member State, the court of that State having jurisdiction or the</w:t>
      </w:r>
      <w:r w:rsidR="00C87D52">
        <w:rPr>
          <w:rFonts w:ascii="Arial" w:hAnsi="Arial" w:cs="Arial"/>
          <w:color w:val="7B7B7B" w:themeColor="accent3" w:themeShade="BF"/>
          <w:sz w:val="22"/>
          <w:szCs w:val="22"/>
          <w:lang w:val="en-GB"/>
        </w:rPr>
        <w:t xml:space="preserve"> </w:t>
      </w:r>
      <w:r w:rsidR="00C87D52" w:rsidRPr="00C87D52">
        <w:rPr>
          <w:rFonts w:ascii="Arial" w:hAnsi="Arial" w:cs="Arial"/>
          <w:color w:val="7B7B7B" w:themeColor="accent3" w:themeShade="BF"/>
          <w:sz w:val="22"/>
          <w:szCs w:val="22"/>
          <w:lang w:val="en-GB"/>
        </w:rPr>
        <w:t>insolvency practitioner appointed by that court shall immediately inform the known foreign creditors</w:t>
      </w:r>
      <w:r w:rsidR="00C87D52">
        <w:rPr>
          <w:rFonts w:ascii="Arial" w:hAnsi="Arial" w:cs="Arial"/>
          <w:color w:val="7B7B7B" w:themeColor="accent3" w:themeShade="BF"/>
          <w:sz w:val="22"/>
          <w:szCs w:val="22"/>
          <w:lang w:val="en-GB"/>
        </w:rPr>
        <w:t xml:space="preserve"> – Article 54(1) EIR Recast).</w:t>
      </w:r>
    </w:p>
    <w:p w14:paraId="0D42C877" w14:textId="77777777" w:rsidR="00C87D52" w:rsidRDefault="00C87D52" w:rsidP="00833A73">
      <w:pPr>
        <w:jc w:val="both"/>
        <w:rPr>
          <w:rFonts w:ascii="Arial" w:hAnsi="Arial" w:cs="Arial"/>
          <w:color w:val="7B7B7B" w:themeColor="accent3" w:themeShade="BF"/>
          <w:sz w:val="22"/>
          <w:szCs w:val="22"/>
          <w:lang w:val="en-GB"/>
        </w:rPr>
      </w:pPr>
    </w:p>
    <w:p w14:paraId="3DAA6780" w14:textId="2432F42E" w:rsidR="00962045" w:rsidRDefault="00F83CDB" w:rsidP="002A37BB">
      <w:pPr>
        <w:jc w:val="both"/>
        <w:rPr>
          <w:rFonts w:ascii="Arial" w:hAnsi="Arial" w:cs="Arial"/>
          <w:color w:val="7B7B7B" w:themeColor="accent3" w:themeShade="BF"/>
          <w:sz w:val="22"/>
          <w:szCs w:val="22"/>
          <w:lang w:val="en-GB"/>
        </w:rPr>
      </w:pPr>
      <w:r w:rsidRPr="00F83CDB">
        <w:rPr>
          <w:rFonts w:ascii="Arial" w:hAnsi="Arial" w:cs="Arial"/>
          <w:color w:val="7B7B7B" w:themeColor="accent3" w:themeShade="BF"/>
          <w:sz w:val="22"/>
          <w:szCs w:val="22"/>
          <w:lang w:val="en-GB"/>
        </w:rPr>
        <w:t xml:space="preserve">Another innovation of the EIR Recast includes the </w:t>
      </w:r>
      <w:r w:rsidR="00C87D52">
        <w:rPr>
          <w:rFonts w:ascii="Arial" w:hAnsi="Arial" w:cs="Arial"/>
          <w:color w:val="7B7B7B" w:themeColor="accent3" w:themeShade="BF"/>
          <w:sz w:val="22"/>
          <w:szCs w:val="22"/>
          <w:lang w:val="en-GB"/>
        </w:rPr>
        <w:t xml:space="preserve">introduction of </w:t>
      </w:r>
      <w:r w:rsidR="00C87D52" w:rsidRPr="00C87D52">
        <w:rPr>
          <w:rFonts w:ascii="Arial" w:hAnsi="Arial" w:cs="Arial"/>
          <w:color w:val="7B7B7B" w:themeColor="accent3" w:themeShade="BF"/>
          <w:sz w:val="22"/>
          <w:szCs w:val="22"/>
          <w:lang w:val="en-GB"/>
        </w:rPr>
        <w:t>duties for different insolvency practitioners and courts involved to cooperate and communicate in various ways</w:t>
      </w:r>
      <w:r w:rsidR="00C02E6E">
        <w:rPr>
          <w:rFonts w:ascii="Arial" w:hAnsi="Arial" w:cs="Arial"/>
          <w:color w:val="7B7B7B" w:themeColor="accent3" w:themeShade="BF"/>
          <w:sz w:val="22"/>
          <w:szCs w:val="22"/>
          <w:lang w:val="en-GB"/>
        </w:rPr>
        <w:t xml:space="preserve"> (Articles 41-43 EIR Recast)</w:t>
      </w:r>
      <w:r>
        <w:rPr>
          <w:rFonts w:ascii="Arial" w:hAnsi="Arial" w:cs="Arial"/>
          <w:color w:val="7B7B7B" w:themeColor="accent3" w:themeShade="BF"/>
          <w:sz w:val="22"/>
          <w:szCs w:val="22"/>
          <w:lang w:val="en-GB"/>
        </w:rPr>
        <w:t>.</w:t>
      </w:r>
    </w:p>
    <w:p w14:paraId="51CE46E7" w14:textId="77777777" w:rsidR="00C02E6E" w:rsidRPr="005D2CD6" w:rsidRDefault="00C02E6E"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3F6CFA0D" w:rsidR="00DF75F8" w:rsidRPr="008500BD" w:rsidRDefault="007B4AA5" w:rsidP="001B13C4">
      <w:pPr>
        <w:jc w:val="both"/>
        <w:rPr>
          <w:rFonts w:ascii="Arial" w:hAnsi="Arial" w:cs="Arial"/>
          <w:sz w:val="22"/>
          <w:szCs w:val="22"/>
          <w:lang w:val="en-GB"/>
        </w:rPr>
      </w:pPr>
      <w:r>
        <w:rPr>
          <w:rFonts w:ascii="Arial" w:hAnsi="Arial" w:cs="Arial"/>
          <w:color w:val="7B7B7B" w:themeColor="accent3" w:themeShade="BF"/>
          <w:sz w:val="22"/>
          <w:szCs w:val="22"/>
          <w:lang w:val="en-GB"/>
        </w:rPr>
        <w:t xml:space="preserve">(see M.-T. Epeoglou, “The Recast European Insolvency Regulation: a missed opportunity for restructuring business in Europe”, </w:t>
      </w:r>
      <w:r w:rsidR="001B13C4">
        <w:rPr>
          <w:rFonts w:ascii="Arial" w:hAnsi="Arial" w:cs="Arial"/>
          <w:color w:val="7B7B7B" w:themeColor="accent3" w:themeShade="BF"/>
          <w:sz w:val="22"/>
          <w:szCs w:val="22"/>
          <w:lang w:val="en-GB"/>
        </w:rPr>
        <w:t xml:space="preserve">2017, </w:t>
      </w:r>
      <w:r w:rsidR="001B13C4" w:rsidRPr="001B13C4">
        <w:rPr>
          <w:rFonts w:ascii="Arial" w:hAnsi="Arial" w:cs="Arial"/>
          <w:color w:val="7B7B7B" w:themeColor="accent3" w:themeShade="BF"/>
          <w:sz w:val="22"/>
          <w:szCs w:val="22"/>
          <w:u w:val="single"/>
          <w:lang w:val="en-GB"/>
        </w:rPr>
        <w:t>discovery.ucl.ac.uk</w:t>
      </w:r>
      <w:r w:rsidR="001B13C4">
        <w:rPr>
          <w:rFonts w:ascii="Arial" w:hAnsi="Arial" w:cs="Arial"/>
          <w:color w:val="7B7B7B" w:themeColor="accent3" w:themeShade="BF"/>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578D9427" w:rsidR="002F75A3" w:rsidRDefault="00481E77" w:rsidP="00481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3(1) EIR 2000 the</w:t>
      </w:r>
      <w:r w:rsidRPr="00481E77">
        <w:rPr>
          <w:rFonts w:ascii="Arial" w:hAnsi="Arial" w:cs="Arial"/>
          <w:color w:val="7B7B7B" w:themeColor="accent3" w:themeShade="BF"/>
          <w:sz w:val="22"/>
          <w:szCs w:val="22"/>
          <w:lang w:val="en-GB"/>
        </w:rPr>
        <w:t xml:space="preserve"> courts of the Member State within the territory of</w:t>
      </w:r>
      <w:r>
        <w:rPr>
          <w:rFonts w:ascii="Arial" w:hAnsi="Arial" w:cs="Arial"/>
          <w:color w:val="7B7B7B" w:themeColor="accent3" w:themeShade="BF"/>
          <w:sz w:val="22"/>
          <w:szCs w:val="22"/>
          <w:lang w:val="en-GB"/>
        </w:rPr>
        <w:t xml:space="preserve"> </w:t>
      </w:r>
      <w:r w:rsidRPr="00481E77">
        <w:rPr>
          <w:rFonts w:ascii="Arial" w:hAnsi="Arial" w:cs="Arial"/>
          <w:color w:val="7B7B7B" w:themeColor="accent3" w:themeShade="BF"/>
          <w:sz w:val="22"/>
          <w:szCs w:val="22"/>
          <w:lang w:val="en-GB"/>
        </w:rPr>
        <w:t>which the centre of a debtor’s main interests is situated shall</w:t>
      </w:r>
      <w:r>
        <w:rPr>
          <w:rFonts w:ascii="Arial" w:hAnsi="Arial" w:cs="Arial"/>
          <w:color w:val="7B7B7B" w:themeColor="accent3" w:themeShade="BF"/>
          <w:sz w:val="22"/>
          <w:szCs w:val="22"/>
          <w:lang w:val="en-GB"/>
        </w:rPr>
        <w:t xml:space="preserve"> </w:t>
      </w:r>
      <w:r w:rsidRPr="00481E77">
        <w:rPr>
          <w:rFonts w:ascii="Arial" w:hAnsi="Arial" w:cs="Arial"/>
          <w:color w:val="7B7B7B" w:themeColor="accent3" w:themeShade="BF"/>
          <w:sz w:val="22"/>
          <w:szCs w:val="22"/>
          <w:lang w:val="en-GB"/>
        </w:rPr>
        <w:t>have jurisdiction to open insolvency proceedings. In the case of a company or legal person, the place of the registered office shall be presumed to be the centre of its main interests in the absence of proof to the contrary</w:t>
      </w:r>
      <w:r>
        <w:rPr>
          <w:rFonts w:ascii="Arial" w:hAnsi="Arial" w:cs="Arial"/>
          <w:color w:val="7B7B7B" w:themeColor="accent3" w:themeShade="BF"/>
          <w:sz w:val="22"/>
          <w:szCs w:val="22"/>
          <w:lang w:val="en-GB"/>
        </w:rPr>
        <w:t xml:space="preserve"> (see also Recital 12 EIR 2000). In other words, (main) insolvency proceedings could be initiated at the so-called ‘COMI’ of the debtor, which should correspond to </w:t>
      </w:r>
      <w:r w:rsidRPr="00481E77">
        <w:rPr>
          <w:rFonts w:ascii="Arial" w:hAnsi="Arial" w:cs="Arial"/>
          <w:color w:val="7B7B7B" w:themeColor="accent3" w:themeShade="BF"/>
          <w:sz w:val="22"/>
          <w:szCs w:val="22"/>
          <w:lang w:val="en-GB"/>
        </w:rPr>
        <w:t>the place where the debtor conducts the administration of his interests on a regular basis and is therefore ascertainable by third parties</w:t>
      </w:r>
      <w:r w:rsidR="006836CD">
        <w:rPr>
          <w:rFonts w:ascii="Arial" w:hAnsi="Arial" w:cs="Arial"/>
          <w:color w:val="7B7B7B" w:themeColor="accent3" w:themeShade="BF"/>
          <w:sz w:val="22"/>
          <w:szCs w:val="22"/>
          <w:lang w:val="en-GB"/>
        </w:rPr>
        <w:t xml:space="preserve"> (Recital 13 EIR 2000).</w:t>
      </w:r>
    </w:p>
    <w:p w14:paraId="6D7976D4" w14:textId="67D09AF9" w:rsidR="006836CD" w:rsidRDefault="006836CD" w:rsidP="00481E77">
      <w:pPr>
        <w:jc w:val="both"/>
        <w:rPr>
          <w:rFonts w:ascii="Arial" w:hAnsi="Arial" w:cs="Arial"/>
          <w:color w:val="7B7B7B" w:themeColor="accent3" w:themeShade="BF"/>
          <w:sz w:val="22"/>
          <w:szCs w:val="22"/>
          <w:lang w:val="en-GB"/>
        </w:rPr>
      </w:pPr>
    </w:p>
    <w:p w14:paraId="3926469B" w14:textId="47AAEDC7" w:rsidR="00395AD9" w:rsidRDefault="006836CD" w:rsidP="00481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Cardinal Home has its registered office in Ireland, its ‘COMI’ </w:t>
      </w:r>
      <w:r w:rsidR="00395AD9">
        <w:rPr>
          <w:rFonts w:ascii="Arial" w:hAnsi="Arial" w:cs="Arial"/>
          <w:color w:val="7B7B7B" w:themeColor="accent3" w:themeShade="BF"/>
          <w:sz w:val="22"/>
          <w:szCs w:val="22"/>
          <w:lang w:val="en-GB"/>
        </w:rPr>
        <w:t>is presumed to be the jurisdiction of</w:t>
      </w:r>
      <w:r>
        <w:rPr>
          <w:rFonts w:ascii="Arial" w:hAnsi="Arial" w:cs="Arial"/>
          <w:color w:val="7B7B7B" w:themeColor="accent3" w:themeShade="BF"/>
          <w:sz w:val="22"/>
          <w:szCs w:val="22"/>
          <w:lang w:val="en-GB"/>
        </w:rPr>
        <w:t xml:space="preserve"> Ireland</w:t>
      </w:r>
      <w:r w:rsidR="00395AD9">
        <w:rPr>
          <w:rFonts w:ascii="Arial" w:hAnsi="Arial" w:cs="Arial"/>
          <w:color w:val="7B7B7B" w:themeColor="accent3" w:themeShade="BF"/>
          <w:sz w:val="22"/>
          <w:szCs w:val="22"/>
          <w:lang w:val="en-GB"/>
        </w:rPr>
        <w:t xml:space="preserve"> where Cardinal Home has thus been registered</w:t>
      </w:r>
      <w:r>
        <w:rPr>
          <w:rFonts w:ascii="Arial" w:hAnsi="Arial" w:cs="Arial"/>
          <w:color w:val="7B7B7B" w:themeColor="accent3" w:themeShade="BF"/>
          <w:sz w:val="22"/>
          <w:szCs w:val="22"/>
          <w:lang w:val="en-GB"/>
        </w:rPr>
        <w:t>.</w:t>
      </w:r>
      <w:r w:rsidR="00395AD9">
        <w:rPr>
          <w:rFonts w:ascii="Arial" w:hAnsi="Arial" w:cs="Arial"/>
          <w:color w:val="7B7B7B" w:themeColor="accent3" w:themeShade="BF"/>
          <w:sz w:val="22"/>
          <w:szCs w:val="22"/>
          <w:lang w:val="en-GB"/>
        </w:rPr>
        <w:t xml:space="preserve"> It is a rebuttable presumption to the extent objective factors would indicate that Cardinal Home conduct</w:t>
      </w:r>
      <w:r w:rsidR="00381482">
        <w:rPr>
          <w:rFonts w:ascii="Arial" w:hAnsi="Arial" w:cs="Arial"/>
          <w:color w:val="7B7B7B" w:themeColor="accent3" w:themeShade="BF"/>
          <w:sz w:val="22"/>
          <w:szCs w:val="22"/>
          <w:lang w:val="en-GB"/>
        </w:rPr>
        <w:t>s</w:t>
      </w:r>
      <w:r w:rsidR="00395AD9">
        <w:rPr>
          <w:rFonts w:ascii="Arial" w:hAnsi="Arial" w:cs="Arial"/>
          <w:color w:val="7B7B7B" w:themeColor="accent3" w:themeShade="BF"/>
          <w:sz w:val="22"/>
          <w:szCs w:val="22"/>
          <w:lang w:val="en-GB"/>
        </w:rPr>
        <w:t xml:space="preserve"> the administration of its interests in another state than the state of its registered office</w:t>
      </w:r>
      <w:r w:rsidR="00786146">
        <w:rPr>
          <w:rFonts w:ascii="Arial" w:hAnsi="Arial" w:cs="Arial"/>
          <w:color w:val="7B7B7B" w:themeColor="accent3" w:themeShade="BF"/>
          <w:sz w:val="22"/>
          <w:szCs w:val="22"/>
          <w:lang w:val="en-GB"/>
        </w:rPr>
        <w:t xml:space="preserve"> (for an </w:t>
      </w:r>
      <w:r w:rsidR="00786146">
        <w:rPr>
          <w:rFonts w:ascii="Arial" w:hAnsi="Arial" w:cs="Arial"/>
          <w:color w:val="7B7B7B" w:themeColor="accent3" w:themeShade="BF"/>
          <w:sz w:val="22"/>
          <w:szCs w:val="22"/>
          <w:lang w:val="en-GB"/>
        </w:rPr>
        <w:lastRenderedPageBreak/>
        <w:t xml:space="preserve">example on the interpretation of the EIR 2000 regarding the concept of ‘COMI’: see Case C-341/04, </w:t>
      </w:r>
      <w:r w:rsidR="00786146">
        <w:rPr>
          <w:rFonts w:ascii="Arial" w:hAnsi="Arial" w:cs="Arial"/>
          <w:i/>
          <w:iCs/>
          <w:color w:val="7B7B7B" w:themeColor="accent3" w:themeShade="BF"/>
          <w:sz w:val="22"/>
          <w:szCs w:val="22"/>
          <w:lang w:val="en-GB"/>
        </w:rPr>
        <w:t>Eurofood IFSC Ltd</w:t>
      </w:r>
      <w:r w:rsidR="00786146">
        <w:rPr>
          <w:rFonts w:ascii="Arial" w:hAnsi="Arial" w:cs="Arial"/>
          <w:color w:val="7B7B7B" w:themeColor="accent3" w:themeShade="BF"/>
          <w:sz w:val="22"/>
          <w:szCs w:val="22"/>
          <w:lang w:val="en-GB"/>
        </w:rPr>
        <w:t>, ECLI:EU:C:2006:281 (May 2, 2006)).</w:t>
      </w:r>
      <w:r>
        <w:rPr>
          <w:rFonts w:ascii="Arial" w:hAnsi="Arial" w:cs="Arial"/>
          <w:color w:val="7B7B7B" w:themeColor="accent3" w:themeShade="BF"/>
          <w:sz w:val="22"/>
          <w:szCs w:val="22"/>
          <w:lang w:val="en-GB"/>
        </w:rPr>
        <w:t xml:space="preserve"> </w:t>
      </w:r>
    </w:p>
    <w:p w14:paraId="29518679" w14:textId="77777777" w:rsidR="00395AD9" w:rsidRDefault="00395AD9" w:rsidP="00481E77">
      <w:pPr>
        <w:jc w:val="both"/>
        <w:rPr>
          <w:rFonts w:ascii="Arial" w:hAnsi="Arial" w:cs="Arial"/>
          <w:color w:val="7B7B7B" w:themeColor="accent3" w:themeShade="BF"/>
          <w:sz w:val="22"/>
          <w:szCs w:val="22"/>
          <w:lang w:val="en-GB"/>
        </w:rPr>
      </w:pPr>
    </w:p>
    <w:p w14:paraId="48D63B51" w14:textId="5B94C627" w:rsidR="006836CD" w:rsidRDefault="006836CD" w:rsidP="00481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EIR 2000 designates Ireland (as a Member State) for the opening of the proceedings, the territorial jurisdiction within Ireland itself is</w:t>
      </w:r>
      <w:r w:rsidR="00395AD9">
        <w:rPr>
          <w:rFonts w:ascii="Arial" w:hAnsi="Arial" w:cs="Arial"/>
          <w:color w:val="7B7B7B" w:themeColor="accent3" w:themeShade="BF"/>
          <w:sz w:val="22"/>
          <w:szCs w:val="22"/>
          <w:lang w:val="en-GB"/>
        </w:rPr>
        <w:t xml:space="preserve"> however</w:t>
      </w:r>
      <w:r>
        <w:rPr>
          <w:rFonts w:ascii="Arial" w:hAnsi="Arial" w:cs="Arial"/>
          <w:color w:val="7B7B7B" w:themeColor="accent3" w:themeShade="BF"/>
          <w:sz w:val="22"/>
          <w:szCs w:val="22"/>
          <w:lang w:val="en-GB"/>
        </w:rPr>
        <w:t xml:space="preserve"> not regulated by the EIR 2000, but by the national law of Ireland.</w:t>
      </w:r>
      <w:r w:rsidR="000700D5">
        <w:rPr>
          <w:rFonts w:ascii="Arial" w:hAnsi="Arial" w:cs="Arial"/>
          <w:color w:val="7B7B7B" w:themeColor="accent3" w:themeShade="BF"/>
          <w:sz w:val="22"/>
          <w:szCs w:val="22"/>
          <w:lang w:val="en-GB"/>
        </w:rPr>
        <w:t xml:space="preserve"> It is Irish national legislation that defines the competent national court to open such proceeding.</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36B52DC7" w14:textId="77777777" w:rsidR="00293D17" w:rsidRDefault="00293D17" w:rsidP="00293D17">
      <w:pPr>
        <w:autoSpaceDE w:val="0"/>
        <w:autoSpaceDN w:val="0"/>
        <w:adjustRightInd w:val="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Territorial scope</w:t>
      </w:r>
      <w:r>
        <w:rPr>
          <w:rFonts w:ascii="Arial" w:hAnsi="Arial" w:cs="Arial"/>
          <w:color w:val="7B7B7B" w:themeColor="accent3" w:themeShade="BF"/>
          <w:sz w:val="22"/>
          <w:szCs w:val="22"/>
          <w:lang w:val="en-GB"/>
        </w:rPr>
        <w:t xml:space="preserve"> – According to Recital 25 EIR Recast, the EIR Recast </w:t>
      </w:r>
      <w:r w:rsidRPr="00A265AA">
        <w:rPr>
          <w:rFonts w:ascii="Arial" w:hAnsi="Arial" w:cs="Arial"/>
          <w:color w:val="7B7B7B" w:themeColor="accent3" w:themeShade="BF"/>
          <w:sz w:val="22"/>
          <w:szCs w:val="22"/>
          <w:lang w:val="en-GB"/>
        </w:rPr>
        <w:t>only</w:t>
      </w:r>
      <w:r>
        <w:rPr>
          <w:rFonts w:ascii="Arial" w:hAnsi="Arial" w:cs="Arial"/>
          <w:color w:val="7B7B7B" w:themeColor="accent3" w:themeShade="BF"/>
          <w:sz w:val="22"/>
          <w:szCs w:val="22"/>
          <w:lang w:val="en-GB"/>
        </w:rPr>
        <w:t xml:space="preserve"> applies</w:t>
      </w:r>
      <w:r w:rsidRPr="00A265AA">
        <w:rPr>
          <w:rFonts w:ascii="Arial" w:hAnsi="Arial" w:cs="Arial"/>
          <w:color w:val="7B7B7B" w:themeColor="accent3" w:themeShade="BF"/>
          <w:sz w:val="22"/>
          <w:szCs w:val="22"/>
          <w:lang w:val="en-GB"/>
        </w:rPr>
        <w:t xml:space="preserve"> to proceedings in respect of a debtor whose centre of main interests is located in the</w:t>
      </w:r>
      <w:r>
        <w:rPr>
          <w:rFonts w:ascii="Arial" w:hAnsi="Arial" w:cs="Arial"/>
          <w:color w:val="7B7B7B" w:themeColor="accent3" w:themeShade="BF"/>
          <w:sz w:val="22"/>
          <w:szCs w:val="22"/>
          <w:lang w:val="en-GB"/>
        </w:rPr>
        <w:t xml:space="preserve"> EU. It is up to the Dublin High Court, considering it to be the competent court to open the proceeding, to examine (before the opening) whether Cardinal Home’s ‘COMI’ is actually located within its jurisdiction (Recital 27 EIR Recast).</w:t>
      </w:r>
    </w:p>
    <w:p w14:paraId="5FA9ED4E" w14:textId="77777777" w:rsidR="00293D17" w:rsidRDefault="00293D17" w:rsidP="00293D17">
      <w:pPr>
        <w:autoSpaceDE w:val="0"/>
        <w:autoSpaceDN w:val="0"/>
        <w:adjustRightInd w:val="0"/>
        <w:jc w:val="both"/>
        <w:rPr>
          <w:rFonts w:ascii="Arial" w:hAnsi="Arial" w:cs="Arial"/>
          <w:color w:val="7B7B7B" w:themeColor="accent3" w:themeShade="BF"/>
          <w:sz w:val="22"/>
          <w:szCs w:val="22"/>
          <w:lang w:val="en-GB"/>
        </w:rPr>
      </w:pPr>
    </w:p>
    <w:p w14:paraId="1501A427" w14:textId="6F2FF6CC" w:rsidR="00293D17" w:rsidRDefault="00293D17" w:rsidP="00293D1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extent that Cardinal Home’s ‘COMI’ would be located outside the EU or in Denmark, the EIR Recast would not apply. In the present case however, Cardinal Home is – at least – presumed to have its ‘COMI’ in Ireland, based on the registered office presumption (Article 3(1) EIR Recast).</w:t>
      </w:r>
    </w:p>
    <w:p w14:paraId="1E1BEC58" w14:textId="3046A5BD" w:rsidR="00087696" w:rsidRDefault="00087696" w:rsidP="00293D17">
      <w:pPr>
        <w:autoSpaceDE w:val="0"/>
        <w:autoSpaceDN w:val="0"/>
        <w:adjustRightInd w:val="0"/>
        <w:jc w:val="both"/>
        <w:rPr>
          <w:rFonts w:ascii="Arial" w:hAnsi="Arial" w:cs="Arial"/>
          <w:color w:val="7B7B7B" w:themeColor="accent3" w:themeShade="BF"/>
          <w:sz w:val="22"/>
          <w:szCs w:val="22"/>
          <w:lang w:val="en-GB"/>
        </w:rPr>
      </w:pPr>
    </w:p>
    <w:p w14:paraId="4027A633" w14:textId="77777777" w:rsidR="00087696" w:rsidRDefault="00087696" w:rsidP="00087696">
      <w:pPr>
        <w:autoSpaceDE w:val="0"/>
        <w:autoSpaceDN w:val="0"/>
        <w:adjustRightInd w:val="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Personal scope</w:t>
      </w:r>
      <w:r>
        <w:rPr>
          <w:rFonts w:ascii="Arial" w:hAnsi="Arial" w:cs="Arial"/>
          <w:color w:val="7B7B7B" w:themeColor="accent3" w:themeShade="BF"/>
          <w:sz w:val="22"/>
          <w:szCs w:val="22"/>
          <w:lang w:val="en-GB"/>
        </w:rPr>
        <w:t xml:space="preserve"> – Furthermore, Cardinal Home is not excluded from the personal scope of the EIR Recast, seeing that it is not an entity as listed in Article 1(2) EIR Recast.</w:t>
      </w:r>
    </w:p>
    <w:p w14:paraId="2940D196" w14:textId="77777777" w:rsidR="00293D17" w:rsidRDefault="00293D17" w:rsidP="00F73C1B">
      <w:pPr>
        <w:autoSpaceDE w:val="0"/>
        <w:autoSpaceDN w:val="0"/>
        <w:adjustRightInd w:val="0"/>
        <w:jc w:val="both"/>
        <w:rPr>
          <w:rFonts w:ascii="Arial" w:hAnsi="Arial" w:cs="Arial"/>
          <w:b/>
          <w:bCs/>
          <w:color w:val="7B7B7B" w:themeColor="accent3" w:themeShade="BF"/>
          <w:sz w:val="22"/>
          <w:szCs w:val="22"/>
          <w:lang w:val="en-GB"/>
        </w:rPr>
      </w:pPr>
    </w:p>
    <w:p w14:paraId="24F0EBD7" w14:textId="3F93EEE6" w:rsidR="00F73C1B" w:rsidRDefault="00F73C1B" w:rsidP="00F73C1B">
      <w:pPr>
        <w:autoSpaceDE w:val="0"/>
        <w:autoSpaceDN w:val="0"/>
        <w:adjustRightInd w:val="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Material scope</w:t>
      </w:r>
      <w:r>
        <w:rPr>
          <w:rFonts w:ascii="Arial" w:hAnsi="Arial" w:cs="Arial"/>
          <w:color w:val="7B7B7B" w:themeColor="accent3" w:themeShade="BF"/>
          <w:sz w:val="22"/>
          <w:szCs w:val="22"/>
          <w:lang w:val="en-GB"/>
        </w:rPr>
        <w:t xml:space="preserve"> – The proceedings referred to in Article 1(1) EIR Recast (“Scope”) are </w:t>
      </w:r>
      <w:r w:rsidR="0040195E">
        <w:rPr>
          <w:rFonts w:ascii="Arial" w:hAnsi="Arial" w:cs="Arial"/>
          <w:color w:val="7B7B7B" w:themeColor="accent3" w:themeShade="BF"/>
          <w:sz w:val="22"/>
          <w:szCs w:val="22"/>
          <w:lang w:val="en-GB"/>
        </w:rPr>
        <w:t>listed in Annex A. The national insolvency procedure of “examinership” in Ireland is mentioned in Annex A. Such procedure thus falls within the material scope of and is covered by the EIR Recast.</w:t>
      </w:r>
    </w:p>
    <w:p w14:paraId="5B0EF001" w14:textId="77777777" w:rsidR="00F73C1B" w:rsidRDefault="00F73C1B" w:rsidP="00F73C1B">
      <w:pPr>
        <w:autoSpaceDE w:val="0"/>
        <w:autoSpaceDN w:val="0"/>
        <w:adjustRightInd w:val="0"/>
        <w:jc w:val="both"/>
        <w:rPr>
          <w:rFonts w:ascii="Arial" w:hAnsi="Arial" w:cs="Arial"/>
          <w:b/>
          <w:bCs/>
          <w:color w:val="7B7B7B" w:themeColor="accent3" w:themeShade="BF"/>
          <w:sz w:val="22"/>
          <w:szCs w:val="22"/>
          <w:lang w:val="en-GB"/>
        </w:rPr>
      </w:pPr>
    </w:p>
    <w:p w14:paraId="626FA5C6" w14:textId="4994585E" w:rsidR="002D3473" w:rsidRDefault="00786146" w:rsidP="00F73C1B">
      <w:pPr>
        <w:autoSpaceDE w:val="0"/>
        <w:autoSpaceDN w:val="0"/>
        <w:adjustRightInd w:val="0"/>
        <w:jc w:val="both"/>
        <w:rPr>
          <w:rFonts w:ascii="Arial" w:hAnsi="Arial" w:cs="Arial"/>
          <w:color w:val="7B7B7B" w:themeColor="accent3" w:themeShade="BF"/>
          <w:sz w:val="22"/>
          <w:szCs w:val="22"/>
          <w:lang w:val="en-GB"/>
        </w:rPr>
      </w:pPr>
      <w:r w:rsidRPr="00F73C1B">
        <w:rPr>
          <w:rFonts w:ascii="Arial" w:hAnsi="Arial" w:cs="Arial"/>
          <w:b/>
          <w:bCs/>
          <w:color w:val="7B7B7B" w:themeColor="accent3" w:themeShade="BF"/>
          <w:sz w:val="22"/>
          <w:szCs w:val="22"/>
          <w:lang w:val="en-GB"/>
        </w:rPr>
        <w:t>Temporal scope</w:t>
      </w:r>
      <w:r>
        <w:rPr>
          <w:rFonts w:ascii="Arial" w:hAnsi="Arial" w:cs="Arial"/>
          <w:color w:val="7B7B7B" w:themeColor="accent3" w:themeShade="BF"/>
          <w:sz w:val="22"/>
          <w:szCs w:val="22"/>
          <w:lang w:val="en-GB"/>
        </w:rPr>
        <w:t xml:space="preserve"> – According to Article 92 EIR Recast, the EIR Recast applies from 26 June 2017. The provisions of the EIR Recast apply to insolvency proceedings opened after this date (Article 84(1) EIR Recast). </w:t>
      </w:r>
      <w:r w:rsidR="00F73C1B">
        <w:rPr>
          <w:rFonts w:ascii="Arial" w:hAnsi="Arial" w:cs="Arial"/>
          <w:color w:val="7B7B7B" w:themeColor="accent3" w:themeShade="BF"/>
          <w:sz w:val="22"/>
          <w:szCs w:val="22"/>
          <w:lang w:val="en-GB"/>
        </w:rPr>
        <w:t>Article 2(8) defines “</w:t>
      </w:r>
      <w:r w:rsidR="00F73C1B" w:rsidRPr="00F73C1B">
        <w:rPr>
          <w:rFonts w:ascii="Arial" w:hAnsi="Arial" w:cs="Arial"/>
          <w:color w:val="7B7B7B" w:themeColor="accent3" w:themeShade="BF"/>
          <w:sz w:val="22"/>
          <w:szCs w:val="22"/>
          <w:lang w:val="en-GB"/>
        </w:rPr>
        <w:t>‘the time of the opening of proceedings</w:t>
      </w:r>
      <w:r w:rsidR="00F73C1B">
        <w:rPr>
          <w:rFonts w:ascii="Arial" w:hAnsi="Arial" w:cs="Arial"/>
          <w:color w:val="7B7B7B" w:themeColor="accent3" w:themeShade="BF"/>
          <w:sz w:val="22"/>
          <w:szCs w:val="22"/>
          <w:lang w:val="en-GB"/>
        </w:rPr>
        <w:t>” as</w:t>
      </w:r>
      <w:r w:rsidR="00F73C1B" w:rsidRPr="00F73C1B">
        <w:rPr>
          <w:rFonts w:ascii="Arial" w:hAnsi="Arial" w:cs="Arial"/>
          <w:color w:val="7B7B7B" w:themeColor="accent3" w:themeShade="BF"/>
          <w:sz w:val="22"/>
          <w:szCs w:val="22"/>
          <w:lang w:val="en-GB"/>
        </w:rPr>
        <w:t xml:space="preserve"> the time at which the judgment opening insolvency proceedings</w:t>
      </w:r>
      <w:r w:rsidR="00F73C1B">
        <w:rPr>
          <w:rFonts w:ascii="Arial" w:hAnsi="Arial" w:cs="Arial"/>
          <w:color w:val="7B7B7B" w:themeColor="accent3" w:themeShade="BF"/>
          <w:sz w:val="22"/>
          <w:szCs w:val="22"/>
          <w:lang w:val="en-GB"/>
        </w:rPr>
        <w:t xml:space="preserve"> </w:t>
      </w:r>
      <w:r w:rsidR="00F73C1B" w:rsidRPr="00F73C1B">
        <w:rPr>
          <w:rFonts w:ascii="Arial" w:hAnsi="Arial" w:cs="Arial"/>
          <w:color w:val="7B7B7B" w:themeColor="accent3" w:themeShade="BF"/>
          <w:sz w:val="22"/>
          <w:szCs w:val="22"/>
          <w:lang w:val="en-GB"/>
        </w:rPr>
        <w:t>becomes effective, regardless of whether the judgment is final or not</w:t>
      </w:r>
      <w:r w:rsidR="00F73C1B">
        <w:rPr>
          <w:rFonts w:ascii="Arial" w:hAnsi="Arial" w:cs="Arial"/>
          <w:color w:val="7B7B7B" w:themeColor="accent3" w:themeShade="BF"/>
          <w:sz w:val="22"/>
          <w:szCs w:val="22"/>
          <w:lang w:val="en-GB"/>
        </w:rPr>
        <w:t>, while Article 2(7) defines the “</w:t>
      </w:r>
      <w:r w:rsidR="00F73C1B" w:rsidRPr="00F73C1B">
        <w:rPr>
          <w:rFonts w:ascii="Arial" w:hAnsi="Arial" w:cs="Arial"/>
          <w:color w:val="7B7B7B" w:themeColor="accent3" w:themeShade="BF"/>
          <w:sz w:val="22"/>
          <w:szCs w:val="22"/>
          <w:lang w:val="en-GB"/>
        </w:rPr>
        <w:t>judgment opening insolvency proceedings</w:t>
      </w:r>
      <w:r w:rsidR="00F73C1B">
        <w:rPr>
          <w:rFonts w:ascii="Arial" w:hAnsi="Arial" w:cs="Arial"/>
          <w:color w:val="7B7B7B" w:themeColor="accent3" w:themeShade="BF"/>
          <w:sz w:val="22"/>
          <w:szCs w:val="22"/>
          <w:lang w:val="en-GB"/>
        </w:rPr>
        <w:t xml:space="preserve">” as the </w:t>
      </w:r>
      <w:r w:rsidR="00F73C1B" w:rsidRPr="00F73C1B">
        <w:rPr>
          <w:rFonts w:ascii="Arial" w:hAnsi="Arial" w:cs="Arial"/>
          <w:color w:val="7B7B7B" w:themeColor="accent3" w:themeShade="BF"/>
          <w:sz w:val="22"/>
          <w:szCs w:val="22"/>
          <w:lang w:val="en-GB"/>
        </w:rPr>
        <w:t>decision of any court to open insolvency proceedings or to confirm the opening of such proceedings</w:t>
      </w:r>
      <w:r w:rsidR="00F73C1B">
        <w:rPr>
          <w:rFonts w:ascii="Arial" w:hAnsi="Arial" w:cs="Arial"/>
          <w:color w:val="7B7B7B" w:themeColor="accent3" w:themeShade="BF"/>
          <w:sz w:val="22"/>
          <w:szCs w:val="22"/>
          <w:lang w:val="en-GB"/>
        </w:rPr>
        <w:t xml:space="preserve">, or </w:t>
      </w:r>
      <w:r w:rsidR="00F73C1B" w:rsidRPr="00F73C1B">
        <w:rPr>
          <w:rFonts w:ascii="Arial" w:hAnsi="Arial" w:cs="Arial"/>
          <w:color w:val="7B7B7B" w:themeColor="accent3" w:themeShade="BF"/>
          <w:sz w:val="22"/>
          <w:szCs w:val="22"/>
          <w:lang w:val="en-GB"/>
        </w:rPr>
        <w:t>the decision of a court to appoint an insolvency practitioner</w:t>
      </w:r>
      <w:r w:rsidR="00F73C1B">
        <w:rPr>
          <w:rFonts w:ascii="Arial" w:hAnsi="Arial" w:cs="Arial"/>
          <w:color w:val="7B7B7B" w:themeColor="accent3" w:themeShade="BF"/>
          <w:sz w:val="22"/>
          <w:szCs w:val="22"/>
          <w:lang w:val="en-GB"/>
        </w:rPr>
        <w:t>.</w:t>
      </w:r>
    </w:p>
    <w:p w14:paraId="61BBF3EE" w14:textId="0289D2DF" w:rsidR="00F73C1B" w:rsidRDefault="00F73C1B" w:rsidP="00F73C1B">
      <w:pPr>
        <w:autoSpaceDE w:val="0"/>
        <w:autoSpaceDN w:val="0"/>
        <w:adjustRightInd w:val="0"/>
        <w:jc w:val="both"/>
        <w:rPr>
          <w:rFonts w:ascii="Arial" w:hAnsi="Arial" w:cs="Arial"/>
          <w:color w:val="7B7B7B" w:themeColor="accent3" w:themeShade="BF"/>
          <w:sz w:val="22"/>
          <w:szCs w:val="22"/>
          <w:lang w:val="en-GB"/>
        </w:rPr>
      </w:pPr>
    </w:p>
    <w:p w14:paraId="7C6B6D94" w14:textId="3860B98A" w:rsidR="00F73C1B" w:rsidRDefault="00F73C1B" w:rsidP="00F73C1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proceeding is opened after 26 June 2017, it will be governed by the EIR Recast (and not the EIR 2000).</w:t>
      </w:r>
    </w:p>
    <w:p w14:paraId="71BAC24A" w14:textId="24BC84F3" w:rsidR="00A265AA" w:rsidRDefault="00A265AA" w:rsidP="00F73C1B">
      <w:pPr>
        <w:autoSpaceDE w:val="0"/>
        <w:autoSpaceDN w:val="0"/>
        <w:adjustRightInd w:val="0"/>
        <w:jc w:val="both"/>
        <w:rPr>
          <w:rFonts w:ascii="Arial" w:hAnsi="Arial" w:cs="Arial"/>
          <w:color w:val="7B7B7B" w:themeColor="accent3" w:themeShade="BF"/>
          <w:sz w:val="22"/>
          <w:szCs w:val="22"/>
          <w:lang w:val="en-GB"/>
        </w:rPr>
      </w:pPr>
    </w:p>
    <w:p w14:paraId="6F451FB0" w14:textId="0040D1FC" w:rsidR="00A265AA" w:rsidRPr="00F73C1B" w:rsidRDefault="00087696" w:rsidP="00F73C1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all the above, the EIR Recast should be applicable to the opened </w:t>
      </w:r>
      <w:r w:rsidRPr="00087696">
        <w:rPr>
          <w:rFonts w:ascii="Arial" w:hAnsi="Arial" w:cs="Arial"/>
          <w:color w:val="7B7B7B" w:themeColor="accent3" w:themeShade="BF"/>
          <w:sz w:val="22"/>
          <w:szCs w:val="22"/>
          <w:lang w:val="en-GB"/>
        </w:rPr>
        <w:t>examinership proceedings</w:t>
      </w:r>
      <w:r w:rsidR="00293D17">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w:t>
      </w:r>
      <w:r w:rsidR="009B4976" w:rsidRPr="008500BD">
        <w:rPr>
          <w:rFonts w:ascii="Arial" w:hAnsi="Arial" w:cs="Arial"/>
          <w:sz w:val="22"/>
          <w:szCs w:val="22"/>
          <w:lang w:val="en-GB"/>
        </w:rPr>
        <w:lastRenderedPageBreak/>
        <w:t xml:space="preserve">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143D6510" w14:textId="77777777" w:rsidR="002802BF" w:rsidRDefault="007D6A4D" w:rsidP="00915B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3(2) EIR Recast </w:t>
      </w:r>
      <w:r w:rsidR="00915BCD">
        <w:rPr>
          <w:rFonts w:ascii="Arial" w:hAnsi="Arial" w:cs="Arial"/>
          <w:color w:val="7B7B7B" w:themeColor="accent3" w:themeShade="BF"/>
          <w:sz w:val="22"/>
          <w:szCs w:val="22"/>
          <w:lang w:val="en-GB"/>
        </w:rPr>
        <w:t>permits</w:t>
      </w:r>
      <w:r>
        <w:rPr>
          <w:rFonts w:ascii="Arial" w:hAnsi="Arial" w:cs="Arial"/>
          <w:color w:val="7B7B7B" w:themeColor="accent3" w:themeShade="BF"/>
          <w:sz w:val="22"/>
          <w:szCs w:val="22"/>
          <w:lang w:val="en-GB"/>
        </w:rPr>
        <w:t xml:space="preserve"> for the opening of one or more secondary insolvency proceedings</w:t>
      </w:r>
      <w:r w:rsidR="0083078B">
        <w:rPr>
          <w:rFonts w:ascii="Arial" w:hAnsi="Arial" w:cs="Arial"/>
          <w:color w:val="7B7B7B" w:themeColor="accent3" w:themeShade="BF"/>
          <w:sz w:val="22"/>
          <w:szCs w:val="22"/>
          <w:lang w:val="en-GB"/>
        </w:rPr>
        <w:t xml:space="preserve"> subsequently </w:t>
      </w:r>
      <w:r>
        <w:rPr>
          <w:rFonts w:ascii="Arial" w:hAnsi="Arial" w:cs="Arial"/>
          <w:color w:val="7B7B7B" w:themeColor="accent3" w:themeShade="BF"/>
          <w:sz w:val="22"/>
          <w:szCs w:val="22"/>
          <w:lang w:val="en-GB"/>
        </w:rPr>
        <w:t xml:space="preserve">after a main </w:t>
      </w:r>
      <w:r w:rsidR="0083078B">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proceeding has already commenced in another Member State.</w:t>
      </w:r>
      <w:r w:rsidR="00915BCD">
        <w:rPr>
          <w:rFonts w:ascii="Arial" w:hAnsi="Arial" w:cs="Arial"/>
          <w:color w:val="7B7B7B" w:themeColor="accent3" w:themeShade="BF"/>
          <w:sz w:val="22"/>
          <w:szCs w:val="22"/>
          <w:lang w:val="en-GB"/>
        </w:rPr>
        <w:t xml:space="preserve"> </w:t>
      </w:r>
    </w:p>
    <w:p w14:paraId="43930213" w14:textId="77777777" w:rsidR="002802BF" w:rsidRDefault="002802BF" w:rsidP="00915BCD">
      <w:pPr>
        <w:jc w:val="both"/>
        <w:rPr>
          <w:rFonts w:ascii="Arial" w:hAnsi="Arial" w:cs="Arial"/>
          <w:color w:val="7B7B7B" w:themeColor="accent3" w:themeShade="BF"/>
          <w:sz w:val="22"/>
          <w:szCs w:val="22"/>
          <w:lang w:val="en-GB"/>
        </w:rPr>
      </w:pPr>
    </w:p>
    <w:p w14:paraId="0E2333C8" w14:textId="125AE1BE" w:rsidR="00D43941" w:rsidRDefault="00915BCD" w:rsidP="00915BCD">
      <w:pPr>
        <w:jc w:val="both"/>
        <w:rPr>
          <w:rFonts w:ascii="Arial" w:hAnsi="Arial" w:cs="Arial"/>
          <w:color w:val="7B7B7B" w:themeColor="accent3" w:themeShade="BF"/>
          <w:sz w:val="22"/>
          <w:szCs w:val="22"/>
          <w:lang w:val="en-GB"/>
        </w:rPr>
      </w:pPr>
      <w:r w:rsidRPr="00915BCD">
        <w:rPr>
          <w:rFonts w:ascii="Arial" w:hAnsi="Arial" w:cs="Arial"/>
          <w:color w:val="7B7B7B" w:themeColor="accent3" w:themeShade="BF"/>
          <w:sz w:val="22"/>
          <w:szCs w:val="22"/>
          <w:lang w:val="en-GB"/>
        </w:rPr>
        <w:t xml:space="preserve">It requires the debtor to </w:t>
      </w:r>
      <w:r>
        <w:rPr>
          <w:rFonts w:ascii="Arial" w:hAnsi="Arial" w:cs="Arial"/>
          <w:color w:val="7B7B7B" w:themeColor="accent3" w:themeShade="BF"/>
          <w:sz w:val="22"/>
          <w:szCs w:val="22"/>
          <w:lang w:val="en-GB"/>
        </w:rPr>
        <w:t xml:space="preserve">have </w:t>
      </w:r>
      <w:r w:rsidRPr="00915BCD">
        <w:rPr>
          <w:rFonts w:ascii="Arial" w:hAnsi="Arial" w:cs="Arial"/>
          <w:color w:val="7B7B7B" w:themeColor="accent3" w:themeShade="BF"/>
          <w:sz w:val="22"/>
          <w:szCs w:val="22"/>
          <w:lang w:val="en-GB"/>
        </w:rPr>
        <w:t>an “establishment”</w:t>
      </w:r>
      <w:r>
        <w:rPr>
          <w:rFonts w:ascii="Arial" w:hAnsi="Arial" w:cs="Arial"/>
          <w:color w:val="7B7B7B" w:themeColor="accent3" w:themeShade="BF"/>
          <w:sz w:val="22"/>
          <w:szCs w:val="22"/>
          <w:lang w:val="en-GB"/>
        </w:rPr>
        <w:t xml:space="preserve"> (Article 2(10) EIR Recast: “</w:t>
      </w:r>
      <w:r w:rsidRPr="00915BCD">
        <w:rPr>
          <w:rFonts w:ascii="Arial" w:hAnsi="Arial"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rial" w:hAnsi="Arial" w:cs="Arial"/>
          <w:color w:val="7B7B7B" w:themeColor="accent3" w:themeShade="BF"/>
          <w:sz w:val="22"/>
          <w:szCs w:val="22"/>
          <w:lang w:val="en-GB"/>
        </w:rPr>
        <w:t>”)</w:t>
      </w:r>
      <w:r w:rsidRPr="00915BCD">
        <w:rPr>
          <w:rFonts w:ascii="Arial" w:hAnsi="Arial" w:cs="Arial"/>
          <w:color w:val="7B7B7B" w:themeColor="accent3" w:themeShade="BF"/>
          <w:sz w:val="22"/>
          <w:szCs w:val="22"/>
          <w:lang w:val="en-GB"/>
        </w:rPr>
        <w:t xml:space="preserve"> within the territory of th</w:t>
      </w:r>
      <w:r>
        <w:rPr>
          <w:rFonts w:ascii="Arial" w:hAnsi="Arial" w:cs="Arial"/>
          <w:color w:val="7B7B7B" w:themeColor="accent3" w:themeShade="BF"/>
          <w:sz w:val="22"/>
          <w:szCs w:val="22"/>
          <w:lang w:val="en-GB"/>
        </w:rPr>
        <w:t>e</w:t>
      </w:r>
      <w:r w:rsidRPr="00915BCD">
        <w:rPr>
          <w:rFonts w:ascii="Arial" w:hAnsi="Arial" w:cs="Arial"/>
          <w:color w:val="7B7B7B" w:themeColor="accent3" w:themeShade="BF"/>
          <w:sz w:val="22"/>
          <w:szCs w:val="22"/>
          <w:lang w:val="en-GB"/>
        </w:rPr>
        <w:t xml:space="preserve"> other Member State</w:t>
      </w:r>
      <w:r>
        <w:rPr>
          <w:rFonts w:ascii="Arial" w:hAnsi="Arial" w:cs="Arial"/>
          <w:color w:val="7B7B7B" w:themeColor="accent3" w:themeShade="BF"/>
          <w:sz w:val="22"/>
          <w:szCs w:val="22"/>
          <w:lang w:val="en-GB"/>
        </w:rPr>
        <w:t xml:space="preserve">. </w:t>
      </w:r>
      <w:r w:rsidR="00D43941">
        <w:rPr>
          <w:rFonts w:ascii="Arial" w:hAnsi="Arial" w:cs="Arial"/>
          <w:color w:val="7B7B7B" w:themeColor="accent3" w:themeShade="BF"/>
          <w:sz w:val="22"/>
          <w:szCs w:val="22"/>
          <w:lang w:val="en-GB"/>
        </w:rPr>
        <w:t>In other words, it is</w:t>
      </w:r>
      <w:r w:rsidR="00D43941" w:rsidRPr="00D43941">
        <w:rPr>
          <w:rFonts w:ascii="Arial" w:hAnsi="Arial" w:cs="Arial"/>
          <w:color w:val="7B7B7B" w:themeColor="accent3" w:themeShade="BF"/>
          <w:sz w:val="22"/>
          <w:szCs w:val="22"/>
          <w:lang w:val="en-GB"/>
        </w:rPr>
        <w:t xml:space="preserve"> possible to open secondary proceedings in another Member State not only if the debtor has an establishment in that Member State at the time of the opening of main insolvency proceedings, but also if the debtor had an establishment in that Member State in the three-month period prior to the request to open main insolvency proceedings</w:t>
      </w:r>
      <w:r w:rsidR="00D43941">
        <w:rPr>
          <w:rFonts w:ascii="Arial" w:hAnsi="Arial" w:cs="Arial"/>
          <w:color w:val="7B7B7B" w:themeColor="accent3" w:themeShade="BF"/>
          <w:sz w:val="22"/>
          <w:szCs w:val="22"/>
          <w:lang w:val="en-GB"/>
        </w:rPr>
        <w:t>.</w:t>
      </w:r>
      <w:r w:rsidR="00D43941" w:rsidRPr="00D43941">
        <w:rPr>
          <w:rFonts w:ascii="Arial" w:hAnsi="Arial" w:cs="Arial"/>
          <w:color w:val="7B7B7B" w:themeColor="accent3" w:themeShade="BF"/>
          <w:sz w:val="22"/>
          <w:szCs w:val="22"/>
          <w:lang w:val="en-GB"/>
        </w:rPr>
        <w:t xml:space="preserve"> </w:t>
      </w:r>
    </w:p>
    <w:p w14:paraId="7050A8F2" w14:textId="77777777" w:rsidR="00D43941" w:rsidRDefault="00D43941" w:rsidP="00915BCD">
      <w:pPr>
        <w:jc w:val="both"/>
        <w:rPr>
          <w:rFonts w:ascii="Arial" w:hAnsi="Arial" w:cs="Arial"/>
          <w:color w:val="7B7B7B" w:themeColor="accent3" w:themeShade="BF"/>
          <w:sz w:val="22"/>
          <w:szCs w:val="22"/>
          <w:lang w:val="en-GB"/>
        </w:rPr>
      </w:pPr>
    </w:p>
    <w:p w14:paraId="77CE8695" w14:textId="52666F5B" w:rsidR="0077498C" w:rsidRDefault="00D43941" w:rsidP="00915B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secondary</w:t>
      </w:r>
      <w:r w:rsidR="00915BCD">
        <w:rPr>
          <w:rFonts w:ascii="Arial" w:hAnsi="Arial" w:cs="Arial"/>
          <w:color w:val="7B7B7B" w:themeColor="accent3" w:themeShade="BF"/>
          <w:sz w:val="22"/>
          <w:szCs w:val="22"/>
          <w:lang w:val="en-GB"/>
        </w:rPr>
        <w:t xml:space="preserve"> proceedings </w:t>
      </w:r>
      <w:r w:rsidR="00915BCD" w:rsidRPr="00915BCD">
        <w:rPr>
          <w:rFonts w:ascii="Arial" w:hAnsi="Arial" w:cs="Arial"/>
          <w:color w:val="7B7B7B" w:themeColor="accent3" w:themeShade="BF"/>
          <w:sz w:val="22"/>
          <w:szCs w:val="22"/>
          <w:lang w:val="en-GB"/>
        </w:rPr>
        <w:t>only affect assets within the Member State in which the secondary proceedings have been opened</w:t>
      </w:r>
      <w:r w:rsidR="00915BCD">
        <w:rPr>
          <w:rFonts w:ascii="Arial" w:hAnsi="Arial" w:cs="Arial"/>
          <w:color w:val="7B7B7B" w:themeColor="accent3" w:themeShade="BF"/>
          <w:sz w:val="22"/>
          <w:szCs w:val="22"/>
          <w:lang w:val="en-GB"/>
        </w:rPr>
        <w:t>. The</w:t>
      </w:r>
      <w:r w:rsidR="00915BCD" w:rsidRPr="00915BCD">
        <w:rPr>
          <w:rFonts w:ascii="Arial" w:hAnsi="Arial" w:cs="Arial"/>
          <w:color w:val="7B7B7B" w:themeColor="accent3" w:themeShade="BF"/>
          <w:sz w:val="22"/>
          <w:szCs w:val="22"/>
          <w:lang w:val="en-GB"/>
        </w:rPr>
        <w:t xml:space="preserve"> requirements for the opening of secondary proceedings as well as their effects are largely governed by the </w:t>
      </w:r>
      <w:r w:rsidR="00915BCD" w:rsidRPr="00915BCD">
        <w:rPr>
          <w:rFonts w:ascii="Arial" w:hAnsi="Arial" w:cs="Arial"/>
          <w:i/>
          <w:iCs/>
          <w:color w:val="7B7B7B" w:themeColor="accent3" w:themeShade="BF"/>
          <w:sz w:val="22"/>
          <w:szCs w:val="22"/>
          <w:lang w:val="en-GB"/>
        </w:rPr>
        <w:t>lex fori concursus secundarii</w:t>
      </w:r>
      <w:r w:rsidR="00915BCD">
        <w:rPr>
          <w:rFonts w:ascii="Arial" w:hAnsi="Arial" w:cs="Arial"/>
          <w:color w:val="7B7B7B" w:themeColor="accent3" w:themeShade="BF"/>
          <w:sz w:val="22"/>
          <w:szCs w:val="22"/>
          <w:lang w:val="en-GB"/>
        </w:rPr>
        <w:t>.</w:t>
      </w:r>
    </w:p>
    <w:p w14:paraId="0936F275" w14:textId="77777777" w:rsidR="00D43941" w:rsidRDefault="00D43941" w:rsidP="0083078B">
      <w:pPr>
        <w:jc w:val="both"/>
        <w:rPr>
          <w:rFonts w:ascii="Arial" w:hAnsi="Arial" w:cs="Arial"/>
          <w:color w:val="7B7B7B" w:themeColor="accent3" w:themeShade="BF"/>
          <w:sz w:val="22"/>
          <w:szCs w:val="22"/>
          <w:lang w:val="en-GB"/>
        </w:rPr>
      </w:pPr>
    </w:p>
    <w:p w14:paraId="08B2AD8C" w14:textId="79C37AC0" w:rsidR="0083078B" w:rsidRDefault="0083078B" w:rsidP="0083078B">
      <w:pPr>
        <w:jc w:val="both"/>
        <w:rPr>
          <w:rFonts w:ascii="Arial" w:hAnsi="Arial" w:cs="Arial"/>
          <w:color w:val="7B7B7B" w:themeColor="accent3" w:themeShade="BF"/>
          <w:sz w:val="22"/>
          <w:szCs w:val="22"/>
          <w:lang w:val="en-GB"/>
        </w:rPr>
      </w:pPr>
      <w:r w:rsidRPr="0083078B">
        <w:rPr>
          <w:rFonts w:ascii="Arial" w:hAnsi="Arial" w:cs="Arial"/>
          <w:color w:val="7B7B7B" w:themeColor="accent3" w:themeShade="BF"/>
          <w:sz w:val="22"/>
          <w:szCs w:val="22"/>
          <w:lang w:val="en-GB"/>
        </w:rPr>
        <w:t>The opening of secondary</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proceedings may be requested by</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insolvency practitioner</w:t>
      </w:r>
      <w:r w:rsidRPr="0083078B">
        <w:rPr>
          <w:rFonts w:ascii="Arial" w:hAnsi="Arial" w:cs="Arial"/>
          <w:color w:val="7B7B7B" w:themeColor="accent3" w:themeShade="BF"/>
          <w:sz w:val="22"/>
          <w:szCs w:val="22"/>
          <w:lang w:val="en-GB"/>
        </w:rPr>
        <w:t xml:space="preserve"> in the main proceedings</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or by anyone empowered to</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request the opening of insolvency</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proceedings under the law of the</w:t>
      </w:r>
      <w:r>
        <w:rPr>
          <w:rFonts w:ascii="Arial" w:hAnsi="Arial" w:cs="Arial"/>
          <w:color w:val="7B7B7B" w:themeColor="accent3" w:themeShade="BF"/>
          <w:sz w:val="22"/>
          <w:szCs w:val="22"/>
          <w:lang w:val="en-GB"/>
        </w:rPr>
        <w:t xml:space="preserve"> </w:t>
      </w:r>
      <w:r w:rsidRPr="0083078B">
        <w:rPr>
          <w:rFonts w:ascii="Arial" w:hAnsi="Arial" w:cs="Arial"/>
          <w:color w:val="7B7B7B" w:themeColor="accent3" w:themeShade="BF"/>
          <w:sz w:val="22"/>
          <w:szCs w:val="22"/>
          <w:lang w:val="en-GB"/>
        </w:rPr>
        <w:t>Member State within the territory of which the opening of secondary insolvency proceedings is requested</w:t>
      </w:r>
      <w:r>
        <w:rPr>
          <w:rFonts w:ascii="Arial" w:hAnsi="Arial" w:cs="Arial"/>
          <w:color w:val="7B7B7B" w:themeColor="accent3" w:themeShade="BF"/>
          <w:sz w:val="22"/>
          <w:szCs w:val="22"/>
          <w:lang w:val="en-GB"/>
        </w:rPr>
        <w:t xml:space="preserve"> (Article 37(1) EIR Recast).</w:t>
      </w:r>
    </w:p>
    <w:p w14:paraId="5B490E83" w14:textId="1CBE8DAF" w:rsidR="002802BF" w:rsidRDefault="002802BF" w:rsidP="0083078B">
      <w:pPr>
        <w:jc w:val="both"/>
        <w:rPr>
          <w:rFonts w:ascii="Arial" w:hAnsi="Arial" w:cs="Arial"/>
          <w:color w:val="7B7B7B" w:themeColor="accent3" w:themeShade="BF"/>
          <w:sz w:val="22"/>
          <w:szCs w:val="22"/>
          <w:lang w:val="en-GB"/>
        </w:rPr>
      </w:pPr>
    </w:p>
    <w:p w14:paraId="554E4119" w14:textId="67D28ED3" w:rsidR="002802BF" w:rsidRDefault="002802BF" w:rsidP="00830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CJEU the concept of “establishment” </w:t>
      </w:r>
      <w:r w:rsidR="0028570E">
        <w:rPr>
          <w:rFonts w:ascii="Arial" w:hAnsi="Arial" w:cs="Arial"/>
          <w:color w:val="7B7B7B" w:themeColor="accent3" w:themeShade="BF"/>
          <w:sz w:val="22"/>
          <w:szCs w:val="22"/>
          <w:lang w:val="en-GB"/>
        </w:rPr>
        <w:t xml:space="preserve"> requires a minimum level of organisation and a degree of stability</w:t>
      </w:r>
      <w:r>
        <w:rPr>
          <w:rFonts w:ascii="Arial" w:hAnsi="Arial" w:cs="Arial"/>
          <w:color w:val="7B7B7B" w:themeColor="accent3" w:themeShade="BF"/>
          <w:sz w:val="22"/>
          <w:szCs w:val="22"/>
          <w:lang w:val="en-GB"/>
        </w:rPr>
        <w:t xml:space="preserve"> (see Case C-369/09, </w:t>
      </w:r>
      <w:r>
        <w:rPr>
          <w:rFonts w:ascii="Arial" w:hAnsi="Arial" w:cs="Arial"/>
          <w:i/>
          <w:iCs/>
          <w:color w:val="7B7B7B" w:themeColor="accent3" w:themeShade="BF"/>
          <w:sz w:val="22"/>
          <w:szCs w:val="22"/>
          <w:lang w:val="en-GB"/>
        </w:rPr>
        <w:t>Interedil Srl v Fallimento Interedil Srl</w:t>
      </w:r>
      <w:r>
        <w:rPr>
          <w:rFonts w:ascii="Arial" w:hAnsi="Arial" w:cs="Arial"/>
          <w:color w:val="7B7B7B" w:themeColor="accent3" w:themeShade="BF"/>
          <w:sz w:val="22"/>
          <w:szCs w:val="22"/>
          <w:lang w:val="en-GB"/>
        </w:rPr>
        <w:t>, ECLI:EU:C:2011:671 (October 20, 2011))</w:t>
      </w:r>
      <w:r w:rsidR="0028570E">
        <w:rPr>
          <w:rFonts w:ascii="Arial" w:hAnsi="Arial" w:cs="Arial"/>
          <w:color w:val="7B7B7B" w:themeColor="accent3" w:themeShade="BF"/>
          <w:sz w:val="22"/>
          <w:szCs w:val="22"/>
          <w:lang w:val="en-GB"/>
        </w:rPr>
        <w:t>.</w:t>
      </w:r>
    </w:p>
    <w:p w14:paraId="13BE257F" w14:textId="00B141BF" w:rsidR="0028570E" w:rsidRDefault="0028570E" w:rsidP="0083078B">
      <w:pPr>
        <w:jc w:val="both"/>
        <w:rPr>
          <w:rFonts w:ascii="Arial" w:hAnsi="Arial" w:cs="Arial"/>
          <w:color w:val="7B7B7B" w:themeColor="accent3" w:themeShade="BF"/>
          <w:sz w:val="22"/>
          <w:szCs w:val="22"/>
          <w:lang w:val="en-GB"/>
        </w:rPr>
      </w:pPr>
    </w:p>
    <w:p w14:paraId="35D8F287" w14:textId="0595C18D" w:rsidR="0077498C" w:rsidRPr="00835269" w:rsidRDefault="0028570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question arises whether the ‘warehouses’ (in Milan, Italy) can be classified as an establishment. Therefore the following criterion should be met at the moment of the filing for the opening of secondary insolvency proceedings: Cardinal Home’s activities in these warehouses must have a non-transitory character, and these activities were accompanied by the presence of human means and assets. </w:t>
      </w:r>
      <w:r w:rsidR="00835269">
        <w:rPr>
          <w:rFonts w:ascii="Arial" w:hAnsi="Arial" w:cs="Arial"/>
          <w:color w:val="7B7B7B" w:themeColor="accent3" w:themeShade="BF"/>
          <w:sz w:val="22"/>
          <w:szCs w:val="22"/>
          <w:lang w:val="en-GB"/>
        </w:rPr>
        <w:t>It could be argued that Cardinal Home will have conducted its operations in Italy with the involvement of people and assets, so the Italian courts will most likely have jurisdiction to open secondary proceedings.</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F670" w14:textId="77777777" w:rsidR="00982C6B" w:rsidRDefault="00982C6B" w:rsidP="00241B44">
      <w:r>
        <w:separator/>
      </w:r>
    </w:p>
  </w:endnote>
  <w:endnote w:type="continuationSeparator" w:id="0">
    <w:p w14:paraId="3A2B9CB2" w14:textId="77777777" w:rsidR="00982C6B" w:rsidRDefault="00982C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rPr>
      <w:id w:val="-758512077"/>
      <w:docPartObj>
        <w:docPartGallery w:val="Page Numbers (Bottom of Page)"/>
        <w:docPartUnique/>
      </w:docPartObj>
    </w:sdtPr>
    <w:sdtEndPr>
      <w:rPr>
        <w:rStyle w:val="Paginanummer"/>
        <w:b w:val="0"/>
        <w:sz w:val="22"/>
        <w:szCs w:val="22"/>
      </w:rPr>
    </w:sdtEndPr>
    <w:sdtContent>
      <w:p w14:paraId="0AAD6B61" w14:textId="77777777" w:rsidR="00D509A5" w:rsidRPr="00FC7B47" w:rsidRDefault="00D509A5" w:rsidP="009B4976">
        <w:pPr>
          <w:pStyle w:val="Voettekst"/>
          <w:framePr w:wrap="none" w:vAnchor="text" w:hAnchor="margin" w:xAlign="right" w:y="1"/>
          <w:rPr>
            <w:rStyle w:val="Paginanummer"/>
            <w:rFonts w:ascii="Arial" w:hAnsi="Arial" w:cs="Arial"/>
            <w:sz w:val="22"/>
            <w:szCs w:val="22"/>
          </w:rPr>
        </w:pPr>
        <w:r w:rsidRPr="00697EA1">
          <w:rPr>
            <w:rStyle w:val="Paginanummer"/>
            <w:rFonts w:ascii="Arial" w:hAnsi="Arial" w:cs="Arial"/>
            <w:b/>
          </w:rPr>
          <w:t xml:space="preserve">Page </w:t>
        </w:r>
        <w:r w:rsidRPr="00697EA1">
          <w:rPr>
            <w:rStyle w:val="Paginanummer"/>
            <w:rFonts w:ascii="Arial" w:hAnsi="Arial" w:cs="Arial"/>
            <w:b/>
            <w:sz w:val="22"/>
            <w:szCs w:val="22"/>
          </w:rPr>
          <w:fldChar w:fldCharType="begin"/>
        </w:r>
        <w:r w:rsidRPr="00697EA1">
          <w:rPr>
            <w:rStyle w:val="Paginanummer"/>
            <w:rFonts w:ascii="Arial" w:hAnsi="Arial" w:cs="Arial"/>
            <w:b/>
            <w:sz w:val="22"/>
            <w:szCs w:val="22"/>
          </w:rPr>
          <w:instrText xml:space="preserve"> PAGE </w:instrText>
        </w:r>
        <w:r w:rsidRPr="00697EA1">
          <w:rPr>
            <w:rStyle w:val="Paginanummer"/>
            <w:rFonts w:ascii="Arial" w:hAnsi="Arial" w:cs="Arial"/>
            <w:b/>
            <w:sz w:val="22"/>
            <w:szCs w:val="22"/>
          </w:rPr>
          <w:fldChar w:fldCharType="separate"/>
        </w:r>
        <w:r>
          <w:rPr>
            <w:rStyle w:val="Paginanummer"/>
            <w:rFonts w:ascii="Arial" w:hAnsi="Arial" w:cs="Arial"/>
            <w:b/>
            <w:noProof/>
            <w:sz w:val="22"/>
            <w:szCs w:val="22"/>
          </w:rPr>
          <w:t>10</w:t>
        </w:r>
        <w:r w:rsidRPr="00697EA1">
          <w:rPr>
            <w:rStyle w:val="Paginanummer"/>
            <w:rFonts w:ascii="Arial" w:hAnsi="Arial" w:cs="Arial"/>
            <w:b/>
            <w:sz w:val="22"/>
            <w:szCs w:val="22"/>
          </w:rPr>
          <w:fldChar w:fldCharType="end"/>
        </w:r>
      </w:p>
    </w:sdtContent>
  </w:sdt>
  <w:p w14:paraId="39FD1B0B" w14:textId="3A981440" w:rsidR="00D509A5" w:rsidRPr="00FC7B47" w:rsidRDefault="00D509A5" w:rsidP="00FC7B47">
    <w:pPr>
      <w:pStyle w:val="Voettekst"/>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18"/>
        <w:szCs w:val="18"/>
      </w:rPr>
      <w:id w:val="-1409602822"/>
      <w:docPartObj>
        <w:docPartGallery w:val="Page Numbers (Bottom of Page)"/>
        <w:docPartUnique/>
      </w:docPartObj>
    </w:sdtPr>
    <w:sdtEndPr>
      <w:rPr>
        <w:rStyle w:val="Paginanummer"/>
      </w:rPr>
    </w:sdtEndPr>
    <w:sdtContent>
      <w:p w14:paraId="0A05F8FD" w14:textId="25250B7C" w:rsidR="00D509A5" w:rsidRPr="009B4976" w:rsidRDefault="00D509A5" w:rsidP="00D509A5">
        <w:pPr>
          <w:pStyle w:val="Voettekst"/>
          <w:framePr w:wrap="none" w:vAnchor="text" w:hAnchor="margin" w:xAlign="right" w:y="1"/>
          <w:rPr>
            <w:rStyle w:val="Paginanummer"/>
            <w:rFonts w:ascii="Arial" w:hAnsi="Arial" w:cs="Arial"/>
            <w:sz w:val="18"/>
            <w:szCs w:val="18"/>
          </w:rPr>
        </w:pPr>
        <w:r w:rsidRPr="009B4976">
          <w:rPr>
            <w:rStyle w:val="Paginanummer"/>
            <w:rFonts w:ascii="Arial" w:hAnsi="Arial" w:cs="Arial"/>
            <w:sz w:val="18"/>
            <w:szCs w:val="18"/>
          </w:rPr>
          <w:t xml:space="preserve">Page </w:t>
        </w:r>
        <w:r w:rsidRPr="009B4976">
          <w:rPr>
            <w:rStyle w:val="Paginanummer"/>
            <w:rFonts w:ascii="Arial" w:hAnsi="Arial" w:cs="Arial"/>
            <w:sz w:val="18"/>
            <w:szCs w:val="18"/>
          </w:rPr>
          <w:fldChar w:fldCharType="begin"/>
        </w:r>
        <w:r w:rsidRPr="009B4976">
          <w:rPr>
            <w:rStyle w:val="Paginanummer"/>
            <w:rFonts w:ascii="Arial" w:hAnsi="Arial" w:cs="Arial"/>
            <w:sz w:val="18"/>
            <w:szCs w:val="18"/>
          </w:rPr>
          <w:instrText xml:space="preserve"> PAGE </w:instrText>
        </w:r>
        <w:r w:rsidRPr="009B4976">
          <w:rPr>
            <w:rStyle w:val="Paginanummer"/>
            <w:rFonts w:ascii="Arial" w:hAnsi="Arial" w:cs="Arial"/>
            <w:sz w:val="18"/>
            <w:szCs w:val="18"/>
          </w:rPr>
          <w:fldChar w:fldCharType="separate"/>
        </w:r>
        <w:r w:rsidR="00BA543A">
          <w:rPr>
            <w:rStyle w:val="Paginanummer"/>
            <w:rFonts w:ascii="Arial" w:hAnsi="Arial" w:cs="Arial"/>
            <w:noProof/>
            <w:sz w:val="18"/>
            <w:szCs w:val="18"/>
          </w:rPr>
          <w:t>9</w:t>
        </w:r>
        <w:r w:rsidRPr="009B4976">
          <w:rPr>
            <w:rStyle w:val="Paginanummer"/>
            <w:rFonts w:ascii="Arial" w:hAnsi="Arial" w:cs="Arial"/>
            <w:sz w:val="18"/>
            <w:szCs w:val="18"/>
          </w:rPr>
          <w:fldChar w:fldCharType="end"/>
        </w:r>
      </w:p>
    </w:sdtContent>
  </w:sdt>
  <w:p w14:paraId="30F05E79" w14:textId="669769F1" w:rsidR="00D509A5" w:rsidRPr="009B4976" w:rsidRDefault="00887853" w:rsidP="009B4976">
    <w:pPr>
      <w:pStyle w:val="Voettekst"/>
      <w:ind w:right="360"/>
      <w:rPr>
        <w:rFonts w:ascii="Arial" w:hAnsi="Arial" w:cs="Arial"/>
        <w:sz w:val="18"/>
        <w:szCs w:val="18"/>
        <w:lang w:val="en-GB"/>
      </w:rPr>
    </w:pPr>
    <w:r w:rsidRPr="00887853">
      <w:rPr>
        <w:rFonts w:ascii="Arial" w:hAnsi="Arial" w:cs="Arial"/>
        <w:sz w:val="18"/>
        <w:szCs w:val="18"/>
        <w:lang w:val="en-GB"/>
      </w:rPr>
      <w:t>202021IFU-370</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92CC" w14:textId="77777777" w:rsidR="00982C6B" w:rsidRDefault="00982C6B" w:rsidP="00241B44">
      <w:r>
        <w:separator/>
      </w:r>
    </w:p>
  </w:footnote>
  <w:footnote w:type="continuationSeparator" w:id="0">
    <w:p w14:paraId="6BEB585D" w14:textId="77777777" w:rsidR="00982C6B" w:rsidRDefault="00982C6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2E0"/>
    <w:rsid w:val="0001344B"/>
    <w:rsid w:val="00020557"/>
    <w:rsid w:val="000250C7"/>
    <w:rsid w:val="00026F16"/>
    <w:rsid w:val="00037621"/>
    <w:rsid w:val="00041B32"/>
    <w:rsid w:val="00044D46"/>
    <w:rsid w:val="00045088"/>
    <w:rsid w:val="00045904"/>
    <w:rsid w:val="00065166"/>
    <w:rsid w:val="000700D5"/>
    <w:rsid w:val="00082609"/>
    <w:rsid w:val="000851CC"/>
    <w:rsid w:val="00087696"/>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5612"/>
    <w:rsid w:val="0014622C"/>
    <w:rsid w:val="00152348"/>
    <w:rsid w:val="0015456D"/>
    <w:rsid w:val="00154B93"/>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13C4"/>
    <w:rsid w:val="001B5016"/>
    <w:rsid w:val="001C45FC"/>
    <w:rsid w:val="001D0469"/>
    <w:rsid w:val="001D4862"/>
    <w:rsid w:val="001D664D"/>
    <w:rsid w:val="001D6E1C"/>
    <w:rsid w:val="001E25B9"/>
    <w:rsid w:val="001E49E0"/>
    <w:rsid w:val="001E5F8A"/>
    <w:rsid w:val="001E7B5A"/>
    <w:rsid w:val="001F7412"/>
    <w:rsid w:val="00202DFE"/>
    <w:rsid w:val="00203720"/>
    <w:rsid w:val="0020725B"/>
    <w:rsid w:val="002110F1"/>
    <w:rsid w:val="00222FB5"/>
    <w:rsid w:val="00232E81"/>
    <w:rsid w:val="0024116D"/>
    <w:rsid w:val="00241B44"/>
    <w:rsid w:val="00241FA3"/>
    <w:rsid w:val="00244C44"/>
    <w:rsid w:val="00245EFB"/>
    <w:rsid w:val="00247CF6"/>
    <w:rsid w:val="0025386E"/>
    <w:rsid w:val="002638B0"/>
    <w:rsid w:val="0026647A"/>
    <w:rsid w:val="002668D3"/>
    <w:rsid w:val="0027299F"/>
    <w:rsid w:val="002802BF"/>
    <w:rsid w:val="00284EBE"/>
    <w:rsid w:val="0028570E"/>
    <w:rsid w:val="00290255"/>
    <w:rsid w:val="00293D17"/>
    <w:rsid w:val="0029433F"/>
    <w:rsid w:val="00294829"/>
    <w:rsid w:val="0029690F"/>
    <w:rsid w:val="00297C8A"/>
    <w:rsid w:val="002A2A60"/>
    <w:rsid w:val="002A37BB"/>
    <w:rsid w:val="002B1955"/>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0F5E"/>
    <w:rsid w:val="0037465A"/>
    <w:rsid w:val="00375D11"/>
    <w:rsid w:val="00381482"/>
    <w:rsid w:val="00382C98"/>
    <w:rsid w:val="0038533C"/>
    <w:rsid w:val="00386568"/>
    <w:rsid w:val="00390B57"/>
    <w:rsid w:val="003948D5"/>
    <w:rsid w:val="00395AD9"/>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195E"/>
    <w:rsid w:val="00404329"/>
    <w:rsid w:val="00405DC1"/>
    <w:rsid w:val="00415F1F"/>
    <w:rsid w:val="0042027A"/>
    <w:rsid w:val="004202D2"/>
    <w:rsid w:val="0042108F"/>
    <w:rsid w:val="00430FED"/>
    <w:rsid w:val="00434A8C"/>
    <w:rsid w:val="00437297"/>
    <w:rsid w:val="00437382"/>
    <w:rsid w:val="004436F0"/>
    <w:rsid w:val="00444284"/>
    <w:rsid w:val="0044574C"/>
    <w:rsid w:val="00445CE6"/>
    <w:rsid w:val="004534C2"/>
    <w:rsid w:val="0045446F"/>
    <w:rsid w:val="0045683E"/>
    <w:rsid w:val="00457CA3"/>
    <w:rsid w:val="00463045"/>
    <w:rsid w:val="00465BFF"/>
    <w:rsid w:val="004710F9"/>
    <w:rsid w:val="00477C72"/>
    <w:rsid w:val="00481E77"/>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190A"/>
    <w:rsid w:val="004E3A6B"/>
    <w:rsid w:val="004E622C"/>
    <w:rsid w:val="004F4AF9"/>
    <w:rsid w:val="004F5FDF"/>
    <w:rsid w:val="005054BE"/>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30C1"/>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36CD"/>
    <w:rsid w:val="00687A1D"/>
    <w:rsid w:val="00696ED8"/>
    <w:rsid w:val="00697EA1"/>
    <w:rsid w:val="006A2646"/>
    <w:rsid w:val="006A28A8"/>
    <w:rsid w:val="006A6530"/>
    <w:rsid w:val="006B2F96"/>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86146"/>
    <w:rsid w:val="00793173"/>
    <w:rsid w:val="007A107A"/>
    <w:rsid w:val="007A2A33"/>
    <w:rsid w:val="007A6B8D"/>
    <w:rsid w:val="007A7B20"/>
    <w:rsid w:val="007B4AA5"/>
    <w:rsid w:val="007C1FCC"/>
    <w:rsid w:val="007C50AA"/>
    <w:rsid w:val="007C6201"/>
    <w:rsid w:val="007D6A4D"/>
    <w:rsid w:val="007D7C92"/>
    <w:rsid w:val="007E1154"/>
    <w:rsid w:val="007E22CD"/>
    <w:rsid w:val="007E39B3"/>
    <w:rsid w:val="007E44C4"/>
    <w:rsid w:val="007E6BA4"/>
    <w:rsid w:val="007F41F8"/>
    <w:rsid w:val="007F6A57"/>
    <w:rsid w:val="007F7034"/>
    <w:rsid w:val="00800B1B"/>
    <w:rsid w:val="00800B76"/>
    <w:rsid w:val="008017F0"/>
    <w:rsid w:val="0080454E"/>
    <w:rsid w:val="00804C32"/>
    <w:rsid w:val="00804DA6"/>
    <w:rsid w:val="00806302"/>
    <w:rsid w:val="00807119"/>
    <w:rsid w:val="0082483F"/>
    <w:rsid w:val="008279C0"/>
    <w:rsid w:val="0083078B"/>
    <w:rsid w:val="00833A73"/>
    <w:rsid w:val="00835269"/>
    <w:rsid w:val="00841051"/>
    <w:rsid w:val="008500BD"/>
    <w:rsid w:val="00860723"/>
    <w:rsid w:val="008723F3"/>
    <w:rsid w:val="00874240"/>
    <w:rsid w:val="00881DE6"/>
    <w:rsid w:val="008837A6"/>
    <w:rsid w:val="00887853"/>
    <w:rsid w:val="0089145D"/>
    <w:rsid w:val="00894C1D"/>
    <w:rsid w:val="008954B3"/>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15BCD"/>
    <w:rsid w:val="00923A52"/>
    <w:rsid w:val="00935A21"/>
    <w:rsid w:val="00942123"/>
    <w:rsid w:val="0095207B"/>
    <w:rsid w:val="00962045"/>
    <w:rsid w:val="00967219"/>
    <w:rsid w:val="00971896"/>
    <w:rsid w:val="00980E61"/>
    <w:rsid w:val="00982C6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65AA"/>
    <w:rsid w:val="00A27A7A"/>
    <w:rsid w:val="00A407EF"/>
    <w:rsid w:val="00A44200"/>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D7A47"/>
    <w:rsid w:val="00AE2316"/>
    <w:rsid w:val="00AE5477"/>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BF678A"/>
    <w:rsid w:val="00C00B20"/>
    <w:rsid w:val="00C02E6E"/>
    <w:rsid w:val="00C02F29"/>
    <w:rsid w:val="00C20AFE"/>
    <w:rsid w:val="00C22A25"/>
    <w:rsid w:val="00C35671"/>
    <w:rsid w:val="00C35B77"/>
    <w:rsid w:val="00C376EB"/>
    <w:rsid w:val="00C46A92"/>
    <w:rsid w:val="00C46DF7"/>
    <w:rsid w:val="00C46EC1"/>
    <w:rsid w:val="00C52796"/>
    <w:rsid w:val="00C53E2C"/>
    <w:rsid w:val="00C54E6E"/>
    <w:rsid w:val="00C550C8"/>
    <w:rsid w:val="00C56B61"/>
    <w:rsid w:val="00C606C3"/>
    <w:rsid w:val="00C60B85"/>
    <w:rsid w:val="00C620F4"/>
    <w:rsid w:val="00C63E03"/>
    <w:rsid w:val="00C72848"/>
    <w:rsid w:val="00C7729F"/>
    <w:rsid w:val="00C7736C"/>
    <w:rsid w:val="00C82D87"/>
    <w:rsid w:val="00C8712A"/>
    <w:rsid w:val="00C87D52"/>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43382"/>
    <w:rsid w:val="00D43941"/>
    <w:rsid w:val="00D509A5"/>
    <w:rsid w:val="00D56B4E"/>
    <w:rsid w:val="00D608A4"/>
    <w:rsid w:val="00D60E46"/>
    <w:rsid w:val="00D63EFD"/>
    <w:rsid w:val="00D651FD"/>
    <w:rsid w:val="00D75351"/>
    <w:rsid w:val="00D845C9"/>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1C32"/>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7C1"/>
    <w:rsid w:val="00E90991"/>
    <w:rsid w:val="00E909F0"/>
    <w:rsid w:val="00E90D47"/>
    <w:rsid w:val="00E93993"/>
    <w:rsid w:val="00E9597C"/>
    <w:rsid w:val="00EA0913"/>
    <w:rsid w:val="00EA5B00"/>
    <w:rsid w:val="00EB146B"/>
    <w:rsid w:val="00EB1EC1"/>
    <w:rsid w:val="00EB45AC"/>
    <w:rsid w:val="00EB5CA4"/>
    <w:rsid w:val="00EC00F9"/>
    <w:rsid w:val="00ED0BC4"/>
    <w:rsid w:val="00ED20E8"/>
    <w:rsid w:val="00ED472A"/>
    <w:rsid w:val="00ED54B6"/>
    <w:rsid w:val="00EE4971"/>
    <w:rsid w:val="00EF090E"/>
    <w:rsid w:val="00EF2660"/>
    <w:rsid w:val="00F033DA"/>
    <w:rsid w:val="00F13FB1"/>
    <w:rsid w:val="00F27CD8"/>
    <w:rsid w:val="00F30351"/>
    <w:rsid w:val="00F3323E"/>
    <w:rsid w:val="00F341F4"/>
    <w:rsid w:val="00F34F9D"/>
    <w:rsid w:val="00F35CCE"/>
    <w:rsid w:val="00F5524B"/>
    <w:rsid w:val="00F60538"/>
    <w:rsid w:val="00F61DD2"/>
    <w:rsid w:val="00F66AFF"/>
    <w:rsid w:val="00F71433"/>
    <w:rsid w:val="00F73C1B"/>
    <w:rsid w:val="00F76CD4"/>
    <w:rsid w:val="00F814B4"/>
    <w:rsid w:val="00F83464"/>
    <w:rsid w:val="00F83CDB"/>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30542"/>
  </w:style>
  <w:style w:type="paragraph" w:styleId="Lijstalinea">
    <w:name w:val="List Paragraph"/>
    <w:basedOn w:val="Standaard"/>
    <w:uiPriority w:val="34"/>
    <w:qFormat/>
    <w:rsid w:val="00430FED"/>
    <w:pPr>
      <w:ind w:left="720"/>
      <w:contextualSpacing/>
    </w:pPr>
  </w:style>
  <w:style w:type="paragraph" w:styleId="Voetnootteks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ard"/>
    <w:link w:val="VoetnoottekstChar"/>
    <w:uiPriority w:val="99"/>
    <w:unhideWhenUsed/>
    <w:rsid w:val="00241B44"/>
    <w:rPr>
      <w:szCs w:val="20"/>
    </w:rPr>
  </w:style>
  <w:style w:type="character" w:customStyle="1" w:styleId="VoetnoottekstChar">
    <w:name w:val="Voetnoottekst Char"/>
    <w:aliases w:val="fn Char,Fußnotentext Char Char Char Char Char,Fußnotentext Char Char Char Char Char Char Char,Fußnotentext Char Char Char Char Char Char Char Char Char,Fußnotentextf Char,footnotes Char,Footnote Text Char2 Char Char,Footnote Char"/>
    <w:basedOn w:val="Standaardalinea-lettertype"/>
    <w:link w:val="Voetnoottekst"/>
    <w:uiPriority w:val="99"/>
    <w:rsid w:val="00241B44"/>
    <w:rPr>
      <w:sz w:val="20"/>
      <w:szCs w:val="20"/>
    </w:rPr>
  </w:style>
  <w:style w:type="character" w:styleId="Voetnootmarkering">
    <w:name w:val="footnote reference"/>
    <w:aliases w:val="fr,Footnote Refernece,BVI fnr,callout,16 Point,Superscript 6 Point,Footnote Reference Superscript,Ref,de nota al pie,-E Fußnotenzeichen,number,SUPERS,EN Footnote Reference,-E Fuﬂnotenzeichen,-E Fuûnotenzeichen,Footnote numbe, BVI fnr"/>
    <w:basedOn w:val="Standaardalinea-lettertype"/>
    <w:uiPriority w:val="99"/>
    <w:unhideWhenUsed/>
    <w:qFormat/>
    <w:rsid w:val="00241B44"/>
    <w:rPr>
      <w:vertAlign w:val="superscript"/>
    </w:rPr>
  </w:style>
  <w:style w:type="character" w:styleId="Hyperlink">
    <w:name w:val="Hyperlink"/>
    <w:basedOn w:val="Standaardalinea-lettertype"/>
    <w:uiPriority w:val="99"/>
    <w:unhideWhenUsed/>
    <w:rsid w:val="00A047EE"/>
    <w:rPr>
      <w:color w:val="0563C1" w:themeColor="hyperlink"/>
      <w:u w:val="single"/>
    </w:rPr>
  </w:style>
  <w:style w:type="character" w:customStyle="1" w:styleId="UnresolvedMention1">
    <w:name w:val="Unresolved Mention1"/>
    <w:basedOn w:val="Standaardalinea-lettertype"/>
    <w:uiPriority w:val="99"/>
    <w:rsid w:val="00A047EE"/>
    <w:rPr>
      <w:color w:val="605E5C"/>
      <w:shd w:val="clear" w:color="auto" w:fill="E1DFDD"/>
    </w:rPr>
  </w:style>
  <w:style w:type="character" w:styleId="Verwijzingopmerking">
    <w:name w:val="annotation reference"/>
    <w:basedOn w:val="Standaardalinea-lettertype"/>
    <w:uiPriority w:val="99"/>
    <w:semiHidden/>
    <w:unhideWhenUsed/>
    <w:rsid w:val="008B5333"/>
    <w:rPr>
      <w:sz w:val="16"/>
      <w:szCs w:val="16"/>
    </w:rPr>
  </w:style>
  <w:style w:type="paragraph" w:styleId="Tekstopmerking">
    <w:name w:val="annotation text"/>
    <w:basedOn w:val="Standaard"/>
    <w:link w:val="TekstopmerkingChar"/>
    <w:uiPriority w:val="99"/>
    <w:semiHidden/>
    <w:unhideWhenUsed/>
    <w:rsid w:val="008B5333"/>
    <w:rPr>
      <w:szCs w:val="20"/>
    </w:rPr>
  </w:style>
  <w:style w:type="character" w:customStyle="1" w:styleId="TekstopmerkingChar">
    <w:name w:val="Tekst opmerking Char"/>
    <w:basedOn w:val="Standaardalinea-lettertype"/>
    <w:link w:val="Tekstopmerking"/>
    <w:uiPriority w:val="99"/>
    <w:semiHidden/>
    <w:rsid w:val="008B5333"/>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B5333"/>
    <w:rPr>
      <w:b/>
      <w:bCs/>
    </w:rPr>
  </w:style>
  <w:style w:type="character" w:customStyle="1" w:styleId="OnderwerpvanopmerkingChar">
    <w:name w:val="Onderwerp van opmerking Char"/>
    <w:basedOn w:val="TekstopmerkingChar"/>
    <w:link w:val="Onderwerpvanopmerking"/>
    <w:uiPriority w:val="99"/>
    <w:semiHidden/>
    <w:rsid w:val="008B5333"/>
    <w:rPr>
      <w:rFonts w:eastAsia="Times New Roman"/>
      <w:b/>
      <w:bCs/>
      <w:sz w:val="20"/>
      <w:szCs w:val="20"/>
    </w:rPr>
  </w:style>
  <w:style w:type="paragraph" w:styleId="Ballontekst">
    <w:name w:val="Balloon Text"/>
    <w:basedOn w:val="Standaard"/>
    <w:link w:val="BallontekstChar"/>
    <w:uiPriority w:val="99"/>
    <w:semiHidden/>
    <w:unhideWhenUsed/>
    <w:rsid w:val="008B53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33"/>
    <w:rPr>
      <w:rFonts w:ascii="Tahoma" w:eastAsia="Times New Roman" w:hAnsi="Tahoma" w:cs="Tahoma"/>
      <w:sz w:val="16"/>
      <w:szCs w:val="16"/>
    </w:rPr>
  </w:style>
  <w:style w:type="paragraph" w:styleId="Voettekst">
    <w:name w:val="footer"/>
    <w:basedOn w:val="Standaard"/>
    <w:link w:val="VoettekstChar"/>
    <w:uiPriority w:val="99"/>
    <w:unhideWhenUsed/>
    <w:rsid w:val="00FC7B47"/>
    <w:pPr>
      <w:tabs>
        <w:tab w:val="center" w:pos="4513"/>
        <w:tab w:val="right" w:pos="9026"/>
      </w:tabs>
    </w:pPr>
  </w:style>
  <w:style w:type="character" w:customStyle="1" w:styleId="VoettekstChar">
    <w:name w:val="Voettekst Char"/>
    <w:basedOn w:val="Standaardalinea-lettertype"/>
    <w:link w:val="Voettekst"/>
    <w:uiPriority w:val="99"/>
    <w:rsid w:val="00FC7B47"/>
    <w:rPr>
      <w:rFonts w:eastAsia="Times New Roman"/>
      <w:sz w:val="20"/>
    </w:rPr>
  </w:style>
  <w:style w:type="character" w:styleId="Paginanummer">
    <w:name w:val="page number"/>
    <w:basedOn w:val="Standaardalinea-lettertype"/>
    <w:uiPriority w:val="99"/>
    <w:semiHidden/>
    <w:unhideWhenUsed/>
    <w:rsid w:val="00FC7B47"/>
  </w:style>
  <w:style w:type="paragraph" w:styleId="Koptekst">
    <w:name w:val="header"/>
    <w:basedOn w:val="Standaard"/>
    <w:link w:val="KoptekstChar"/>
    <w:uiPriority w:val="99"/>
    <w:unhideWhenUsed/>
    <w:rsid w:val="00FC7B47"/>
    <w:pPr>
      <w:tabs>
        <w:tab w:val="center" w:pos="4513"/>
        <w:tab w:val="right" w:pos="9026"/>
      </w:tabs>
    </w:pPr>
  </w:style>
  <w:style w:type="character" w:customStyle="1" w:styleId="KoptekstChar">
    <w:name w:val="Koptekst Char"/>
    <w:basedOn w:val="Standaardalinea-lettertype"/>
    <w:link w:val="Koptekst"/>
    <w:uiPriority w:val="99"/>
    <w:rsid w:val="00FC7B47"/>
    <w:rPr>
      <w:rFonts w:eastAsia="Times New Roman"/>
      <w:sz w:val="20"/>
    </w:rPr>
  </w:style>
  <w:style w:type="character" w:customStyle="1" w:styleId="UnresolvedMention2">
    <w:name w:val="Unresolved Mention2"/>
    <w:basedOn w:val="Standaardalinea-lettertype"/>
    <w:uiPriority w:val="99"/>
    <w:semiHidden/>
    <w:unhideWhenUsed/>
    <w:rsid w:val="007333CC"/>
    <w:rPr>
      <w:color w:val="605E5C"/>
      <w:shd w:val="clear" w:color="auto" w:fill="E1DFDD"/>
    </w:rPr>
  </w:style>
  <w:style w:type="character" w:styleId="GevolgdeHyperlink">
    <w:name w:val="FollowedHyperlink"/>
    <w:basedOn w:val="Standaardalinea-lettertype"/>
    <w:uiPriority w:val="99"/>
    <w:semiHidden/>
    <w:unhideWhenUsed/>
    <w:rsid w:val="00E6452F"/>
    <w:rPr>
      <w:color w:val="954F72" w:themeColor="followedHyperlink"/>
      <w:u w:val="single"/>
    </w:rPr>
  </w:style>
  <w:style w:type="character" w:styleId="Zwaar">
    <w:name w:val="Strong"/>
    <w:basedOn w:val="Standaardalinea-lettertype"/>
    <w:uiPriority w:val="22"/>
    <w:qFormat/>
    <w:rsid w:val="00E6452F"/>
    <w:rPr>
      <w:b/>
      <w:bCs/>
    </w:rPr>
  </w:style>
  <w:style w:type="paragraph" w:styleId="Normaalweb">
    <w:name w:val="Normal (Web)"/>
    <w:basedOn w:val="Standa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ard"/>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5016</Words>
  <Characters>27592</Characters>
  <Application>Microsoft Office Word</Application>
  <DocSecurity>0</DocSecurity>
  <Lines>229</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Arcas Law</cp:lastModifiedBy>
  <cp:revision>26</cp:revision>
  <cp:lastPrinted>2019-08-27T05:42:00Z</cp:lastPrinted>
  <dcterms:created xsi:type="dcterms:W3CDTF">2022-03-01T06:50:00Z</dcterms:created>
  <dcterms:modified xsi:type="dcterms:W3CDTF">2022-03-01T18:44:00Z</dcterms:modified>
</cp:coreProperties>
</file>