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B171DC">
        <w:rPr>
          <w:rFonts w:ascii="Arial" w:hAnsi="Arial" w:cs="Arial"/>
          <w:sz w:val="22"/>
          <w:szCs w:val="22"/>
          <w:highlight w:val="yellow"/>
          <w:lang w:val="en-GB"/>
        </w:rPr>
        <w:t>w</w:t>
      </w:r>
      <w:r w:rsidR="00C91062" w:rsidRPr="00B171DC">
        <w:rPr>
          <w:rFonts w:ascii="Arial" w:hAnsi="Arial" w:cs="Arial"/>
          <w:sz w:val="22"/>
          <w:szCs w:val="22"/>
          <w:highlight w:val="yellow"/>
          <w:lang w:val="en-GB"/>
        </w:rPr>
        <w:t>ithin 8 weeks of the commencement of the administration</w:t>
      </w:r>
      <w:r w:rsidR="00763348" w:rsidRPr="00B171DC">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4D03C0" w:rsidRDefault="00E443D7" w:rsidP="00B04033">
      <w:pPr>
        <w:pStyle w:val="ListParagraph"/>
        <w:numPr>
          <w:ilvl w:val="0"/>
          <w:numId w:val="2"/>
        </w:numPr>
        <w:ind w:left="426"/>
        <w:jc w:val="both"/>
        <w:rPr>
          <w:rFonts w:ascii="Arial" w:hAnsi="Arial" w:cs="Arial"/>
          <w:sz w:val="22"/>
          <w:szCs w:val="22"/>
          <w:highlight w:val="yellow"/>
          <w:lang w:val="en-GB"/>
        </w:rPr>
      </w:pPr>
      <w:r w:rsidRPr="004D03C0">
        <w:rPr>
          <w:rFonts w:ascii="Arial" w:hAnsi="Arial" w:cs="Arial"/>
          <w:sz w:val="22"/>
          <w:szCs w:val="22"/>
          <w:highlight w:val="yellow"/>
          <w:lang w:val="en-GB"/>
        </w:rPr>
        <w:t>One year</w:t>
      </w:r>
      <w:r w:rsidR="00763348" w:rsidRPr="004D03C0">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B46595" w:rsidRDefault="00AE5B6F" w:rsidP="00B04033">
      <w:pPr>
        <w:pStyle w:val="ListParagraph"/>
        <w:numPr>
          <w:ilvl w:val="0"/>
          <w:numId w:val="3"/>
        </w:numPr>
        <w:ind w:left="426"/>
        <w:jc w:val="both"/>
        <w:rPr>
          <w:rFonts w:ascii="Arial" w:hAnsi="Arial" w:cs="Arial"/>
          <w:sz w:val="22"/>
          <w:szCs w:val="22"/>
          <w:highlight w:val="yellow"/>
          <w:lang w:val="en-GB"/>
        </w:rPr>
      </w:pPr>
      <w:r w:rsidRPr="00B46595">
        <w:rPr>
          <w:rFonts w:ascii="Arial" w:hAnsi="Arial" w:cs="Arial"/>
          <w:sz w:val="22"/>
          <w:szCs w:val="22"/>
          <w:highlight w:val="yellow"/>
          <w:lang w:val="en-GB"/>
        </w:rPr>
        <w:t>T</w:t>
      </w:r>
      <w:r w:rsidR="008D1616" w:rsidRPr="00B46595">
        <w:rPr>
          <w:rFonts w:ascii="Arial" w:hAnsi="Arial" w:cs="Arial"/>
          <w:sz w:val="22"/>
          <w:szCs w:val="22"/>
          <w:highlight w:val="yellow"/>
          <w:lang w:val="en-GB"/>
        </w:rPr>
        <w:t>he company is, or is likely to become, unable to pay their debts, as defined under s</w:t>
      </w:r>
      <w:r w:rsidR="00E833F4" w:rsidRPr="00B46595">
        <w:rPr>
          <w:rFonts w:ascii="Arial" w:hAnsi="Arial" w:cs="Arial"/>
          <w:sz w:val="22"/>
          <w:szCs w:val="22"/>
          <w:highlight w:val="yellow"/>
          <w:lang w:val="en-GB"/>
        </w:rPr>
        <w:t>ection</w:t>
      </w:r>
      <w:r w:rsidR="008D1616" w:rsidRPr="00B46595">
        <w:rPr>
          <w:rFonts w:ascii="Arial" w:hAnsi="Arial" w:cs="Arial"/>
          <w:sz w:val="22"/>
          <w:szCs w:val="22"/>
          <w:highlight w:val="yellow"/>
          <w:lang w:val="en-GB"/>
        </w:rPr>
        <w:t xml:space="preserve"> 123 of the Insolvency Act 1986</w:t>
      </w:r>
      <w:r w:rsidR="00763348" w:rsidRPr="00B46595">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7F224A" w:rsidRDefault="00C91062" w:rsidP="00B04033">
      <w:pPr>
        <w:pStyle w:val="ListParagraph"/>
        <w:numPr>
          <w:ilvl w:val="0"/>
          <w:numId w:val="4"/>
        </w:numPr>
        <w:ind w:left="426"/>
        <w:jc w:val="both"/>
        <w:rPr>
          <w:rFonts w:ascii="Arial" w:hAnsi="Arial" w:cs="Arial"/>
          <w:sz w:val="22"/>
          <w:szCs w:val="22"/>
          <w:highlight w:val="yellow"/>
          <w:lang w:val="en-GB"/>
        </w:rPr>
      </w:pPr>
      <w:r w:rsidRPr="007F224A">
        <w:rPr>
          <w:rFonts w:ascii="Arial" w:hAnsi="Arial" w:cs="Arial"/>
          <w:sz w:val="22"/>
          <w:szCs w:val="22"/>
          <w:highlight w:val="yellow"/>
          <w:lang w:val="en-GB"/>
        </w:rPr>
        <w:t>The purchaser</w:t>
      </w:r>
      <w:r w:rsidR="00763348" w:rsidRPr="007F224A">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92CBF" w:rsidRDefault="00BA1CFD" w:rsidP="00B04033">
      <w:pPr>
        <w:pStyle w:val="ListParagraph"/>
        <w:numPr>
          <w:ilvl w:val="0"/>
          <w:numId w:val="5"/>
        </w:numPr>
        <w:ind w:left="426"/>
        <w:jc w:val="both"/>
        <w:rPr>
          <w:rFonts w:ascii="Arial" w:hAnsi="Arial" w:cs="Arial"/>
          <w:sz w:val="22"/>
          <w:szCs w:val="22"/>
          <w:highlight w:val="yellow"/>
          <w:lang w:val="en-GB"/>
        </w:rPr>
      </w:pPr>
      <w:r w:rsidRPr="00F92CBF">
        <w:rPr>
          <w:rFonts w:ascii="Arial" w:hAnsi="Arial" w:cs="Arial"/>
          <w:sz w:val="22"/>
          <w:szCs w:val="22"/>
          <w:highlight w:val="yellow"/>
          <w:lang w:val="en-GB"/>
        </w:rPr>
        <w:t>Administration</w:t>
      </w:r>
      <w:r w:rsidR="00763348" w:rsidRPr="00F92CBF">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430D3A" w:rsidRDefault="00BA1CFD" w:rsidP="00B04033">
      <w:pPr>
        <w:pStyle w:val="ListParagraph"/>
        <w:numPr>
          <w:ilvl w:val="0"/>
          <w:numId w:val="6"/>
        </w:numPr>
        <w:ind w:left="426"/>
        <w:jc w:val="both"/>
        <w:rPr>
          <w:rFonts w:ascii="Arial" w:hAnsi="Arial" w:cs="Arial"/>
          <w:sz w:val="22"/>
          <w:szCs w:val="22"/>
          <w:highlight w:val="yellow"/>
          <w:lang w:val="en-GB"/>
        </w:rPr>
      </w:pPr>
      <w:r w:rsidRPr="00430D3A">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9C0815" w:rsidRDefault="00BA1CFD" w:rsidP="00B04033">
      <w:pPr>
        <w:pStyle w:val="ListParagraph"/>
        <w:numPr>
          <w:ilvl w:val="0"/>
          <w:numId w:val="7"/>
        </w:numPr>
        <w:ind w:left="426"/>
        <w:jc w:val="both"/>
        <w:rPr>
          <w:rFonts w:ascii="Arial" w:hAnsi="Arial" w:cs="Arial"/>
          <w:sz w:val="22"/>
          <w:szCs w:val="22"/>
          <w:highlight w:val="yellow"/>
          <w:lang w:val="en-GB"/>
        </w:rPr>
      </w:pPr>
      <w:r w:rsidRPr="009C0815">
        <w:rPr>
          <w:rFonts w:ascii="Arial" w:hAnsi="Arial" w:cs="Arial"/>
          <w:sz w:val="22"/>
          <w:szCs w:val="22"/>
          <w:highlight w:val="yellow"/>
          <w:lang w:val="en-GB"/>
        </w:rPr>
        <w:t>Breach of fiduciary duty</w:t>
      </w:r>
      <w:r w:rsidR="00763348" w:rsidRPr="009C0815">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B74A15" w:rsidRDefault="00876F56" w:rsidP="00B04033">
      <w:pPr>
        <w:pStyle w:val="ListParagraph"/>
        <w:numPr>
          <w:ilvl w:val="0"/>
          <w:numId w:val="8"/>
        </w:numPr>
        <w:ind w:left="426"/>
        <w:jc w:val="both"/>
        <w:rPr>
          <w:rFonts w:ascii="Arial" w:hAnsi="Arial" w:cs="Arial"/>
          <w:sz w:val="22"/>
          <w:szCs w:val="22"/>
          <w:highlight w:val="yellow"/>
          <w:lang w:val="en-GB"/>
        </w:rPr>
      </w:pPr>
      <w:r w:rsidRPr="00B74A15">
        <w:rPr>
          <w:rFonts w:ascii="Arial" w:hAnsi="Arial" w:cs="Arial"/>
          <w:sz w:val="22"/>
          <w:szCs w:val="22"/>
          <w:highlight w:val="yellow"/>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F5098" w:rsidRDefault="00E833F4" w:rsidP="00B04033">
      <w:pPr>
        <w:pStyle w:val="ListParagraph"/>
        <w:numPr>
          <w:ilvl w:val="0"/>
          <w:numId w:val="9"/>
        </w:numPr>
        <w:ind w:left="426"/>
        <w:jc w:val="both"/>
        <w:rPr>
          <w:rFonts w:ascii="Arial" w:hAnsi="Arial" w:cs="Arial"/>
          <w:sz w:val="22"/>
          <w:szCs w:val="22"/>
          <w:lang w:val="en-GB"/>
        </w:rPr>
      </w:pPr>
      <w:r w:rsidRPr="00FF5098">
        <w:rPr>
          <w:rFonts w:ascii="Arial" w:hAnsi="Arial" w:cs="Arial"/>
          <w:sz w:val="22"/>
          <w:szCs w:val="22"/>
          <w:lang w:val="en-GB"/>
        </w:rPr>
        <w:t>A</w:t>
      </w:r>
      <w:r w:rsidR="000D10C6" w:rsidRPr="00FF5098">
        <w:rPr>
          <w:rFonts w:ascii="Arial" w:hAnsi="Arial"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Pr="0059684B" w:rsidRDefault="000D10C6" w:rsidP="00AE5B6F">
      <w:pPr>
        <w:pStyle w:val="ListParagraph"/>
        <w:numPr>
          <w:ilvl w:val="0"/>
          <w:numId w:val="9"/>
        </w:numPr>
        <w:ind w:left="426"/>
        <w:jc w:val="both"/>
        <w:rPr>
          <w:rFonts w:ascii="Arial" w:hAnsi="Arial" w:cs="Arial"/>
          <w:sz w:val="22"/>
          <w:szCs w:val="22"/>
          <w:highlight w:val="yellow"/>
          <w:lang w:val="en-GB"/>
        </w:rPr>
      </w:pPr>
      <w:r w:rsidRPr="0059684B">
        <w:rPr>
          <w:rFonts w:ascii="Arial" w:hAnsi="Arial" w:cs="Arial"/>
          <w:sz w:val="22"/>
          <w:szCs w:val="22"/>
          <w:highlight w:val="yellow"/>
          <w:lang w:val="en-GB"/>
        </w:rPr>
        <w:t xml:space="preserve">An insolvency officeholder from an EU Member State </w:t>
      </w:r>
      <w:r w:rsidR="00AC317D" w:rsidRPr="0059684B">
        <w:rPr>
          <w:rFonts w:ascii="Arial" w:hAnsi="Arial" w:cs="Arial"/>
          <w:sz w:val="22"/>
          <w:szCs w:val="22"/>
          <w:highlight w:val="yellow"/>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C5171">
        <w:rPr>
          <w:rFonts w:ascii="Arial" w:hAnsi="Arial" w:cs="Arial"/>
          <w:sz w:val="22"/>
          <w:szCs w:val="22"/>
          <w:highlight w:val="yellow"/>
          <w:lang w:val="en-GB"/>
        </w:rPr>
        <w:t>5 years</w:t>
      </w:r>
      <w:r w:rsidRPr="00FF5098">
        <w:rPr>
          <w:rFonts w:ascii="Arial" w:hAnsi="Arial" w:cs="Arial"/>
          <w:sz w:val="22"/>
          <w:szCs w:val="22"/>
          <w:lang w:val="en-GB"/>
        </w:rPr>
        <w:t>.</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53E92069" w14:textId="77777777" w:rsidR="00AB64B0" w:rsidRPr="00AB64B0" w:rsidRDefault="00D1124C" w:rsidP="00AB64B0">
      <w:pPr>
        <w:pStyle w:val="ListParagraph"/>
        <w:numPr>
          <w:ilvl w:val="0"/>
          <w:numId w:val="19"/>
        </w:numPr>
        <w:jc w:val="both"/>
        <w:rPr>
          <w:rFonts w:ascii="Arial" w:hAnsi="Arial" w:cs="Arial"/>
          <w:sz w:val="22"/>
          <w:szCs w:val="22"/>
        </w:rPr>
      </w:pPr>
      <w:r w:rsidRPr="00D1124C">
        <w:rPr>
          <w:rFonts w:ascii="Arial" w:hAnsi="Arial" w:cs="Arial"/>
          <w:color w:val="7B7B7B" w:themeColor="accent3" w:themeShade="BF"/>
          <w:sz w:val="22"/>
          <w:szCs w:val="22"/>
          <w:lang w:val="en-GB"/>
        </w:rPr>
        <w:t xml:space="preserve">An action under section 423 of the Insolvency Act 1986 </w:t>
      </w:r>
      <w:r>
        <w:rPr>
          <w:rFonts w:ascii="Arial" w:hAnsi="Arial" w:cs="Arial"/>
          <w:color w:val="7B7B7B" w:themeColor="accent3" w:themeShade="BF"/>
          <w:sz w:val="22"/>
          <w:szCs w:val="22"/>
          <w:lang w:val="en-GB"/>
        </w:rPr>
        <w:t xml:space="preserve">may be brought by: </w:t>
      </w:r>
    </w:p>
    <w:p w14:paraId="5AA230EF" w14:textId="4BBEAC39" w:rsidR="00D1124C" w:rsidRPr="00AB64B0" w:rsidRDefault="00AB64B0" w:rsidP="00AB64B0">
      <w:pPr>
        <w:pStyle w:val="ListParagraph"/>
        <w:numPr>
          <w:ilvl w:val="1"/>
          <w:numId w:val="19"/>
        </w:numPr>
        <w:jc w:val="both"/>
        <w:rPr>
          <w:rFonts w:ascii="Arial" w:hAnsi="Arial" w:cs="Arial"/>
          <w:sz w:val="22"/>
          <w:szCs w:val="22"/>
        </w:rPr>
      </w:pPr>
      <w:r>
        <w:rPr>
          <w:rFonts w:ascii="Arial" w:hAnsi="Arial" w:cs="Arial"/>
          <w:color w:val="7B7B7B" w:themeColor="accent3" w:themeShade="BF"/>
          <w:sz w:val="22"/>
          <w:szCs w:val="22"/>
          <w:lang w:val="en-GB"/>
        </w:rPr>
        <w:t>w</w:t>
      </w:r>
      <w:r w:rsidR="00D1124C" w:rsidRPr="00AB64B0">
        <w:rPr>
          <w:rFonts w:ascii="Arial" w:hAnsi="Arial" w:cs="Arial"/>
          <w:color w:val="7B7B7B" w:themeColor="accent3" w:themeShade="BF"/>
          <w:sz w:val="22"/>
          <w:szCs w:val="22"/>
          <w:lang w:val="en-GB"/>
        </w:rPr>
        <w:t xml:space="preserve">here the company is being wound up or is in administration: the official receiver, the liquidator, the administrator and (with leave of court) any victim of the </w:t>
      </w:r>
      <w:r>
        <w:rPr>
          <w:rFonts w:ascii="Arial" w:hAnsi="Arial" w:cs="Arial"/>
          <w:color w:val="7B7B7B" w:themeColor="accent3" w:themeShade="BF"/>
          <w:sz w:val="22"/>
          <w:szCs w:val="22"/>
          <w:lang w:val="en-GB"/>
        </w:rPr>
        <w:t>transaction such as a creditor;</w:t>
      </w:r>
    </w:p>
    <w:p w14:paraId="7CF53149" w14:textId="1ADE5FB1" w:rsidR="00D1124C" w:rsidRPr="00AB64B0" w:rsidRDefault="00AB64B0" w:rsidP="00D1124C">
      <w:pPr>
        <w:pStyle w:val="ListParagraph"/>
        <w:numPr>
          <w:ilvl w:val="1"/>
          <w:numId w:val="19"/>
        </w:numPr>
        <w:jc w:val="both"/>
        <w:rPr>
          <w:rFonts w:ascii="Arial" w:hAnsi="Arial" w:cs="Arial"/>
          <w:color w:val="7B7B7B" w:themeColor="accent3" w:themeShade="BF"/>
          <w:sz w:val="22"/>
          <w:szCs w:val="22"/>
          <w:lang w:val="en-GB"/>
        </w:rPr>
      </w:pPr>
      <w:r w:rsidRPr="00AB64B0">
        <w:rPr>
          <w:rFonts w:ascii="Arial" w:hAnsi="Arial" w:cs="Arial"/>
          <w:color w:val="7B7B7B" w:themeColor="accent3" w:themeShade="BF"/>
          <w:sz w:val="22"/>
          <w:szCs w:val="22"/>
          <w:lang w:val="en-GB"/>
        </w:rPr>
        <w:t>where a victim is bound by a CVA: the supervisor of the CVA or any victim of the transaction (whether bound by the CVA or not);</w:t>
      </w:r>
    </w:p>
    <w:p w14:paraId="763047BD" w14:textId="636FE069" w:rsidR="00AB64B0" w:rsidRDefault="00AB64B0" w:rsidP="00D1124C">
      <w:pPr>
        <w:pStyle w:val="ListParagraph"/>
        <w:numPr>
          <w:ilvl w:val="1"/>
          <w:numId w:val="19"/>
        </w:numPr>
        <w:jc w:val="both"/>
        <w:rPr>
          <w:rFonts w:ascii="Arial" w:hAnsi="Arial" w:cs="Arial"/>
          <w:color w:val="7B7B7B" w:themeColor="accent3" w:themeShade="BF"/>
          <w:sz w:val="22"/>
          <w:szCs w:val="22"/>
          <w:lang w:val="en-GB"/>
        </w:rPr>
      </w:pPr>
      <w:r w:rsidRPr="00AB64B0">
        <w:rPr>
          <w:rFonts w:ascii="Arial" w:hAnsi="Arial" w:cs="Arial"/>
          <w:color w:val="7B7B7B" w:themeColor="accent3" w:themeShade="BF"/>
          <w:sz w:val="22"/>
          <w:szCs w:val="22"/>
          <w:lang w:val="en-GB"/>
        </w:rPr>
        <w:t>in any other case: a victim of the transactio</w:t>
      </w:r>
      <w:r w:rsidR="00DD6E9D">
        <w:rPr>
          <w:rFonts w:ascii="Arial" w:hAnsi="Arial" w:cs="Arial"/>
          <w:color w:val="7B7B7B" w:themeColor="accent3" w:themeShade="BF"/>
          <w:sz w:val="22"/>
          <w:szCs w:val="22"/>
          <w:lang w:val="en-GB"/>
        </w:rPr>
        <w:t>n</w:t>
      </w:r>
      <w:r w:rsidR="00DD6E9D">
        <w:rPr>
          <w:rStyle w:val="FootnoteReference"/>
          <w:rFonts w:ascii="Arial" w:hAnsi="Arial" w:cs="Arial"/>
          <w:color w:val="7B7B7B" w:themeColor="accent3" w:themeShade="BF"/>
          <w:sz w:val="22"/>
          <w:szCs w:val="22"/>
          <w:lang w:val="en-GB"/>
        </w:rPr>
        <w:footnoteReference w:id="1"/>
      </w:r>
    </w:p>
    <w:p w14:paraId="7243D74C" w14:textId="52233BD1" w:rsidR="00B57AC9" w:rsidRDefault="00B57AC9" w:rsidP="007D280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action under section 6 of the Company Directors Disqualificat</w:t>
      </w:r>
      <w:r w:rsidR="007D280F">
        <w:rPr>
          <w:rFonts w:ascii="Arial" w:hAnsi="Arial" w:cs="Arial"/>
          <w:color w:val="7B7B7B" w:themeColor="accent3" w:themeShade="BF"/>
          <w:sz w:val="22"/>
          <w:szCs w:val="22"/>
          <w:lang w:val="en-GB"/>
        </w:rPr>
        <w:t>ion Act 1986 may be brought by a creditor or liquidator</w:t>
      </w:r>
      <w:r w:rsidR="003209BB">
        <w:rPr>
          <w:rFonts w:ascii="Arial" w:hAnsi="Arial" w:cs="Arial"/>
          <w:color w:val="7B7B7B" w:themeColor="accent3" w:themeShade="BF"/>
          <w:sz w:val="22"/>
          <w:szCs w:val="22"/>
          <w:lang w:val="en-GB"/>
        </w:rPr>
        <w:t xml:space="preserve"> of the company</w:t>
      </w:r>
      <w:r w:rsidR="007D280F">
        <w:rPr>
          <w:rFonts w:ascii="Arial" w:hAnsi="Arial" w:cs="Arial"/>
          <w:color w:val="7B7B7B" w:themeColor="accent3" w:themeShade="BF"/>
          <w:sz w:val="22"/>
          <w:szCs w:val="22"/>
          <w:lang w:val="en-GB"/>
        </w:rPr>
        <w:t xml:space="preserve">. </w:t>
      </w:r>
    </w:p>
    <w:p w14:paraId="001CD738" w14:textId="7A76DECE" w:rsidR="007D280F" w:rsidRPr="007D280F" w:rsidRDefault="007D280F" w:rsidP="007D280F">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action under section 246ZB of the Insolvency Act 1986 can be brought by </w:t>
      </w:r>
      <w:r w:rsidR="003209BB">
        <w:rPr>
          <w:rFonts w:ascii="Arial" w:hAnsi="Arial" w:cs="Arial"/>
          <w:color w:val="7B7B7B" w:themeColor="accent3" w:themeShade="BF"/>
          <w:sz w:val="22"/>
          <w:szCs w:val="22"/>
          <w:lang w:val="en-GB"/>
        </w:rPr>
        <w:t xml:space="preserve">a liquidator or an administrator of the company. </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7F2AA29D" w:rsidR="00FF5098" w:rsidRPr="00FF5098" w:rsidRDefault="00370AE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five</w:t>
      </w:r>
      <w:r w:rsidR="00804F0B">
        <w:rPr>
          <w:rFonts w:ascii="Arial" w:hAnsi="Arial" w:cs="Arial"/>
          <w:color w:val="7B7B7B" w:themeColor="accent3" w:themeShade="BF"/>
          <w:sz w:val="22"/>
          <w:szCs w:val="22"/>
          <w:lang w:val="en-GB"/>
        </w:rPr>
        <w:t xml:space="preserve"> qualifying decision procedures are: (a) correspondence, (b) electronic voting, (c) virtual meeting, (</w:t>
      </w:r>
      <w:r>
        <w:rPr>
          <w:rFonts w:ascii="Arial" w:hAnsi="Arial" w:cs="Arial"/>
          <w:color w:val="7B7B7B" w:themeColor="accent3" w:themeShade="BF"/>
          <w:sz w:val="22"/>
          <w:szCs w:val="22"/>
          <w:lang w:val="en-GB"/>
        </w:rPr>
        <w:t>d) physical meeting and (e) any other decision making procedure which enables all creditors who are entitled to participate in the making of the decision to participate equally</w:t>
      </w:r>
      <w:r>
        <w:rPr>
          <w:rStyle w:val="FootnoteReference"/>
          <w:rFonts w:ascii="Arial" w:hAnsi="Arial" w:cs="Arial"/>
          <w:color w:val="7B7B7B" w:themeColor="accent3" w:themeShade="BF"/>
          <w:sz w:val="22"/>
          <w:szCs w:val="22"/>
          <w:lang w:val="en-GB"/>
        </w:rPr>
        <w:footnoteReference w:id="2"/>
      </w:r>
      <w:r w:rsidR="00804F0B">
        <w:rPr>
          <w:rFonts w:ascii="Arial" w:hAnsi="Arial" w:cs="Arial"/>
          <w:color w:val="7B7B7B" w:themeColor="accent3" w:themeShade="BF"/>
          <w:sz w:val="22"/>
          <w:szCs w:val="22"/>
          <w:lang w:val="en-GB"/>
        </w:rPr>
        <w:t xml:space="preserve">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6A3D9559" w14:textId="77777777" w:rsidR="006F4922" w:rsidRDefault="00107314" w:rsidP="009C4E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 of the Insolvency Act enables an administrator to require suppliers of gas, electricity, water and communications services (including point of sale terminals, computer hardware and software, information, advice, </w:t>
      </w:r>
      <w:r w:rsidR="009B4DB2">
        <w:rPr>
          <w:rFonts w:ascii="Arial" w:hAnsi="Arial" w:cs="Arial"/>
          <w:color w:val="7B7B7B" w:themeColor="accent3" w:themeShade="BF"/>
          <w:sz w:val="22"/>
          <w:szCs w:val="22"/>
          <w:lang w:val="en-GB"/>
        </w:rPr>
        <w:t xml:space="preserve">technical assistance, data storage and proceeding and website hosting) to continue providing those goods and services during administration. </w:t>
      </w:r>
    </w:p>
    <w:p w14:paraId="4956826A" w14:textId="77777777" w:rsidR="006F4922" w:rsidRDefault="006F4922" w:rsidP="009C4E19">
      <w:pPr>
        <w:jc w:val="both"/>
        <w:rPr>
          <w:rFonts w:ascii="Arial" w:hAnsi="Arial" w:cs="Arial"/>
          <w:color w:val="7B7B7B" w:themeColor="accent3" w:themeShade="BF"/>
          <w:sz w:val="22"/>
          <w:szCs w:val="22"/>
          <w:lang w:val="en-GB"/>
        </w:rPr>
      </w:pPr>
    </w:p>
    <w:p w14:paraId="30654BE6" w14:textId="367BE03E" w:rsidR="00A462D6" w:rsidRDefault="009B4DB2" w:rsidP="009C4E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Suppliers are not allowed to require </w:t>
      </w:r>
      <w:r w:rsidR="009C4E19">
        <w:rPr>
          <w:rFonts w:ascii="Arial" w:hAnsi="Arial" w:cs="Arial"/>
          <w:color w:val="7B7B7B" w:themeColor="accent3" w:themeShade="BF"/>
          <w:sz w:val="22"/>
          <w:szCs w:val="22"/>
          <w:lang w:val="en-GB"/>
        </w:rPr>
        <w:t>payment of outstanding debts by the administrators in order to ensure a new or continued supply of the aforementioned goods and services to the company under administration, but section 233 does permit a supplier to stipulate that the administrator must personally guarantee payment of any charges in relation to the supply</w:t>
      </w:r>
      <w:r w:rsidR="009C4E19">
        <w:rPr>
          <w:rStyle w:val="FootnoteReference"/>
          <w:rFonts w:ascii="Arial" w:hAnsi="Arial" w:cs="Arial"/>
          <w:color w:val="7B7B7B" w:themeColor="accent3" w:themeShade="BF"/>
          <w:sz w:val="22"/>
          <w:szCs w:val="22"/>
          <w:lang w:val="en-GB"/>
        </w:rPr>
        <w:footnoteReference w:id="3"/>
      </w:r>
      <w:r w:rsidR="0019416E">
        <w:rPr>
          <w:rFonts w:ascii="Arial" w:hAnsi="Arial" w:cs="Arial"/>
          <w:color w:val="7B7B7B" w:themeColor="accent3" w:themeShade="BF"/>
          <w:sz w:val="22"/>
          <w:szCs w:val="22"/>
          <w:lang w:val="en-GB"/>
        </w:rPr>
        <w:t xml:space="preserve">. </w:t>
      </w:r>
    </w:p>
    <w:p w14:paraId="2E450CAD" w14:textId="4E7C910E" w:rsidR="00FF5098" w:rsidRDefault="0019416E" w:rsidP="009C4E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Section 233A excludes any "insolvency-related term" in a contract to supply goods and services, which would otherwise allow the supplier to terminate the supply of goods and services, increase price for continued supply or otherwise alter the terms of the contract</w:t>
      </w:r>
      <w:r w:rsidR="00A462D6">
        <w:rPr>
          <w:rStyle w:val="FootnoteReference"/>
          <w:rFonts w:ascii="Arial" w:hAnsi="Arial" w:cs="Arial"/>
          <w:color w:val="7B7B7B" w:themeColor="accent3" w:themeShade="BF"/>
          <w:sz w:val="22"/>
          <w:szCs w:val="22"/>
          <w:lang w:val="en-GB"/>
        </w:rPr>
        <w:footnoteReference w:id="4"/>
      </w:r>
      <w:r w:rsidR="00A462D6">
        <w:rPr>
          <w:rFonts w:ascii="Arial" w:hAnsi="Arial" w:cs="Arial"/>
          <w:color w:val="7B7B7B" w:themeColor="accent3" w:themeShade="BF"/>
          <w:sz w:val="22"/>
          <w:szCs w:val="22"/>
          <w:lang w:val="en-GB"/>
        </w:rPr>
        <w:t xml:space="preserve">. </w:t>
      </w:r>
    </w:p>
    <w:p w14:paraId="64BCEEBF" w14:textId="1684C875" w:rsidR="00A462D6" w:rsidRDefault="00A462D6" w:rsidP="009C4E19">
      <w:pPr>
        <w:jc w:val="both"/>
        <w:rPr>
          <w:rFonts w:ascii="Arial" w:hAnsi="Arial" w:cs="Arial"/>
          <w:color w:val="7B7B7B" w:themeColor="accent3" w:themeShade="BF"/>
          <w:sz w:val="22"/>
          <w:szCs w:val="22"/>
          <w:lang w:val="en-GB"/>
        </w:rPr>
      </w:pPr>
    </w:p>
    <w:p w14:paraId="7F0ADD9B" w14:textId="00A25DFD" w:rsidR="00A462D6" w:rsidRDefault="00A462D6" w:rsidP="009C4E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233B prohibits clauses which purport to allow the supplier to terminate or "do any other thing" in relation to the supply contract, if the company in question enters a formal insolvency procedure</w:t>
      </w:r>
      <w:r>
        <w:rPr>
          <w:rStyle w:val="FootnoteReference"/>
          <w:rFonts w:ascii="Arial" w:hAnsi="Arial" w:cs="Arial"/>
          <w:color w:val="7B7B7B" w:themeColor="accent3" w:themeShade="BF"/>
          <w:sz w:val="22"/>
          <w:szCs w:val="22"/>
          <w:lang w:val="en-GB"/>
        </w:rPr>
        <w:footnoteReference w:id="5"/>
      </w:r>
      <w:r w:rsidR="000C7110">
        <w:rPr>
          <w:rFonts w:ascii="Arial" w:hAnsi="Arial" w:cs="Arial"/>
          <w:color w:val="7B7B7B" w:themeColor="accent3" w:themeShade="BF"/>
          <w:sz w:val="22"/>
          <w:szCs w:val="22"/>
          <w:lang w:val="en-GB"/>
        </w:rPr>
        <w:t>.</w:t>
      </w:r>
    </w:p>
    <w:p w14:paraId="6FFC5407" w14:textId="4B5921EE" w:rsidR="000C7110" w:rsidRDefault="000C7110" w:rsidP="009C4E19">
      <w:pPr>
        <w:jc w:val="both"/>
        <w:rPr>
          <w:rFonts w:ascii="Arial" w:hAnsi="Arial" w:cs="Arial"/>
          <w:color w:val="7B7B7B" w:themeColor="accent3" w:themeShade="BF"/>
          <w:sz w:val="22"/>
          <w:szCs w:val="22"/>
          <w:lang w:val="en-GB"/>
        </w:rPr>
      </w:pPr>
    </w:p>
    <w:p w14:paraId="3577881F" w14:textId="05C3FE96" w:rsidR="000C7110" w:rsidRPr="00FF5098" w:rsidRDefault="000C7110" w:rsidP="009C4E19">
      <w:pPr>
        <w:jc w:val="both"/>
        <w:rPr>
          <w:rFonts w:ascii="Arial" w:hAnsi="Arial" w:cs="Arial"/>
          <w:sz w:val="22"/>
          <w:szCs w:val="22"/>
        </w:rPr>
      </w:pPr>
      <w:r>
        <w:rPr>
          <w:rFonts w:ascii="Arial" w:hAnsi="Arial" w:cs="Arial"/>
          <w:color w:val="7B7B7B" w:themeColor="accent3" w:themeShade="BF"/>
          <w:sz w:val="22"/>
          <w:szCs w:val="22"/>
          <w:lang w:val="en-GB"/>
        </w:rPr>
        <w:t xml:space="preserve">Notwithstanding the above provisions, which are designed to ensure that suppliers do not simply abandon supply contracts for insolvent companies or hike their prices in response or demand payment of arrears, a supply contract could potentially still be terminated by a supplier, if such termination is consented to by the </w:t>
      </w:r>
      <w:r w:rsidR="006F4922">
        <w:rPr>
          <w:rFonts w:ascii="Arial" w:hAnsi="Arial" w:cs="Arial"/>
          <w:color w:val="7B7B7B" w:themeColor="accent3" w:themeShade="BF"/>
          <w:sz w:val="22"/>
          <w:szCs w:val="22"/>
          <w:lang w:val="en-GB"/>
        </w:rPr>
        <w:t>administrator or the supplier makes and is successful in a court application for permission to terminate</w:t>
      </w:r>
      <w:r w:rsidR="006F4922">
        <w:rPr>
          <w:rStyle w:val="FootnoteReference"/>
          <w:rFonts w:ascii="Arial" w:hAnsi="Arial" w:cs="Arial"/>
          <w:color w:val="7B7B7B" w:themeColor="accent3" w:themeShade="BF"/>
          <w:sz w:val="22"/>
          <w:szCs w:val="22"/>
          <w:lang w:val="en-GB"/>
        </w:rPr>
        <w:footnoteReference w:id="6"/>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17A8555F" w:rsidR="00FF5098" w:rsidRDefault="005571F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115 of the Insolvency Act and rules 6.42 and 7.108 of the Insolvency Rules provide that a certain expenses are given priority over preferential creditors, holders of floating charges and unsecured creditors. The expenses are as follows, in order of priority: </w:t>
      </w:r>
    </w:p>
    <w:p w14:paraId="2FDFDD34" w14:textId="672DC0FB" w:rsidR="005571F3" w:rsidRDefault="005571F3" w:rsidP="005571F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incurred by the liquidator in preserving, realising or </w:t>
      </w:r>
      <w:r w:rsidR="009B58D1">
        <w:rPr>
          <w:rFonts w:ascii="Arial" w:hAnsi="Arial" w:cs="Arial"/>
          <w:color w:val="7B7B7B" w:themeColor="accent3" w:themeShade="BF"/>
          <w:sz w:val="22"/>
          <w:szCs w:val="22"/>
          <w:lang w:val="en-GB"/>
        </w:rPr>
        <w:t xml:space="preserve">getting in assets of the company. This includes the conduct of any proceedings relating to such recovery. </w:t>
      </w:r>
    </w:p>
    <w:p w14:paraId="61514269" w14:textId="36F6EA9D" w:rsidR="009B58D1" w:rsidRDefault="009B58D1" w:rsidP="005571F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cost of any security provided by the liquidator. </w:t>
      </w:r>
    </w:p>
    <w:p w14:paraId="3993662C" w14:textId="07FD9517" w:rsidR="009B58D1" w:rsidRDefault="009B58D1" w:rsidP="005571F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amount payable to persons (usually accounting firms) to prepare a statement of account/statement of affairs of the company. </w:t>
      </w:r>
    </w:p>
    <w:p w14:paraId="264D56F1" w14:textId="375D522B" w:rsidR="009B58D1" w:rsidRDefault="009B58D1" w:rsidP="005571F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necessary disbursements incurred by the liquidator in the course of winding up the company</w:t>
      </w:r>
      <w:r w:rsidR="008C6D80">
        <w:rPr>
          <w:rFonts w:ascii="Arial" w:hAnsi="Arial" w:cs="Arial"/>
          <w:color w:val="7B7B7B" w:themeColor="accent3" w:themeShade="BF"/>
          <w:sz w:val="22"/>
          <w:szCs w:val="22"/>
          <w:lang w:val="en-GB"/>
        </w:rPr>
        <w:t xml:space="preserve"> (for example, expenses incurred by members of the liquidation committee). </w:t>
      </w:r>
    </w:p>
    <w:p w14:paraId="37194F56" w14:textId="305B55A2" w:rsidR="008C6D80" w:rsidRDefault="008C6D80" w:rsidP="008C6D8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remuneration of any person who has been employed/retained by the liquidator to perform any services for the company. </w:t>
      </w:r>
    </w:p>
    <w:p w14:paraId="3AF0FF98" w14:textId="0BE4C04B" w:rsidR="008C6D80" w:rsidRDefault="008C6D80" w:rsidP="008C6D8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the liquidator himself</w:t>
      </w:r>
      <w:r w:rsidR="007E7B9A">
        <w:rPr>
          <w:rFonts w:ascii="Arial" w:hAnsi="Arial" w:cs="Arial"/>
          <w:color w:val="7B7B7B" w:themeColor="accent3" w:themeShade="BF"/>
          <w:sz w:val="22"/>
          <w:szCs w:val="22"/>
          <w:lang w:val="en-GB"/>
        </w:rPr>
        <w:t xml:space="preserve"> (which is subject to rule including the fees estimate regime, where a time cost basis for the liquidator's fees is used). </w:t>
      </w:r>
    </w:p>
    <w:p w14:paraId="61B1BDD5" w14:textId="6E5D60AA" w:rsidR="007E7B9A" w:rsidRDefault="007E7B9A" w:rsidP="008C6D8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corporate tax on chargeable gains accruing on the realisation of any company assets. </w:t>
      </w:r>
    </w:p>
    <w:p w14:paraId="0F5251B9" w14:textId="631B9F6A" w:rsidR="007E7B9A" w:rsidRDefault="007E7B9A" w:rsidP="008C6D8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expenses properly chargeable by the liquidator in carrying out the liquidator's functions in the winding up. </w:t>
      </w:r>
    </w:p>
    <w:p w14:paraId="35BF897F" w14:textId="5AA8276F" w:rsidR="00F905CE" w:rsidRDefault="00F905CE" w:rsidP="00F905CE">
      <w:pPr>
        <w:jc w:val="both"/>
        <w:rPr>
          <w:rFonts w:ascii="Arial" w:hAnsi="Arial" w:cs="Arial"/>
          <w:color w:val="7B7B7B" w:themeColor="accent3" w:themeShade="BF"/>
          <w:sz w:val="22"/>
          <w:szCs w:val="22"/>
          <w:lang w:val="en-GB"/>
        </w:rPr>
      </w:pPr>
    </w:p>
    <w:p w14:paraId="4F594C7F" w14:textId="64A9FA37" w:rsidR="002605D7" w:rsidRDefault="00F905CE" w:rsidP="00F90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above expenses of the liquidation are paid up, the assets of the company are then used to pay preferential creditors. </w:t>
      </w:r>
      <w:r w:rsidR="002605D7">
        <w:rPr>
          <w:rFonts w:ascii="Arial" w:hAnsi="Arial" w:cs="Arial"/>
          <w:color w:val="7B7B7B" w:themeColor="accent3" w:themeShade="BF"/>
          <w:sz w:val="22"/>
          <w:szCs w:val="22"/>
          <w:lang w:val="en-GB"/>
        </w:rPr>
        <w:t xml:space="preserve">"Preferential creditors" usually includes employee claims (including their pension schemes) and some other tax liabilities. </w:t>
      </w:r>
      <w:r w:rsidR="00C97CE3">
        <w:rPr>
          <w:rFonts w:ascii="Arial" w:hAnsi="Arial" w:cs="Arial"/>
          <w:color w:val="7B7B7B" w:themeColor="accent3" w:themeShade="BF"/>
          <w:sz w:val="22"/>
          <w:szCs w:val="22"/>
          <w:lang w:val="en-GB"/>
        </w:rPr>
        <w:t xml:space="preserve">The Employment Rights Act 1996 provides more extensive protection for employees than the Insolvency Act, and there is some duplication between the two sets of provisions. In relation to tax liabilities, a number of liabilities owed to the Crown have been more recently reintroduced by section 95 of the Finance Act 2020. </w:t>
      </w:r>
    </w:p>
    <w:p w14:paraId="67F0F13C" w14:textId="2F21C695" w:rsidR="004E378F" w:rsidRDefault="004E378F" w:rsidP="00F905CE">
      <w:pPr>
        <w:jc w:val="both"/>
        <w:rPr>
          <w:rFonts w:ascii="Arial" w:hAnsi="Arial" w:cs="Arial"/>
          <w:color w:val="7B7B7B" w:themeColor="accent3" w:themeShade="BF"/>
          <w:sz w:val="22"/>
          <w:szCs w:val="22"/>
          <w:lang w:val="en-GB"/>
        </w:rPr>
      </w:pPr>
    </w:p>
    <w:p w14:paraId="3DCBFF6C" w14:textId="040F04E6" w:rsidR="004E378F" w:rsidRDefault="004E378F" w:rsidP="00F90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Preferential debts are split into ordinary and secondary classes. Ordinary preferential debts are paid before secondary. Each class rank equally amongst themselves, so receive equal aggregate compensation, if there are not sufficient funds to pay them in full. </w:t>
      </w:r>
    </w:p>
    <w:p w14:paraId="4F3BB030" w14:textId="1F9250C8" w:rsidR="00D35E4D" w:rsidRDefault="00D35E4D" w:rsidP="00F90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Schedule 6 of the Insolvency Act lists preferential debts.  </w:t>
      </w:r>
    </w:p>
    <w:p w14:paraId="27910D0F" w14:textId="6F9CABB8" w:rsidR="002605D7" w:rsidRDefault="002605D7" w:rsidP="00F905CE">
      <w:pPr>
        <w:jc w:val="both"/>
        <w:rPr>
          <w:rFonts w:ascii="Arial" w:hAnsi="Arial" w:cs="Arial"/>
          <w:color w:val="7B7B7B" w:themeColor="accent3" w:themeShade="BF"/>
          <w:sz w:val="22"/>
          <w:szCs w:val="22"/>
          <w:lang w:val="en-GB"/>
        </w:rPr>
      </w:pPr>
    </w:p>
    <w:p w14:paraId="7FFDB911" w14:textId="1C73D959" w:rsidR="00F905CE" w:rsidRDefault="00F905CE" w:rsidP="00F90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preferential creditors' claims have been settled. Residual funds are then used to pay holders of floating charges and then unsecured creditors. </w:t>
      </w:r>
      <w:r w:rsidR="00D35E4D">
        <w:rPr>
          <w:rFonts w:ascii="Arial" w:hAnsi="Arial" w:cs="Arial"/>
          <w:color w:val="7B7B7B" w:themeColor="accent3" w:themeShade="BF"/>
          <w:sz w:val="22"/>
          <w:szCs w:val="22"/>
          <w:lang w:val="en-GB"/>
        </w:rPr>
        <w:t>However, the liquidator is under a duty to make a "prescribed p</w:t>
      </w:r>
      <w:r w:rsidR="00DB18A9">
        <w:rPr>
          <w:rFonts w:ascii="Arial" w:hAnsi="Arial" w:cs="Arial"/>
          <w:color w:val="7B7B7B" w:themeColor="accent3" w:themeShade="BF"/>
          <w:sz w:val="22"/>
          <w:szCs w:val="22"/>
          <w:lang w:val="en-GB"/>
        </w:rPr>
        <w:t>art" of the company's "net property"</w:t>
      </w:r>
      <w:r w:rsidR="00D35E4D">
        <w:rPr>
          <w:rFonts w:ascii="Arial" w:hAnsi="Arial" w:cs="Arial"/>
          <w:color w:val="7B7B7B" w:themeColor="accent3" w:themeShade="BF"/>
          <w:sz w:val="22"/>
          <w:szCs w:val="22"/>
          <w:lang w:val="en-GB"/>
        </w:rPr>
        <w:t xml:space="preserve"> available to settle unsecured debts and must not distribute any of that prescribed part to </w:t>
      </w:r>
      <w:r w:rsidR="00DB18A9">
        <w:rPr>
          <w:rFonts w:ascii="Arial" w:hAnsi="Arial" w:cs="Arial"/>
          <w:color w:val="7B7B7B" w:themeColor="accent3" w:themeShade="BF"/>
          <w:sz w:val="22"/>
          <w:szCs w:val="22"/>
          <w:lang w:val="en-GB"/>
        </w:rPr>
        <w:t xml:space="preserve">floating charge holders unless it is in excess of what is need to satisfy all the unsecured debts. "Net property" is the amount of the company's property, which would have otherwise been available to satisfy the floating charge holders' debts. It is calculated after the liquidation expenses and preferential debts have been paid. </w:t>
      </w:r>
    </w:p>
    <w:p w14:paraId="2365FB48" w14:textId="74F9404F" w:rsidR="00DB18A9" w:rsidRDefault="00DB18A9" w:rsidP="00F905CE">
      <w:pPr>
        <w:jc w:val="both"/>
        <w:rPr>
          <w:rFonts w:ascii="Arial" w:hAnsi="Arial" w:cs="Arial"/>
          <w:color w:val="7B7B7B" w:themeColor="accent3" w:themeShade="BF"/>
          <w:sz w:val="22"/>
          <w:szCs w:val="22"/>
          <w:lang w:val="en-GB"/>
        </w:rPr>
      </w:pPr>
    </w:p>
    <w:p w14:paraId="1925187A" w14:textId="3C5DB011" w:rsidR="00DB18A9" w:rsidRDefault="0034555E" w:rsidP="00F90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Subject to the "prescribed part" as defined above, u</w:t>
      </w:r>
      <w:r w:rsidR="00DB18A9">
        <w:rPr>
          <w:rFonts w:ascii="Arial" w:hAnsi="Arial" w:cs="Arial"/>
          <w:color w:val="7B7B7B" w:themeColor="accent3" w:themeShade="BF"/>
          <w:sz w:val="22"/>
          <w:szCs w:val="22"/>
          <w:lang w:val="en-GB"/>
        </w:rPr>
        <w:t xml:space="preserve">nsecured creditors are paid last. Once the liquidation expenses and distributions </w:t>
      </w:r>
      <w:r w:rsidR="00F54AD7">
        <w:rPr>
          <w:rFonts w:ascii="Arial" w:hAnsi="Arial" w:cs="Arial"/>
          <w:color w:val="7B7B7B" w:themeColor="accent3" w:themeShade="BF"/>
          <w:sz w:val="22"/>
          <w:szCs w:val="22"/>
          <w:lang w:val="en-GB"/>
        </w:rPr>
        <w:t xml:space="preserve">are </w:t>
      </w:r>
      <w:r w:rsidR="00DB18A9">
        <w:rPr>
          <w:rFonts w:ascii="Arial" w:hAnsi="Arial" w:cs="Arial"/>
          <w:color w:val="7B7B7B" w:themeColor="accent3" w:themeShade="BF"/>
          <w:sz w:val="22"/>
          <w:szCs w:val="22"/>
          <w:lang w:val="en-GB"/>
        </w:rPr>
        <w:t xml:space="preserve">made to preferential and secured creditors, there is usually barely anything left in order to pay a dividend to unsecured creditors. </w:t>
      </w:r>
    </w:p>
    <w:p w14:paraId="1B01B4F8" w14:textId="5C31EB5D" w:rsidR="00F54AD7" w:rsidRDefault="00F54AD7" w:rsidP="00F905CE">
      <w:pPr>
        <w:jc w:val="both"/>
        <w:rPr>
          <w:rFonts w:ascii="Arial" w:hAnsi="Arial" w:cs="Arial"/>
          <w:color w:val="7B7B7B" w:themeColor="accent3" w:themeShade="BF"/>
          <w:sz w:val="22"/>
          <w:szCs w:val="22"/>
          <w:lang w:val="en-GB"/>
        </w:rPr>
      </w:pPr>
    </w:p>
    <w:p w14:paraId="021F25DB" w14:textId="0C22DEC4" w:rsidR="00F54AD7" w:rsidRDefault="00F54AD7" w:rsidP="00F90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only if there are sufficient funds to pay all creditors including interest, any (unlikely) surplus is distributed amongst the shareholders in accordance with the company's memorandum and articles of association, which usually contain a term providing for a distribution pro rata the shareholders' respective shareholdings</w:t>
      </w:r>
      <w:r>
        <w:rPr>
          <w:rStyle w:val="FootnoteReference"/>
          <w:rFonts w:ascii="Arial" w:hAnsi="Arial" w:cs="Arial"/>
          <w:color w:val="7B7B7B" w:themeColor="accent3" w:themeShade="BF"/>
          <w:sz w:val="22"/>
          <w:szCs w:val="22"/>
          <w:lang w:val="en-GB"/>
        </w:rPr>
        <w:footnoteReference w:id="7"/>
      </w:r>
      <w:r w:rsidR="000D6C77">
        <w:rPr>
          <w:rFonts w:ascii="Arial" w:hAnsi="Arial" w:cs="Arial"/>
          <w:color w:val="7B7B7B" w:themeColor="accent3" w:themeShade="BF"/>
          <w:sz w:val="22"/>
          <w:szCs w:val="22"/>
          <w:lang w:val="en-GB"/>
        </w:rPr>
        <w:t xml:space="preserve">. </w:t>
      </w:r>
    </w:p>
    <w:p w14:paraId="3DAA6780" w14:textId="1CF4EBDE"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2F9186E3" w14:textId="44CD1CF7" w:rsidR="0003079D" w:rsidRDefault="00371D8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245 of the Insolvency Act </w:t>
      </w:r>
      <w:r w:rsidR="00D71B9F">
        <w:rPr>
          <w:rFonts w:ascii="Arial" w:hAnsi="Arial" w:cs="Arial"/>
          <w:color w:val="7B7B7B" w:themeColor="accent3" w:themeShade="BF"/>
          <w:sz w:val="22"/>
          <w:szCs w:val="22"/>
          <w:lang w:val="en-GB"/>
        </w:rPr>
        <w:t>may apply</w:t>
      </w:r>
      <w:r>
        <w:rPr>
          <w:rFonts w:ascii="Arial" w:hAnsi="Arial" w:cs="Arial"/>
          <w:color w:val="7B7B7B" w:themeColor="accent3" w:themeShade="BF"/>
          <w:sz w:val="22"/>
          <w:szCs w:val="22"/>
          <w:lang w:val="en-GB"/>
        </w:rPr>
        <w:t xml:space="preserve"> here. It is aimed at preventing pre-existin</w:t>
      </w:r>
      <w:r w:rsidR="00D71B9F">
        <w:rPr>
          <w:rFonts w:ascii="Arial" w:hAnsi="Arial" w:cs="Arial"/>
          <w:color w:val="7B7B7B" w:themeColor="accent3" w:themeShade="BF"/>
          <w:sz w:val="22"/>
          <w:szCs w:val="22"/>
          <w:lang w:val="en-GB"/>
        </w:rPr>
        <w:t xml:space="preserve">g unsecured creditors </w:t>
      </w:r>
      <w:r>
        <w:rPr>
          <w:rFonts w:ascii="Arial" w:hAnsi="Arial" w:cs="Arial"/>
          <w:color w:val="7B7B7B" w:themeColor="accent3" w:themeShade="BF"/>
          <w:sz w:val="22"/>
          <w:szCs w:val="22"/>
          <w:lang w:val="en-GB"/>
        </w:rPr>
        <w:t xml:space="preserve">from obtaining the security of a floating charge </w:t>
      </w:r>
      <w:r w:rsidR="0003079D">
        <w:rPr>
          <w:rFonts w:ascii="Arial" w:hAnsi="Arial" w:cs="Arial"/>
          <w:color w:val="7B7B7B" w:themeColor="accent3" w:themeShade="BF"/>
          <w:sz w:val="22"/>
          <w:szCs w:val="22"/>
          <w:lang w:val="en-GB"/>
        </w:rPr>
        <w:t xml:space="preserve">in the relevant time period </w:t>
      </w:r>
      <w:r>
        <w:rPr>
          <w:rFonts w:ascii="Arial" w:hAnsi="Arial" w:cs="Arial"/>
          <w:color w:val="7B7B7B" w:themeColor="accent3" w:themeShade="BF"/>
          <w:sz w:val="22"/>
          <w:szCs w:val="22"/>
          <w:lang w:val="en-GB"/>
        </w:rPr>
        <w:t xml:space="preserve">before </w:t>
      </w:r>
      <w:r w:rsidR="00D71B9F">
        <w:rPr>
          <w:rFonts w:ascii="Arial" w:hAnsi="Arial" w:cs="Arial"/>
          <w:color w:val="7B7B7B" w:themeColor="accent3" w:themeShade="BF"/>
          <w:sz w:val="22"/>
          <w:szCs w:val="22"/>
          <w:lang w:val="en-GB"/>
        </w:rPr>
        <w:t xml:space="preserve">the Company became </w:t>
      </w:r>
      <w:r>
        <w:rPr>
          <w:rFonts w:ascii="Arial" w:hAnsi="Arial" w:cs="Arial"/>
          <w:color w:val="7B7B7B" w:themeColor="accent3" w:themeShade="BF"/>
          <w:sz w:val="22"/>
          <w:szCs w:val="22"/>
          <w:lang w:val="en-GB"/>
        </w:rPr>
        <w:t xml:space="preserve">insolvent. </w:t>
      </w:r>
    </w:p>
    <w:p w14:paraId="0C62A6D1" w14:textId="77777777" w:rsidR="0003079D" w:rsidRDefault="0003079D" w:rsidP="00FF5098">
      <w:pPr>
        <w:jc w:val="both"/>
        <w:rPr>
          <w:rFonts w:ascii="Arial" w:hAnsi="Arial" w:cs="Arial"/>
          <w:color w:val="7B7B7B" w:themeColor="accent3" w:themeShade="BF"/>
          <w:sz w:val="22"/>
          <w:szCs w:val="22"/>
          <w:lang w:val="en-GB"/>
        </w:rPr>
      </w:pPr>
    </w:p>
    <w:p w14:paraId="0A1E4A5E" w14:textId="594F9E2E" w:rsidR="0003079D" w:rsidRDefault="00D71B9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Stercus Bank plc was an unsecured creditor</w:t>
      </w:r>
      <w:r w:rsidR="0003079D">
        <w:rPr>
          <w:rFonts w:ascii="Arial" w:hAnsi="Arial" w:cs="Arial"/>
          <w:color w:val="7B7B7B" w:themeColor="accent3" w:themeShade="BF"/>
          <w:sz w:val="22"/>
          <w:szCs w:val="22"/>
          <w:lang w:val="en-GB"/>
        </w:rPr>
        <w:t xml:space="preserve"> unconnected to the Company</w:t>
      </w:r>
      <w:r>
        <w:rPr>
          <w:rFonts w:ascii="Arial" w:hAnsi="Arial" w:cs="Arial"/>
          <w:color w:val="7B7B7B" w:themeColor="accent3" w:themeShade="BF"/>
          <w:sz w:val="22"/>
          <w:szCs w:val="22"/>
          <w:lang w:val="en-GB"/>
        </w:rPr>
        <w:t xml:space="preserve">, </w:t>
      </w:r>
      <w:r w:rsidR="0003079D">
        <w:rPr>
          <w:rFonts w:ascii="Arial" w:hAnsi="Arial" w:cs="Arial"/>
          <w:color w:val="7B7B7B" w:themeColor="accent3" w:themeShade="BF"/>
          <w:sz w:val="22"/>
          <w:szCs w:val="22"/>
          <w:lang w:val="en-GB"/>
        </w:rPr>
        <w:t xml:space="preserve">then the relevant time period would be 12 months prior to </w:t>
      </w:r>
      <w:r w:rsidR="007006CA">
        <w:rPr>
          <w:rFonts w:ascii="Arial" w:hAnsi="Arial" w:cs="Arial"/>
          <w:color w:val="7B7B7B" w:themeColor="accent3" w:themeShade="BF"/>
          <w:sz w:val="22"/>
          <w:szCs w:val="22"/>
          <w:lang w:val="en-GB"/>
        </w:rPr>
        <w:t>the onset of insolvency, if</w:t>
      </w:r>
      <w:r w:rsidR="0003079D">
        <w:rPr>
          <w:rFonts w:ascii="Arial" w:hAnsi="Arial" w:cs="Arial"/>
          <w:color w:val="7B7B7B" w:themeColor="accent3" w:themeShade="BF"/>
          <w:sz w:val="22"/>
          <w:szCs w:val="22"/>
          <w:lang w:val="en-GB"/>
        </w:rPr>
        <w:t xml:space="preserve"> at the time the floating charge was created, the Company was already unable to pay its debts. </w:t>
      </w:r>
    </w:p>
    <w:p w14:paraId="2172F1D0" w14:textId="77777777" w:rsidR="0003079D" w:rsidRDefault="0003079D" w:rsidP="00FF5098">
      <w:pPr>
        <w:jc w:val="both"/>
        <w:rPr>
          <w:rFonts w:ascii="Arial" w:hAnsi="Arial" w:cs="Arial"/>
          <w:color w:val="7B7B7B" w:themeColor="accent3" w:themeShade="BF"/>
          <w:sz w:val="22"/>
          <w:szCs w:val="22"/>
          <w:lang w:val="en-GB"/>
        </w:rPr>
      </w:pPr>
    </w:p>
    <w:p w14:paraId="0A188A55" w14:textId="026A1F33" w:rsidR="00FF5098" w:rsidRPr="00FF5098" w:rsidRDefault="0003079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Stercus Bank plc, therefore, </w:t>
      </w:r>
      <w:r w:rsidR="00D71B9F">
        <w:rPr>
          <w:rFonts w:ascii="Arial" w:hAnsi="Arial" w:cs="Arial"/>
          <w:color w:val="7B7B7B" w:themeColor="accent3" w:themeShade="BF"/>
          <w:sz w:val="22"/>
          <w:szCs w:val="22"/>
          <w:lang w:val="en-GB"/>
        </w:rPr>
        <w:t>would be prevented by section 245 from relying on the floating charge, as section 245 renders such floating charges invalid. We are told that the floating charge was granted to prevent the calling in of an existing loan made to the Company, therefore there is no question of the floating charge having been granted in relation to "new" consideration</w:t>
      </w:r>
      <w:r w:rsidR="00946C6D">
        <w:rPr>
          <w:rFonts w:ascii="Arial" w:hAnsi="Arial" w:cs="Arial"/>
          <w:color w:val="7B7B7B" w:themeColor="accent3" w:themeShade="BF"/>
          <w:sz w:val="22"/>
          <w:szCs w:val="22"/>
          <w:lang w:val="en-GB"/>
        </w:rPr>
        <w:t xml:space="preserve">. If the floating charge had been given in relation to new consideration, it would have probably remained valid. </w:t>
      </w:r>
      <w:r w:rsidR="00393139">
        <w:rPr>
          <w:rStyle w:val="FootnoteReference"/>
          <w:rFonts w:ascii="Arial" w:hAnsi="Arial" w:cs="Arial"/>
          <w:color w:val="7B7B7B" w:themeColor="accent3" w:themeShade="BF"/>
          <w:sz w:val="22"/>
          <w:szCs w:val="22"/>
          <w:lang w:val="en-GB"/>
        </w:rPr>
        <w:footnoteReference w:id="8"/>
      </w:r>
      <w:r w:rsidR="00371D88">
        <w:rPr>
          <w:rFonts w:ascii="Arial" w:hAnsi="Arial" w:cs="Arial"/>
          <w:color w:val="7B7B7B" w:themeColor="accent3" w:themeShade="BF"/>
          <w:sz w:val="22"/>
          <w:szCs w:val="22"/>
          <w:lang w:val="en-GB"/>
        </w:rPr>
        <w:t xml:space="preserve"> </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4CBB0068" w:rsidR="00FF5098" w:rsidRDefault="008F60D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4127A">
        <w:rPr>
          <w:rFonts w:ascii="Arial" w:hAnsi="Arial" w:cs="Arial"/>
          <w:color w:val="7B7B7B" w:themeColor="accent3" w:themeShade="BF"/>
          <w:sz w:val="22"/>
          <w:szCs w:val="22"/>
          <w:lang w:val="en-GB"/>
        </w:rPr>
        <w:t xml:space="preserve">pre-liquidation </w:t>
      </w:r>
      <w:r>
        <w:rPr>
          <w:rFonts w:ascii="Arial" w:hAnsi="Arial" w:cs="Arial"/>
          <w:color w:val="7B7B7B" w:themeColor="accent3" w:themeShade="BF"/>
          <w:sz w:val="22"/>
          <w:szCs w:val="22"/>
          <w:lang w:val="en-GB"/>
        </w:rPr>
        <w:t xml:space="preserve">sale of the coffee roasting machines to a director of the Company for $10,000, when those machines were purchased just a year before for $25,000, appears to be a transaction at undervalue involving parties connected to the Company. This is a reasonable assumption, as </w:t>
      </w:r>
      <w:r w:rsidR="00912C8C">
        <w:rPr>
          <w:rFonts w:ascii="Arial" w:hAnsi="Arial" w:cs="Arial"/>
          <w:color w:val="7B7B7B" w:themeColor="accent3" w:themeShade="BF"/>
          <w:sz w:val="22"/>
          <w:szCs w:val="22"/>
          <w:lang w:val="en-GB"/>
        </w:rPr>
        <w:t>while some</w:t>
      </w:r>
      <w:r>
        <w:rPr>
          <w:rFonts w:ascii="Arial" w:hAnsi="Arial" w:cs="Arial"/>
          <w:color w:val="7B7B7B" w:themeColor="accent3" w:themeShade="BF"/>
          <w:sz w:val="22"/>
          <w:szCs w:val="22"/>
          <w:lang w:val="en-GB"/>
        </w:rPr>
        <w:t xml:space="preserve"> depreciation </w:t>
      </w:r>
      <w:r w:rsidR="00912C8C">
        <w:rPr>
          <w:rFonts w:ascii="Arial" w:hAnsi="Arial" w:cs="Arial"/>
          <w:color w:val="7B7B7B" w:themeColor="accent3" w:themeShade="BF"/>
          <w:sz w:val="22"/>
          <w:szCs w:val="22"/>
          <w:lang w:val="en-GB"/>
        </w:rPr>
        <w:t xml:space="preserve">would be justifiable (particularly if the machines were bought "new" and are being sold "second-hand"), it is unlikely </w:t>
      </w:r>
      <w:r w:rsidR="00F52E4A">
        <w:rPr>
          <w:rFonts w:ascii="Arial" w:hAnsi="Arial" w:cs="Arial"/>
          <w:color w:val="7B7B7B" w:themeColor="accent3" w:themeShade="BF"/>
          <w:sz w:val="22"/>
          <w:szCs w:val="22"/>
          <w:lang w:val="en-GB"/>
        </w:rPr>
        <w:t>the coffee roasting machines</w:t>
      </w:r>
      <w:r>
        <w:rPr>
          <w:rFonts w:ascii="Arial" w:hAnsi="Arial" w:cs="Arial"/>
          <w:color w:val="7B7B7B" w:themeColor="accent3" w:themeShade="BF"/>
          <w:sz w:val="22"/>
          <w:szCs w:val="22"/>
          <w:lang w:val="en-GB"/>
        </w:rPr>
        <w:t xml:space="preserve"> have devalued their price by over 50% in just a year</w:t>
      </w:r>
      <w:r w:rsidR="00F52E4A">
        <w:rPr>
          <w:rFonts w:ascii="Arial" w:hAnsi="Arial" w:cs="Arial"/>
          <w:color w:val="7B7B7B" w:themeColor="accent3" w:themeShade="BF"/>
          <w:sz w:val="22"/>
          <w:szCs w:val="22"/>
          <w:lang w:val="en-GB"/>
        </w:rPr>
        <w:t xml:space="preserve"> on any reasonable basis</w:t>
      </w:r>
      <w:r>
        <w:rPr>
          <w:rFonts w:ascii="Arial" w:hAnsi="Arial" w:cs="Arial"/>
          <w:color w:val="7B7B7B" w:themeColor="accent3" w:themeShade="BF"/>
          <w:sz w:val="22"/>
          <w:szCs w:val="22"/>
          <w:lang w:val="en-GB"/>
        </w:rPr>
        <w:t xml:space="preserve">. </w:t>
      </w:r>
    </w:p>
    <w:p w14:paraId="5D29FF90" w14:textId="72BB3F73" w:rsidR="008F60D5" w:rsidRDefault="008F60D5" w:rsidP="00FF5098">
      <w:pPr>
        <w:jc w:val="both"/>
        <w:rPr>
          <w:rFonts w:ascii="Arial" w:hAnsi="Arial" w:cs="Arial"/>
          <w:color w:val="7B7B7B" w:themeColor="accent3" w:themeShade="BF"/>
          <w:sz w:val="22"/>
          <w:szCs w:val="22"/>
          <w:lang w:val="en-GB"/>
        </w:rPr>
      </w:pPr>
    </w:p>
    <w:p w14:paraId="54C40963" w14:textId="2DCEFDC9" w:rsidR="0066283B" w:rsidRDefault="0094127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transaction runs afoul of the anti-deprivation rule, which operates to prevent an insolvent estate from being deprived of an asset which should otherwise be preserved for the benefit of the creditors. As a matter of public policy, parties are not permitted to agree to transactions which deprive a subsequ</w:t>
      </w:r>
      <w:r w:rsidR="004B7802">
        <w:rPr>
          <w:rFonts w:ascii="Arial" w:hAnsi="Arial" w:cs="Arial"/>
          <w:color w:val="7B7B7B" w:themeColor="accent3" w:themeShade="BF"/>
          <w:sz w:val="22"/>
          <w:szCs w:val="22"/>
          <w:lang w:val="en-GB"/>
        </w:rPr>
        <w:t xml:space="preserve">ently insolvent party of assets. The deprivation must be triggered by the insolvency, which we are told it is, as the Company was having cash flow problems and the sale at undervalue was agreed to get some cash in. There is no "bona fide" defence to the transaction, as it involved a director of the Company as purchaser. </w:t>
      </w:r>
    </w:p>
    <w:p w14:paraId="4DFB3BAD" w14:textId="77777777" w:rsidR="0066283B" w:rsidRDefault="0066283B" w:rsidP="00FF5098">
      <w:pPr>
        <w:jc w:val="both"/>
        <w:rPr>
          <w:rFonts w:ascii="Arial" w:hAnsi="Arial" w:cs="Arial"/>
          <w:color w:val="7B7B7B" w:themeColor="accent3" w:themeShade="BF"/>
          <w:sz w:val="22"/>
          <w:szCs w:val="22"/>
          <w:lang w:val="en-GB"/>
        </w:rPr>
      </w:pPr>
    </w:p>
    <w:p w14:paraId="2F259669" w14:textId="7166F477" w:rsidR="0066283B" w:rsidRDefault="008F400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Potential claim:</w:t>
      </w:r>
      <w:r w:rsidR="0066283B">
        <w:rPr>
          <w:rFonts w:ascii="Arial" w:hAnsi="Arial" w:cs="Arial"/>
          <w:color w:val="7B7B7B" w:themeColor="accent3" w:themeShade="BF"/>
          <w:sz w:val="22"/>
          <w:szCs w:val="22"/>
          <w:lang w:val="en-GB"/>
        </w:rPr>
        <w:t xml:space="preserve"> </w:t>
      </w:r>
    </w:p>
    <w:p w14:paraId="2A0A319D" w14:textId="77777777" w:rsidR="004B7802" w:rsidRDefault="004B7802" w:rsidP="00FF5098">
      <w:pPr>
        <w:jc w:val="both"/>
        <w:rPr>
          <w:rFonts w:ascii="Arial" w:hAnsi="Arial" w:cs="Arial"/>
          <w:color w:val="7B7B7B" w:themeColor="accent3" w:themeShade="BF"/>
          <w:sz w:val="22"/>
          <w:szCs w:val="22"/>
          <w:lang w:val="en-GB"/>
        </w:rPr>
      </w:pPr>
    </w:p>
    <w:p w14:paraId="505182E1" w14:textId="484FC345" w:rsidR="002A63C3" w:rsidRDefault="004B7802" w:rsidP="002A63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238 of the Insolvency Act </w:t>
      </w:r>
      <w:r w:rsidR="002A63C3">
        <w:rPr>
          <w:rFonts w:ascii="Arial" w:hAnsi="Arial" w:cs="Arial"/>
          <w:color w:val="7B7B7B" w:themeColor="accent3" w:themeShade="BF"/>
          <w:sz w:val="22"/>
          <w:szCs w:val="22"/>
          <w:lang w:val="en-GB"/>
        </w:rPr>
        <w:t xml:space="preserve">provides that the liquidator must show that the Company: </w:t>
      </w:r>
    </w:p>
    <w:p w14:paraId="3702FFF7" w14:textId="32D10D1C" w:rsidR="002A63C3" w:rsidRDefault="002A63C3" w:rsidP="002A63C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Made a gift to another person; or </w:t>
      </w:r>
    </w:p>
    <w:p w14:paraId="18F0ADB6" w14:textId="6B705E70" w:rsidR="002A63C3" w:rsidRDefault="002A63C3" w:rsidP="002A63C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Entered into a transaction with another person for a consideration which</w:t>
      </w:r>
      <w:r w:rsidR="00E547E0">
        <w:rPr>
          <w:rFonts w:ascii="Arial" w:hAnsi="Arial" w:cs="Arial"/>
          <w:color w:val="7B7B7B" w:themeColor="accent3" w:themeShade="BF"/>
          <w:sz w:val="22"/>
          <w:szCs w:val="22"/>
          <w:lang w:val="en-GB"/>
        </w:rPr>
        <w:t xml:space="preserve">, in money or money's worth, was, at the date of the transaction, significantly less than the value, in money or money's worth, of the consideration provided by the Company. </w:t>
      </w:r>
    </w:p>
    <w:p w14:paraId="50E3D1D1" w14:textId="6A212328" w:rsidR="00E547E0" w:rsidRDefault="00E547E0" w:rsidP="00E547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terms of relevant time period, the transaction must have taken place in the period of two years prior to the commencement of the liquidation.</w:t>
      </w:r>
      <w:r w:rsidR="00393139">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xml:space="preserve"> </w:t>
      </w:r>
      <w:r w:rsidR="00B10124">
        <w:rPr>
          <w:rFonts w:ascii="Arial" w:hAnsi="Arial" w:cs="Arial"/>
          <w:color w:val="7B7B7B" w:themeColor="accent3" w:themeShade="BF"/>
          <w:sz w:val="22"/>
          <w:szCs w:val="22"/>
          <w:lang w:val="en-GB"/>
        </w:rPr>
        <w:t xml:space="preserve">The transaction described is comfortably within that period (July 2021 to October 2021). </w:t>
      </w:r>
    </w:p>
    <w:p w14:paraId="1C9A09FE" w14:textId="15AEC17F" w:rsidR="00E547E0" w:rsidRDefault="00E547E0" w:rsidP="00E547E0">
      <w:pPr>
        <w:jc w:val="both"/>
        <w:rPr>
          <w:rFonts w:ascii="Arial" w:hAnsi="Arial" w:cs="Arial"/>
          <w:color w:val="7B7B7B" w:themeColor="accent3" w:themeShade="BF"/>
          <w:sz w:val="22"/>
          <w:szCs w:val="22"/>
          <w:lang w:val="en-GB"/>
        </w:rPr>
      </w:pPr>
    </w:p>
    <w:p w14:paraId="6C41E918" w14:textId="16DA5BCA" w:rsidR="00E547E0" w:rsidRDefault="00E547E0" w:rsidP="00E547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transaction in question was with a director of the Company, i.e. a connected person, the Company is presumed to have been insolvent or to have become insolvent as a result of the transaction, unless the contrary can be proved. </w:t>
      </w:r>
    </w:p>
    <w:p w14:paraId="520011D3" w14:textId="15720655" w:rsidR="008F4001" w:rsidRDefault="008F4001" w:rsidP="00E547E0">
      <w:pPr>
        <w:jc w:val="both"/>
        <w:rPr>
          <w:rFonts w:ascii="Arial" w:hAnsi="Arial" w:cs="Arial"/>
          <w:color w:val="7B7B7B" w:themeColor="accent3" w:themeShade="BF"/>
          <w:sz w:val="22"/>
          <w:szCs w:val="22"/>
          <w:lang w:val="en-GB"/>
        </w:rPr>
      </w:pPr>
    </w:p>
    <w:p w14:paraId="526995E3" w14:textId="299B3CDB" w:rsidR="008F4001" w:rsidRDefault="008F4001" w:rsidP="00E547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section 238 claim is brought by the liquidator against the directors and succeeds, the court can make an order restoring the Company to the position it would have been in if the transaction had not been entered into. </w:t>
      </w:r>
    </w:p>
    <w:p w14:paraId="739F83E8" w14:textId="474C0058" w:rsidR="00E547E0" w:rsidRDefault="00E547E0" w:rsidP="00E547E0">
      <w:pPr>
        <w:jc w:val="both"/>
        <w:rPr>
          <w:rFonts w:ascii="Arial" w:hAnsi="Arial" w:cs="Arial"/>
          <w:color w:val="7B7B7B" w:themeColor="accent3" w:themeShade="BF"/>
          <w:sz w:val="22"/>
          <w:szCs w:val="22"/>
          <w:lang w:val="en-GB"/>
        </w:rPr>
      </w:pPr>
    </w:p>
    <w:p w14:paraId="49B5FE45" w14:textId="2E3E37E9" w:rsidR="008F4001" w:rsidRDefault="008F4001" w:rsidP="00E547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appears that the liquidators have good grounds for a section 238 claim. </w:t>
      </w:r>
    </w:p>
    <w:p w14:paraId="23F3AFE7" w14:textId="799D8D50" w:rsidR="008F4001" w:rsidRDefault="008F4001" w:rsidP="00E547E0">
      <w:pPr>
        <w:jc w:val="both"/>
        <w:rPr>
          <w:rFonts w:ascii="Arial" w:hAnsi="Arial" w:cs="Arial"/>
          <w:color w:val="7B7B7B" w:themeColor="accent3" w:themeShade="BF"/>
          <w:sz w:val="22"/>
          <w:szCs w:val="22"/>
          <w:lang w:val="en-GB"/>
        </w:rPr>
      </w:pPr>
    </w:p>
    <w:p w14:paraId="2C433152" w14:textId="5CC7C5CD" w:rsidR="008F4001" w:rsidRPr="00E547E0" w:rsidRDefault="008F4001" w:rsidP="00E547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 potential claim: </w:t>
      </w:r>
    </w:p>
    <w:p w14:paraId="541F9060" w14:textId="3AD82989" w:rsidR="007C4A3A" w:rsidRDefault="008F60D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423 of the Insolvency Act </w:t>
      </w:r>
      <w:r w:rsidR="007C4A3A">
        <w:rPr>
          <w:rFonts w:ascii="Arial" w:hAnsi="Arial" w:cs="Arial"/>
          <w:color w:val="7B7B7B" w:themeColor="accent3" w:themeShade="BF"/>
          <w:sz w:val="22"/>
          <w:szCs w:val="22"/>
          <w:lang w:val="en-GB"/>
        </w:rPr>
        <w:t xml:space="preserve">provides that: </w:t>
      </w:r>
    </w:p>
    <w:p w14:paraId="5E7D8715" w14:textId="0751C381" w:rsidR="007C4A3A" w:rsidRDefault="007C4A3A" w:rsidP="007C4A3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necessary to show that the Company entered into a transaction with another person at an undervalue (which is defined as the Company having received no or significantly less consideration than it has provided); and </w:t>
      </w:r>
    </w:p>
    <w:p w14:paraId="66C5EFAC" w14:textId="7F5B1470" w:rsidR="007C4A3A" w:rsidRPr="007C4A3A" w:rsidRDefault="007C4A3A" w:rsidP="007C4A3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necessary to show that the Company entered into the transaction for the purpose of putting assets beyond the reach of a person who is making, or may at some time make, a claim against the Company, or of otherwise prejudicing the interests of such a person in relation to the claim which he is making or may make. </w:t>
      </w:r>
    </w:p>
    <w:p w14:paraId="7AEDE530" w14:textId="3AE59051" w:rsidR="00311816" w:rsidRDefault="007C4A3A"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good argument that the transaction in question was one at an undervalue. In relation to the second limb of the section 423 test.</w:t>
      </w:r>
      <w:r w:rsidR="007006CA">
        <w:rPr>
          <w:rFonts w:ascii="Arial" w:hAnsi="Arial" w:cs="Arial"/>
          <w:color w:val="7B7B7B" w:themeColor="accent3" w:themeShade="BF"/>
          <w:sz w:val="22"/>
          <w:szCs w:val="22"/>
          <w:lang w:val="en-GB"/>
        </w:rPr>
        <w:t xml:space="preserve"> The transaction occurred before the Company entered into compulsory liquidation, and during a period when the directors of the Company would have well been aware of the Company's near-insolvency</w:t>
      </w:r>
      <w:r w:rsidR="0066283B">
        <w:rPr>
          <w:rFonts w:ascii="Arial" w:hAnsi="Arial" w:cs="Arial"/>
          <w:color w:val="7B7B7B" w:themeColor="accent3" w:themeShade="BF"/>
          <w:sz w:val="22"/>
          <w:szCs w:val="22"/>
          <w:lang w:val="en-GB"/>
        </w:rPr>
        <w:t>. If the directors were aware of this but approved the transaction in order to ensure the Company put certain assets out of reac</w:t>
      </w:r>
      <w:r w:rsidR="00EB5A88">
        <w:rPr>
          <w:rFonts w:ascii="Arial" w:hAnsi="Arial" w:cs="Arial"/>
          <w:color w:val="7B7B7B" w:themeColor="accent3" w:themeShade="BF"/>
          <w:sz w:val="22"/>
          <w:szCs w:val="22"/>
          <w:lang w:val="en-GB"/>
        </w:rPr>
        <w:t>h,</w:t>
      </w:r>
      <w:r w:rsidR="0066283B">
        <w:rPr>
          <w:rFonts w:ascii="Arial" w:hAnsi="Arial" w:cs="Arial"/>
          <w:color w:val="7B7B7B" w:themeColor="accent3" w:themeShade="BF"/>
          <w:sz w:val="22"/>
          <w:szCs w:val="22"/>
          <w:lang w:val="en-GB"/>
        </w:rPr>
        <w:t xml:space="preserve"> then a section 423 claim </w:t>
      </w:r>
      <w:r w:rsidR="00EB5A88">
        <w:rPr>
          <w:rFonts w:ascii="Arial" w:hAnsi="Arial" w:cs="Arial"/>
          <w:color w:val="7B7B7B" w:themeColor="accent3" w:themeShade="BF"/>
          <w:sz w:val="22"/>
          <w:szCs w:val="22"/>
          <w:lang w:val="en-GB"/>
        </w:rPr>
        <w:t>may be made out</w:t>
      </w:r>
      <w:r w:rsidR="0066283B">
        <w:rPr>
          <w:rFonts w:ascii="Arial" w:hAnsi="Arial" w:cs="Arial"/>
          <w:color w:val="7B7B7B" w:themeColor="accent3" w:themeShade="BF"/>
          <w:sz w:val="22"/>
          <w:szCs w:val="22"/>
          <w:lang w:val="en-GB"/>
        </w:rPr>
        <w:t xml:space="preserve"> and can be brought by the liquidator against the (former) directors. </w:t>
      </w:r>
      <w:r w:rsidR="00583E5C">
        <w:rPr>
          <w:rStyle w:val="FootnoteReference"/>
          <w:rFonts w:ascii="Arial" w:hAnsi="Arial" w:cs="Arial"/>
          <w:color w:val="7B7B7B" w:themeColor="accent3" w:themeShade="BF"/>
          <w:sz w:val="22"/>
          <w:szCs w:val="22"/>
          <w:lang w:val="en-GB"/>
        </w:rPr>
        <w:footnoteReference w:id="10"/>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5D32E080" w:rsidR="008769B2" w:rsidRDefault="006C2AF5"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Beans and Leaves Ltd. demanded payment of arrears and </w:t>
      </w:r>
      <w:r w:rsidR="00EA306F">
        <w:rPr>
          <w:rFonts w:ascii="Arial" w:hAnsi="Arial" w:cs="Arial"/>
          <w:color w:val="7B7B7B" w:themeColor="accent3" w:themeShade="BF"/>
          <w:sz w:val="22"/>
          <w:szCs w:val="22"/>
          <w:lang w:val="en-GB"/>
        </w:rPr>
        <w:t xml:space="preserve">demanded upfront payment as a new condition of continued supply </w:t>
      </w:r>
      <w:r>
        <w:rPr>
          <w:rFonts w:ascii="Arial" w:hAnsi="Arial" w:cs="Arial"/>
          <w:color w:val="7B7B7B" w:themeColor="accent3" w:themeShade="BF"/>
          <w:sz w:val="22"/>
          <w:szCs w:val="22"/>
          <w:lang w:val="en-GB"/>
        </w:rPr>
        <w:t>from the Company</w:t>
      </w:r>
      <w:r w:rsidR="002F51FF">
        <w:rPr>
          <w:rFonts w:ascii="Arial" w:hAnsi="Arial" w:cs="Arial"/>
          <w:color w:val="7B7B7B" w:themeColor="accent3" w:themeShade="BF"/>
          <w:sz w:val="22"/>
          <w:szCs w:val="22"/>
          <w:lang w:val="en-GB"/>
        </w:rPr>
        <w:t xml:space="preserve">. </w:t>
      </w:r>
      <w:r w:rsidR="00206574">
        <w:rPr>
          <w:rFonts w:ascii="Arial" w:hAnsi="Arial" w:cs="Arial"/>
          <w:color w:val="7B7B7B" w:themeColor="accent3" w:themeShade="BF"/>
          <w:sz w:val="22"/>
          <w:szCs w:val="22"/>
          <w:lang w:val="en-GB"/>
        </w:rPr>
        <w:t xml:space="preserve">The directors of the Company, who were aware that the Company was near insolvent, acceded to these claims and caused sums to be paid out to the supplier. This is a potential case of wrongful trading, which is provided for in sections 214 and 246ZB of the Insolvency Act. The section aims to minimise the potential losses to the company's creditors. </w:t>
      </w:r>
      <w:r w:rsidR="00071EDD">
        <w:rPr>
          <w:rFonts w:ascii="Arial" w:hAnsi="Arial" w:cs="Arial"/>
          <w:color w:val="7B7B7B" w:themeColor="accent3" w:themeShade="BF"/>
          <w:sz w:val="22"/>
          <w:szCs w:val="22"/>
          <w:lang w:val="en-GB"/>
        </w:rPr>
        <w:t xml:space="preserve">Under section 214 the court must be satisfied that: </w:t>
      </w:r>
    </w:p>
    <w:p w14:paraId="1D2E4A9D" w14:textId="7348D19B" w:rsidR="00071EDD" w:rsidRDefault="00071EDD" w:rsidP="00071ED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has gone into insolvent liquidation. </w:t>
      </w:r>
    </w:p>
    <w:p w14:paraId="4B9E2B55" w14:textId="131041B5" w:rsidR="00071EDD" w:rsidRDefault="00071EDD" w:rsidP="00071ED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some point before the commencement of the winding up of the Company, that person knew or ought to have </w:t>
      </w:r>
      <w:r w:rsidR="00EE766E">
        <w:rPr>
          <w:rFonts w:ascii="Arial" w:hAnsi="Arial" w:cs="Arial"/>
          <w:color w:val="7B7B7B" w:themeColor="accent3" w:themeShade="BF"/>
          <w:sz w:val="22"/>
          <w:szCs w:val="22"/>
          <w:lang w:val="en-GB"/>
        </w:rPr>
        <w:t xml:space="preserve">concluded that there was no reasonable prospect that the Company would avoid going into insolvent liquidation; and </w:t>
      </w:r>
    </w:p>
    <w:p w14:paraId="71B56D9B" w14:textId="14F34D03" w:rsidR="00EE766E" w:rsidRDefault="00EE766E" w:rsidP="00071ED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at the time the person reach that conclusion or ought to have reached that conclusion that person was a director of the Company. </w:t>
      </w:r>
    </w:p>
    <w:p w14:paraId="54DE2303" w14:textId="55881735" w:rsidR="00EE766E" w:rsidRDefault="00EE766E" w:rsidP="00EE76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 are told that the directors, being aware of the Company's financial position, saw the supply of beans as essential and tried to keep the Company operating by agreeing to pay the supplier as demanded. </w:t>
      </w:r>
      <w:r w:rsidR="00106F92">
        <w:rPr>
          <w:rFonts w:ascii="Arial" w:hAnsi="Arial" w:cs="Arial"/>
          <w:color w:val="7B7B7B" w:themeColor="accent3" w:themeShade="BF"/>
          <w:sz w:val="22"/>
          <w:szCs w:val="22"/>
          <w:lang w:val="en-GB"/>
        </w:rPr>
        <w:t xml:space="preserve">The directors would have a defence if they could argue that there was still a reasonable prospect of avoiding liquidation provided the supply of beans was continued. </w:t>
      </w:r>
      <w:r w:rsidR="00393139">
        <w:rPr>
          <w:rFonts w:ascii="Arial" w:hAnsi="Arial" w:cs="Arial"/>
          <w:color w:val="7B7B7B" w:themeColor="accent3" w:themeShade="BF"/>
          <w:sz w:val="22"/>
          <w:szCs w:val="22"/>
          <w:lang w:val="en-GB"/>
        </w:rPr>
        <w:t xml:space="preserve">The </w:t>
      </w:r>
      <w:r w:rsidR="00393139">
        <w:rPr>
          <w:rFonts w:ascii="Arial" w:hAnsi="Arial" w:cs="Arial"/>
          <w:color w:val="7B7B7B" w:themeColor="accent3" w:themeShade="BF"/>
          <w:sz w:val="22"/>
          <w:szCs w:val="22"/>
          <w:lang w:val="en-GB"/>
        </w:rPr>
        <w:lastRenderedPageBreak/>
        <w:t xml:space="preserve">only </w:t>
      </w:r>
      <w:r w:rsidR="00106F92">
        <w:rPr>
          <w:rFonts w:ascii="Arial" w:hAnsi="Arial" w:cs="Arial"/>
          <w:color w:val="7B7B7B" w:themeColor="accent3" w:themeShade="BF"/>
          <w:sz w:val="22"/>
          <w:szCs w:val="22"/>
          <w:lang w:val="en-GB"/>
        </w:rPr>
        <w:t xml:space="preserve">other </w:t>
      </w:r>
      <w:r w:rsidR="00393139">
        <w:rPr>
          <w:rFonts w:ascii="Arial" w:hAnsi="Arial" w:cs="Arial"/>
          <w:color w:val="7B7B7B" w:themeColor="accent3" w:themeShade="BF"/>
          <w:sz w:val="22"/>
          <w:szCs w:val="22"/>
          <w:lang w:val="en-GB"/>
        </w:rPr>
        <w:t>defence available to the directors is if they can prove that they took every step with a view to minimising the potential loss to the Company's creditors.</w:t>
      </w:r>
      <w:r w:rsidR="00583E5C">
        <w:rPr>
          <w:rStyle w:val="FootnoteReference"/>
          <w:rFonts w:ascii="Arial" w:hAnsi="Arial" w:cs="Arial"/>
          <w:color w:val="7B7B7B" w:themeColor="accent3" w:themeShade="BF"/>
          <w:sz w:val="22"/>
          <w:szCs w:val="22"/>
          <w:lang w:val="en-GB"/>
        </w:rPr>
        <w:footnoteReference w:id="11"/>
      </w:r>
      <w:r w:rsidR="00393139">
        <w:rPr>
          <w:rFonts w:ascii="Arial" w:hAnsi="Arial" w:cs="Arial"/>
          <w:color w:val="7B7B7B" w:themeColor="accent3" w:themeShade="BF"/>
          <w:sz w:val="22"/>
          <w:szCs w:val="22"/>
          <w:lang w:val="en-GB"/>
        </w:rPr>
        <w:t xml:space="preserve"> </w:t>
      </w:r>
    </w:p>
    <w:p w14:paraId="1B5E2F08" w14:textId="406539DF"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A5D135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83E5C">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30F05E79" w14:textId="507B5FB1" w:rsidR="00241FA3" w:rsidRPr="009B4976" w:rsidRDefault="009416A4" w:rsidP="009B4976">
    <w:pPr>
      <w:pStyle w:val="Footer"/>
      <w:ind w:right="360"/>
      <w:rPr>
        <w:rFonts w:ascii="Arial" w:hAnsi="Arial" w:cs="Arial"/>
        <w:sz w:val="18"/>
        <w:szCs w:val="18"/>
        <w:lang w:val="en-GB"/>
      </w:rPr>
    </w:pPr>
    <w:r>
      <w:rPr>
        <w:rFonts w:ascii="Arial" w:hAnsi="Arial" w:cs="Arial"/>
        <w:sz w:val="18"/>
        <w:szCs w:val="18"/>
        <w:lang w:val="en-GB"/>
      </w:rPr>
      <w:t>202122-348</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 w:id="1">
    <w:p w14:paraId="5600FD7A" w14:textId="058CFA19" w:rsidR="00DD6E9D" w:rsidRDefault="00DD6E9D">
      <w:pPr>
        <w:pStyle w:val="FootnoteText"/>
      </w:pPr>
      <w:r>
        <w:rPr>
          <w:rStyle w:val="FootnoteReference"/>
        </w:rPr>
        <w:footnoteRef/>
      </w:r>
      <w:r>
        <w:t xml:space="preserve"> Foundation Certificate in Insolvency Law Guidance Text Module 3B paragraph 5.10.11. </w:t>
      </w:r>
    </w:p>
  </w:footnote>
  <w:footnote w:id="2">
    <w:p w14:paraId="21AD540D" w14:textId="5AE0D11C" w:rsidR="00370AE1" w:rsidRDefault="00370AE1">
      <w:pPr>
        <w:pStyle w:val="FootnoteText"/>
      </w:pPr>
      <w:r>
        <w:rPr>
          <w:rStyle w:val="FootnoteReference"/>
        </w:rPr>
        <w:footnoteRef/>
      </w:r>
      <w:r>
        <w:t xml:space="preserve"> Insolvency Rules 2016, r.15.3; Foundation Certificate in Insolvency Law Guidance Text Module 3B paragraph</w:t>
      </w:r>
      <w:r w:rsidR="005267EB">
        <w:t xml:space="preserve"> 4.2.</w:t>
      </w:r>
    </w:p>
  </w:footnote>
  <w:footnote w:id="3">
    <w:p w14:paraId="3298F3AE" w14:textId="0A06980B" w:rsidR="009C4E19" w:rsidRDefault="009C4E19">
      <w:pPr>
        <w:pStyle w:val="FootnoteText"/>
      </w:pPr>
      <w:r>
        <w:rPr>
          <w:rStyle w:val="FootnoteReference"/>
        </w:rPr>
        <w:footnoteRef/>
      </w:r>
      <w:r>
        <w:t xml:space="preserve"> </w:t>
      </w:r>
      <w:r w:rsidR="00C204A4">
        <w:t>Insolvency Act 1986 section 233; Foundation Certificate in Insolvency Law Guidance Text Module 3B paragraph 5.4.4.4.</w:t>
      </w:r>
    </w:p>
  </w:footnote>
  <w:footnote w:id="4">
    <w:p w14:paraId="1BD59969" w14:textId="420A54C0" w:rsidR="00A462D6" w:rsidRDefault="00A462D6">
      <w:pPr>
        <w:pStyle w:val="FootnoteText"/>
      </w:pPr>
      <w:r>
        <w:rPr>
          <w:rStyle w:val="FootnoteReference"/>
        </w:rPr>
        <w:footnoteRef/>
      </w:r>
      <w:r>
        <w:t xml:space="preserve"> [ibid]</w:t>
      </w:r>
    </w:p>
  </w:footnote>
  <w:footnote w:id="5">
    <w:p w14:paraId="074E2AF1" w14:textId="1C83F7A4" w:rsidR="00A462D6" w:rsidRDefault="00A462D6">
      <w:pPr>
        <w:pStyle w:val="FootnoteText"/>
      </w:pPr>
      <w:r>
        <w:rPr>
          <w:rStyle w:val="FootnoteReference"/>
        </w:rPr>
        <w:footnoteRef/>
      </w:r>
      <w:r>
        <w:t xml:space="preserve"> [ibid].</w:t>
      </w:r>
    </w:p>
  </w:footnote>
  <w:footnote w:id="6">
    <w:p w14:paraId="4B0A86A0" w14:textId="407F2AC1" w:rsidR="006F4922" w:rsidRDefault="006F4922">
      <w:pPr>
        <w:pStyle w:val="FootnoteText"/>
      </w:pPr>
      <w:r>
        <w:rPr>
          <w:rStyle w:val="FootnoteReference"/>
        </w:rPr>
        <w:footnoteRef/>
      </w:r>
      <w:r>
        <w:t xml:space="preserve"> [ibid].</w:t>
      </w:r>
    </w:p>
  </w:footnote>
  <w:footnote w:id="7">
    <w:p w14:paraId="13823BD7" w14:textId="13794DA3" w:rsidR="00F54AD7" w:rsidRDefault="00F54AD7">
      <w:pPr>
        <w:pStyle w:val="FootnoteText"/>
      </w:pPr>
      <w:r>
        <w:rPr>
          <w:rStyle w:val="FootnoteReference"/>
        </w:rPr>
        <w:footnoteRef/>
      </w:r>
      <w:r>
        <w:t xml:space="preserve"> Foundation Certificate in Insolvency Law Guidance </w:t>
      </w:r>
      <w:r w:rsidR="000D6C77">
        <w:t xml:space="preserve">Text Module 3B paragraph 5.9.5. </w:t>
      </w:r>
    </w:p>
  </w:footnote>
  <w:footnote w:id="8">
    <w:p w14:paraId="3C3B97EE" w14:textId="2997967F" w:rsidR="00393139" w:rsidRDefault="00393139">
      <w:pPr>
        <w:pStyle w:val="FootnoteText"/>
      </w:pPr>
      <w:r>
        <w:rPr>
          <w:rStyle w:val="FootnoteReference"/>
        </w:rPr>
        <w:footnoteRef/>
      </w:r>
      <w:r>
        <w:t xml:space="preserve"> </w:t>
      </w:r>
      <w:r w:rsidR="00ED7D56">
        <w:t xml:space="preserve">Foundation Certificate in Insolvency Law Guidance Text Module 3B paragraph 5.10.10; 5.10.11; 5.10.12. </w:t>
      </w:r>
    </w:p>
  </w:footnote>
  <w:footnote w:id="9">
    <w:p w14:paraId="397D368B" w14:textId="2B0C2029" w:rsidR="00393139" w:rsidRDefault="00393139">
      <w:pPr>
        <w:pStyle w:val="FootnoteText"/>
      </w:pPr>
      <w:r>
        <w:rPr>
          <w:rStyle w:val="FootnoteReference"/>
        </w:rPr>
        <w:footnoteRef/>
      </w:r>
      <w:r>
        <w:t xml:space="preserve"> Foundation Certificate in Insolvency Law Guidance Text Module 3B paragraph 5.10.3</w:t>
      </w:r>
    </w:p>
  </w:footnote>
  <w:footnote w:id="10">
    <w:p w14:paraId="13DE3D88" w14:textId="67E10F04" w:rsidR="00583E5C" w:rsidRDefault="00583E5C">
      <w:pPr>
        <w:pStyle w:val="FootnoteText"/>
      </w:pPr>
      <w:r>
        <w:rPr>
          <w:rStyle w:val="FootnoteReference"/>
        </w:rPr>
        <w:footnoteRef/>
      </w:r>
      <w:r>
        <w:t xml:space="preserve"> [ibid]</w:t>
      </w:r>
    </w:p>
  </w:footnote>
  <w:footnote w:id="11">
    <w:p w14:paraId="60EF1E60" w14:textId="1959FEF7" w:rsidR="00583E5C" w:rsidRDefault="00583E5C">
      <w:pPr>
        <w:pStyle w:val="FootnoteText"/>
      </w:pPr>
      <w:r>
        <w:rPr>
          <w:rStyle w:val="FootnoteReference"/>
        </w:rPr>
        <w:footnoteRef/>
      </w:r>
      <w:r>
        <w:t xml:space="preserve"> [ibid]. </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03C37"/>
    <w:multiLevelType w:val="hybridMultilevel"/>
    <w:tmpl w:val="935A853C"/>
    <w:lvl w:ilvl="0" w:tplc="BD32C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604A4"/>
    <w:multiLevelType w:val="hybridMultilevel"/>
    <w:tmpl w:val="3C42114A"/>
    <w:lvl w:ilvl="0" w:tplc="FFAE5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07CE8"/>
    <w:multiLevelType w:val="hybridMultilevel"/>
    <w:tmpl w:val="F9909194"/>
    <w:lvl w:ilvl="0" w:tplc="E9169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A12D30"/>
    <w:multiLevelType w:val="hybridMultilevel"/>
    <w:tmpl w:val="956AA0D6"/>
    <w:lvl w:ilvl="0" w:tplc="0809001B">
      <w:start w:val="1"/>
      <w:numFmt w:val="lowerRoman"/>
      <w:lvlText w:val="%1."/>
      <w:lvlJc w:val="right"/>
      <w:pPr>
        <w:ind w:left="720" w:hanging="360"/>
      </w:pPr>
      <w:rPr>
        <w:rFonts w:hint="default"/>
        <w:color w:val="7B7B7B" w:themeColor="accent3" w:themeShade="BF"/>
      </w:rPr>
    </w:lvl>
    <w:lvl w:ilvl="1" w:tplc="5060F384">
      <w:start w:val="1"/>
      <w:numFmt w:val="lowerLetter"/>
      <w:lvlText w:val="%2."/>
      <w:lvlJc w:val="left"/>
      <w:pPr>
        <w:ind w:left="1440" w:hanging="360"/>
      </w:pPr>
      <w:rPr>
        <w:color w:val="767171" w:themeColor="background2" w:themeShade="8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8ED26A0"/>
    <w:multiLevelType w:val="hybridMultilevel"/>
    <w:tmpl w:val="54746D0A"/>
    <w:lvl w:ilvl="0" w:tplc="0EB21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954C3"/>
    <w:multiLevelType w:val="hybridMultilevel"/>
    <w:tmpl w:val="AB20917A"/>
    <w:lvl w:ilvl="0" w:tplc="BF6C2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B16C23"/>
    <w:multiLevelType w:val="hybridMultilevel"/>
    <w:tmpl w:val="59A8D348"/>
    <w:lvl w:ilvl="0" w:tplc="775C89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1"/>
  </w:num>
  <w:num w:numId="5">
    <w:abstractNumId w:val="14"/>
  </w:num>
  <w:num w:numId="6">
    <w:abstractNumId w:val="3"/>
  </w:num>
  <w:num w:numId="7">
    <w:abstractNumId w:val="15"/>
  </w:num>
  <w:num w:numId="8">
    <w:abstractNumId w:val="22"/>
  </w:num>
  <w:num w:numId="9">
    <w:abstractNumId w:val="12"/>
  </w:num>
  <w:num w:numId="10">
    <w:abstractNumId w:val="23"/>
  </w:num>
  <w:num w:numId="11">
    <w:abstractNumId w:val="8"/>
  </w:num>
  <w:num w:numId="12">
    <w:abstractNumId w:val="18"/>
  </w:num>
  <w:num w:numId="13">
    <w:abstractNumId w:val="13"/>
  </w:num>
  <w:num w:numId="14">
    <w:abstractNumId w:val="7"/>
  </w:num>
  <w:num w:numId="15">
    <w:abstractNumId w:val="16"/>
  </w:num>
  <w:num w:numId="16">
    <w:abstractNumId w:val="20"/>
  </w:num>
  <w:num w:numId="17">
    <w:abstractNumId w:val="10"/>
  </w:num>
  <w:num w:numId="18">
    <w:abstractNumId w:val="4"/>
  </w:num>
  <w:num w:numId="19">
    <w:abstractNumId w:val="9"/>
  </w:num>
  <w:num w:numId="20">
    <w:abstractNumId w:val="17"/>
  </w:num>
  <w:num w:numId="21">
    <w:abstractNumId w:val="6"/>
  </w:num>
  <w:num w:numId="22">
    <w:abstractNumId w:val="2"/>
  </w:num>
  <w:num w:numId="23">
    <w:abstractNumId w:val="19"/>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079D"/>
    <w:rsid w:val="00037621"/>
    <w:rsid w:val="00044D46"/>
    <w:rsid w:val="00045088"/>
    <w:rsid w:val="00045904"/>
    <w:rsid w:val="000502FD"/>
    <w:rsid w:val="00065166"/>
    <w:rsid w:val="00071EDD"/>
    <w:rsid w:val="00082609"/>
    <w:rsid w:val="000851CC"/>
    <w:rsid w:val="00087F21"/>
    <w:rsid w:val="00093BE8"/>
    <w:rsid w:val="000A407B"/>
    <w:rsid w:val="000A68ED"/>
    <w:rsid w:val="000B5FF1"/>
    <w:rsid w:val="000B609F"/>
    <w:rsid w:val="000C7110"/>
    <w:rsid w:val="000D10C6"/>
    <w:rsid w:val="000D55A8"/>
    <w:rsid w:val="000D6C77"/>
    <w:rsid w:val="000E4841"/>
    <w:rsid w:val="000F1677"/>
    <w:rsid w:val="000F3D6C"/>
    <w:rsid w:val="00101707"/>
    <w:rsid w:val="00102CC9"/>
    <w:rsid w:val="0010593A"/>
    <w:rsid w:val="00106F92"/>
    <w:rsid w:val="00107314"/>
    <w:rsid w:val="0011473D"/>
    <w:rsid w:val="00115C85"/>
    <w:rsid w:val="00123855"/>
    <w:rsid w:val="00126A4D"/>
    <w:rsid w:val="0014171F"/>
    <w:rsid w:val="0014622C"/>
    <w:rsid w:val="00152348"/>
    <w:rsid w:val="00153C73"/>
    <w:rsid w:val="0015456D"/>
    <w:rsid w:val="00155FA2"/>
    <w:rsid w:val="00161F1B"/>
    <w:rsid w:val="00162829"/>
    <w:rsid w:val="00180548"/>
    <w:rsid w:val="00180AC4"/>
    <w:rsid w:val="00180CCE"/>
    <w:rsid w:val="0018267A"/>
    <w:rsid w:val="00182779"/>
    <w:rsid w:val="00182788"/>
    <w:rsid w:val="001830DF"/>
    <w:rsid w:val="0019416E"/>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6574"/>
    <w:rsid w:val="0020725B"/>
    <w:rsid w:val="002110F1"/>
    <w:rsid w:val="002356EA"/>
    <w:rsid w:val="0024116D"/>
    <w:rsid w:val="00241B44"/>
    <w:rsid w:val="00241FA3"/>
    <w:rsid w:val="00245EFB"/>
    <w:rsid w:val="0025386E"/>
    <w:rsid w:val="002605D7"/>
    <w:rsid w:val="002638B0"/>
    <w:rsid w:val="0026647A"/>
    <w:rsid w:val="002668D3"/>
    <w:rsid w:val="0027299F"/>
    <w:rsid w:val="00284EBE"/>
    <w:rsid w:val="002903A7"/>
    <w:rsid w:val="0029433F"/>
    <w:rsid w:val="00294829"/>
    <w:rsid w:val="0029690F"/>
    <w:rsid w:val="00297C8A"/>
    <w:rsid w:val="002A2A60"/>
    <w:rsid w:val="002A37BB"/>
    <w:rsid w:val="002A63C3"/>
    <w:rsid w:val="002B1C45"/>
    <w:rsid w:val="002C13C8"/>
    <w:rsid w:val="002C3547"/>
    <w:rsid w:val="002C46CB"/>
    <w:rsid w:val="002D0021"/>
    <w:rsid w:val="002D299D"/>
    <w:rsid w:val="002D3473"/>
    <w:rsid w:val="002F1956"/>
    <w:rsid w:val="002F3440"/>
    <w:rsid w:val="002F51FF"/>
    <w:rsid w:val="002F75A3"/>
    <w:rsid w:val="002F77D6"/>
    <w:rsid w:val="00303C2F"/>
    <w:rsid w:val="00311816"/>
    <w:rsid w:val="003144EF"/>
    <w:rsid w:val="00314F32"/>
    <w:rsid w:val="003209BB"/>
    <w:rsid w:val="00326292"/>
    <w:rsid w:val="00326415"/>
    <w:rsid w:val="00330937"/>
    <w:rsid w:val="00330F31"/>
    <w:rsid w:val="00334648"/>
    <w:rsid w:val="0033768C"/>
    <w:rsid w:val="00337938"/>
    <w:rsid w:val="00340769"/>
    <w:rsid w:val="00341AA6"/>
    <w:rsid w:val="0034555E"/>
    <w:rsid w:val="00361A0A"/>
    <w:rsid w:val="00364836"/>
    <w:rsid w:val="0036565C"/>
    <w:rsid w:val="0036625E"/>
    <w:rsid w:val="00370AE1"/>
    <w:rsid w:val="00371D88"/>
    <w:rsid w:val="0037465A"/>
    <w:rsid w:val="00382C98"/>
    <w:rsid w:val="0038533C"/>
    <w:rsid w:val="00386568"/>
    <w:rsid w:val="00390B57"/>
    <w:rsid w:val="00393139"/>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D3A"/>
    <w:rsid w:val="00430FED"/>
    <w:rsid w:val="00434A8C"/>
    <w:rsid w:val="00435114"/>
    <w:rsid w:val="00437297"/>
    <w:rsid w:val="00444284"/>
    <w:rsid w:val="00445CE6"/>
    <w:rsid w:val="004534C2"/>
    <w:rsid w:val="0045446F"/>
    <w:rsid w:val="0045683E"/>
    <w:rsid w:val="00461F95"/>
    <w:rsid w:val="00474C2B"/>
    <w:rsid w:val="00477C72"/>
    <w:rsid w:val="00484578"/>
    <w:rsid w:val="00491675"/>
    <w:rsid w:val="00493855"/>
    <w:rsid w:val="00495E79"/>
    <w:rsid w:val="004A2D83"/>
    <w:rsid w:val="004A57DD"/>
    <w:rsid w:val="004A7B51"/>
    <w:rsid w:val="004A7D71"/>
    <w:rsid w:val="004A7EF3"/>
    <w:rsid w:val="004B11FD"/>
    <w:rsid w:val="004B23A2"/>
    <w:rsid w:val="004B7802"/>
    <w:rsid w:val="004D03C0"/>
    <w:rsid w:val="004D1A5A"/>
    <w:rsid w:val="004D2FFF"/>
    <w:rsid w:val="004D3721"/>
    <w:rsid w:val="004D64F9"/>
    <w:rsid w:val="004E263D"/>
    <w:rsid w:val="004E378F"/>
    <w:rsid w:val="004E3A6B"/>
    <w:rsid w:val="004E622C"/>
    <w:rsid w:val="004F5FDF"/>
    <w:rsid w:val="005177FE"/>
    <w:rsid w:val="0052263B"/>
    <w:rsid w:val="00524728"/>
    <w:rsid w:val="005267EB"/>
    <w:rsid w:val="005331CA"/>
    <w:rsid w:val="00537970"/>
    <w:rsid w:val="00540E3A"/>
    <w:rsid w:val="00544127"/>
    <w:rsid w:val="005463A9"/>
    <w:rsid w:val="00553EB2"/>
    <w:rsid w:val="005571F3"/>
    <w:rsid w:val="00560534"/>
    <w:rsid w:val="0056391B"/>
    <w:rsid w:val="005650E2"/>
    <w:rsid w:val="00567AD7"/>
    <w:rsid w:val="00575B2D"/>
    <w:rsid w:val="00580D74"/>
    <w:rsid w:val="005833D0"/>
    <w:rsid w:val="00583E5C"/>
    <w:rsid w:val="005846F3"/>
    <w:rsid w:val="0058622F"/>
    <w:rsid w:val="00592F82"/>
    <w:rsid w:val="00594C6A"/>
    <w:rsid w:val="0059684B"/>
    <w:rsid w:val="005A0CCA"/>
    <w:rsid w:val="005A1083"/>
    <w:rsid w:val="005A6FF2"/>
    <w:rsid w:val="005A726D"/>
    <w:rsid w:val="005B67AC"/>
    <w:rsid w:val="005B79F4"/>
    <w:rsid w:val="005D16DD"/>
    <w:rsid w:val="005D43E0"/>
    <w:rsid w:val="005D58A3"/>
    <w:rsid w:val="005D5D1B"/>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283B"/>
    <w:rsid w:val="006639DB"/>
    <w:rsid w:val="006661EF"/>
    <w:rsid w:val="00677AEB"/>
    <w:rsid w:val="00680EF2"/>
    <w:rsid w:val="00687A1D"/>
    <w:rsid w:val="00697EA1"/>
    <w:rsid w:val="006A2646"/>
    <w:rsid w:val="006A6530"/>
    <w:rsid w:val="006B435A"/>
    <w:rsid w:val="006B4C64"/>
    <w:rsid w:val="006C2AF5"/>
    <w:rsid w:val="006D282B"/>
    <w:rsid w:val="006D6BD5"/>
    <w:rsid w:val="006E481A"/>
    <w:rsid w:val="006E5298"/>
    <w:rsid w:val="006F4922"/>
    <w:rsid w:val="006F4A78"/>
    <w:rsid w:val="006F734A"/>
    <w:rsid w:val="007006C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4A3A"/>
    <w:rsid w:val="007C6201"/>
    <w:rsid w:val="007D280F"/>
    <w:rsid w:val="007D7C92"/>
    <w:rsid w:val="007E1154"/>
    <w:rsid w:val="007E2919"/>
    <w:rsid w:val="007E46A8"/>
    <w:rsid w:val="007E6BA4"/>
    <w:rsid w:val="007E7B9A"/>
    <w:rsid w:val="007F224A"/>
    <w:rsid w:val="007F41F8"/>
    <w:rsid w:val="007F659B"/>
    <w:rsid w:val="0080441E"/>
    <w:rsid w:val="0080454E"/>
    <w:rsid w:val="00804C32"/>
    <w:rsid w:val="00804F0B"/>
    <w:rsid w:val="00806302"/>
    <w:rsid w:val="00807119"/>
    <w:rsid w:val="0082483F"/>
    <w:rsid w:val="008279C0"/>
    <w:rsid w:val="00845B04"/>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C6D80"/>
    <w:rsid w:val="008D1616"/>
    <w:rsid w:val="008E3339"/>
    <w:rsid w:val="008F20FC"/>
    <w:rsid w:val="008F4001"/>
    <w:rsid w:val="008F5FFE"/>
    <w:rsid w:val="008F60D5"/>
    <w:rsid w:val="00905A43"/>
    <w:rsid w:val="00912C79"/>
    <w:rsid w:val="00912C8C"/>
    <w:rsid w:val="00921B8C"/>
    <w:rsid w:val="00924DAF"/>
    <w:rsid w:val="00931D14"/>
    <w:rsid w:val="0094127A"/>
    <w:rsid w:val="009416A4"/>
    <w:rsid w:val="00942123"/>
    <w:rsid w:val="00946C6D"/>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B4DB2"/>
    <w:rsid w:val="009B58D1"/>
    <w:rsid w:val="009C0815"/>
    <w:rsid w:val="009C0B8E"/>
    <w:rsid w:val="009C1BC8"/>
    <w:rsid w:val="009C2442"/>
    <w:rsid w:val="009C4E19"/>
    <w:rsid w:val="009D0811"/>
    <w:rsid w:val="009D0EE1"/>
    <w:rsid w:val="009E2AEB"/>
    <w:rsid w:val="009E2E27"/>
    <w:rsid w:val="009E45DF"/>
    <w:rsid w:val="009E4DE3"/>
    <w:rsid w:val="009F275E"/>
    <w:rsid w:val="00A047EE"/>
    <w:rsid w:val="00A2274A"/>
    <w:rsid w:val="00A235B7"/>
    <w:rsid w:val="00A27A7A"/>
    <w:rsid w:val="00A34ABE"/>
    <w:rsid w:val="00A407EF"/>
    <w:rsid w:val="00A462D6"/>
    <w:rsid w:val="00A46B4C"/>
    <w:rsid w:val="00A5117B"/>
    <w:rsid w:val="00A56D34"/>
    <w:rsid w:val="00A60074"/>
    <w:rsid w:val="00A6627C"/>
    <w:rsid w:val="00A71019"/>
    <w:rsid w:val="00A81029"/>
    <w:rsid w:val="00A845F5"/>
    <w:rsid w:val="00A96489"/>
    <w:rsid w:val="00AB2425"/>
    <w:rsid w:val="00AB64B0"/>
    <w:rsid w:val="00AB685C"/>
    <w:rsid w:val="00AB6C2D"/>
    <w:rsid w:val="00AC08F7"/>
    <w:rsid w:val="00AC317D"/>
    <w:rsid w:val="00AC3839"/>
    <w:rsid w:val="00AC7082"/>
    <w:rsid w:val="00AD4BE8"/>
    <w:rsid w:val="00AE5B6F"/>
    <w:rsid w:val="00AF228E"/>
    <w:rsid w:val="00B016A8"/>
    <w:rsid w:val="00B04033"/>
    <w:rsid w:val="00B10124"/>
    <w:rsid w:val="00B14819"/>
    <w:rsid w:val="00B15E2F"/>
    <w:rsid w:val="00B171DC"/>
    <w:rsid w:val="00B17AA9"/>
    <w:rsid w:val="00B44713"/>
    <w:rsid w:val="00B46595"/>
    <w:rsid w:val="00B51B95"/>
    <w:rsid w:val="00B56103"/>
    <w:rsid w:val="00B57AC9"/>
    <w:rsid w:val="00B64929"/>
    <w:rsid w:val="00B736DF"/>
    <w:rsid w:val="00B743D6"/>
    <w:rsid w:val="00B74A15"/>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4A4"/>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61A5"/>
    <w:rsid w:val="00C8712A"/>
    <w:rsid w:val="00C902C8"/>
    <w:rsid w:val="00C91062"/>
    <w:rsid w:val="00C919D1"/>
    <w:rsid w:val="00C963D3"/>
    <w:rsid w:val="00C97CE3"/>
    <w:rsid w:val="00CB1983"/>
    <w:rsid w:val="00CB2CBB"/>
    <w:rsid w:val="00CB7CAC"/>
    <w:rsid w:val="00CC5335"/>
    <w:rsid w:val="00CC5BA4"/>
    <w:rsid w:val="00CD4998"/>
    <w:rsid w:val="00CE1035"/>
    <w:rsid w:val="00CE6E50"/>
    <w:rsid w:val="00CF2819"/>
    <w:rsid w:val="00CF4F9D"/>
    <w:rsid w:val="00CF70DC"/>
    <w:rsid w:val="00D1124C"/>
    <w:rsid w:val="00D148DC"/>
    <w:rsid w:val="00D17FDC"/>
    <w:rsid w:val="00D21D8C"/>
    <w:rsid w:val="00D35E4D"/>
    <w:rsid w:val="00D53719"/>
    <w:rsid w:val="00D63EFD"/>
    <w:rsid w:val="00D71B9F"/>
    <w:rsid w:val="00D84752"/>
    <w:rsid w:val="00D86B3B"/>
    <w:rsid w:val="00D8748A"/>
    <w:rsid w:val="00D93196"/>
    <w:rsid w:val="00DA0DC0"/>
    <w:rsid w:val="00DB18A9"/>
    <w:rsid w:val="00DB243C"/>
    <w:rsid w:val="00DB482A"/>
    <w:rsid w:val="00DB50FB"/>
    <w:rsid w:val="00DB56F2"/>
    <w:rsid w:val="00DB6EF5"/>
    <w:rsid w:val="00DC3089"/>
    <w:rsid w:val="00DC4420"/>
    <w:rsid w:val="00DD0802"/>
    <w:rsid w:val="00DD2E11"/>
    <w:rsid w:val="00DD6E9D"/>
    <w:rsid w:val="00DE03AF"/>
    <w:rsid w:val="00DE121C"/>
    <w:rsid w:val="00DE6633"/>
    <w:rsid w:val="00DF75F8"/>
    <w:rsid w:val="00DF7A3A"/>
    <w:rsid w:val="00E00C00"/>
    <w:rsid w:val="00E07C5A"/>
    <w:rsid w:val="00E15BA9"/>
    <w:rsid w:val="00E26E19"/>
    <w:rsid w:val="00E31DF3"/>
    <w:rsid w:val="00E443D7"/>
    <w:rsid w:val="00E450A4"/>
    <w:rsid w:val="00E506BE"/>
    <w:rsid w:val="00E547E0"/>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06F"/>
    <w:rsid w:val="00EA5B00"/>
    <w:rsid w:val="00EB146B"/>
    <w:rsid w:val="00EB45AC"/>
    <w:rsid w:val="00EB5A88"/>
    <w:rsid w:val="00EC441F"/>
    <w:rsid w:val="00EC4755"/>
    <w:rsid w:val="00ED0BC4"/>
    <w:rsid w:val="00ED447D"/>
    <w:rsid w:val="00ED7D56"/>
    <w:rsid w:val="00EE4971"/>
    <w:rsid w:val="00EE6CB0"/>
    <w:rsid w:val="00EE766E"/>
    <w:rsid w:val="00EF090E"/>
    <w:rsid w:val="00EF5572"/>
    <w:rsid w:val="00F01D7D"/>
    <w:rsid w:val="00F033DA"/>
    <w:rsid w:val="00F13691"/>
    <w:rsid w:val="00F13FB1"/>
    <w:rsid w:val="00F27CD8"/>
    <w:rsid w:val="00F30351"/>
    <w:rsid w:val="00F3323E"/>
    <w:rsid w:val="00F341F4"/>
    <w:rsid w:val="00F34F9D"/>
    <w:rsid w:val="00F35CCE"/>
    <w:rsid w:val="00F52E4A"/>
    <w:rsid w:val="00F54AD7"/>
    <w:rsid w:val="00F5524B"/>
    <w:rsid w:val="00F60538"/>
    <w:rsid w:val="00F61DD2"/>
    <w:rsid w:val="00F62E7A"/>
    <w:rsid w:val="00F66AFF"/>
    <w:rsid w:val="00F70126"/>
    <w:rsid w:val="00F71433"/>
    <w:rsid w:val="00F87B04"/>
    <w:rsid w:val="00F905CE"/>
    <w:rsid w:val="00F92CBF"/>
    <w:rsid w:val="00F97C5B"/>
    <w:rsid w:val="00FA12B9"/>
    <w:rsid w:val="00FA3D50"/>
    <w:rsid w:val="00FA417D"/>
    <w:rsid w:val="00FA71F5"/>
    <w:rsid w:val="00FB31D6"/>
    <w:rsid w:val="00FB7FBD"/>
    <w:rsid w:val="00FC374A"/>
    <w:rsid w:val="00FC5171"/>
    <w:rsid w:val="00FC74C8"/>
    <w:rsid w:val="00FC7B47"/>
    <w:rsid w:val="00FD035C"/>
    <w:rsid w:val="00FD1A35"/>
    <w:rsid w:val="00FD2EA4"/>
    <w:rsid w:val="00FD36C5"/>
    <w:rsid w:val="00FD6310"/>
    <w:rsid w:val="00FD7C7B"/>
    <w:rsid w:val="00FE1D12"/>
    <w:rsid w:val="00FE2122"/>
    <w:rsid w:val="00FE2A86"/>
    <w:rsid w:val="00FE2DE2"/>
    <w:rsid w:val="00FF0A76"/>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B530-0273-41E6-A827-D7E45907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11</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Ramtahal</cp:lastModifiedBy>
  <cp:revision>37</cp:revision>
  <cp:lastPrinted>2019-08-27T05:42:00Z</cp:lastPrinted>
  <dcterms:created xsi:type="dcterms:W3CDTF">2022-02-28T18:51:00Z</dcterms:created>
  <dcterms:modified xsi:type="dcterms:W3CDTF">2022-03-01T18:16:00Z</dcterms:modified>
</cp:coreProperties>
</file>