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B1204" w:rsidRDefault="00AE5B6F" w:rsidP="00B04033">
      <w:pPr>
        <w:pStyle w:val="ListParagraph"/>
        <w:numPr>
          <w:ilvl w:val="0"/>
          <w:numId w:val="1"/>
        </w:numPr>
        <w:ind w:left="426"/>
        <w:jc w:val="both"/>
        <w:rPr>
          <w:rFonts w:ascii="Arial" w:hAnsi="Arial" w:cs="Arial"/>
          <w:sz w:val="22"/>
          <w:szCs w:val="22"/>
          <w:highlight w:val="yellow"/>
          <w:lang w:val="en-GB"/>
        </w:rPr>
      </w:pPr>
      <w:r w:rsidRPr="00FB1204">
        <w:rPr>
          <w:rFonts w:ascii="Arial" w:hAnsi="Arial" w:cs="Arial"/>
          <w:sz w:val="22"/>
          <w:szCs w:val="22"/>
          <w:highlight w:val="yellow"/>
          <w:lang w:val="en-GB"/>
        </w:rPr>
        <w:t>w</w:t>
      </w:r>
      <w:r w:rsidR="00C91062" w:rsidRPr="00FB1204">
        <w:rPr>
          <w:rFonts w:ascii="Arial" w:hAnsi="Arial" w:cs="Arial"/>
          <w:sz w:val="22"/>
          <w:szCs w:val="22"/>
          <w:highlight w:val="yellow"/>
          <w:lang w:val="en-GB"/>
        </w:rPr>
        <w:t>ithin 8 weeks of the commencement of the administration</w:t>
      </w:r>
      <w:r w:rsidR="00763348" w:rsidRPr="00FB120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B1204" w:rsidRDefault="00E443D7" w:rsidP="00B04033">
      <w:pPr>
        <w:pStyle w:val="ListParagraph"/>
        <w:numPr>
          <w:ilvl w:val="0"/>
          <w:numId w:val="2"/>
        </w:numPr>
        <w:ind w:left="426"/>
        <w:jc w:val="both"/>
        <w:rPr>
          <w:rFonts w:ascii="Arial" w:hAnsi="Arial" w:cs="Arial"/>
          <w:sz w:val="22"/>
          <w:szCs w:val="22"/>
          <w:highlight w:val="yellow"/>
          <w:lang w:val="en-GB"/>
        </w:rPr>
      </w:pPr>
      <w:r w:rsidRPr="00FB1204">
        <w:rPr>
          <w:rFonts w:ascii="Arial" w:hAnsi="Arial" w:cs="Arial"/>
          <w:sz w:val="22"/>
          <w:szCs w:val="22"/>
          <w:highlight w:val="yellow"/>
          <w:lang w:val="en-GB"/>
        </w:rPr>
        <w:t>One year</w:t>
      </w:r>
      <w:r w:rsidR="00763348" w:rsidRPr="00FB1204">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D6A1B" w:rsidRDefault="00AE5B6F" w:rsidP="00B04033">
      <w:pPr>
        <w:pStyle w:val="ListParagraph"/>
        <w:numPr>
          <w:ilvl w:val="0"/>
          <w:numId w:val="3"/>
        </w:numPr>
        <w:ind w:left="426"/>
        <w:jc w:val="both"/>
        <w:rPr>
          <w:rFonts w:ascii="Arial" w:hAnsi="Arial" w:cs="Arial"/>
          <w:sz w:val="22"/>
          <w:szCs w:val="22"/>
          <w:highlight w:val="yellow"/>
          <w:lang w:val="en-GB"/>
        </w:rPr>
      </w:pPr>
      <w:r w:rsidRPr="00AD6A1B">
        <w:rPr>
          <w:rFonts w:ascii="Arial" w:hAnsi="Arial" w:cs="Arial"/>
          <w:sz w:val="22"/>
          <w:szCs w:val="22"/>
          <w:highlight w:val="yellow"/>
          <w:lang w:val="en-GB"/>
        </w:rPr>
        <w:t>T</w:t>
      </w:r>
      <w:r w:rsidR="008D1616" w:rsidRPr="00AD6A1B">
        <w:rPr>
          <w:rFonts w:ascii="Arial" w:hAnsi="Arial" w:cs="Arial"/>
          <w:sz w:val="22"/>
          <w:szCs w:val="22"/>
          <w:highlight w:val="yellow"/>
          <w:lang w:val="en-GB"/>
        </w:rPr>
        <w:t>he company is, or is likely to become, unable to pay their debts, as defined under s</w:t>
      </w:r>
      <w:r w:rsidR="00E833F4" w:rsidRPr="00AD6A1B">
        <w:rPr>
          <w:rFonts w:ascii="Arial" w:hAnsi="Arial" w:cs="Arial"/>
          <w:sz w:val="22"/>
          <w:szCs w:val="22"/>
          <w:highlight w:val="yellow"/>
          <w:lang w:val="en-GB"/>
        </w:rPr>
        <w:t>ection</w:t>
      </w:r>
      <w:r w:rsidR="008D1616" w:rsidRPr="00AD6A1B">
        <w:rPr>
          <w:rFonts w:ascii="Arial" w:hAnsi="Arial" w:cs="Arial"/>
          <w:sz w:val="22"/>
          <w:szCs w:val="22"/>
          <w:highlight w:val="yellow"/>
          <w:lang w:val="en-GB"/>
        </w:rPr>
        <w:t xml:space="preserve"> 123 of the Insolvency Act 1986</w:t>
      </w:r>
      <w:r w:rsidR="00763348" w:rsidRPr="00AD6A1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AD6A1B" w:rsidRDefault="00C91062" w:rsidP="00B04033">
      <w:pPr>
        <w:pStyle w:val="ListParagraph"/>
        <w:numPr>
          <w:ilvl w:val="0"/>
          <w:numId w:val="4"/>
        </w:numPr>
        <w:ind w:left="426"/>
        <w:jc w:val="both"/>
        <w:rPr>
          <w:rFonts w:ascii="Arial" w:hAnsi="Arial" w:cs="Arial"/>
          <w:sz w:val="22"/>
          <w:szCs w:val="22"/>
          <w:highlight w:val="yellow"/>
          <w:lang w:val="en-GB"/>
        </w:rPr>
      </w:pPr>
      <w:r w:rsidRPr="00AD6A1B">
        <w:rPr>
          <w:rFonts w:ascii="Arial" w:hAnsi="Arial" w:cs="Arial"/>
          <w:sz w:val="22"/>
          <w:szCs w:val="22"/>
          <w:highlight w:val="yellow"/>
          <w:lang w:val="en-GB"/>
        </w:rPr>
        <w:t>The purchaser</w:t>
      </w:r>
      <w:r w:rsidR="00763348" w:rsidRPr="00AD6A1B">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AD6A1B" w:rsidRDefault="00BA1CFD" w:rsidP="00B04033">
      <w:pPr>
        <w:pStyle w:val="ListParagraph"/>
        <w:numPr>
          <w:ilvl w:val="0"/>
          <w:numId w:val="5"/>
        </w:numPr>
        <w:ind w:left="426"/>
        <w:jc w:val="both"/>
        <w:rPr>
          <w:rFonts w:ascii="Arial" w:hAnsi="Arial" w:cs="Arial"/>
          <w:sz w:val="22"/>
          <w:szCs w:val="22"/>
          <w:highlight w:val="yellow"/>
          <w:lang w:val="en-GB"/>
        </w:rPr>
      </w:pPr>
      <w:r w:rsidRPr="00AD6A1B">
        <w:rPr>
          <w:rFonts w:ascii="Arial" w:hAnsi="Arial" w:cs="Arial"/>
          <w:sz w:val="22"/>
          <w:szCs w:val="22"/>
          <w:highlight w:val="yellow"/>
          <w:lang w:val="en-GB"/>
        </w:rPr>
        <w:t>Administration</w:t>
      </w:r>
      <w:r w:rsidR="00763348" w:rsidRPr="00AD6A1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FF5098" w:rsidRDefault="00BA1CFD" w:rsidP="00B04033">
      <w:pPr>
        <w:pStyle w:val="ListParagraph"/>
        <w:numPr>
          <w:ilvl w:val="0"/>
          <w:numId w:val="6"/>
        </w:numPr>
        <w:ind w:left="426"/>
        <w:jc w:val="both"/>
        <w:rPr>
          <w:rFonts w:ascii="Arial" w:hAnsi="Arial" w:cs="Arial"/>
          <w:sz w:val="22"/>
          <w:szCs w:val="22"/>
          <w:lang w:val="en-GB"/>
        </w:rPr>
      </w:pPr>
      <w:r w:rsidRPr="00AD6A1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AD6A1B" w:rsidRDefault="00BA1CFD" w:rsidP="00B04033">
      <w:pPr>
        <w:pStyle w:val="ListParagraph"/>
        <w:numPr>
          <w:ilvl w:val="0"/>
          <w:numId w:val="7"/>
        </w:numPr>
        <w:ind w:left="426"/>
        <w:jc w:val="both"/>
        <w:rPr>
          <w:rFonts w:ascii="Arial" w:hAnsi="Arial" w:cs="Arial"/>
          <w:sz w:val="22"/>
          <w:szCs w:val="22"/>
          <w:highlight w:val="yellow"/>
          <w:lang w:val="en-GB"/>
        </w:rPr>
      </w:pPr>
      <w:r w:rsidRPr="00AD6A1B">
        <w:rPr>
          <w:rFonts w:ascii="Arial" w:hAnsi="Arial" w:cs="Arial"/>
          <w:sz w:val="22"/>
          <w:szCs w:val="22"/>
          <w:highlight w:val="yellow"/>
          <w:lang w:val="en-GB"/>
        </w:rPr>
        <w:t>Wrongful trading</w:t>
      </w:r>
      <w:r w:rsidR="00763348" w:rsidRPr="00AD6A1B">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D30D9A" w:rsidRDefault="00876F56" w:rsidP="00B04033">
      <w:pPr>
        <w:pStyle w:val="ListParagraph"/>
        <w:numPr>
          <w:ilvl w:val="0"/>
          <w:numId w:val="8"/>
        </w:numPr>
        <w:ind w:left="426"/>
        <w:jc w:val="both"/>
        <w:rPr>
          <w:rFonts w:ascii="Arial" w:hAnsi="Arial" w:cs="Arial"/>
          <w:sz w:val="22"/>
          <w:szCs w:val="22"/>
          <w:highlight w:val="yellow"/>
          <w:lang w:val="en-GB"/>
        </w:rPr>
      </w:pPr>
      <w:r w:rsidRPr="00D30D9A">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D30D9A" w:rsidRDefault="00E833F4" w:rsidP="00B04033">
      <w:pPr>
        <w:pStyle w:val="ListParagraph"/>
        <w:numPr>
          <w:ilvl w:val="0"/>
          <w:numId w:val="9"/>
        </w:numPr>
        <w:ind w:left="426"/>
        <w:jc w:val="both"/>
        <w:rPr>
          <w:rFonts w:ascii="Arial" w:hAnsi="Arial" w:cs="Arial"/>
          <w:sz w:val="22"/>
          <w:szCs w:val="22"/>
          <w:highlight w:val="yellow"/>
          <w:lang w:val="en-GB"/>
        </w:rPr>
      </w:pPr>
      <w:r w:rsidRPr="00D30D9A">
        <w:rPr>
          <w:rFonts w:ascii="Arial" w:hAnsi="Arial" w:cs="Arial"/>
          <w:sz w:val="22"/>
          <w:szCs w:val="22"/>
          <w:highlight w:val="yellow"/>
          <w:lang w:val="en-GB"/>
        </w:rPr>
        <w:t>A</w:t>
      </w:r>
      <w:r w:rsidR="000D10C6" w:rsidRPr="00D30D9A">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D30D9A" w:rsidRDefault="0020204E" w:rsidP="00B04033">
      <w:pPr>
        <w:pStyle w:val="ListParagraph"/>
        <w:numPr>
          <w:ilvl w:val="0"/>
          <w:numId w:val="10"/>
        </w:numPr>
        <w:ind w:left="426"/>
        <w:jc w:val="both"/>
        <w:rPr>
          <w:rFonts w:ascii="Arial" w:hAnsi="Arial" w:cs="Arial"/>
          <w:sz w:val="22"/>
          <w:szCs w:val="22"/>
          <w:highlight w:val="yellow"/>
          <w:lang w:val="en-GB"/>
        </w:rPr>
      </w:pPr>
      <w:r w:rsidRPr="00D30D9A">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7061C9D6" w14:textId="3E9A2200" w:rsidR="00AE5B6F" w:rsidRDefault="0080441E" w:rsidP="006624AB">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A171FFC" w14:textId="2432D30D" w:rsidR="00395E8D" w:rsidRDefault="00395E8D" w:rsidP="006624AB">
      <w:pPr>
        <w:jc w:val="both"/>
        <w:rPr>
          <w:rFonts w:ascii="Arial" w:hAnsi="Arial" w:cs="Arial"/>
          <w:sz w:val="22"/>
          <w:szCs w:val="22"/>
          <w:lang w:val="en-GB"/>
        </w:rPr>
      </w:pPr>
    </w:p>
    <w:p w14:paraId="1DC36D9D" w14:textId="1DF74F97" w:rsidR="00395E8D" w:rsidRPr="00F87EA7" w:rsidRDefault="00395E8D" w:rsidP="006624AB">
      <w:pPr>
        <w:jc w:val="both"/>
        <w:rPr>
          <w:rFonts w:ascii="Arial" w:hAnsi="Arial" w:cs="Arial"/>
          <w:color w:val="7B7B7B" w:themeColor="accent3" w:themeShade="BF"/>
          <w:sz w:val="22"/>
          <w:szCs w:val="22"/>
          <w:lang w:val="en-GB"/>
        </w:rPr>
      </w:pPr>
      <w:r w:rsidRPr="00F87EA7">
        <w:rPr>
          <w:rFonts w:ascii="Arial" w:hAnsi="Arial" w:cs="Arial"/>
          <w:color w:val="7B7B7B" w:themeColor="accent3" w:themeShade="BF"/>
          <w:sz w:val="22"/>
          <w:szCs w:val="22"/>
          <w:lang w:val="en-GB"/>
        </w:rPr>
        <w:t>The following parties may bring action</w:t>
      </w:r>
      <w:r w:rsidR="00F87EA7">
        <w:rPr>
          <w:rFonts w:ascii="Arial" w:hAnsi="Arial" w:cs="Arial"/>
          <w:color w:val="7B7B7B" w:themeColor="accent3" w:themeShade="BF"/>
          <w:sz w:val="22"/>
          <w:szCs w:val="22"/>
          <w:lang w:val="en-GB"/>
        </w:rPr>
        <w:t>:</w:t>
      </w:r>
      <w:r w:rsidRPr="00F87EA7">
        <w:rPr>
          <w:rFonts w:ascii="Arial" w:hAnsi="Arial" w:cs="Arial"/>
          <w:color w:val="7B7B7B" w:themeColor="accent3" w:themeShade="BF"/>
          <w:sz w:val="22"/>
          <w:szCs w:val="22"/>
          <w:lang w:val="en-GB"/>
        </w:rPr>
        <w:t xml:space="preserve"> </w:t>
      </w:r>
    </w:p>
    <w:p w14:paraId="5173CD24" w14:textId="77777777" w:rsidR="00395E8D" w:rsidRPr="00F87EA7" w:rsidRDefault="00395E8D" w:rsidP="006624AB">
      <w:pPr>
        <w:jc w:val="both"/>
        <w:rPr>
          <w:rFonts w:ascii="Arial" w:hAnsi="Arial" w:cs="Arial"/>
          <w:color w:val="7B7B7B" w:themeColor="accent3" w:themeShade="BF"/>
          <w:sz w:val="22"/>
          <w:szCs w:val="22"/>
          <w:lang w:val="en-GB"/>
        </w:rPr>
      </w:pPr>
    </w:p>
    <w:p w14:paraId="69F025F9" w14:textId="4BA6BF9D" w:rsidR="00395E8D" w:rsidRPr="00F87EA7" w:rsidRDefault="00395E8D" w:rsidP="00F87EA7">
      <w:pPr>
        <w:pStyle w:val="ListParagraph"/>
        <w:numPr>
          <w:ilvl w:val="0"/>
          <w:numId w:val="21"/>
        </w:numPr>
        <w:jc w:val="both"/>
        <w:rPr>
          <w:rFonts w:ascii="Arial" w:hAnsi="Arial" w:cs="Arial"/>
          <w:color w:val="7B7B7B" w:themeColor="accent3" w:themeShade="BF"/>
          <w:sz w:val="22"/>
          <w:szCs w:val="22"/>
          <w:lang w:val="en-GB"/>
        </w:rPr>
      </w:pPr>
      <w:r w:rsidRPr="00F87EA7">
        <w:rPr>
          <w:rFonts w:ascii="Arial" w:hAnsi="Arial" w:cs="Arial"/>
          <w:color w:val="7B7B7B" w:themeColor="accent3" w:themeShade="BF"/>
          <w:sz w:val="22"/>
          <w:szCs w:val="22"/>
          <w:lang w:val="en-GB"/>
        </w:rPr>
        <w:t>Section 42</w:t>
      </w:r>
      <w:r w:rsidR="00AC131A" w:rsidRPr="00F87EA7">
        <w:rPr>
          <w:rFonts w:ascii="Arial" w:hAnsi="Arial" w:cs="Arial"/>
          <w:color w:val="7B7B7B" w:themeColor="accent3" w:themeShade="BF"/>
          <w:sz w:val="22"/>
          <w:szCs w:val="22"/>
          <w:lang w:val="en-GB"/>
        </w:rPr>
        <w:t>3</w:t>
      </w:r>
      <w:r w:rsidRPr="00F87EA7">
        <w:rPr>
          <w:rFonts w:ascii="Arial" w:hAnsi="Arial" w:cs="Arial"/>
          <w:color w:val="7B7B7B" w:themeColor="accent3" w:themeShade="BF"/>
          <w:sz w:val="22"/>
          <w:szCs w:val="22"/>
          <w:lang w:val="en-GB"/>
        </w:rPr>
        <w:t xml:space="preserve"> of the Insolvency Act 1986 – Where companies that are in administration or being wound-up, the Official Receiver, the Liquidator, the </w:t>
      </w:r>
      <w:proofErr w:type="gramStart"/>
      <w:r w:rsidRPr="00F87EA7">
        <w:rPr>
          <w:rFonts w:ascii="Arial" w:hAnsi="Arial" w:cs="Arial"/>
          <w:color w:val="7B7B7B" w:themeColor="accent3" w:themeShade="BF"/>
          <w:sz w:val="22"/>
          <w:szCs w:val="22"/>
          <w:lang w:val="en-GB"/>
        </w:rPr>
        <w:t>Administrator</w:t>
      </w:r>
      <w:proofErr w:type="gramEnd"/>
      <w:r w:rsidRPr="00F87EA7">
        <w:rPr>
          <w:rFonts w:ascii="Arial" w:hAnsi="Arial" w:cs="Arial"/>
          <w:color w:val="7B7B7B" w:themeColor="accent3" w:themeShade="BF"/>
          <w:sz w:val="22"/>
          <w:szCs w:val="22"/>
          <w:lang w:val="en-GB"/>
        </w:rPr>
        <w:t xml:space="preserve"> and any victim of the transaction such as the creditor. </w:t>
      </w:r>
      <w:r w:rsidR="00AC131A" w:rsidRPr="00F87EA7">
        <w:rPr>
          <w:rFonts w:ascii="Arial" w:hAnsi="Arial" w:cs="Arial"/>
          <w:color w:val="7B7B7B" w:themeColor="accent3" w:themeShade="BF"/>
          <w:sz w:val="22"/>
          <w:szCs w:val="22"/>
          <w:lang w:val="en-GB"/>
        </w:rPr>
        <w:t xml:space="preserve">If the victim is bound by a CVA, then the supervisor of the CVA may do so. </w:t>
      </w:r>
    </w:p>
    <w:p w14:paraId="5711D70E" w14:textId="745177F3" w:rsidR="00AC131A" w:rsidRPr="00F87EA7" w:rsidRDefault="00AC131A" w:rsidP="00F87EA7">
      <w:pPr>
        <w:pStyle w:val="ListParagraph"/>
        <w:numPr>
          <w:ilvl w:val="0"/>
          <w:numId w:val="21"/>
        </w:numPr>
        <w:jc w:val="both"/>
        <w:rPr>
          <w:rFonts w:ascii="Arial" w:hAnsi="Arial" w:cs="Arial"/>
          <w:color w:val="7B7B7B" w:themeColor="accent3" w:themeShade="BF"/>
          <w:sz w:val="22"/>
          <w:szCs w:val="22"/>
          <w:lang w:val="en-GB"/>
        </w:rPr>
      </w:pPr>
      <w:r w:rsidRPr="00F87EA7">
        <w:rPr>
          <w:rFonts w:ascii="Arial" w:hAnsi="Arial" w:cs="Arial"/>
          <w:color w:val="7B7B7B" w:themeColor="accent3" w:themeShade="BF"/>
          <w:sz w:val="22"/>
          <w:szCs w:val="22"/>
          <w:lang w:val="en-GB"/>
        </w:rPr>
        <w:t xml:space="preserve">Section 6 of the CDDA 1986 </w:t>
      </w:r>
      <w:r w:rsidR="0061553D" w:rsidRPr="00F87EA7">
        <w:rPr>
          <w:rFonts w:ascii="Arial" w:hAnsi="Arial" w:cs="Arial"/>
          <w:color w:val="7B7B7B" w:themeColor="accent3" w:themeShade="BF"/>
          <w:sz w:val="22"/>
          <w:szCs w:val="22"/>
          <w:lang w:val="en-GB"/>
        </w:rPr>
        <w:t xml:space="preserve">– </w:t>
      </w:r>
      <w:r w:rsidR="00F87EA7" w:rsidRPr="00F87EA7">
        <w:rPr>
          <w:rFonts w:ascii="Arial" w:hAnsi="Arial" w:cs="Arial"/>
          <w:color w:val="7B7B7B" w:themeColor="accent3" w:themeShade="BF"/>
          <w:sz w:val="22"/>
          <w:szCs w:val="22"/>
          <w:lang w:val="en-GB"/>
        </w:rPr>
        <w:t xml:space="preserve">Disqualification order is made by the Court </w:t>
      </w:r>
    </w:p>
    <w:p w14:paraId="71056C42" w14:textId="5CE3D3E8" w:rsidR="0061553D" w:rsidRPr="00F87EA7" w:rsidRDefault="0061553D" w:rsidP="00F87EA7">
      <w:pPr>
        <w:pStyle w:val="ListParagraph"/>
        <w:numPr>
          <w:ilvl w:val="0"/>
          <w:numId w:val="21"/>
        </w:numPr>
        <w:jc w:val="both"/>
        <w:rPr>
          <w:rFonts w:ascii="Arial" w:hAnsi="Arial" w:cs="Arial"/>
          <w:color w:val="7B7B7B" w:themeColor="accent3" w:themeShade="BF"/>
          <w:sz w:val="22"/>
          <w:szCs w:val="22"/>
          <w:lang w:val="en-GB"/>
        </w:rPr>
      </w:pPr>
      <w:r w:rsidRPr="00F87EA7">
        <w:rPr>
          <w:rFonts w:ascii="Arial" w:hAnsi="Arial" w:cs="Arial"/>
          <w:color w:val="7B7B7B" w:themeColor="accent3" w:themeShade="BF"/>
          <w:sz w:val="22"/>
          <w:szCs w:val="22"/>
          <w:lang w:val="en-GB"/>
        </w:rPr>
        <w:t xml:space="preserve">Section 246ZB – Insolvency practitioner </w:t>
      </w:r>
    </w:p>
    <w:p w14:paraId="29498710" w14:textId="77777777" w:rsidR="00395E8D" w:rsidRPr="00395E8D" w:rsidRDefault="00395E8D" w:rsidP="006624AB">
      <w:pPr>
        <w:jc w:val="both"/>
        <w:rPr>
          <w:rFonts w:ascii="Arial" w:hAnsi="Arial" w:cs="Arial"/>
          <w:sz w:val="22"/>
          <w:szCs w:val="22"/>
          <w:lang w:val="en-GB"/>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29B5F56A" w14:textId="6993CBA7" w:rsidR="00D36133" w:rsidRDefault="00D3613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5 qualifying decision procedures by which creditors may make decision in the context of an insolvent company are: </w:t>
      </w:r>
    </w:p>
    <w:p w14:paraId="65F8A8A5" w14:textId="77777777" w:rsidR="00645178" w:rsidRDefault="00645178" w:rsidP="00FF5098">
      <w:pPr>
        <w:jc w:val="both"/>
        <w:rPr>
          <w:rFonts w:ascii="Arial" w:hAnsi="Arial" w:cs="Arial"/>
          <w:color w:val="7B7B7B" w:themeColor="accent3" w:themeShade="BF"/>
          <w:sz w:val="22"/>
          <w:szCs w:val="22"/>
          <w:lang w:val="en-GB"/>
        </w:rPr>
      </w:pPr>
    </w:p>
    <w:p w14:paraId="4E1236F0" w14:textId="2117336C" w:rsidR="00FF5098" w:rsidRDefault="00D36133" w:rsidP="00D3613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way of correspondence </w:t>
      </w:r>
    </w:p>
    <w:p w14:paraId="121C7806" w14:textId="29F2CBD4" w:rsidR="00D36133" w:rsidRDefault="00D36133" w:rsidP="00D3613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way of electronic voting </w:t>
      </w:r>
    </w:p>
    <w:p w14:paraId="62823B03" w14:textId="5C0019C1" w:rsidR="00D36133" w:rsidRDefault="00D36133" w:rsidP="00D3613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way of virtual meeting </w:t>
      </w:r>
    </w:p>
    <w:p w14:paraId="0AE8E5D2" w14:textId="7D1E2234" w:rsidR="00D36133" w:rsidRDefault="00D36133" w:rsidP="00D3613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way of physical meeting </w:t>
      </w:r>
    </w:p>
    <w:p w14:paraId="08131404" w14:textId="2060B54C" w:rsidR="00D36133" w:rsidRDefault="00D36133" w:rsidP="00D36133">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By way of any other procedures which will enable creditors who are entitled to make decisions to participate in a fair and equal manner </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76B89E06" w14:textId="77777777" w:rsidR="001B000A" w:rsidRDefault="00932241"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an Administrator can continue to operate the business of the company even in Administration and thereby require</w:t>
      </w:r>
      <w:r w:rsidR="001B000A">
        <w:rPr>
          <w:rFonts w:ascii="Arial" w:hAnsi="Arial" w:cs="Arial"/>
          <w:color w:val="7B7B7B" w:themeColor="accent3" w:themeShade="BF"/>
          <w:sz w:val="22"/>
          <w:szCs w:val="22"/>
          <w:lang w:val="en-GB"/>
        </w:rPr>
        <w:t xml:space="preserve">s the continuity of supplies of goods and services. </w:t>
      </w:r>
    </w:p>
    <w:p w14:paraId="61EC5FB1" w14:textId="77777777" w:rsidR="001B000A" w:rsidRDefault="001B000A" w:rsidP="00FF5098">
      <w:pPr>
        <w:jc w:val="both"/>
        <w:rPr>
          <w:rFonts w:ascii="Arial" w:hAnsi="Arial" w:cs="Arial"/>
          <w:color w:val="7B7B7B" w:themeColor="accent3" w:themeShade="BF"/>
          <w:sz w:val="22"/>
          <w:szCs w:val="22"/>
          <w:lang w:val="en-GB"/>
        </w:rPr>
      </w:pPr>
    </w:p>
    <w:p w14:paraId="32D9489A" w14:textId="61F779A6" w:rsidR="001B000A" w:rsidRDefault="001B00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the Administrator does not automatically terminate a company’s contracts related to supplies of goods and services. Certain contracts may have protection clauses in the form of automatic termination in the of an insolvency-related event or procedure occurring. </w:t>
      </w:r>
    </w:p>
    <w:p w14:paraId="59F9BF45" w14:textId="77777777" w:rsidR="001B000A" w:rsidRDefault="001B000A" w:rsidP="00FF5098">
      <w:pPr>
        <w:jc w:val="both"/>
        <w:rPr>
          <w:rFonts w:ascii="Arial" w:hAnsi="Arial" w:cs="Arial"/>
          <w:color w:val="7B7B7B" w:themeColor="accent3" w:themeShade="BF"/>
          <w:sz w:val="22"/>
          <w:szCs w:val="22"/>
          <w:lang w:val="en-GB"/>
        </w:rPr>
      </w:pPr>
    </w:p>
    <w:p w14:paraId="17F2E837" w14:textId="7C3BA3C0" w:rsidR="00FF5098" w:rsidRPr="00FF5098" w:rsidRDefault="001B000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w:t>
      </w:r>
      <w:r w:rsidR="00932241">
        <w:rPr>
          <w:rFonts w:ascii="Arial" w:hAnsi="Arial" w:cs="Arial"/>
          <w:color w:val="7B7B7B" w:themeColor="accent3" w:themeShade="BF"/>
          <w:sz w:val="22"/>
          <w:szCs w:val="22"/>
          <w:lang w:val="en-GB"/>
        </w:rPr>
        <w:t>here are provisions in the in the Act (</w:t>
      </w:r>
      <w:proofErr w:type="gramStart"/>
      <w:r w:rsidR="00932241">
        <w:rPr>
          <w:rFonts w:ascii="Arial" w:hAnsi="Arial" w:cs="Arial"/>
          <w:color w:val="7B7B7B" w:themeColor="accent3" w:themeShade="BF"/>
          <w:sz w:val="22"/>
          <w:szCs w:val="22"/>
          <w:lang w:val="en-GB"/>
        </w:rPr>
        <w:t>e.g.</w:t>
      </w:r>
      <w:proofErr w:type="gramEnd"/>
      <w:r w:rsidR="00932241">
        <w:rPr>
          <w:rFonts w:ascii="Arial" w:hAnsi="Arial" w:cs="Arial"/>
          <w:color w:val="7B7B7B" w:themeColor="accent3" w:themeShade="BF"/>
          <w:sz w:val="22"/>
          <w:szCs w:val="22"/>
          <w:lang w:val="en-GB"/>
        </w:rPr>
        <w:t xml:space="preserve"> section 233</w:t>
      </w:r>
      <w:r>
        <w:rPr>
          <w:rFonts w:ascii="Arial" w:hAnsi="Arial" w:cs="Arial"/>
          <w:color w:val="7B7B7B" w:themeColor="accent3" w:themeShade="BF"/>
          <w:sz w:val="22"/>
          <w:szCs w:val="22"/>
          <w:lang w:val="en-GB"/>
        </w:rPr>
        <w:t>, Section 233A</w:t>
      </w:r>
      <w:r w:rsidR="00932241">
        <w:rPr>
          <w:rFonts w:ascii="Arial" w:hAnsi="Arial" w:cs="Arial"/>
          <w:color w:val="7B7B7B" w:themeColor="accent3" w:themeShade="BF"/>
          <w:sz w:val="22"/>
          <w:szCs w:val="22"/>
          <w:lang w:val="en-GB"/>
        </w:rPr>
        <w:t xml:space="preserve">) that ensures the Administrators are protected </w:t>
      </w:r>
      <w:r>
        <w:rPr>
          <w:rFonts w:ascii="Arial" w:hAnsi="Arial" w:cs="Arial"/>
          <w:color w:val="7B7B7B" w:themeColor="accent3" w:themeShade="BF"/>
          <w:sz w:val="22"/>
          <w:szCs w:val="22"/>
          <w:lang w:val="en-GB"/>
        </w:rPr>
        <w:t xml:space="preserve">in that such clauses are void or suspended, including alteration of contractual terms (increasing prices) for continued supply. The recent 2020 Act included protection to insolvent companies through Section 233B which prohibits suppliers of goods and services from terminating such contracts in the event the company enters a formal insolvency procedure.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80E17F3" w:rsidR="00FF5098" w:rsidRDefault="005B23D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liquidation, the order of priority of payments are </w:t>
      </w:r>
      <w:r w:rsidR="0029100E">
        <w:rPr>
          <w:rFonts w:ascii="Arial" w:hAnsi="Arial" w:cs="Arial"/>
          <w:color w:val="7B7B7B" w:themeColor="accent3" w:themeShade="BF"/>
          <w:sz w:val="22"/>
          <w:szCs w:val="22"/>
          <w:lang w:val="en-GB"/>
        </w:rPr>
        <w:t xml:space="preserve">set out in </w:t>
      </w:r>
      <w:r w:rsidR="00645178">
        <w:rPr>
          <w:rFonts w:ascii="Arial" w:hAnsi="Arial" w:cs="Arial"/>
          <w:color w:val="7B7B7B" w:themeColor="accent3" w:themeShade="BF"/>
          <w:sz w:val="22"/>
          <w:szCs w:val="22"/>
          <w:lang w:val="en-GB"/>
        </w:rPr>
        <w:t xml:space="preserve">the Insolvency Act 1986. </w:t>
      </w:r>
      <w:r w:rsidR="0029100E">
        <w:rPr>
          <w:rFonts w:ascii="Arial" w:hAnsi="Arial" w:cs="Arial"/>
          <w:color w:val="7B7B7B" w:themeColor="accent3" w:themeShade="BF"/>
          <w:sz w:val="22"/>
          <w:szCs w:val="22"/>
          <w:lang w:val="en-GB"/>
        </w:rPr>
        <w:t>Under a liquidation</w:t>
      </w:r>
      <w:r w:rsidR="00645178" w:rsidRPr="00645178">
        <w:rPr>
          <w:rFonts w:ascii="Arial" w:hAnsi="Arial" w:cs="Arial"/>
          <w:color w:val="7B7B7B" w:themeColor="accent3" w:themeShade="BF"/>
          <w:sz w:val="22"/>
          <w:szCs w:val="22"/>
          <w:lang w:val="en-GB"/>
        </w:rPr>
        <w:t>, each class of creditors must be paid in full (the exception being ‘prescribed part’ secured creditors) before funds are allocated to the next.</w:t>
      </w:r>
      <w:r>
        <w:rPr>
          <w:rFonts w:ascii="Arial" w:hAnsi="Arial" w:cs="Arial"/>
          <w:color w:val="7B7B7B" w:themeColor="accent3" w:themeShade="BF"/>
          <w:sz w:val="22"/>
          <w:szCs w:val="22"/>
          <w:lang w:val="en-GB"/>
        </w:rPr>
        <w:t xml:space="preserve"> </w:t>
      </w:r>
    </w:p>
    <w:p w14:paraId="3735E4E8" w14:textId="299B56FF" w:rsidR="00645178" w:rsidRDefault="00645178" w:rsidP="00FF5098">
      <w:pPr>
        <w:jc w:val="both"/>
        <w:rPr>
          <w:rFonts w:ascii="Arial" w:hAnsi="Arial" w:cs="Arial"/>
          <w:color w:val="7B7B7B" w:themeColor="accent3" w:themeShade="BF"/>
          <w:sz w:val="22"/>
          <w:szCs w:val="22"/>
          <w:lang w:val="en-GB"/>
        </w:rPr>
      </w:pPr>
    </w:p>
    <w:p w14:paraId="47654FC0" w14:textId="0C90CEBB" w:rsidR="00645178" w:rsidRDefault="0064517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or expenses are ranked </w:t>
      </w:r>
      <w:r w:rsidR="0029100E">
        <w:rPr>
          <w:rFonts w:ascii="Arial" w:hAnsi="Arial" w:cs="Arial"/>
          <w:color w:val="7B7B7B" w:themeColor="accent3" w:themeShade="BF"/>
          <w:sz w:val="22"/>
          <w:szCs w:val="22"/>
          <w:lang w:val="en-GB"/>
        </w:rPr>
        <w:t>in the following order</w:t>
      </w:r>
      <w:r>
        <w:rPr>
          <w:rFonts w:ascii="Arial" w:hAnsi="Arial" w:cs="Arial"/>
          <w:color w:val="7B7B7B" w:themeColor="accent3" w:themeShade="BF"/>
          <w:sz w:val="22"/>
          <w:szCs w:val="22"/>
          <w:lang w:val="en-GB"/>
        </w:rPr>
        <w:t xml:space="preserve">: </w:t>
      </w:r>
    </w:p>
    <w:p w14:paraId="5A37B1E5" w14:textId="25B08D2A" w:rsidR="00645178" w:rsidRDefault="00645178" w:rsidP="00FF5098">
      <w:pPr>
        <w:jc w:val="both"/>
        <w:rPr>
          <w:rFonts w:ascii="Arial" w:hAnsi="Arial" w:cs="Arial"/>
          <w:color w:val="7B7B7B" w:themeColor="accent3" w:themeShade="BF"/>
          <w:sz w:val="22"/>
          <w:szCs w:val="22"/>
          <w:lang w:val="en-GB"/>
        </w:rPr>
      </w:pPr>
    </w:p>
    <w:p w14:paraId="3A29F3AC" w14:textId="77777777" w:rsidR="00645178" w:rsidRPr="00645178" w:rsidRDefault="00645178" w:rsidP="0029100E">
      <w:pPr>
        <w:pStyle w:val="ListParagraph"/>
        <w:numPr>
          <w:ilvl w:val="0"/>
          <w:numId w:val="25"/>
        </w:num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Secured creditors with a fixed charge</w:t>
      </w:r>
    </w:p>
    <w:p w14:paraId="7675E67F" w14:textId="13BA930B" w:rsidR="00645178" w:rsidRPr="00645178" w:rsidRDefault="00394EC5" w:rsidP="0029100E">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of winding-up </w:t>
      </w:r>
    </w:p>
    <w:p w14:paraId="24188E40" w14:textId="13A9BEA2" w:rsidR="00645178" w:rsidRPr="00645178" w:rsidRDefault="00F21C21" w:rsidP="0029100E">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645178" w:rsidRPr="00645178">
        <w:rPr>
          <w:rFonts w:ascii="Arial" w:hAnsi="Arial" w:cs="Arial"/>
          <w:color w:val="7B7B7B" w:themeColor="accent3" w:themeShade="BF"/>
          <w:sz w:val="22"/>
          <w:szCs w:val="22"/>
          <w:lang w:val="en-GB"/>
        </w:rPr>
        <w:t>referential creditors</w:t>
      </w:r>
    </w:p>
    <w:p w14:paraId="5D15E751" w14:textId="105F9840" w:rsidR="00645178" w:rsidRPr="00645178" w:rsidRDefault="00645178" w:rsidP="0029100E">
      <w:pPr>
        <w:pStyle w:val="ListParagraph"/>
        <w:numPr>
          <w:ilvl w:val="0"/>
          <w:numId w:val="25"/>
        </w:num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 xml:space="preserve">Secondary preferential creditors </w:t>
      </w:r>
    </w:p>
    <w:p w14:paraId="2C5805DD" w14:textId="77777777" w:rsidR="00645178" w:rsidRPr="00645178" w:rsidRDefault="00645178" w:rsidP="0029100E">
      <w:pPr>
        <w:pStyle w:val="ListParagraph"/>
        <w:numPr>
          <w:ilvl w:val="0"/>
          <w:numId w:val="25"/>
        </w:num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Secured creditors with a floating charge</w:t>
      </w:r>
    </w:p>
    <w:p w14:paraId="47E5B74B" w14:textId="53995133" w:rsidR="00645178" w:rsidRPr="00645178" w:rsidRDefault="00645178" w:rsidP="0029100E">
      <w:pPr>
        <w:pStyle w:val="ListParagraph"/>
        <w:numPr>
          <w:ilvl w:val="0"/>
          <w:numId w:val="25"/>
        </w:num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Unsecured creditors </w:t>
      </w:r>
    </w:p>
    <w:p w14:paraId="52B58113" w14:textId="77777777" w:rsidR="00645178" w:rsidRPr="00645178" w:rsidRDefault="00645178" w:rsidP="0029100E">
      <w:pPr>
        <w:pStyle w:val="ListParagraph"/>
        <w:numPr>
          <w:ilvl w:val="0"/>
          <w:numId w:val="25"/>
        </w:num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Shareholders</w:t>
      </w:r>
    </w:p>
    <w:p w14:paraId="0124381D" w14:textId="77777777" w:rsidR="00645178" w:rsidRDefault="00645178" w:rsidP="00FF5098">
      <w:pPr>
        <w:jc w:val="both"/>
        <w:rPr>
          <w:rFonts w:ascii="Arial" w:hAnsi="Arial" w:cs="Arial"/>
          <w:color w:val="7B7B7B" w:themeColor="accent3" w:themeShade="BF"/>
          <w:sz w:val="22"/>
          <w:szCs w:val="22"/>
          <w:lang w:val="en-GB"/>
        </w:rPr>
      </w:pPr>
    </w:p>
    <w:p w14:paraId="3DAA6780" w14:textId="5455ABF6" w:rsidR="00962045" w:rsidRDefault="0029100E" w:rsidP="002A37BB">
      <w:pPr>
        <w:jc w:val="both"/>
        <w:rPr>
          <w:rFonts w:ascii="Arial" w:hAnsi="Arial" w:cs="Arial"/>
          <w:color w:val="7B7B7B" w:themeColor="accent3" w:themeShade="BF"/>
          <w:sz w:val="22"/>
          <w:szCs w:val="22"/>
          <w:lang w:val="en-GB"/>
        </w:rPr>
      </w:pPr>
      <w:r w:rsidRPr="00645178">
        <w:rPr>
          <w:rFonts w:ascii="Arial" w:hAnsi="Arial" w:cs="Arial"/>
          <w:color w:val="7B7B7B" w:themeColor="accent3" w:themeShade="BF"/>
          <w:sz w:val="22"/>
          <w:szCs w:val="22"/>
          <w:lang w:val="en-GB"/>
        </w:rPr>
        <w:t>Secured creditors with a fixed charge</w:t>
      </w:r>
    </w:p>
    <w:p w14:paraId="75B2DF6B" w14:textId="2A57A058" w:rsidR="0029100E" w:rsidRDefault="0029100E" w:rsidP="002A37BB">
      <w:pPr>
        <w:jc w:val="both"/>
        <w:rPr>
          <w:rFonts w:ascii="Arial" w:hAnsi="Arial" w:cs="Arial"/>
          <w:color w:val="7B7B7B" w:themeColor="accent3" w:themeShade="BF"/>
          <w:sz w:val="22"/>
          <w:szCs w:val="22"/>
          <w:lang w:val="en-GB"/>
        </w:rPr>
      </w:pPr>
    </w:p>
    <w:p w14:paraId="1467F68C" w14:textId="3842D584" w:rsidR="0029100E" w:rsidRDefault="0029100E" w:rsidP="0029100E">
      <w:pPr>
        <w:jc w:val="both"/>
        <w:rPr>
          <w:rFonts w:ascii="Arial" w:hAnsi="Arial" w:cs="Arial"/>
          <w:color w:val="7B7B7B" w:themeColor="accent3" w:themeShade="BF"/>
          <w:sz w:val="22"/>
          <w:szCs w:val="22"/>
          <w:lang w:val="en-GB"/>
        </w:rPr>
      </w:pPr>
      <w:r w:rsidRPr="0029100E">
        <w:rPr>
          <w:rFonts w:ascii="Arial" w:hAnsi="Arial" w:cs="Arial"/>
          <w:color w:val="7B7B7B" w:themeColor="accent3" w:themeShade="BF"/>
          <w:sz w:val="22"/>
          <w:szCs w:val="22"/>
          <w:lang w:val="en-GB"/>
        </w:rPr>
        <w:t xml:space="preserve">Fixed charge holders are often </w:t>
      </w:r>
      <w:proofErr w:type="gramStart"/>
      <w:r w:rsidRPr="0029100E">
        <w:rPr>
          <w:rFonts w:ascii="Arial" w:hAnsi="Arial" w:cs="Arial"/>
          <w:color w:val="7B7B7B" w:themeColor="accent3" w:themeShade="BF"/>
          <w:sz w:val="22"/>
          <w:szCs w:val="22"/>
          <w:lang w:val="en-GB"/>
        </w:rPr>
        <w:t>banks</w:t>
      </w:r>
      <w:proofErr w:type="gramEnd"/>
      <w:r w:rsidRPr="0029100E">
        <w:rPr>
          <w:rFonts w:ascii="Arial" w:hAnsi="Arial" w:cs="Arial"/>
          <w:color w:val="7B7B7B" w:themeColor="accent3" w:themeShade="BF"/>
          <w:sz w:val="22"/>
          <w:szCs w:val="22"/>
          <w:lang w:val="en-GB"/>
        </w:rPr>
        <w:t xml:space="preserve"> and other asset-based lenders who hold title over a</w:t>
      </w:r>
      <w:r>
        <w:rPr>
          <w:rFonts w:ascii="Arial" w:hAnsi="Arial" w:cs="Arial"/>
          <w:color w:val="7B7B7B" w:themeColor="accent3" w:themeShade="BF"/>
          <w:sz w:val="22"/>
          <w:szCs w:val="22"/>
          <w:lang w:val="en-GB"/>
        </w:rPr>
        <w:t xml:space="preserve">n </w:t>
      </w:r>
      <w:r w:rsidRPr="0029100E">
        <w:rPr>
          <w:rFonts w:ascii="Arial" w:hAnsi="Arial" w:cs="Arial"/>
          <w:color w:val="7B7B7B" w:themeColor="accent3" w:themeShade="BF"/>
          <w:sz w:val="22"/>
          <w:szCs w:val="22"/>
          <w:lang w:val="en-GB"/>
        </w:rPr>
        <w:t>asset. Depending on the original agreement, however, </w:t>
      </w:r>
      <w:hyperlink r:id="rId9" w:history="1">
        <w:r w:rsidRPr="0029100E">
          <w:rPr>
            <w:rFonts w:ascii="Arial" w:hAnsi="Arial" w:cs="Arial"/>
            <w:color w:val="7B7B7B" w:themeColor="accent3" w:themeShade="BF"/>
            <w:sz w:val="22"/>
            <w:szCs w:val="22"/>
            <w:lang w:val="en-GB"/>
          </w:rPr>
          <w:t>in liquidation</w:t>
        </w:r>
      </w:hyperlink>
      <w:r>
        <w:rPr>
          <w:rFonts w:ascii="Arial" w:hAnsi="Arial" w:cs="Arial"/>
          <w:color w:val="7B7B7B" w:themeColor="accent3" w:themeShade="BF"/>
          <w:sz w:val="22"/>
          <w:szCs w:val="22"/>
          <w:lang w:val="en-GB"/>
        </w:rPr>
        <w:t>,</w:t>
      </w:r>
      <w:r w:rsidRPr="0029100E">
        <w:rPr>
          <w:rFonts w:ascii="Arial" w:hAnsi="Arial" w:cs="Arial"/>
          <w:color w:val="7B7B7B" w:themeColor="accent3" w:themeShade="BF"/>
          <w:sz w:val="22"/>
          <w:szCs w:val="22"/>
          <w:lang w:val="en-GB"/>
        </w:rPr>
        <w:t xml:space="preserve"> the asset can be sold by the </w:t>
      </w:r>
      <w:r>
        <w:rPr>
          <w:rFonts w:ascii="Arial" w:hAnsi="Arial" w:cs="Arial"/>
          <w:color w:val="7B7B7B" w:themeColor="accent3" w:themeShade="BF"/>
          <w:sz w:val="22"/>
          <w:szCs w:val="22"/>
          <w:lang w:val="en-GB"/>
        </w:rPr>
        <w:t>secured creditor o</w:t>
      </w:r>
      <w:r w:rsidRPr="0029100E">
        <w:rPr>
          <w:rFonts w:ascii="Arial" w:hAnsi="Arial" w:cs="Arial"/>
          <w:color w:val="7B7B7B" w:themeColor="accent3" w:themeShade="BF"/>
          <w:sz w:val="22"/>
          <w:szCs w:val="22"/>
          <w:lang w:val="en-GB"/>
        </w:rPr>
        <w:t>r liquidator to realise funds.</w:t>
      </w:r>
      <w:r>
        <w:rPr>
          <w:rFonts w:ascii="Arial" w:hAnsi="Arial" w:cs="Arial"/>
          <w:color w:val="7B7B7B" w:themeColor="accent3" w:themeShade="BF"/>
          <w:sz w:val="22"/>
          <w:szCs w:val="22"/>
          <w:lang w:val="en-GB"/>
        </w:rPr>
        <w:t xml:space="preserve"> Any shortfall suffered by the secured creditors will be included in the unsecured creditor pool. </w:t>
      </w:r>
    </w:p>
    <w:p w14:paraId="770603FD" w14:textId="3CD3F559" w:rsidR="0029100E" w:rsidRDefault="0029100E" w:rsidP="0029100E">
      <w:pPr>
        <w:jc w:val="both"/>
        <w:rPr>
          <w:rFonts w:ascii="Arial" w:hAnsi="Arial" w:cs="Arial"/>
          <w:color w:val="7B7B7B" w:themeColor="accent3" w:themeShade="BF"/>
          <w:sz w:val="22"/>
          <w:szCs w:val="22"/>
          <w:lang w:val="en-GB"/>
        </w:rPr>
      </w:pPr>
    </w:p>
    <w:p w14:paraId="2A783BAA" w14:textId="76B9BE67" w:rsidR="0029100E" w:rsidRDefault="00394EC5" w:rsidP="0029100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of winding-up </w:t>
      </w:r>
    </w:p>
    <w:p w14:paraId="23B2EF48" w14:textId="229261B8" w:rsidR="0029100E" w:rsidRDefault="0029100E" w:rsidP="0029100E">
      <w:pPr>
        <w:jc w:val="both"/>
        <w:rPr>
          <w:rFonts w:ascii="Arial" w:hAnsi="Arial" w:cs="Arial"/>
          <w:color w:val="7B7B7B" w:themeColor="accent3" w:themeShade="BF"/>
          <w:sz w:val="22"/>
          <w:szCs w:val="22"/>
          <w:lang w:val="en-GB"/>
        </w:rPr>
      </w:pPr>
    </w:p>
    <w:p w14:paraId="6A9E6BD8" w14:textId="77777777" w:rsidR="00394EC5" w:rsidRDefault="00394EC5" w:rsidP="00394EC5">
      <w:pPr>
        <w:tabs>
          <w:tab w:val="left" w:pos="3828"/>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115 of the Act details out the main winding-up expenses which are payable and payable in order of a priority beginning with the expenses incurred by the liquidator in preserving and realising the assets of the company, including the conduct of any legal proceedings. </w:t>
      </w:r>
    </w:p>
    <w:p w14:paraId="37559CE4" w14:textId="77777777" w:rsidR="00394EC5" w:rsidRDefault="00394EC5" w:rsidP="00394EC5">
      <w:pPr>
        <w:tabs>
          <w:tab w:val="left" w:pos="3828"/>
        </w:tabs>
        <w:jc w:val="both"/>
        <w:rPr>
          <w:rFonts w:ascii="Arial" w:hAnsi="Arial" w:cs="Arial"/>
          <w:color w:val="7B7B7B" w:themeColor="accent3" w:themeShade="BF"/>
          <w:sz w:val="22"/>
          <w:szCs w:val="22"/>
          <w:lang w:val="en-GB"/>
        </w:rPr>
      </w:pPr>
    </w:p>
    <w:p w14:paraId="3CBDD750" w14:textId="687A6706" w:rsidR="00394EC5" w:rsidRDefault="00F21C21" w:rsidP="00394EC5">
      <w:pPr>
        <w:tabs>
          <w:tab w:val="left" w:pos="3828"/>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394EC5">
        <w:rPr>
          <w:rFonts w:ascii="Arial" w:hAnsi="Arial" w:cs="Arial"/>
          <w:color w:val="7B7B7B" w:themeColor="accent3" w:themeShade="BF"/>
          <w:sz w:val="22"/>
          <w:szCs w:val="22"/>
          <w:lang w:val="en-GB"/>
        </w:rPr>
        <w:t xml:space="preserve">referential creditors </w:t>
      </w:r>
    </w:p>
    <w:p w14:paraId="66A7C6BB" w14:textId="77777777" w:rsidR="00394EC5" w:rsidRDefault="00394EC5" w:rsidP="00394EC5">
      <w:pPr>
        <w:tabs>
          <w:tab w:val="left" w:pos="3828"/>
        </w:tabs>
        <w:jc w:val="both"/>
        <w:rPr>
          <w:rFonts w:ascii="Arial" w:hAnsi="Arial" w:cs="Arial"/>
          <w:color w:val="7B7B7B" w:themeColor="accent3" w:themeShade="BF"/>
          <w:sz w:val="22"/>
          <w:szCs w:val="22"/>
          <w:lang w:val="en-GB"/>
        </w:rPr>
      </w:pPr>
    </w:p>
    <w:p w14:paraId="2232673F" w14:textId="73D84EA9" w:rsidR="0029100E" w:rsidRDefault="00394EC5" w:rsidP="00394EC5">
      <w:pPr>
        <w:tabs>
          <w:tab w:val="left" w:pos="3828"/>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Ordinary p</w:t>
      </w:r>
      <w:r w:rsidRPr="00394EC5">
        <w:rPr>
          <w:rFonts w:ascii="Arial" w:hAnsi="Arial" w:cs="Arial"/>
          <w:color w:val="7B7B7B" w:themeColor="accent3" w:themeShade="BF"/>
          <w:sz w:val="22"/>
          <w:szCs w:val="22"/>
          <w:lang w:val="en-GB"/>
        </w:rPr>
        <w:t xml:space="preserve">referential creditors </w:t>
      </w:r>
      <w:r>
        <w:rPr>
          <w:rFonts w:ascii="Arial" w:hAnsi="Arial" w:cs="Arial"/>
          <w:color w:val="7B7B7B" w:themeColor="accent3" w:themeShade="BF"/>
          <w:sz w:val="22"/>
          <w:szCs w:val="22"/>
          <w:lang w:val="en-GB"/>
        </w:rPr>
        <w:t xml:space="preserve">are mainly related to employees related costs such as contribution to pension schemes, </w:t>
      </w:r>
      <w:r w:rsidRPr="00394EC5">
        <w:rPr>
          <w:rFonts w:ascii="Arial" w:hAnsi="Arial" w:cs="Arial"/>
          <w:color w:val="7B7B7B" w:themeColor="accent3" w:themeShade="BF"/>
          <w:sz w:val="22"/>
          <w:szCs w:val="22"/>
          <w:lang w:val="en-GB"/>
        </w:rPr>
        <w:t>includ</w:t>
      </w:r>
      <w:r>
        <w:rPr>
          <w:rFonts w:ascii="Arial" w:hAnsi="Arial" w:cs="Arial"/>
          <w:color w:val="7B7B7B" w:themeColor="accent3" w:themeShade="BF"/>
          <w:sz w:val="22"/>
          <w:szCs w:val="22"/>
          <w:lang w:val="en-GB"/>
        </w:rPr>
        <w:t xml:space="preserve">ing </w:t>
      </w:r>
      <w:r w:rsidRPr="00394EC5">
        <w:rPr>
          <w:rFonts w:ascii="Arial" w:hAnsi="Arial" w:cs="Arial"/>
          <w:color w:val="7B7B7B" w:themeColor="accent3" w:themeShade="BF"/>
          <w:sz w:val="22"/>
          <w:szCs w:val="22"/>
          <w:lang w:val="en-GB"/>
        </w:rPr>
        <w:t>employees entitled to arrears of wages up to a maximum of £800, and holiday pay.</w:t>
      </w:r>
      <w:r w:rsidR="0029100E">
        <w:rPr>
          <w:rFonts w:ascii="Arial" w:hAnsi="Arial" w:cs="Arial"/>
          <w:color w:val="7B7B7B" w:themeColor="accent3" w:themeShade="BF"/>
          <w:sz w:val="22"/>
          <w:szCs w:val="22"/>
          <w:lang w:val="en-GB"/>
        </w:rPr>
        <w:tab/>
      </w:r>
    </w:p>
    <w:p w14:paraId="72CACBFC" w14:textId="690072CA" w:rsidR="00394EC5" w:rsidRDefault="00394EC5" w:rsidP="00394EC5">
      <w:pPr>
        <w:tabs>
          <w:tab w:val="left" w:pos="3828"/>
        </w:tabs>
        <w:jc w:val="both"/>
        <w:rPr>
          <w:rFonts w:ascii="Arial" w:hAnsi="Arial" w:cs="Arial"/>
          <w:color w:val="7B7B7B" w:themeColor="accent3" w:themeShade="BF"/>
          <w:sz w:val="22"/>
          <w:szCs w:val="22"/>
          <w:lang w:val="en-GB"/>
        </w:rPr>
      </w:pPr>
    </w:p>
    <w:p w14:paraId="037AB1F0" w14:textId="6E8B7039" w:rsidR="00F21C21" w:rsidRPr="00F21C21" w:rsidRDefault="00394EC5" w:rsidP="00F21C21">
      <w:pPr>
        <w:tabs>
          <w:tab w:val="left" w:pos="3828"/>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preferential creditors</w:t>
      </w:r>
      <w:r w:rsidR="00F21C21">
        <w:rPr>
          <w:rFonts w:ascii="Arial" w:hAnsi="Arial" w:cs="Arial"/>
          <w:color w:val="7B7B7B" w:themeColor="accent3" w:themeShade="BF"/>
          <w:sz w:val="22"/>
          <w:szCs w:val="22"/>
          <w:lang w:val="en-GB"/>
        </w:rPr>
        <w:t xml:space="preserve">, includes outstanding compensation under the Financial Services Compensation Scheme as </w:t>
      </w:r>
      <w:r w:rsidR="00F21C21" w:rsidRPr="00F21C21">
        <w:rPr>
          <w:rFonts w:ascii="Arial" w:hAnsi="Arial" w:cs="Arial"/>
          <w:color w:val="7B7B7B" w:themeColor="accent3" w:themeShade="BF"/>
          <w:sz w:val="22"/>
          <w:szCs w:val="22"/>
          <w:lang w:val="en-GB"/>
        </w:rPr>
        <w:t>certain specified HMRC debts are included</w:t>
      </w:r>
      <w:r w:rsidR="00F21C21">
        <w:rPr>
          <w:rFonts w:ascii="Arial" w:hAnsi="Arial" w:cs="Arial"/>
          <w:color w:val="7B7B7B" w:themeColor="accent3" w:themeShade="BF"/>
          <w:sz w:val="22"/>
          <w:szCs w:val="22"/>
          <w:lang w:val="en-GB"/>
        </w:rPr>
        <w:t xml:space="preserve"> such as </w:t>
      </w:r>
      <w:r w:rsidR="00F21C21" w:rsidRPr="00F21C21">
        <w:rPr>
          <w:rFonts w:ascii="Arial" w:hAnsi="Arial" w:cs="Arial"/>
          <w:color w:val="7B7B7B" w:themeColor="accent3" w:themeShade="BF"/>
          <w:sz w:val="22"/>
          <w:szCs w:val="22"/>
          <w:lang w:val="en-GB"/>
        </w:rPr>
        <w:t>Value Added Tax (VAT)</w:t>
      </w:r>
      <w:r w:rsidR="00F21C21">
        <w:rPr>
          <w:rFonts w:ascii="Arial" w:hAnsi="Arial" w:cs="Arial"/>
          <w:color w:val="7B7B7B" w:themeColor="accent3" w:themeShade="BF"/>
          <w:sz w:val="22"/>
          <w:szCs w:val="22"/>
          <w:lang w:val="en-GB"/>
        </w:rPr>
        <w:t xml:space="preserve"> </w:t>
      </w:r>
      <w:r w:rsidR="00F21C21" w:rsidRPr="00F21C21">
        <w:rPr>
          <w:rFonts w:ascii="Arial" w:hAnsi="Arial" w:cs="Arial"/>
          <w:color w:val="7B7B7B" w:themeColor="accent3" w:themeShade="BF"/>
          <w:sz w:val="22"/>
          <w:szCs w:val="22"/>
          <w:lang w:val="en-GB"/>
        </w:rPr>
        <w:t>and debts that relate to the following taxes</w:t>
      </w:r>
      <w:r w:rsidR="00F21C21">
        <w:rPr>
          <w:rFonts w:ascii="Arial" w:hAnsi="Arial" w:cs="Arial"/>
          <w:color w:val="7B7B7B" w:themeColor="accent3" w:themeShade="BF"/>
          <w:sz w:val="22"/>
          <w:szCs w:val="22"/>
          <w:lang w:val="en-GB"/>
        </w:rPr>
        <w:t xml:space="preserve"> </w:t>
      </w:r>
      <w:r w:rsidR="00F21C21" w:rsidRPr="00F21C21">
        <w:rPr>
          <w:rFonts w:ascii="Arial" w:hAnsi="Arial" w:cs="Arial"/>
          <w:color w:val="7B7B7B" w:themeColor="accent3" w:themeShade="BF"/>
          <w:sz w:val="22"/>
          <w:szCs w:val="22"/>
          <w:lang w:val="en-GB"/>
        </w:rPr>
        <w:t xml:space="preserve">Pay </w:t>
      </w:r>
      <w:proofErr w:type="gramStart"/>
      <w:r w:rsidR="00F21C21" w:rsidRPr="00F21C21">
        <w:rPr>
          <w:rFonts w:ascii="Arial" w:hAnsi="Arial" w:cs="Arial"/>
          <w:color w:val="7B7B7B" w:themeColor="accent3" w:themeShade="BF"/>
          <w:sz w:val="22"/>
          <w:szCs w:val="22"/>
          <w:lang w:val="en-GB"/>
        </w:rPr>
        <w:t>As</w:t>
      </w:r>
      <w:proofErr w:type="gramEnd"/>
      <w:r w:rsidR="00F21C21" w:rsidRPr="00F21C21">
        <w:rPr>
          <w:rFonts w:ascii="Arial" w:hAnsi="Arial" w:cs="Arial"/>
          <w:color w:val="7B7B7B" w:themeColor="accent3" w:themeShade="BF"/>
          <w:sz w:val="22"/>
          <w:szCs w:val="22"/>
          <w:lang w:val="en-GB"/>
        </w:rPr>
        <w:t xml:space="preserve"> You Earn (PAYE)</w:t>
      </w:r>
      <w:r w:rsidR="00F21C21">
        <w:rPr>
          <w:rFonts w:ascii="Arial" w:hAnsi="Arial" w:cs="Arial"/>
          <w:color w:val="7B7B7B" w:themeColor="accent3" w:themeShade="BF"/>
          <w:sz w:val="22"/>
          <w:szCs w:val="22"/>
          <w:lang w:val="en-GB"/>
        </w:rPr>
        <w:t xml:space="preserve">, </w:t>
      </w:r>
    </w:p>
    <w:p w14:paraId="15F7D094" w14:textId="765D3A88" w:rsidR="00F21C21" w:rsidRDefault="00F21C21" w:rsidP="00F21C21">
      <w:pPr>
        <w:tabs>
          <w:tab w:val="left" w:pos="3828"/>
        </w:tabs>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t>Student loan repayments</w:t>
      </w:r>
      <w:r>
        <w:rPr>
          <w:rFonts w:ascii="Arial" w:hAnsi="Arial" w:cs="Arial"/>
          <w:color w:val="7B7B7B" w:themeColor="accent3" w:themeShade="BF"/>
          <w:sz w:val="22"/>
          <w:szCs w:val="22"/>
          <w:lang w:val="en-GB"/>
        </w:rPr>
        <w:t xml:space="preserve"> etc. </w:t>
      </w:r>
    </w:p>
    <w:p w14:paraId="719B6F1C" w14:textId="7302812D" w:rsidR="00F21C21" w:rsidRDefault="00F21C21" w:rsidP="00F21C21">
      <w:pPr>
        <w:tabs>
          <w:tab w:val="left" w:pos="3828"/>
        </w:tabs>
        <w:jc w:val="both"/>
        <w:rPr>
          <w:rFonts w:ascii="Arial" w:hAnsi="Arial" w:cs="Arial"/>
          <w:color w:val="7B7B7B" w:themeColor="accent3" w:themeShade="BF"/>
          <w:sz w:val="22"/>
          <w:szCs w:val="22"/>
          <w:lang w:val="en-GB"/>
        </w:rPr>
      </w:pPr>
    </w:p>
    <w:p w14:paraId="42228CDD" w14:textId="172F1145" w:rsidR="00F21C21" w:rsidRDefault="00F21C21" w:rsidP="00F21C21">
      <w:pPr>
        <w:tabs>
          <w:tab w:val="left" w:pos="3828"/>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Secured creditors with a floating charge </w:t>
      </w:r>
    </w:p>
    <w:p w14:paraId="03B62FE7" w14:textId="7F586E5B" w:rsidR="00F21C21" w:rsidRDefault="00F21C21" w:rsidP="00F21C21">
      <w:pPr>
        <w:tabs>
          <w:tab w:val="left" w:pos="3828"/>
        </w:tabs>
        <w:jc w:val="both"/>
        <w:rPr>
          <w:rFonts w:ascii="Arial" w:hAnsi="Arial" w:cs="Arial"/>
          <w:color w:val="7B7B7B" w:themeColor="accent3" w:themeShade="BF"/>
          <w:sz w:val="22"/>
          <w:szCs w:val="22"/>
          <w:lang w:val="en-GB"/>
        </w:rPr>
      </w:pPr>
    </w:p>
    <w:p w14:paraId="584FFA4C" w14:textId="3B88272C" w:rsidR="00F21C21" w:rsidRDefault="00F21C21" w:rsidP="00F21C21">
      <w:pPr>
        <w:tabs>
          <w:tab w:val="left" w:pos="3828"/>
        </w:tabs>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t xml:space="preserve">Assets subject to a floating charge often include </w:t>
      </w:r>
      <w:r>
        <w:rPr>
          <w:rFonts w:ascii="Arial" w:hAnsi="Arial" w:cs="Arial"/>
          <w:color w:val="7B7B7B" w:themeColor="accent3" w:themeShade="BF"/>
          <w:sz w:val="22"/>
          <w:szCs w:val="22"/>
          <w:lang w:val="en-GB"/>
        </w:rPr>
        <w:t>inventories</w:t>
      </w:r>
      <w:r w:rsidRPr="00F21C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receivables </w:t>
      </w:r>
      <w:r w:rsidRPr="00F21C21">
        <w:rPr>
          <w:rFonts w:ascii="Arial" w:hAnsi="Arial" w:cs="Arial"/>
          <w:color w:val="7B7B7B" w:themeColor="accent3" w:themeShade="BF"/>
          <w:sz w:val="22"/>
          <w:szCs w:val="22"/>
          <w:lang w:val="en-GB"/>
        </w:rPr>
        <w:t>– basically any other assets not subject to a fixed charge</w:t>
      </w:r>
      <w:r>
        <w:rPr>
          <w:rFonts w:ascii="Arial" w:hAnsi="Arial" w:cs="Arial"/>
          <w:color w:val="7B7B7B" w:themeColor="accent3" w:themeShade="BF"/>
          <w:sz w:val="22"/>
          <w:szCs w:val="22"/>
          <w:lang w:val="en-GB"/>
        </w:rPr>
        <w:t xml:space="preserve"> and that </w:t>
      </w:r>
      <w:r w:rsidRPr="00F21C21">
        <w:rPr>
          <w:rFonts w:ascii="Arial" w:hAnsi="Arial" w:cs="Arial"/>
          <w:color w:val="7B7B7B" w:themeColor="accent3" w:themeShade="BF"/>
          <w:sz w:val="22"/>
          <w:szCs w:val="22"/>
          <w:lang w:val="en-GB"/>
        </w:rPr>
        <w:t>can be traded in the normal course of business. Floating charge creditors are entitled to receive a distribution from the net property of the company (the amount remaining after the application of costs) subject to the dilution of the prescribed part</w:t>
      </w:r>
      <w:r>
        <w:rPr>
          <w:rFonts w:ascii="Arial" w:hAnsi="Arial" w:cs="Arial"/>
          <w:color w:val="7B7B7B" w:themeColor="accent3" w:themeShade="BF"/>
          <w:sz w:val="22"/>
          <w:szCs w:val="22"/>
          <w:lang w:val="en-GB"/>
        </w:rPr>
        <w:t xml:space="preserve"> as set out in Section 176A of the Act. </w:t>
      </w:r>
    </w:p>
    <w:p w14:paraId="0D18F2EE" w14:textId="7153A01E" w:rsidR="00F21C21" w:rsidRDefault="00F21C21" w:rsidP="00F21C21">
      <w:pPr>
        <w:tabs>
          <w:tab w:val="left" w:pos="3828"/>
        </w:tabs>
        <w:jc w:val="both"/>
        <w:rPr>
          <w:rFonts w:ascii="Arial" w:hAnsi="Arial" w:cs="Arial"/>
          <w:color w:val="7B7B7B" w:themeColor="accent3" w:themeShade="BF"/>
          <w:sz w:val="22"/>
          <w:szCs w:val="22"/>
          <w:lang w:val="en-GB"/>
        </w:rPr>
      </w:pPr>
    </w:p>
    <w:p w14:paraId="303296A3" w14:textId="77777777" w:rsidR="00F21C21" w:rsidRPr="00F21C21" w:rsidRDefault="00F21C21" w:rsidP="00F21C21">
      <w:pPr>
        <w:tabs>
          <w:tab w:val="left" w:pos="3828"/>
        </w:tabs>
        <w:jc w:val="both"/>
        <w:rPr>
          <w:rFonts w:ascii="Arial" w:hAnsi="Arial" w:cs="Arial"/>
          <w:color w:val="7B7B7B" w:themeColor="accent3" w:themeShade="BF"/>
          <w:sz w:val="22"/>
          <w:szCs w:val="22"/>
          <w:lang w:val="en-GB"/>
        </w:rPr>
      </w:pPr>
    </w:p>
    <w:p w14:paraId="7789E756" w14:textId="501F908A" w:rsidR="00F21C21" w:rsidRPr="00F21C21" w:rsidRDefault="00F21C21" w:rsidP="00F21C21">
      <w:pPr>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lastRenderedPageBreak/>
        <w:t>Unsecured creditors </w:t>
      </w:r>
    </w:p>
    <w:p w14:paraId="65F8EDC6" w14:textId="77777777" w:rsidR="00F21C21" w:rsidRPr="00F21C21" w:rsidRDefault="00F21C21" w:rsidP="00F21C21">
      <w:pPr>
        <w:jc w:val="both"/>
        <w:rPr>
          <w:rFonts w:ascii="Arial" w:hAnsi="Arial" w:cs="Arial"/>
          <w:color w:val="7B7B7B" w:themeColor="accent3" w:themeShade="BF"/>
          <w:sz w:val="22"/>
          <w:szCs w:val="22"/>
          <w:lang w:val="en-GB"/>
        </w:rPr>
      </w:pPr>
    </w:p>
    <w:p w14:paraId="5A9F5384" w14:textId="2722974F" w:rsidR="00F21C21" w:rsidRDefault="00F21C21" w:rsidP="00F21C21">
      <w:pPr>
        <w:tabs>
          <w:tab w:val="left" w:pos="3828"/>
        </w:tabs>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t xml:space="preserve">These include trade creditors, suppliers, customers, contractors, </w:t>
      </w:r>
      <w:r>
        <w:rPr>
          <w:rFonts w:ascii="Arial" w:hAnsi="Arial" w:cs="Arial"/>
          <w:color w:val="7B7B7B" w:themeColor="accent3" w:themeShade="BF"/>
          <w:sz w:val="22"/>
          <w:szCs w:val="22"/>
          <w:lang w:val="en-GB"/>
        </w:rPr>
        <w:t xml:space="preserve">unsecured </w:t>
      </w:r>
      <w:r w:rsidRPr="00F21C21">
        <w:rPr>
          <w:rFonts w:ascii="Arial" w:hAnsi="Arial" w:cs="Arial"/>
          <w:color w:val="7B7B7B" w:themeColor="accent3" w:themeShade="BF"/>
          <w:sz w:val="22"/>
          <w:szCs w:val="22"/>
          <w:lang w:val="en-GB"/>
        </w:rPr>
        <w:t>loans from banks and lenders, unsecured overdrafts, directors loan accounts that are in credit, and the shortfall on any fixed or floating charg</w:t>
      </w:r>
      <w:r>
        <w:rPr>
          <w:rFonts w:ascii="Arial" w:hAnsi="Arial" w:cs="Arial"/>
          <w:color w:val="7B7B7B" w:themeColor="accent3" w:themeShade="BF"/>
          <w:sz w:val="22"/>
          <w:szCs w:val="22"/>
          <w:lang w:val="en-GB"/>
        </w:rPr>
        <w:t>e</w:t>
      </w:r>
      <w:r w:rsidRPr="00F21C2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0295A20F" w14:textId="77777777" w:rsidR="00F21C21" w:rsidRDefault="00F21C21" w:rsidP="00F21C21">
      <w:pPr>
        <w:jc w:val="both"/>
        <w:rPr>
          <w:rFonts w:ascii="Arial" w:hAnsi="Arial" w:cs="Arial"/>
          <w:color w:val="7B7B7B" w:themeColor="accent3" w:themeShade="BF"/>
          <w:sz w:val="22"/>
          <w:szCs w:val="22"/>
          <w:lang w:val="en-GB"/>
        </w:rPr>
      </w:pPr>
    </w:p>
    <w:p w14:paraId="007CD5B7" w14:textId="2D53CABE" w:rsidR="00F21C21" w:rsidRPr="00F21C21" w:rsidRDefault="00F21C21" w:rsidP="00F21C21">
      <w:pPr>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t>Shareholders</w:t>
      </w:r>
    </w:p>
    <w:p w14:paraId="21A9AD9B" w14:textId="77777777" w:rsidR="00F21C21" w:rsidRDefault="00F21C21" w:rsidP="00394EC5">
      <w:pPr>
        <w:tabs>
          <w:tab w:val="left" w:pos="3828"/>
        </w:tabs>
        <w:jc w:val="both"/>
        <w:rPr>
          <w:rFonts w:ascii="Arial" w:hAnsi="Arial" w:cs="Arial"/>
          <w:color w:val="7B7B7B" w:themeColor="accent3" w:themeShade="BF"/>
          <w:sz w:val="22"/>
          <w:szCs w:val="22"/>
          <w:lang w:val="en-GB"/>
        </w:rPr>
      </w:pPr>
    </w:p>
    <w:p w14:paraId="4180AE96" w14:textId="7EDA7E62" w:rsidR="00394EC5" w:rsidRDefault="00F21C21" w:rsidP="00394EC5">
      <w:pPr>
        <w:tabs>
          <w:tab w:val="left" w:pos="3828"/>
        </w:tabs>
        <w:jc w:val="both"/>
        <w:rPr>
          <w:rFonts w:ascii="Arial" w:hAnsi="Arial" w:cs="Arial"/>
          <w:color w:val="7B7B7B" w:themeColor="accent3" w:themeShade="BF"/>
          <w:sz w:val="22"/>
          <w:szCs w:val="22"/>
          <w:lang w:val="en-GB"/>
        </w:rPr>
      </w:pPr>
      <w:r w:rsidRPr="00F21C21">
        <w:rPr>
          <w:rFonts w:ascii="Arial" w:hAnsi="Arial" w:cs="Arial"/>
          <w:color w:val="7B7B7B" w:themeColor="accent3" w:themeShade="BF"/>
          <w:sz w:val="22"/>
          <w:szCs w:val="22"/>
          <w:lang w:val="en-GB"/>
        </w:rPr>
        <w:t>Shareholders are the final group to be paid</w:t>
      </w:r>
      <w:r>
        <w:rPr>
          <w:rFonts w:ascii="Arial" w:hAnsi="Arial" w:cs="Arial"/>
          <w:color w:val="7B7B7B" w:themeColor="accent3" w:themeShade="BF"/>
          <w:sz w:val="22"/>
          <w:szCs w:val="22"/>
          <w:lang w:val="en-GB"/>
        </w:rPr>
        <w:t>. T</w:t>
      </w:r>
      <w:r w:rsidRPr="00F21C21">
        <w:rPr>
          <w:rFonts w:ascii="Arial" w:hAnsi="Arial" w:cs="Arial"/>
          <w:color w:val="7B7B7B" w:themeColor="accent3" w:themeShade="BF"/>
          <w:sz w:val="22"/>
          <w:szCs w:val="22"/>
          <w:lang w:val="en-GB"/>
        </w:rPr>
        <w:t>hey are not entitled to a distribution until all other creditor groups have been paid.</w:t>
      </w:r>
    </w:p>
    <w:p w14:paraId="1DC3BE1E" w14:textId="77777777" w:rsidR="0029100E" w:rsidRDefault="0029100E"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t>
      </w:r>
      <w:proofErr w:type="gramStart"/>
      <w:r w:rsidR="0070524B">
        <w:rPr>
          <w:rFonts w:ascii="Arial" w:hAnsi="Arial" w:cs="Arial"/>
        </w:rPr>
        <w:t>was seen as</w:t>
      </w:r>
      <w:proofErr w:type="gramEnd"/>
      <w:r w:rsidR="0070524B">
        <w:rPr>
          <w:rFonts w:ascii="Arial" w:hAnsi="Arial" w:cs="Arial"/>
        </w:rPr>
        <w:t xml:space="preserve">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5EC328AA" w:rsidR="00FF5098" w:rsidRDefault="00C0137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floating charge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may be caught under floating charge avoidance under Section 245 of the Insolvency Act.  The provision seeks to prevent a pre-existing unsecured creditor from obtaining a security in the form of a floating charge shortly </w:t>
      </w:r>
      <w:r>
        <w:rPr>
          <w:rFonts w:ascii="Arial" w:hAnsi="Arial" w:cs="Arial"/>
          <w:color w:val="7B7B7B" w:themeColor="accent3" w:themeShade="BF"/>
          <w:sz w:val="22"/>
          <w:szCs w:val="22"/>
          <w:lang w:val="en-GB"/>
        </w:rPr>
        <w:lastRenderedPageBreak/>
        <w:t xml:space="preserve">before the company the placed under a formal insolvency procedure. The look back period is generally 2 years for a connected persons and 12 months for a non-connected person to the company. A further assessment is required as to whether at the time of creation of the security, whether the company was either </w:t>
      </w:r>
      <w:r w:rsidR="00A757EC">
        <w:rPr>
          <w:rFonts w:ascii="Arial" w:hAnsi="Arial" w:cs="Arial"/>
          <w:color w:val="7B7B7B" w:themeColor="accent3" w:themeShade="BF"/>
          <w:sz w:val="22"/>
          <w:szCs w:val="22"/>
          <w:lang w:val="en-GB"/>
        </w:rPr>
        <w:t xml:space="preserve">unable to pay its debt or will be unable to do so </w:t>
      </w:r>
      <w:proofErr w:type="gramStart"/>
      <w:r w:rsidR="00A757EC">
        <w:rPr>
          <w:rFonts w:ascii="Arial" w:hAnsi="Arial" w:cs="Arial"/>
          <w:color w:val="7B7B7B" w:themeColor="accent3" w:themeShade="BF"/>
          <w:sz w:val="22"/>
          <w:szCs w:val="22"/>
          <w:lang w:val="en-GB"/>
        </w:rPr>
        <w:t>as a consequence of</w:t>
      </w:r>
      <w:proofErr w:type="gramEnd"/>
      <w:r w:rsidR="00A757EC">
        <w:rPr>
          <w:rFonts w:ascii="Arial" w:hAnsi="Arial" w:cs="Arial"/>
          <w:color w:val="7B7B7B" w:themeColor="accent3" w:themeShade="BF"/>
          <w:sz w:val="22"/>
          <w:szCs w:val="22"/>
          <w:lang w:val="en-GB"/>
        </w:rPr>
        <w:t xml:space="preserve"> the transaction. </w:t>
      </w:r>
    </w:p>
    <w:p w14:paraId="255F0AD9" w14:textId="4A2FF536" w:rsidR="00C0137D" w:rsidRDefault="00C0137D" w:rsidP="00FF5098">
      <w:pPr>
        <w:jc w:val="both"/>
        <w:rPr>
          <w:rFonts w:ascii="Arial" w:hAnsi="Arial" w:cs="Arial"/>
          <w:color w:val="7B7B7B" w:themeColor="accent3" w:themeShade="BF"/>
          <w:sz w:val="22"/>
          <w:szCs w:val="22"/>
          <w:lang w:val="en-GB"/>
        </w:rPr>
      </w:pPr>
    </w:p>
    <w:p w14:paraId="3EB1BE15" w14:textId="77777777" w:rsidR="00A757EC" w:rsidRDefault="00A757EC" w:rsidP="00A757EC">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Limited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formal liquidation on 23 Dec 2021. </w:t>
      </w:r>
      <w:proofErr w:type="spellStart"/>
      <w:r w:rsidR="00C0137D">
        <w:rPr>
          <w:rFonts w:ascii="Arial" w:hAnsi="Arial" w:cs="Arial"/>
          <w:color w:val="7B7B7B" w:themeColor="accent3" w:themeShade="BF"/>
          <w:sz w:val="22"/>
          <w:szCs w:val="22"/>
          <w:lang w:val="en-GB"/>
        </w:rPr>
        <w:t>Stercus</w:t>
      </w:r>
      <w:proofErr w:type="spellEnd"/>
      <w:r w:rsidR="00C0137D">
        <w:rPr>
          <w:rFonts w:ascii="Arial" w:hAnsi="Arial" w:cs="Arial"/>
          <w:color w:val="7B7B7B" w:themeColor="accent3" w:themeShade="BF"/>
          <w:sz w:val="22"/>
          <w:szCs w:val="22"/>
          <w:lang w:val="en-GB"/>
        </w:rPr>
        <w:t xml:space="preserve"> Bank plc not a connected person to the </w:t>
      </w:r>
      <w:proofErr w:type="spellStart"/>
      <w:r w:rsidR="00C0137D">
        <w:rPr>
          <w:rFonts w:ascii="Arial" w:hAnsi="Arial" w:cs="Arial"/>
          <w:color w:val="7B7B7B" w:themeColor="accent3" w:themeShade="BF"/>
          <w:sz w:val="22"/>
          <w:szCs w:val="22"/>
          <w:lang w:val="en-GB"/>
        </w:rPr>
        <w:t>Corfee</w:t>
      </w:r>
      <w:proofErr w:type="spellEnd"/>
      <w:r w:rsidR="00C0137D">
        <w:rPr>
          <w:rFonts w:ascii="Arial" w:hAnsi="Arial" w:cs="Arial"/>
          <w:color w:val="7B7B7B" w:themeColor="accent3" w:themeShade="BF"/>
          <w:sz w:val="22"/>
          <w:szCs w:val="22"/>
          <w:lang w:val="en-GB"/>
        </w:rPr>
        <w:t xml:space="preserve"> Zee Limite</w:t>
      </w:r>
      <w:r>
        <w:rPr>
          <w:rFonts w:ascii="Arial" w:hAnsi="Arial" w:cs="Arial"/>
          <w:color w:val="7B7B7B" w:themeColor="accent3" w:themeShade="BF"/>
          <w:sz w:val="22"/>
          <w:szCs w:val="22"/>
          <w:lang w:val="en-GB"/>
        </w:rPr>
        <w:t xml:space="preserve">d. </w:t>
      </w:r>
      <w:proofErr w:type="gramStart"/>
      <w:r>
        <w:rPr>
          <w:rFonts w:ascii="Arial" w:hAnsi="Arial" w:cs="Arial"/>
          <w:color w:val="7B7B7B" w:themeColor="accent3" w:themeShade="BF"/>
          <w:sz w:val="22"/>
          <w:szCs w:val="22"/>
          <w:lang w:val="en-GB"/>
        </w:rPr>
        <w:t>Therefore</w:t>
      </w:r>
      <w:proofErr w:type="gramEnd"/>
      <w:r>
        <w:rPr>
          <w:rFonts w:ascii="Arial" w:hAnsi="Arial" w:cs="Arial"/>
          <w:color w:val="7B7B7B" w:themeColor="accent3" w:themeShade="BF"/>
          <w:sz w:val="22"/>
          <w:szCs w:val="22"/>
          <w:lang w:val="en-GB"/>
        </w:rPr>
        <w:t xml:space="preserve"> the floating charge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is caught under the 12 months look back since it the security was created in February 2021.</w:t>
      </w:r>
    </w:p>
    <w:p w14:paraId="0246B92B" w14:textId="77777777" w:rsidR="00A757EC" w:rsidRDefault="00A757EC" w:rsidP="00A757EC">
      <w:pPr>
        <w:jc w:val="both"/>
        <w:rPr>
          <w:rFonts w:ascii="Arial" w:hAnsi="Arial" w:cs="Arial"/>
          <w:color w:val="7B7B7B" w:themeColor="accent3" w:themeShade="BF"/>
          <w:sz w:val="22"/>
          <w:szCs w:val="22"/>
          <w:lang w:val="en-GB"/>
        </w:rPr>
      </w:pPr>
    </w:p>
    <w:p w14:paraId="7C586328" w14:textId="0B5DED07" w:rsidR="00A757EC" w:rsidRDefault="00A757EC" w:rsidP="00A757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would need to determine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was </w:t>
      </w:r>
      <w:r w:rsidR="0050754E">
        <w:rPr>
          <w:rFonts w:ascii="Arial" w:hAnsi="Arial" w:cs="Arial"/>
          <w:color w:val="7B7B7B" w:themeColor="accent3" w:themeShade="BF"/>
          <w:sz w:val="22"/>
          <w:szCs w:val="22"/>
          <w:lang w:val="en-GB"/>
        </w:rPr>
        <w:t>un</w:t>
      </w:r>
      <w:r>
        <w:rPr>
          <w:rFonts w:ascii="Arial" w:hAnsi="Arial" w:cs="Arial"/>
          <w:color w:val="7B7B7B" w:themeColor="accent3" w:themeShade="BF"/>
          <w:sz w:val="22"/>
          <w:szCs w:val="22"/>
          <w:lang w:val="en-GB"/>
        </w:rPr>
        <w:t xml:space="preserve">able to pay its debt in February 2021 or whether it was unable to do so </w:t>
      </w:r>
      <w:proofErr w:type="gramStart"/>
      <w:r>
        <w:rPr>
          <w:rFonts w:ascii="Arial" w:hAnsi="Arial" w:cs="Arial"/>
          <w:color w:val="7B7B7B" w:themeColor="accent3" w:themeShade="BF"/>
          <w:sz w:val="22"/>
          <w:szCs w:val="22"/>
          <w:lang w:val="en-GB"/>
        </w:rPr>
        <w:t>as a consequence of</w:t>
      </w:r>
      <w:proofErr w:type="gramEnd"/>
      <w:r>
        <w:rPr>
          <w:rFonts w:ascii="Arial" w:hAnsi="Arial" w:cs="Arial"/>
          <w:color w:val="7B7B7B" w:themeColor="accent3" w:themeShade="BF"/>
          <w:sz w:val="22"/>
          <w:szCs w:val="22"/>
          <w:lang w:val="en-GB"/>
        </w:rPr>
        <w:t xml:space="preserve"> the transaction. Given that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provided such security since it was under pressure to pay raise the risk that the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may have unable to pay its debt in February itself. </w:t>
      </w:r>
    </w:p>
    <w:p w14:paraId="2BC1055C" w14:textId="26F77324" w:rsidR="00A757EC" w:rsidRDefault="00A757EC" w:rsidP="00A757EC">
      <w:pPr>
        <w:jc w:val="both"/>
        <w:rPr>
          <w:rFonts w:ascii="Arial" w:hAnsi="Arial" w:cs="Arial"/>
          <w:color w:val="7B7B7B" w:themeColor="accent3" w:themeShade="BF"/>
          <w:sz w:val="22"/>
          <w:szCs w:val="22"/>
          <w:lang w:val="en-GB"/>
        </w:rPr>
      </w:pPr>
    </w:p>
    <w:p w14:paraId="7E08E1F3" w14:textId="74A6BB1C" w:rsidR="00A757EC" w:rsidRDefault="00A757EC" w:rsidP="00A757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under section 245 of the Act, invalidate the security provided and thus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Bank’s debt remains to be unsecured. </w:t>
      </w:r>
    </w:p>
    <w:p w14:paraId="74C366AC" w14:textId="0E648FD9" w:rsidR="007E2919" w:rsidRPr="00A757EC" w:rsidRDefault="00A757EC" w:rsidP="00A757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B7337D0" w14:textId="4464386F" w:rsidR="00C633F6" w:rsidRDefault="00C633F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scrutinise all transactions that were undertaken by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prior to it being placed under compulsory liquidation. </w:t>
      </w:r>
      <w:proofErr w:type="gramStart"/>
      <w:r>
        <w:rPr>
          <w:rFonts w:ascii="Arial" w:hAnsi="Arial" w:cs="Arial"/>
          <w:color w:val="7B7B7B" w:themeColor="accent3" w:themeShade="BF"/>
          <w:sz w:val="22"/>
          <w:szCs w:val="22"/>
          <w:lang w:val="en-GB"/>
        </w:rPr>
        <w:t>In particular, under</w:t>
      </w:r>
      <w:proofErr w:type="gramEnd"/>
      <w:r>
        <w:rPr>
          <w:rFonts w:ascii="Arial" w:hAnsi="Arial" w:cs="Arial"/>
          <w:color w:val="7B7B7B" w:themeColor="accent3" w:themeShade="BF"/>
          <w:sz w:val="22"/>
          <w:szCs w:val="22"/>
          <w:lang w:val="en-GB"/>
        </w:rPr>
        <w:t xml:space="preserve"> Section 238 of the Act, the liquidator may scrutinise transactions that were deemed to be undervalue. </w:t>
      </w:r>
    </w:p>
    <w:p w14:paraId="6078B8A4" w14:textId="1250681D" w:rsidR="00C633F6" w:rsidRDefault="00C633F6" w:rsidP="00FF5098">
      <w:pPr>
        <w:jc w:val="both"/>
        <w:rPr>
          <w:rFonts w:ascii="Arial" w:hAnsi="Arial" w:cs="Arial"/>
          <w:color w:val="7B7B7B" w:themeColor="accent3" w:themeShade="BF"/>
          <w:sz w:val="22"/>
          <w:szCs w:val="22"/>
          <w:lang w:val="en-GB"/>
        </w:rPr>
      </w:pPr>
    </w:p>
    <w:p w14:paraId="44A303DA" w14:textId="6B6B6AC7" w:rsidR="0050754E" w:rsidRDefault="00C633F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must show that the 5 coffee machines that were sold a Director, which is a connected person, was worth much more that the consideration that it received. On face of it, the 5 coffee machines were bought for GBP 25,000 a year before, and therefore unless there has been a significant </w:t>
      </w:r>
      <w:r w:rsidR="0050754E">
        <w:rPr>
          <w:rFonts w:ascii="Arial" w:hAnsi="Arial" w:cs="Arial"/>
          <w:color w:val="7B7B7B" w:themeColor="accent3" w:themeShade="BF"/>
          <w:sz w:val="22"/>
          <w:szCs w:val="22"/>
          <w:lang w:val="en-GB"/>
        </w:rPr>
        <w:t xml:space="preserve">diminution in the value of the machines, the sale for GBP 10,000 is questionable. The liquidator may assess </w:t>
      </w:r>
    </w:p>
    <w:p w14:paraId="36F15249" w14:textId="77777777" w:rsidR="0050754E" w:rsidRDefault="0050754E" w:rsidP="00FF5098">
      <w:pPr>
        <w:jc w:val="both"/>
        <w:rPr>
          <w:rFonts w:ascii="Arial" w:hAnsi="Arial" w:cs="Arial"/>
          <w:color w:val="7B7B7B" w:themeColor="accent3" w:themeShade="BF"/>
          <w:sz w:val="22"/>
          <w:szCs w:val="22"/>
          <w:lang w:val="en-GB"/>
        </w:rPr>
      </w:pPr>
    </w:p>
    <w:p w14:paraId="31B6CFAB" w14:textId="6B402C3C" w:rsidR="00C633F6" w:rsidRDefault="005075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at the time of the transaction,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was suffering cash flow difficulties. Given the transaction with a Director, a connected person, it is presumed that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was insolvent, at the time of the transaction, unless proven otherwise. </w:t>
      </w:r>
    </w:p>
    <w:p w14:paraId="5280C538" w14:textId="311AC6F1" w:rsidR="0050754E" w:rsidRDefault="0050754E" w:rsidP="00FF5098">
      <w:pPr>
        <w:jc w:val="both"/>
        <w:rPr>
          <w:rFonts w:ascii="Arial" w:hAnsi="Arial" w:cs="Arial"/>
          <w:color w:val="7B7B7B" w:themeColor="accent3" w:themeShade="BF"/>
          <w:sz w:val="22"/>
          <w:szCs w:val="22"/>
          <w:lang w:val="en-GB"/>
        </w:rPr>
      </w:pPr>
    </w:p>
    <w:p w14:paraId="7AEDE530" w14:textId="02351011" w:rsidR="00311816" w:rsidRDefault="0050754E" w:rsidP="005075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Unless this transaction was deemed to be have been done in good faith or for purposes of carrying on the business or with reasonable ground that the transaction will benefit the company, the Court may conclude that the transaction was at undervalue and therefore considered a preference, and thereby make an order to restore the transaction as if no preference was given. </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6A046108" w:rsidR="008769B2" w:rsidRDefault="0038428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proximity to the time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liquidation, the payments to Beans and Leaves Ltd (“Beans and Leaves”) may be deemed to be caught under Section 239 of the Act, relating to preference.</w:t>
      </w:r>
    </w:p>
    <w:p w14:paraId="450B70C9" w14:textId="62F29E24" w:rsidR="00384287" w:rsidRDefault="00384287" w:rsidP="008769B2">
      <w:pPr>
        <w:jc w:val="both"/>
        <w:rPr>
          <w:rFonts w:ascii="Arial" w:hAnsi="Arial" w:cs="Arial"/>
          <w:color w:val="7B7B7B" w:themeColor="accent3" w:themeShade="BF"/>
          <w:sz w:val="22"/>
          <w:szCs w:val="22"/>
          <w:lang w:val="en-GB"/>
        </w:rPr>
      </w:pPr>
    </w:p>
    <w:p w14:paraId="10A9C417" w14:textId="06146E56" w:rsidR="00384287" w:rsidRDefault="00384287"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must show the following: </w:t>
      </w:r>
    </w:p>
    <w:p w14:paraId="58D9952F" w14:textId="2E3D11E7" w:rsidR="00384287" w:rsidRDefault="00384287" w:rsidP="008769B2">
      <w:pPr>
        <w:jc w:val="both"/>
        <w:rPr>
          <w:rFonts w:ascii="Arial" w:hAnsi="Arial" w:cs="Arial"/>
          <w:color w:val="7B7B7B" w:themeColor="accent3" w:themeShade="BF"/>
          <w:sz w:val="22"/>
          <w:szCs w:val="22"/>
          <w:lang w:val="en-GB"/>
        </w:rPr>
      </w:pPr>
    </w:p>
    <w:p w14:paraId="77E49EFC" w14:textId="4E0F49F1" w:rsidR="00384287" w:rsidRDefault="00326FD2" w:rsidP="0038428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Beans and Leaves was a creditor at the time of the transaction </w:t>
      </w:r>
    </w:p>
    <w:p w14:paraId="3B948814" w14:textId="2508F70C" w:rsidR="00326FD2" w:rsidRDefault="00326FD2" w:rsidP="0038428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had in effect put Beans and Leaves in a better position versus other unsecured creditors should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liquidations </w:t>
      </w:r>
    </w:p>
    <w:p w14:paraId="63FA537C" w14:textId="358F6A5D" w:rsidR="00326FD2" w:rsidRDefault="00326FD2" w:rsidP="00384287">
      <w:pPr>
        <w:pStyle w:val="ListParagraph"/>
        <w:numPr>
          <w:ilvl w:val="0"/>
          <w:numId w:val="27"/>
        </w:num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gave preference to Beans and Leaves and influenced by the desire to put Beans and Leaves in a better position versus other unsecured creditors </w:t>
      </w:r>
    </w:p>
    <w:p w14:paraId="0BFB9372" w14:textId="2296E2FE" w:rsidR="00326FD2" w:rsidRPr="00326FD2" w:rsidRDefault="00326FD2" w:rsidP="00326FD2">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preference was given at a relevant time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at least 6 months before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Zee was placed under liquidation</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3263F" w14:textId="77777777" w:rsidR="00C65427" w:rsidRDefault="00C65427" w:rsidP="00241B44">
      <w:r>
        <w:separator/>
      </w:r>
    </w:p>
  </w:endnote>
  <w:endnote w:type="continuationSeparator" w:id="0">
    <w:p w14:paraId="43406B41" w14:textId="77777777" w:rsidR="00C65427" w:rsidRDefault="00C6542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30B2F92E" w:rsidR="00241FA3" w:rsidRPr="009B4976" w:rsidRDefault="0009708B" w:rsidP="009B4976">
    <w:pPr>
      <w:pStyle w:val="Footer"/>
      <w:ind w:right="360"/>
      <w:rPr>
        <w:rFonts w:ascii="Arial" w:hAnsi="Arial" w:cs="Arial"/>
        <w:sz w:val="18"/>
        <w:szCs w:val="18"/>
        <w:lang w:val="en-GB"/>
      </w:rPr>
    </w:pPr>
    <w:r>
      <w:rPr>
        <w:rFonts w:ascii="Arial" w:hAnsi="Arial" w:cs="Arial"/>
        <w:sz w:val="18"/>
        <w:szCs w:val="18"/>
        <w:lang w:val="en-GB"/>
      </w:rPr>
      <w:t>202122-547</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0C6E" w14:textId="77777777" w:rsidR="00C65427" w:rsidRDefault="00C65427" w:rsidP="00241B44">
      <w:r>
        <w:separator/>
      </w:r>
    </w:p>
  </w:footnote>
  <w:footnote w:type="continuationSeparator" w:id="0">
    <w:p w14:paraId="52806405" w14:textId="77777777" w:rsidR="00C65427" w:rsidRDefault="00C6542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01621"/>
    <w:multiLevelType w:val="hybridMultilevel"/>
    <w:tmpl w:val="182C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87438"/>
    <w:multiLevelType w:val="hybridMultilevel"/>
    <w:tmpl w:val="CADA9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AC7"/>
    <w:multiLevelType w:val="multilevel"/>
    <w:tmpl w:val="3BF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34766"/>
    <w:multiLevelType w:val="hybridMultilevel"/>
    <w:tmpl w:val="4B708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F0690"/>
    <w:multiLevelType w:val="hybridMultilevel"/>
    <w:tmpl w:val="EACE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ED570A"/>
    <w:multiLevelType w:val="hybridMultilevel"/>
    <w:tmpl w:val="AEF69AFE"/>
    <w:lvl w:ilvl="0" w:tplc="429CA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5931"/>
    <w:multiLevelType w:val="hybridMultilevel"/>
    <w:tmpl w:val="A8B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92338"/>
    <w:multiLevelType w:val="hybridMultilevel"/>
    <w:tmpl w:val="BAC81B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D6E93"/>
    <w:multiLevelType w:val="hybridMultilevel"/>
    <w:tmpl w:val="4B487B44"/>
    <w:lvl w:ilvl="0" w:tplc="429CA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D39AE"/>
    <w:multiLevelType w:val="multilevel"/>
    <w:tmpl w:val="E95A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5"/>
  </w:num>
  <w:num w:numId="5">
    <w:abstractNumId w:val="18"/>
  </w:num>
  <w:num w:numId="6">
    <w:abstractNumId w:val="3"/>
  </w:num>
  <w:num w:numId="7">
    <w:abstractNumId w:val="19"/>
  </w:num>
  <w:num w:numId="8">
    <w:abstractNumId w:val="24"/>
  </w:num>
  <w:num w:numId="9">
    <w:abstractNumId w:val="16"/>
  </w:num>
  <w:num w:numId="10">
    <w:abstractNumId w:val="26"/>
  </w:num>
  <w:num w:numId="11">
    <w:abstractNumId w:val="9"/>
  </w:num>
  <w:num w:numId="12">
    <w:abstractNumId w:val="22"/>
  </w:num>
  <w:num w:numId="13">
    <w:abstractNumId w:val="17"/>
  </w:num>
  <w:num w:numId="14">
    <w:abstractNumId w:val="8"/>
  </w:num>
  <w:num w:numId="15">
    <w:abstractNumId w:val="21"/>
  </w:num>
  <w:num w:numId="16">
    <w:abstractNumId w:val="23"/>
  </w:num>
  <w:num w:numId="17">
    <w:abstractNumId w:val="13"/>
  </w:num>
  <w:num w:numId="18">
    <w:abstractNumId w:val="7"/>
  </w:num>
  <w:num w:numId="19">
    <w:abstractNumId w:val="20"/>
  </w:num>
  <w:num w:numId="20">
    <w:abstractNumId w:val="11"/>
  </w:num>
  <w:num w:numId="21">
    <w:abstractNumId w:val="4"/>
  </w:num>
  <w:num w:numId="22">
    <w:abstractNumId w:val="1"/>
  </w:num>
  <w:num w:numId="23">
    <w:abstractNumId w:val="25"/>
  </w:num>
  <w:num w:numId="24">
    <w:abstractNumId w:val="10"/>
  </w:num>
  <w:num w:numId="25">
    <w:abstractNumId w:val="14"/>
  </w:num>
  <w:num w:numId="26">
    <w:abstractNumId w:val="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708B"/>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00A"/>
    <w:rsid w:val="001B0F70"/>
    <w:rsid w:val="001B5016"/>
    <w:rsid w:val="001C45FC"/>
    <w:rsid w:val="001D0469"/>
    <w:rsid w:val="001D16A5"/>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100E"/>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26FD2"/>
    <w:rsid w:val="00330937"/>
    <w:rsid w:val="00330F31"/>
    <w:rsid w:val="00334648"/>
    <w:rsid w:val="0033768C"/>
    <w:rsid w:val="00337938"/>
    <w:rsid w:val="00340769"/>
    <w:rsid w:val="00341AA6"/>
    <w:rsid w:val="00361A0A"/>
    <w:rsid w:val="00364836"/>
    <w:rsid w:val="0036565C"/>
    <w:rsid w:val="0036625E"/>
    <w:rsid w:val="0037465A"/>
    <w:rsid w:val="00382C98"/>
    <w:rsid w:val="00384287"/>
    <w:rsid w:val="0038533C"/>
    <w:rsid w:val="00386568"/>
    <w:rsid w:val="00390B57"/>
    <w:rsid w:val="003948D5"/>
    <w:rsid w:val="00394EC5"/>
    <w:rsid w:val="00395E8D"/>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54E"/>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23D2"/>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1553D"/>
    <w:rsid w:val="00621A17"/>
    <w:rsid w:val="00627CC9"/>
    <w:rsid w:val="00627E7B"/>
    <w:rsid w:val="00630542"/>
    <w:rsid w:val="00632E44"/>
    <w:rsid w:val="00634622"/>
    <w:rsid w:val="00636808"/>
    <w:rsid w:val="00641515"/>
    <w:rsid w:val="00645178"/>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75E4"/>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779D"/>
    <w:rsid w:val="007F41F8"/>
    <w:rsid w:val="007F659B"/>
    <w:rsid w:val="0080441E"/>
    <w:rsid w:val="0080454E"/>
    <w:rsid w:val="00804C32"/>
    <w:rsid w:val="00806302"/>
    <w:rsid w:val="00807119"/>
    <w:rsid w:val="0082483F"/>
    <w:rsid w:val="008279C0"/>
    <w:rsid w:val="00850956"/>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32241"/>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0B02"/>
    <w:rsid w:val="00A71019"/>
    <w:rsid w:val="00A757EC"/>
    <w:rsid w:val="00A81029"/>
    <w:rsid w:val="00A845F5"/>
    <w:rsid w:val="00A96489"/>
    <w:rsid w:val="00AB2425"/>
    <w:rsid w:val="00AB685C"/>
    <w:rsid w:val="00AB6C2D"/>
    <w:rsid w:val="00AC08F7"/>
    <w:rsid w:val="00AC131A"/>
    <w:rsid w:val="00AC317D"/>
    <w:rsid w:val="00AC3839"/>
    <w:rsid w:val="00AC7082"/>
    <w:rsid w:val="00AD4BE8"/>
    <w:rsid w:val="00AD6A1B"/>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137D"/>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633F6"/>
    <w:rsid w:val="00C65427"/>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1183"/>
    <w:rsid w:val="00CE6E50"/>
    <w:rsid w:val="00CF2819"/>
    <w:rsid w:val="00CF4F9D"/>
    <w:rsid w:val="00CF70DC"/>
    <w:rsid w:val="00D148DC"/>
    <w:rsid w:val="00D17FDC"/>
    <w:rsid w:val="00D21D8C"/>
    <w:rsid w:val="00D30D9A"/>
    <w:rsid w:val="00D36133"/>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1C2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87EA7"/>
    <w:rsid w:val="00F97C5B"/>
    <w:rsid w:val="00FA12B9"/>
    <w:rsid w:val="00FA3D50"/>
    <w:rsid w:val="00FA417D"/>
    <w:rsid w:val="00FB1204"/>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632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547013">
      <w:bodyDiv w:val="1"/>
      <w:marLeft w:val="0"/>
      <w:marRight w:val="0"/>
      <w:marTop w:val="0"/>
      <w:marBottom w:val="0"/>
      <w:divBdr>
        <w:top w:val="none" w:sz="0" w:space="0" w:color="auto"/>
        <w:left w:val="none" w:sz="0" w:space="0" w:color="auto"/>
        <w:bottom w:val="none" w:sz="0" w:space="0" w:color="auto"/>
        <w:right w:val="none" w:sz="0" w:space="0" w:color="auto"/>
      </w:divBdr>
    </w:div>
    <w:div w:id="1076123816">
      <w:bodyDiv w:val="1"/>
      <w:marLeft w:val="0"/>
      <w:marRight w:val="0"/>
      <w:marTop w:val="0"/>
      <w:marBottom w:val="0"/>
      <w:divBdr>
        <w:top w:val="none" w:sz="0" w:space="0" w:color="auto"/>
        <w:left w:val="none" w:sz="0" w:space="0" w:color="auto"/>
        <w:bottom w:val="none" w:sz="0" w:space="0" w:color="auto"/>
        <w:right w:val="none" w:sz="0" w:space="0" w:color="auto"/>
      </w:divBdr>
    </w:div>
    <w:div w:id="195979556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gbies-traynorgroup.com/closure-options/compulsory-liqu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Suren Sathya Seelan (MY)</cp:lastModifiedBy>
  <cp:revision>2</cp:revision>
  <cp:lastPrinted>2019-08-27T05:42:00Z</cp:lastPrinted>
  <dcterms:created xsi:type="dcterms:W3CDTF">2022-02-28T15:11:00Z</dcterms:created>
  <dcterms:modified xsi:type="dcterms:W3CDTF">2022-02-28T15:11:00Z</dcterms:modified>
</cp:coreProperties>
</file>