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866326" w:rsidRDefault="00AE5B6F" w:rsidP="00B04033">
      <w:pPr>
        <w:pStyle w:val="ListParagraph"/>
        <w:numPr>
          <w:ilvl w:val="0"/>
          <w:numId w:val="1"/>
        </w:numPr>
        <w:ind w:left="426"/>
        <w:jc w:val="both"/>
        <w:rPr>
          <w:rFonts w:ascii="Arial" w:hAnsi="Arial" w:cs="Arial"/>
          <w:sz w:val="22"/>
          <w:szCs w:val="22"/>
          <w:highlight w:val="yellow"/>
          <w:lang w:val="en-GB"/>
        </w:rPr>
      </w:pPr>
      <w:r w:rsidRPr="00866326">
        <w:rPr>
          <w:rFonts w:ascii="Arial" w:hAnsi="Arial" w:cs="Arial"/>
          <w:sz w:val="22"/>
          <w:szCs w:val="22"/>
          <w:highlight w:val="yellow"/>
          <w:lang w:val="en-GB"/>
        </w:rPr>
        <w:t>w</w:t>
      </w:r>
      <w:r w:rsidR="00C91062" w:rsidRPr="00866326">
        <w:rPr>
          <w:rFonts w:ascii="Arial" w:hAnsi="Arial" w:cs="Arial"/>
          <w:sz w:val="22"/>
          <w:szCs w:val="22"/>
          <w:highlight w:val="yellow"/>
          <w:lang w:val="en-GB"/>
        </w:rPr>
        <w:t>ithin 8 weeks of the commencement of the administration</w:t>
      </w:r>
      <w:r w:rsidR="00763348" w:rsidRPr="0086632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866326" w:rsidRDefault="00E443D7" w:rsidP="00B04033">
      <w:pPr>
        <w:pStyle w:val="ListParagraph"/>
        <w:numPr>
          <w:ilvl w:val="0"/>
          <w:numId w:val="2"/>
        </w:numPr>
        <w:ind w:left="426"/>
        <w:jc w:val="both"/>
        <w:rPr>
          <w:rFonts w:ascii="Arial" w:hAnsi="Arial" w:cs="Arial"/>
          <w:sz w:val="22"/>
          <w:szCs w:val="22"/>
          <w:highlight w:val="yellow"/>
          <w:lang w:val="en-GB"/>
        </w:rPr>
      </w:pPr>
      <w:r w:rsidRPr="00866326">
        <w:rPr>
          <w:rFonts w:ascii="Arial" w:hAnsi="Arial" w:cs="Arial"/>
          <w:sz w:val="22"/>
          <w:szCs w:val="22"/>
          <w:highlight w:val="yellow"/>
          <w:lang w:val="en-GB"/>
        </w:rPr>
        <w:t>One year</w:t>
      </w:r>
      <w:r w:rsidR="00763348" w:rsidRPr="00866326">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866326" w:rsidRDefault="00AE5B6F" w:rsidP="00B04033">
      <w:pPr>
        <w:pStyle w:val="ListParagraph"/>
        <w:numPr>
          <w:ilvl w:val="0"/>
          <w:numId w:val="3"/>
        </w:numPr>
        <w:ind w:left="426"/>
        <w:jc w:val="both"/>
        <w:rPr>
          <w:rFonts w:ascii="Arial" w:hAnsi="Arial" w:cs="Arial"/>
          <w:sz w:val="22"/>
          <w:szCs w:val="22"/>
          <w:highlight w:val="yellow"/>
          <w:lang w:val="en-GB"/>
        </w:rPr>
      </w:pPr>
      <w:r w:rsidRPr="00866326">
        <w:rPr>
          <w:rFonts w:ascii="Arial" w:hAnsi="Arial" w:cs="Arial"/>
          <w:sz w:val="22"/>
          <w:szCs w:val="22"/>
          <w:highlight w:val="yellow"/>
          <w:lang w:val="en-GB"/>
        </w:rPr>
        <w:t>T</w:t>
      </w:r>
      <w:r w:rsidR="008D1616" w:rsidRPr="00866326">
        <w:rPr>
          <w:rFonts w:ascii="Arial" w:hAnsi="Arial" w:cs="Arial"/>
          <w:sz w:val="22"/>
          <w:szCs w:val="22"/>
          <w:highlight w:val="yellow"/>
          <w:lang w:val="en-GB"/>
        </w:rPr>
        <w:t>he company is, or is likely to become, unable to pay their debts, as defined under s</w:t>
      </w:r>
      <w:r w:rsidR="00E833F4" w:rsidRPr="00866326">
        <w:rPr>
          <w:rFonts w:ascii="Arial" w:hAnsi="Arial" w:cs="Arial"/>
          <w:sz w:val="22"/>
          <w:szCs w:val="22"/>
          <w:highlight w:val="yellow"/>
          <w:lang w:val="en-GB"/>
        </w:rPr>
        <w:t>ection</w:t>
      </w:r>
      <w:r w:rsidR="008D1616" w:rsidRPr="00866326">
        <w:rPr>
          <w:rFonts w:ascii="Arial" w:hAnsi="Arial" w:cs="Arial"/>
          <w:sz w:val="22"/>
          <w:szCs w:val="22"/>
          <w:highlight w:val="yellow"/>
          <w:lang w:val="en-GB"/>
        </w:rPr>
        <w:t xml:space="preserve"> 123 of the Insolvency Act 1986</w:t>
      </w:r>
      <w:r w:rsidR="00763348" w:rsidRPr="0086632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866326" w:rsidRDefault="00C91062" w:rsidP="00B04033">
      <w:pPr>
        <w:pStyle w:val="ListParagraph"/>
        <w:numPr>
          <w:ilvl w:val="0"/>
          <w:numId w:val="4"/>
        </w:numPr>
        <w:ind w:left="426"/>
        <w:jc w:val="both"/>
        <w:rPr>
          <w:rFonts w:ascii="Arial" w:hAnsi="Arial" w:cs="Arial"/>
          <w:sz w:val="22"/>
          <w:szCs w:val="22"/>
          <w:highlight w:val="yellow"/>
          <w:lang w:val="en-GB"/>
        </w:rPr>
      </w:pPr>
      <w:r w:rsidRPr="00866326">
        <w:rPr>
          <w:rFonts w:ascii="Arial" w:hAnsi="Arial" w:cs="Arial"/>
          <w:sz w:val="22"/>
          <w:szCs w:val="22"/>
          <w:highlight w:val="yellow"/>
          <w:lang w:val="en-GB"/>
        </w:rPr>
        <w:t>The purchaser</w:t>
      </w:r>
      <w:r w:rsidR="00763348" w:rsidRPr="00866326">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866326" w:rsidRDefault="00BA1CFD" w:rsidP="00B04033">
      <w:pPr>
        <w:pStyle w:val="ListParagraph"/>
        <w:numPr>
          <w:ilvl w:val="0"/>
          <w:numId w:val="5"/>
        </w:numPr>
        <w:ind w:left="426"/>
        <w:jc w:val="both"/>
        <w:rPr>
          <w:rFonts w:ascii="Arial" w:hAnsi="Arial" w:cs="Arial"/>
          <w:sz w:val="22"/>
          <w:szCs w:val="22"/>
          <w:highlight w:val="yellow"/>
          <w:lang w:val="en-GB"/>
        </w:rPr>
      </w:pPr>
      <w:r w:rsidRPr="00866326">
        <w:rPr>
          <w:rFonts w:ascii="Arial" w:hAnsi="Arial" w:cs="Arial"/>
          <w:sz w:val="22"/>
          <w:szCs w:val="22"/>
          <w:highlight w:val="yellow"/>
          <w:lang w:val="en-GB"/>
        </w:rPr>
        <w:t>Administration</w:t>
      </w:r>
      <w:r w:rsidR="00763348" w:rsidRPr="00866326">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866326" w:rsidRDefault="00BA1CFD" w:rsidP="00B04033">
      <w:pPr>
        <w:pStyle w:val="ListParagraph"/>
        <w:numPr>
          <w:ilvl w:val="0"/>
          <w:numId w:val="6"/>
        </w:numPr>
        <w:ind w:left="426"/>
        <w:jc w:val="both"/>
        <w:rPr>
          <w:rFonts w:ascii="Arial" w:hAnsi="Arial" w:cs="Arial"/>
          <w:sz w:val="22"/>
          <w:szCs w:val="22"/>
          <w:highlight w:val="yellow"/>
          <w:lang w:val="en-GB"/>
        </w:rPr>
      </w:pPr>
      <w:r w:rsidRPr="0086632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775007" w:rsidRDefault="00BA1CFD" w:rsidP="00B04033">
      <w:pPr>
        <w:pStyle w:val="ListParagraph"/>
        <w:numPr>
          <w:ilvl w:val="0"/>
          <w:numId w:val="7"/>
        </w:numPr>
        <w:ind w:left="426"/>
        <w:jc w:val="both"/>
        <w:rPr>
          <w:rFonts w:ascii="Arial" w:hAnsi="Arial" w:cs="Arial"/>
          <w:sz w:val="22"/>
          <w:szCs w:val="22"/>
          <w:highlight w:val="yellow"/>
          <w:lang w:val="en-GB"/>
        </w:rPr>
      </w:pPr>
      <w:r w:rsidRPr="00775007">
        <w:rPr>
          <w:rFonts w:ascii="Arial" w:hAnsi="Arial" w:cs="Arial"/>
          <w:sz w:val="22"/>
          <w:szCs w:val="22"/>
          <w:highlight w:val="yellow"/>
          <w:lang w:val="en-GB"/>
        </w:rPr>
        <w:t>Breach of fiduciary duty</w:t>
      </w:r>
      <w:r w:rsidR="00763348" w:rsidRPr="00775007">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291208" w:rsidRDefault="00876F56" w:rsidP="00B04033">
      <w:pPr>
        <w:pStyle w:val="ListParagraph"/>
        <w:numPr>
          <w:ilvl w:val="0"/>
          <w:numId w:val="8"/>
        </w:numPr>
        <w:ind w:left="426"/>
        <w:jc w:val="both"/>
        <w:rPr>
          <w:rFonts w:ascii="Arial" w:hAnsi="Arial" w:cs="Arial"/>
          <w:sz w:val="22"/>
          <w:szCs w:val="22"/>
          <w:highlight w:val="yellow"/>
          <w:lang w:val="en-GB"/>
        </w:rPr>
      </w:pPr>
      <w:r w:rsidRPr="00291208">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355339" w:rsidRDefault="00E833F4" w:rsidP="00B04033">
      <w:pPr>
        <w:pStyle w:val="ListParagraph"/>
        <w:numPr>
          <w:ilvl w:val="0"/>
          <w:numId w:val="9"/>
        </w:numPr>
        <w:ind w:left="426"/>
        <w:jc w:val="both"/>
        <w:rPr>
          <w:rFonts w:ascii="Arial" w:hAnsi="Arial" w:cs="Arial"/>
          <w:sz w:val="22"/>
          <w:szCs w:val="22"/>
          <w:highlight w:val="yellow"/>
          <w:lang w:val="en-GB"/>
        </w:rPr>
      </w:pPr>
      <w:r w:rsidRPr="00355339">
        <w:rPr>
          <w:rFonts w:ascii="Arial" w:hAnsi="Arial" w:cs="Arial"/>
          <w:sz w:val="22"/>
          <w:szCs w:val="22"/>
          <w:highlight w:val="yellow"/>
          <w:lang w:val="en-GB"/>
        </w:rPr>
        <w:t>A</w:t>
      </w:r>
      <w:r w:rsidR="000D10C6" w:rsidRPr="00355339">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355339" w:rsidRDefault="0020204E" w:rsidP="00B04033">
      <w:pPr>
        <w:pStyle w:val="ListParagraph"/>
        <w:numPr>
          <w:ilvl w:val="0"/>
          <w:numId w:val="10"/>
        </w:numPr>
        <w:ind w:left="426"/>
        <w:jc w:val="both"/>
        <w:rPr>
          <w:rFonts w:ascii="Arial" w:hAnsi="Arial" w:cs="Arial"/>
          <w:sz w:val="22"/>
          <w:szCs w:val="22"/>
          <w:highlight w:val="yellow"/>
          <w:lang w:val="en-GB"/>
        </w:rPr>
      </w:pPr>
      <w:r w:rsidRPr="00355339">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0D85A7AD" w:rsidR="00AE5B6F" w:rsidRDefault="00355339"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423 of the Insolvency Act 1986 relates to transactions defrauding creditors. Pursuant to this section, the following parties have the right to attack transactions which are designed to defraud creditors:</w:t>
      </w:r>
    </w:p>
    <w:p w14:paraId="5B7E604D" w14:textId="77777777" w:rsidR="007C005D" w:rsidRDefault="007C005D" w:rsidP="006624AB">
      <w:pPr>
        <w:jc w:val="both"/>
        <w:rPr>
          <w:rFonts w:ascii="Arial" w:hAnsi="Arial" w:cs="Arial"/>
          <w:color w:val="7B7B7B" w:themeColor="accent3" w:themeShade="BF"/>
          <w:sz w:val="22"/>
          <w:szCs w:val="22"/>
          <w:lang w:val="en-GB"/>
        </w:rPr>
      </w:pPr>
    </w:p>
    <w:p w14:paraId="3B25DB45" w14:textId="67B72393" w:rsidR="00355339" w:rsidRDefault="00355339" w:rsidP="0035533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a company that is being wound up or is in administration, the official receiver, the liquidator, the administrator and (with the leave of the court) any victim of the transaction such as a creditor; </w:t>
      </w:r>
    </w:p>
    <w:p w14:paraId="77DC99E3" w14:textId="37094797" w:rsidR="00355339" w:rsidRDefault="00355339" w:rsidP="0035533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victim is bound by a </w:t>
      </w:r>
      <w:r w:rsidR="00895AA7">
        <w:rPr>
          <w:rFonts w:ascii="Arial" w:hAnsi="Arial" w:cs="Arial"/>
          <w:color w:val="7B7B7B" w:themeColor="accent3" w:themeShade="BF"/>
          <w:sz w:val="22"/>
          <w:szCs w:val="22"/>
          <w:lang w:val="en-GB"/>
        </w:rPr>
        <w:t>company voluntary arrangement ("</w:t>
      </w:r>
      <w:r w:rsidRPr="00895AA7">
        <w:rPr>
          <w:rFonts w:ascii="Arial" w:hAnsi="Arial" w:cs="Arial"/>
          <w:b/>
          <w:color w:val="7B7B7B" w:themeColor="accent3" w:themeShade="BF"/>
          <w:sz w:val="22"/>
          <w:szCs w:val="22"/>
          <w:lang w:val="en-GB"/>
        </w:rPr>
        <w:t>CVA</w:t>
      </w:r>
      <w:r w:rsidR="00895AA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the supervisor of the CVA or any victim of the transaction (whether bound by the CVA or not); or</w:t>
      </w:r>
    </w:p>
    <w:p w14:paraId="21EA7391" w14:textId="099B8C7D" w:rsidR="00355339" w:rsidRDefault="00355339" w:rsidP="0035533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other case, by a victim of the transaction. </w:t>
      </w:r>
    </w:p>
    <w:p w14:paraId="2F694F75" w14:textId="6BE2777B" w:rsidR="00895AA7" w:rsidRDefault="00895AA7" w:rsidP="00895AA7">
      <w:pPr>
        <w:jc w:val="both"/>
        <w:rPr>
          <w:rFonts w:ascii="Arial" w:hAnsi="Arial" w:cs="Arial"/>
          <w:color w:val="7B7B7B" w:themeColor="accent3" w:themeShade="BF"/>
          <w:sz w:val="22"/>
          <w:szCs w:val="22"/>
          <w:lang w:val="en-GB"/>
        </w:rPr>
      </w:pPr>
    </w:p>
    <w:p w14:paraId="6A0E8937" w14:textId="7C0A7A7C" w:rsidR="00895AA7" w:rsidRDefault="00895AA7" w:rsidP="009078D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6 of the </w:t>
      </w:r>
      <w:r w:rsidRPr="00895AA7">
        <w:rPr>
          <w:rFonts w:ascii="Arial" w:hAnsi="Arial" w:cs="Arial"/>
          <w:color w:val="7B7B7B" w:themeColor="accent3" w:themeShade="BF"/>
          <w:sz w:val="22"/>
          <w:szCs w:val="22"/>
          <w:lang w:val="en-GB"/>
        </w:rPr>
        <w:t>Company Directors Disqualification Act 1986</w:t>
      </w:r>
      <w:r>
        <w:rPr>
          <w:rFonts w:ascii="Arial" w:hAnsi="Arial" w:cs="Arial"/>
          <w:color w:val="7B7B7B" w:themeColor="accent3" w:themeShade="BF"/>
          <w:sz w:val="22"/>
          <w:szCs w:val="22"/>
          <w:lang w:val="en-GB"/>
        </w:rPr>
        <w:t xml:space="preserve"> is the most commonly used ground under that act to seek disqualification of a director. </w:t>
      </w:r>
      <w:r w:rsidR="00AE05D2">
        <w:rPr>
          <w:rFonts w:ascii="Arial" w:hAnsi="Arial" w:cs="Arial"/>
          <w:color w:val="7B7B7B" w:themeColor="accent3" w:themeShade="BF"/>
          <w:sz w:val="22"/>
          <w:szCs w:val="22"/>
          <w:lang w:val="en-GB"/>
        </w:rPr>
        <w:t>An application can be made by the Secretary of State</w:t>
      </w:r>
      <w:r w:rsidR="009078D9">
        <w:rPr>
          <w:rFonts w:ascii="Arial" w:hAnsi="Arial" w:cs="Arial"/>
          <w:color w:val="7B7B7B" w:themeColor="accent3" w:themeShade="BF"/>
          <w:sz w:val="22"/>
          <w:szCs w:val="22"/>
          <w:lang w:val="en-GB"/>
        </w:rPr>
        <w:t xml:space="preserve"> or, </w:t>
      </w:r>
      <w:r w:rsidR="009078D9" w:rsidRPr="009078D9">
        <w:rPr>
          <w:rFonts w:ascii="Arial" w:hAnsi="Arial" w:cs="Arial"/>
          <w:color w:val="7B7B7B" w:themeColor="accent3" w:themeShade="BF"/>
          <w:sz w:val="22"/>
          <w:szCs w:val="22"/>
          <w:lang w:val="en-GB"/>
        </w:rPr>
        <w:t>if the Secretary of State so directs in the case of a perso</w:t>
      </w:r>
      <w:r w:rsidR="009078D9">
        <w:rPr>
          <w:rFonts w:ascii="Arial" w:hAnsi="Arial" w:cs="Arial"/>
          <w:color w:val="7B7B7B" w:themeColor="accent3" w:themeShade="BF"/>
          <w:sz w:val="22"/>
          <w:szCs w:val="22"/>
          <w:lang w:val="en-GB"/>
        </w:rPr>
        <w:t xml:space="preserve">n who is or has been a director of a company which is being or has been </w:t>
      </w:r>
      <w:r w:rsidR="009078D9" w:rsidRPr="009078D9">
        <w:rPr>
          <w:rFonts w:ascii="Arial" w:hAnsi="Arial" w:cs="Arial"/>
          <w:color w:val="7B7B7B" w:themeColor="accent3" w:themeShade="BF"/>
          <w:sz w:val="22"/>
          <w:szCs w:val="22"/>
          <w:lang w:val="en-GB"/>
        </w:rPr>
        <w:t xml:space="preserve">wound up by </w:t>
      </w:r>
      <w:r w:rsidR="009078D9">
        <w:rPr>
          <w:rFonts w:ascii="Arial" w:hAnsi="Arial" w:cs="Arial"/>
          <w:color w:val="7B7B7B" w:themeColor="accent3" w:themeShade="BF"/>
          <w:sz w:val="22"/>
          <w:szCs w:val="22"/>
          <w:lang w:val="en-GB"/>
        </w:rPr>
        <w:t xml:space="preserve">the court in England and Wales, </w:t>
      </w:r>
      <w:r w:rsidR="009078D9" w:rsidRPr="009078D9">
        <w:rPr>
          <w:rFonts w:ascii="Arial" w:hAnsi="Arial" w:cs="Arial"/>
          <w:color w:val="7B7B7B" w:themeColor="accent3" w:themeShade="BF"/>
          <w:sz w:val="22"/>
          <w:szCs w:val="22"/>
          <w:lang w:val="en-GB"/>
        </w:rPr>
        <w:t>by the official receive</w:t>
      </w:r>
      <w:r w:rsidR="009078D9">
        <w:rPr>
          <w:rFonts w:ascii="Arial" w:hAnsi="Arial" w:cs="Arial"/>
          <w:color w:val="7B7B7B" w:themeColor="accent3" w:themeShade="BF"/>
          <w:sz w:val="22"/>
          <w:szCs w:val="22"/>
          <w:lang w:val="en-GB"/>
        </w:rPr>
        <w:t>r</w:t>
      </w:r>
      <w:r w:rsidR="00AE05D2">
        <w:rPr>
          <w:rFonts w:ascii="Arial" w:hAnsi="Arial" w:cs="Arial"/>
          <w:color w:val="7B7B7B" w:themeColor="accent3" w:themeShade="BF"/>
          <w:sz w:val="22"/>
          <w:szCs w:val="22"/>
          <w:lang w:val="en-GB"/>
        </w:rPr>
        <w:t>. While t</w:t>
      </w:r>
      <w:r w:rsidR="00F0005D">
        <w:rPr>
          <w:rFonts w:ascii="Arial" w:hAnsi="Arial" w:cs="Arial"/>
          <w:color w:val="7B7B7B" w:themeColor="accent3" w:themeShade="BF"/>
          <w:sz w:val="22"/>
          <w:szCs w:val="22"/>
          <w:lang w:val="en-GB"/>
        </w:rPr>
        <w:t>he Court can ma</w:t>
      </w:r>
      <w:r w:rsidR="007C005D">
        <w:rPr>
          <w:rFonts w:ascii="Arial" w:hAnsi="Arial" w:cs="Arial"/>
          <w:color w:val="7B7B7B" w:themeColor="accent3" w:themeShade="BF"/>
          <w:sz w:val="22"/>
          <w:szCs w:val="22"/>
          <w:lang w:val="en-GB"/>
        </w:rPr>
        <w:t xml:space="preserve">ke a disqualification order, </w:t>
      </w:r>
      <w:r w:rsidR="00F0005D">
        <w:rPr>
          <w:rFonts w:ascii="Arial" w:hAnsi="Arial" w:cs="Arial"/>
          <w:color w:val="7B7B7B" w:themeColor="accent3" w:themeShade="BF"/>
          <w:sz w:val="22"/>
          <w:szCs w:val="22"/>
          <w:lang w:val="en-GB"/>
        </w:rPr>
        <w:t>it is also possible for the Secretary of State to accept a disqualification undertaking, which will have the same consequences as though a disqualification order had been made by the court.</w:t>
      </w:r>
    </w:p>
    <w:p w14:paraId="56E1B5CE" w14:textId="07A1D178" w:rsidR="005A7A88" w:rsidRDefault="005A7A88" w:rsidP="00895AA7">
      <w:pPr>
        <w:jc w:val="both"/>
        <w:rPr>
          <w:rFonts w:ascii="Arial" w:hAnsi="Arial" w:cs="Arial"/>
          <w:color w:val="7B7B7B" w:themeColor="accent3" w:themeShade="BF"/>
          <w:sz w:val="22"/>
          <w:szCs w:val="22"/>
          <w:lang w:val="en-GB"/>
        </w:rPr>
      </w:pPr>
    </w:p>
    <w:p w14:paraId="65ED8AFC" w14:textId="24185B82" w:rsidR="005A7A88" w:rsidRDefault="00510CFF" w:rsidP="00895A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510CFF">
        <w:rPr>
          <w:rFonts w:ascii="Arial" w:hAnsi="Arial" w:cs="Arial"/>
          <w:color w:val="7B7B7B" w:themeColor="accent3" w:themeShade="BF"/>
          <w:sz w:val="22"/>
          <w:szCs w:val="22"/>
          <w:lang w:val="en-GB"/>
        </w:rPr>
        <w:t>ection 246ZB of the Insolvency Act 1986</w:t>
      </w:r>
      <w:r>
        <w:rPr>
          <w:rFonts w:ascii="Arial" w:hAnsi="Arial" w:cs="Arial"/>
          <w:color w:val="7B7B7B" w:themeColor="accent3" w:themeShade="BF"/>
          <w:sz w:val="22"/>
          <w:szCs w:val="22"/>
          <w:lang w:val="en-GB"/>
        </w:rPr>
        <w:t xml:space="preserve"> deals with wrongful trading and can make directors of insolvent companies liable for wrongful trading, and thereby making them (in certain circumstances) liable for some of the debts and liabilities of the company. The Small Business, Enterprise and Employment Act 2015 introduced wrongful trading to administration und</w:t>
      </w:r>
      <w:r w:rsidR="007C005D">
        <w:rPr>
          <w:rFonts w:ascii="Arial" w:hAnsi="Arial" w:cs="Arial"/>
          <w:color w:val="7B7B7B" w:themeColor="accent3" w:themeShade="BF"/>
          <w:sz w:val="22"/>
          <w:szCs w:val="22"/>
          <w:lang w:val="en-GB"/>
        </w:rPr>
        <w:t>er section 246ZB. It is therefor</w:t>
      </w:r>
      <w:r>
        <w:rPr>
          <w:rFonts w:ascii="Arial" w:hAnsi="Arial" w:cs="Arial"/>
          <w:color w:val="7B7B7B" w:themeColor="accent3" w:themeShade="BF"/>
          <w:sz w:val="22"/>
          <w:szCs w:val="22"/>
          <w:lang w:val="en-GB"/>
        </w:rPr>
        <w:t xml:space="preserve">e the administrator who can bring an action under this section.  </w:t>
      </w:r>
    </w:p>
    <w:p w14:paraId="34DDA386" w14:textId="087A2C16" w:rsidR="00F0005D" w:rsidRDefault="00F0005D" w:rsidP="00895AA7">
      <w:pPr>
        <w:jc w:val="both"/>
        <w:rPr>
          <w:rFonts w:ascii="Arial" w:hAnsi="Arial" w:cs="Arial"/>
          <w:color w:val="7B7B7B" w:themeColor="accent3" w:themeShade="BF"/>
          <w:sz w:val="22"/>
          <w:szCs w:val="22"/>
          <w:lang w:val="en-GB"/>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44C4F7D4" w:rsidR="00FF5098" w:rsidRDefault="009078D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decision of the creditors may be made by one of the following five qualifying decision procedures provided for the in the Insolvency Rules:</w:t>
      </w:r>
    </w:p>
    <w:p w14:paraId="3461E841" w14:textId="77777777" w:rsidR="009078D9" w:rsidRDefault="009078D9" w:rsidP="00FF5098">
      <w:pPr>
        <w:jc w:val="both"/>
        <w:rPr>
          <w:rFonts w:ascii="Arial" w:hAnsi="Arial" w:cs="Arial"/>
          <w:color w:val="7B7B7B" w:themeColor="accent3" w:themeShade="BF"/>
          <w:sz w:val="22"/>
          <w:szCs w:val="22"/>
          <w:lang w:val="en-GB"/>
        </w:rPr>
      </w:pPr>
    </w:p>
    <w:p w14:paraId="48E851A4" w14:textId="50581AC8" w:rsidR="009078D9" w:rsidRDefault="009078D9" w:rsidP="009078D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r w:rsidR="003C692B">
        <w:rPr>
          <w:rFonts w:ascii="Arial" w:hAnsi="Arial" w:cs="Arial"/>
          <w:color w:val="7B7B7B" w:themeColor="accent3" w:themeShade="BF"/>
          <w:sz w:val="22"/>
          <w:szCs w:val="22"/>
          <w:lang w:val="en-GB"/>
        </w:rPr>
        <w:t>;</w:t>
      </w:r>
    </w:p>
    <w:p w14:paraId="55A5A24A" w14:textId="19255F2E" w:rsidR="009078D9" w:rsidRDefault="009078D9" w:rsidP="009078D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r w:rsidR="003C692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6D52CEB" w14:textId="0F9D4B6B" w:rsidR="009078D9" w:rsidRDefault="009078D9" w:rsidP="009078D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r w:rsidR="003C692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0CDBD986" w14:textId="75052B9C" w:rsidR="009078D9" w:rsidRDefault="009078D9" w:rsidP="009078D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r w:rsidR="003C692B">
        <w:rPr>
          <w:rFonts w:ascii="Arial" w:hAnsi="Arial" w:cs="Arial"/>
          <w:color w:val="7B7B7B" w:themeColor="accent3" w:themeShade="BF"/>
          <w:sz w:val="22"/>
          <w:szCs w:val="22"/>
          <w:lang w:val="en-GB"/>
        </w:rPr>
        <w:t>;</w:t>
      </w:r>
    </w:p>
    <w:p w14:paraId="3344F04C" w14:textId="0C2F2946" w:rsidR="009078D9" w:rsidRDefault="009078D9" w:rsidP="009078D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other decision making procedure which enables all creditors who are entitled to participate in the making of the decision to participate equally.</w:t>
      </w:r>
    </w:p>
    <w:p w14:paraId="084F2CD6" w14:textId="73BB1D46" w:rsidR="009078D9" w:rsidRDefault="009078D9" w:rsidP="009078D9">
      <w:pPr>
        <w:jc w:val="both"/>
        <w:rPr>
          <w:rFonts w:ascii="Arial" w:hAnsi="Arial" w:cs="Arial"/>
          <w:color w:val="7B7B7B" w:themeColor="accent3" w:themeShade="BF"/>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489FFFBA" w:rsidR="00FF5098" w:rsidRDefault="009078D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an administrator does not automatically terminate a company's executory contracts. </w:t>
      </w:r>
      <w:r w:rsidR="00890F5B">
        <w:rPr>
          <w:rFonts w:ascii="Arial" w:hAnsi="Arial" w:cs="Arial"/>
          <w:color w:val="7B7B7B" w:themeColor="accent3" w:themeShade="BF"/>
          <w:sz w:val="22"/>
          <w:szCs w:val="22"/>
          <w:lang w:val="en-GB"/>
        </w:rPr>
        <w:t xml:space="preserve">An administrator will often need to obtain or retain certain essential supplies. Section 233 of the Insolvency Act 1986 applies specifically to the supply of gas, electricity, water and communications services (which includes the supply of goods and services such as computer hardware and software, technical assistance, data storage etc.). Suppliers are not permitted to require payment of outstanding debts in order to secure a new or continued supply to the company in administration. Section 233 does, however, afford some protection to the supplier in that it permits a supplier to stipulate that the administrator must personally guarantee payment of charges in respect of the supply. </w:t>
      </w:r>
    </w:p>
    <w:p w14:paraId="3D22609B" w14:textId="46BD1AA7" w:rsidR="00890F5B" w:rsidRDefault="00890F5B" w:rsidP="00FF5098">
      <w:pPr>
        <w:jc w:val="both"/>
        <w:rPr>
          <w:rFonts w:ascii="Arial" w:hAnsi="Arial" w:cs="Arial"/>
          <w:color w:val="7B7B7B" w:themeColor="accent3" w:themeShade="BF"/>
          <w:sz w:val="22"/>
          <w:szCs w:val="22"/>
          <w:lang w:val="en-GB"/>
        </w:rPr>
      </w:pPr>
    </w:p>
    <w:p w14:paraId="5FB46251" w14:textId="131969F6" w:rsidR="00890F5B" w:rsidRDefault="00890F5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1456A6">
        <w:rPr>
          <w:rFonts w:ascii="Arial" w:hAnsi="Arial" w:cs="Arial"/>
          <w:color w:val="7B7B7B" w:themeColor="accent3" w:themeShade="BF"/>
          <w:sz w:val="22"/>
          <w:szCs w:val="22"/>
          <w:lang w:val="en-GB"/>
        </w:rPr>
        <w:t>under Section 233A a supplier of such goods and services is generally unable to rely upon an "insolvency-related term" in a contract of supply which would otherwise entitle the supplier to terminate the supply, compel higher payments for continued supply or alter the terms of the supply.</w:t>
      </w:r>
    </w:p>
    <w:p w14:paraId="5102BEAF" w14:textId="79214C6B" w:rsidR="001456A6" w:rsidRDefault="001456A6" w:rsidP="00FF5098">
      <w:pPr>
        <w:jc w:val="both"/>
        <w:rPr>
          <w:rFonts w:ascii="Arial" w:hAnsi="Arial" w:cs="Arial"/>
          <w:color w:val="7B7B7B" w:themeColor="accent3" w:themeShade="BF"/>
          <w:sz w:val="22"/>
          <w:szCs w:val="22"/>
          <w:lang w:val="en-GB"/>
        </w:rPr>
      </w:pPr>
    </w:p>
    <w:p w14:paraId="37133661" w14:textId="637FFB27" w:rsidR="00AA06E3" w:rsidRDefault="001456A6" w:rsidP="00AA06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Insolvency and Governance Act 2020 has expanded these protection</w:t>
      </w:r>
      <w:r w:rsidR="006A45F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for insolvent companies by the introduction of Section 233B, which prohibits clauses which all</w:t>
      </w:r>
      <w:r w:rsidR="006A45F5">
        <w:rPr>
          <w:rFonts w:ascii="Arial" w:hAnsi="Arial" w:cs="Arial"/>
          <w:color w:val="7B7B7B" w:themeColor="accent3" w:themeShade="BF"/>
          <w:sz w:val="22"/>
          <w:szCs w:val="22"/>
          <w:lang w:val="en-GB"/>
        </w:rPr>
        <w:t>ow</w:t>
      </w:r>
      <w:r>
        <w:rPr>
          <w:rFonts w:ascii="Arial" w:hAnsi="Arial" w:cs="Arial"/>
          <w:color w:val="7B7B7B" w:themeColor="accent3" w:themeShade="BF"/>
          <w:sz w:val="22"/>
          <w:szCs w:val="22"/>
          <w:lang w:val="en-GB"/>
        </w:rPr>
        <w:t xml:space="preserve"> the supplier of goods or services to terminate or "do any other thing" in relation to that contract if the company enters a formal insolvency procedure. </w:t>
      </w:r>
      <w:r w:rsidR="00F25689">
        <w:rPr>
          <w:rFonts w:ascii="Arial" w:hAnsi="Arial" w:cs="Arial"/>
          <w:color w:val="7B7B7B" w:themeColor="accent3" w:themeShade="BF"/>
          <w:sz w:val="22"/>
          <w:szCs w:val="22"/>
          <w:lang w:val="en-GB"/>
        </w:rPr>
        <w:t xml:space="preserve">The contract may still be terminated by a supplier under this section where the company or insolvency office holder (in this case the administrator) consents or, on application to the court, </w:t>
      </w:r>
      <w:r w:rsidR="006A45F5">
        <w:rPr>
          <w:rFonts w:ascii="Arial" w:hAnsi="Arial" w:cs="Arial"/>
          <w:color w:val="7B7B7B" w:themeColor="accent3" w:themeShade="BF"/>
          <w:sz w:val="22"/>
          <w:szCs w:val="22"/>
          <w:lang w:val="en-GB"/>
        </w:rPr>
        <w:t xml:space="preserve">if </w:t>
      </w:r>
      <w:r w:rsidR="00F25689">
        <w:rPr>
          <w:rFonts w:ascii="Arial" w:hAnsi="Arial" w:cs="Arial"/>
          <w:color w:val="7B7B7B" w:themeColor="accent3" w:themeShade="BF"/>
          <w:sz w:val="22"/>
          <w:szCs w:val="22"/>
          <w:lang w:val="en-GB"/>
        </w:rPr>
        <w:t xml:space="preserve">the court is </w:t>
      </w:r>
      <w:r w:rsidR="00AA06E3">
        <w:rPr>
          <w:rFonts w:ascii="Arial" w:hAnsi="Arial" w:cs="Arial"/>
          <w:color w:val="7B7B7B" w:themeColor="accent3" w:themeShade="BF"/>
          <w:sz w:val="22"/>
          <w:szCs w:val="22"/>
          <w:lang w:val="en-GB"/>
        </w:rPr>
        <w:t>satisfied</w:t>
      </w:r>
      <w:r w:rsidR="00F25689">
        <w:rPr>
          <w:rFonts w:ascii="Arial" w:hAnsi="Arial" w:cs="Arial"/>
          <w:color w:val="7B7B7B" w:themeColor="accent3" w:themeShade="BF"/>
          <w:sz w:val="22"/>
          <w:szCs w:val="22"/>
          <w:lang w:val="en-GB"/>
        </w:rPr>
        <w:t xml:space="preserve"> that the </w:t>
      </w:r>
      <w:r w:rsidR="00AA06E3">
        <w:rPr>
          <w:rFonts w:ascii="Arial" w:hAnsi="Arial" w:cs="Arial"/>
          <w:color w:val="7B7B7B" w:themeColor="accent3" w:themeShade="BF"/>
          <w:sz w:val="22"/>
          <w:szCs w:val="22"/>
          <w:lang w:val="en-GB"/>
        </w:rPr>
        <w:t>continuation</w:t>
      </w:r>
      <w:r w:rsidR="00F25689">
        <w:rPr>
          <w:rFonts w:ascii="Arial" w:hAnsi="Arial" w:cs="Arial"/>
          <w:color w:val="7B7B7B" w:themeColor="accent3" w:themeShade="BF"/>
          <w:sz w:val="22"/>
          <w:szCs w:val="22"/>
          <w:lang w:val="en-GB"/>
        </w:rPr>
        <w:t xml:space="preserve"> of the contract would cause the supplier hardship and therefore grants permission for termination. </w:t>
      </w:r>
    </w:p>
    <w:p w14:paraId="1132920A" w14:textId="2929B1BA" w:rsidR="00AA06E3" w:rsidRDefault="00AA06E3" w:rsidP="00AA06E3">
      <w:pPr>
        <w:jc w:val="both"/>
        <w:rPr>
          <w:rFonts w:ascii="Arial" w:hAnsi="Arial" w:cs="Arial"/>
          <w:color w:val="7B7B7B" w:themeColor="accent3" w:themeShade="BF"/>
          <w:sz w:val="22"/>
          <w:szCs w:val="22"/>
          <w:lang w:val="en-GB"/>
        </w:rPr>
      </w:pPr>
    </w:p>
    <w:p w14:paraId="3F93ECC9" w14:textId="1B06D1A3" w:rsidR="00AA06E3" w:rsidRPr="00AA06E3" w:rsidRDefault="00AA06E3" w:rsidP="00AA06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233B is </w:t>
      </w:r>
      <w:r w:rsidR="00DB7DAD">
        <w:rPr>
          <w:rFonts w:ascii="Arial" w:hAnsi="Arial" w:cs="Arial"/>
          <w:color w:val="7B7B7B" w:themeColor="accent3" w:themeShade="BF"/>
          <w:sz w:val="22"/>
          <w:szCs w:val="22"/>
          <w:lang w:val="en-GB"/>
        </w:rPr>
        <w:t xml:space="preserve">particularly </w:t>
      </w:r>
      <w:r>
        <w:rPr>
          <w:rFonts w:ascii="Arial" w:hAnsi="Arial" w:cs="Arial"/>
          <w:color w:val="7B7B7B" w:themeColor="accent3" w:themeShade="BF"/>
          <w:sz w:val="22"/>
          <w:szCs w:val="22"/>
          <w:lang w:val="en-GB"/>
        </w:rPr>
        <w:t>helpful to an administrator in that it opens up the restriction on termination of contracts to all suppliers, with just a limited number of exceptions</w:t>
      </w:r>
      <w:r w:rsidR="006A45F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such</w:t>
      </w:r>
      <w:r w:rsidR="00DB7DAD">
        <w:rPr>
          <w:rFonts w:ascii="Arial" w:hAnsi="Arial" w:cs="Arial"/>
          <w:color w:val="7B7B7B" w:themeColor="accent3" w:themeShade="BF"/>
          <w:sz w:val="22"/>
          <w:szCs w:val="22"/>
          <w:lang w:val="en-GB"/>
        </w:rPr>
        <w:t xml:space="preserve"> as banks, insurers etc.), and therefore goes beyond the essential supplies provided for in Sections 233 and 233A.</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F987CE3" w14:textId="3F8B76A8" w:rsidR="00C34477" w:rsidRDefault="00C3447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Holders of fixed charges holders will</w:t>
      </w:r>
      <w:r w:rsidR="00837D19">
        <w:rPr>
          <w:rFonts w:ascii="Arial" w:hAnsi="Arial" w:cs="Arial"/>
          <w:color w:val="7B7B7B" w:themeColor="accent3" w:themeShade="BF"/>
          <w:sz w:val="22"/>
          <w:szCs w:val="22"/>
          <w:lang w:val="en-GB"/>
        </w:rPr>
        <w:t xml:space="preserve"> usually be paid first outside of </w:t>
      </w:r>
      <w:r>
        <w:rPr>
          <w:rFonts w:ascii="Arial" w:hAnsi="Arial" w:cs="Arial"/>
          <w:color w:val="7B7B7B" w:themeColor="accent3" w:themeShade="BF"/>
          <w:sz w:val="22"/>
          <w:szCs w:val="22"/>
          <w:lang w:val="en-GB"/>
        </w:rPr>
        <w:t xml:space="preserve">any formal insolvency. </w:t>
      </w:r>
    </w:p>
    <w:p w14:paraId="6453D67B" w14:textId="30AEBA6A" w:rsidR="00837D19" w:rsidRDefault="00837D19" w:rsidP="00FF5098">
      <w:pPr>
        <w:jc w:val="both"/>
        <w:rPr>
          <w:rFonts w:ascii="Arial" w:hAnsi="Arial" w:cs="Arial"/>
          <w:color w:val="7B7B7B" w:themeColor="accent3" w:themeShade="BF"/>
          <w:sz w:val="22"/>
          <w:szCs w:val="22"/>
          <w:lang w:val="en-GB"/>
        </w:rPr>
      </w:pPr>
    </w:p>
    <w:p w14:paraId="416B3334" w14:textId="45B2BB80" w:rsidR="00FF5098" w:rsidRDefault="00837D1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that, pursuant to </w:t>
      </w:r>
      <w:r w:rsidR="00A042D0">
        <w:rPr>
          <w:rFonts w:ascii="Arial" w:hAnsi="Arial" w:cs="Arial"/>
          <w:color w:val="7B7B7B" w:themeColor="accent3" w:themeShade="BF"/>
          <w:sz w:val="22"/>
          <w:szCs w:val="22"/>
          <w:lang w:val="en-GB"/>
        </w:rPr>
        <w:t>Section 115 of the Insolvency Act (and Rules 6.42 and 7.108), there are a number of expenses which are given priority over the company's preferential creditors, holders of floating charges and the</w:t>
      </w:r>
      <w:r w:rsidR="003122F3">
        <w:rPr>
          <w:rFonts w:ascii="Arial" w:hAnsi="Arial" w:cs="Arial"/>
          <w:color w:val="7B7B7B" w:themeColor="accent3" w:themeShade="BF"/>
          <w:sz w:val="22"/>
          <w:szCs w:val="22"/>
          <w:lang w:val="en-GB"/>
        </w:rPr>
        <w:t xml:space="preserve"> company's unsecured creditors. The main expenses which are paid in priority to those creditors are as follows, and in the following order of priority:</w:t>
      </w:r>
    </w:p>
    <w:p w14:paraId="74CFFB3B" w14:textId="1126FEBE" w:rsidR="003122F3" w:rsidRDefault="003122F3" w:rsidP="00FF5098">
      <w:pPr>
        <w:jc w:val="both"/>
        <w:rPr>
          <w:rFonts w:ascii="Arial" w:hAnsi="Arial" w:cs="Arial"/>
          <w:color w:val="7B7B7B" w:themeColor="accent3" w:themeShade="BF"/>
          <w:sz w:val="22"/>
          <w:szCs w:val="22"/>
          <w:lang w:val="en-GB"/>
        </w:rPr>
      </w:pPr>
    </w:p>
    <w:p w14:paraId="20077B7E" w14:textId="055E9C6C" w:rsid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properly incurred by the liquidator in preserving, realising or getting in any of the assets of the company (including in the conduct of any legal proceedings)</w:t>
      </w:r>
      <w:r w:rsidR="006A45F5">
        <w:rPr>
          <w:rFonts w:ascii="Arial" w:hAnsi="Arial" w:cs="Arial"/>
          <w:color w:val="7B7B7B" w:themeColor="accent3" w:themeShade="BF"/>
          <w:sz w:val="22"/>
          <w:szCs w:val="22"/>
          <w:lang w:val="en-GB"/>
        </w:rPr>
        <w:t>;</w:t>
      </w:r>
    </w:p>
    <w:p w14:paraId="51ED5A63" w14:textId="51DF7817" w:rsid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 security provided by the liquidator</w:t>
      </w:r>
      <w:r w:rsidR="006A45F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950D7E3" w14:textId="4855D7A3" w:rsid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amount payable to a </w:t>
      </w:r>
      <w:r w:rsidR="00C555AB">
        <w:rPr>
          <w:rFonts w:ascii="Arial" w:hAnsi="Arial" w:cs="Arial"/>
          <w:color w:val="7B7B7B" w:themeColor="accent3" w:themeShade="BF"/>
          <w:sz w:val="22"/>
          <w:szCs w:val="22"/>
          <w:lang w:val="en-GB"/>
        </w:rPr>
        <w:t>person</w:t>
      </w:r>
      <w:r>
        <w:rPr>
          <w:rFonts w:ascii="Arial" w:hAnsi="Arial" w:cs="Arial"/>
          <w:color w:val="7B7B7B" w:themeColor="accent3" w:themeShade="BF"/>
          <w:sz w:val="22"/>
          <w:szCs w:val="22"/>
          <w:lang w:val="en-GB"/>
        </w:rPr>
        <w:t xml:space="preserve"> who assisted in the preparation of the statement of affairs or accounts</w:t>
      </w:r>
      <w:r w:rsidR="006A45F5">
        <w:rPr>
          <w:rFonts w:ascii="Arial" w:hAnsi="Arial" w:cs="Arial"/>
          <w:color w:val="7B7B7B" w:themeColor="accent3" w:themeShade="BF"/>
          <w:sz w:val="22"/>
          <w:szCs w:val="22"/>
          <w:lang w:val="en-GB"/>
        </w:rPr>
        <w:t>;</w:t>
      </w:r>
    </w:p>
    <w:p w14:paraId="713DF91B" w14:textId="258B2942" w:rsid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necessary </w:t>
      </w:r>
      <w:r w:rsidR="00C555AB">
        <w:rPr>
          <w:rFonts w:ascii="Arial" w:hAnsi="Arial" w:cs="Arial"/>
          <w:color w:val="7B7B7B" w:themeColor="accent3" w:themeShade="BF"/>
          <w:sz w:val="22"/>
          <w:szCs w:val="22"/>
          <w:lang w:val="en-GB"/>
        </w:rPr>
        <w:t>disbursements</w:t>
      </w:r>
      <w:r>
        <w:rPr>
          <w:rFonts w:ascii="Arial" w:hAnsi="Arial" w:cs="Arial"/>
          <w:color w:val="7B7B7B" w:themeColor="accent3" w:themeShade="BF"/>
          <w:sz w:val="22"/>
          <w:szCs w:val="22"/>
          <w:lang w:val="en-GB"/>
        </w:rPr>
        <w:t xml:space="preserve"> by the liquidator during the </w:t>
      </w:r>
      <w:r w:rsidR="00C555AB">
        <w:rPr>
          <w:rFonts w:ascii="Arial" w:hAnsi="Arial" w:cs="Arial"/>
          <w:color w:val="7B7B7B" w:themeColor="accent3" w:themeShade="BF"/>
          <w:sz w:val="22"/>
          <w:szCs w:val="22"/>
          <w:lang w:val="en-GB"/>
        </w:rPr>
        <w:t>course</w:t>
      </w:r>
      <w:r>
        <w:rPr>
          <w:rFonts w:ascii="Arial" w:hAnsi="Arial" w:cs="Arial"/>
          <w:color w:val="7B7B7B" w:themeColor="accent3" w:themeShade="BF"/>
          <w:sz w:val="22"/>
          <w:szCs w:val="22"/>
          <w:lang w:val="en-GB"/>
        </w:rPr>
        <w:t xml:space="preserve"> of the winding up (e.g. any expense incurred by members of the liquidation committee)</w:t>
      </w:r>
      <w:r w:rsidR="006A45F5">
        <w:rPr>
          <w:rFonts w:ascii="Arial" w:hAnsi="Arial" w:cs="Arial"/>
          <w:color w:val="7B7B7B" w:themeColor="accent3" w:themeShade="BF"/>
          <w:sz w:val="22"/>
          <w:szCs w:val="22"/>
          <w:lang w:val="en-GB"/>
        </w:rPr>
        <w:t>;</w:t>
      </w:r>
    </w:p>
    <w:p w14:paraId="0D9561DB" w14:textId="2EEBA620" w:rsid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any person who was employed by the liquidator to perform any services for the company</w:t>
      </w:r>
      <w:r w:rsidR="006A45F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BE2FE83" w14:textId="49B587E4" w:rsid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C555AB">
        <w:rPr>
          <w:rFonts w:ascii="Arial" w:hAnsi="Arial" w:cs="Arial"/>
          <w:color w:val="7B7B7B" w:themeColor="accent3" w:themeShade="BF"/>
          <w:sz w:val="22"/>
          <w:szCs w:val="22"/>
          <w:lang w:val="en-GB"/>
        </w:rPr>
        <w:t>remuneration</w:t>
      </w:r>
      <w:r>
        <w:rPr>
          <w:rFonts w:ascii="Arial" w:hAnsi="Arial" w:cs="Arial"/>
          <w:color w:val="7B7B7B" w:themeColor="accent3" w:themeShade="BF"/>
          <w:sz w:val="22"/>
          <w:szCs w:val="22"/>
          <w:lang w:val="en-GB"/>
        </w:rPr>
        <w:t xml:space="preserve"> of the </w:t>
      </w:r>
      <w:r w:rsidR="00C555AB">
        <w:rPr>
          <w:rFonts w:ascii="Arial" w:hAnsi="Arial" w:cs="Arial"/>
          <w:color w:val="7B7B7B" w:themeColor="accent3" w:themeShade="BF"/>
          <w:sz w:val="22"/>
          <w:szCs w:val="22"/>
          <w:lang w:val="en-GB"/>
        </w:rPr>
        <w:t>liquidator</w:t>
      </w:r>
      <w:r w:rsidR="006A45F5">
        <w:rPr>
          <w:rFonts w:ascii="Arial" w:hAnsi="Arial" w:cs="Arial"/>
          <w:color w:val="7B7B7B" w:themeColor="accent3" w:themeShade="BF"/>
          <w:sz w:val="22"/>
          <w:szCs w:val="22"/>
          <w:lang w:val="en-GB"/>
        </w:rPr>
        <w:t>;</w:t>
      </w:r>
    </w:p>
    <w:p w14:paraId="59E6500A" w14:textId="4A81175E" w:rsid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amount of any </w:t>
      </w:r>
      <w:r w:rsidR="00C555AB">
        <w:rPr>
          <w:rFonts w:ascii="Arial" w:hAnsi="Arial" w:cs="Arial"/>
          <w:color w:val="7B7B7B" w:themeColor="accent3" w:themeShade="BF"/>
          <w:sz w:val="22"/>
          <w:szCs w:val="22"/>
          <w:lang w:val="en-GB"/>
        </w:rPr>
        <w:t>corporation</w:t>
      </w:r>
      <w:r>
        <w:rPr>
          <w:rFonts w:ascii="Arial" w:hAnsi="Arial" w:cs="Arial"/>
          <w:color w:val="7B7B7B" w:themeColor="accent3" w:themeShade="BF"/>
          <w:sz w:val="22"/>
          <w:szCs w:val="22"/>
          <w:lang w:val="en-GB"/>
        </w:rPr>
        <w:t xml:space="preserve"> tax on chargeable gains </w:t>
      </w:r>
      <w:r w:rsidR="00C555AB">
        <w:rPr>
          <w:rFonts w:ascii="Arial" w:hAnsi="Arial" w:cs="Arial"/>
          <w:color w:val="7B7B7B" w:themeColor="accent3" w:themeShade="BF"/>
          <w:sz w:val="22"/>
          <w:szCs w:val="22"/>
          <w:lang w:val="en-GB"/>
        </w:rPr>
        <w:t>accruing</w:t>
      </w:r>
      <w:r>
        <w:rPr>
          <w:rFonts w:ascii="Arial" w:hAnsi="Arial" w:cs="Arial"/>
          <w:color w:val="7B7B7B" w:themeColor="accent3" w:themeShade="BF"/>
          <w:sz w:val="22"/>
          <w:szCs w:val="22"/>
          <w:lang w:val="en-GB"/>
        </w:rPr>
        <w:t xml:space="preserve"> on the realisati</w:t>
      </w:r>
      <w:r w:rsidR="006A45F5">
        <w:rPr>
          <w:rFonts w:ascii="Arial" w:hAnsi="Arial" w:cs="Arial"/>
          <w:color w:val="7B7B7B" w:themeColor="accent3" w:themeShade="BF"/>
          <w:sz w:val="22"/>
          <w:szCs w:val="22"/>
          <w:lang w:val="en-GB"/>
        </w:rPr>
        <w:t>on of any assets of the company;</w:t>
      </w:r>
      <w:r>
        <w:rPr>
          <w:rFonts w:ascii="Arial" w:hAnsi="Arial" w:cs="Arial"/>
          <w:color w:val="7B7B7B" w:themeColor="accent3" w:themeShade="BF"/>
          <w:sz w:val="22"/>
          <w:szCs w:val="22"/>
          <w:lang w:val="en-GB"/>
        </w:rPr>
        <w:t xml:space="preserve"> and</w:t>
      </w:r>
    </w:p>
    <w:p w14:paraId="00680E22" w14:textId="3B7796EA" w:rsidR="003122F3" w:rsidRPr="003122F3" w:rsidRDefault="003122F3" w:rsidP="003122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expenses properly chargeable by the liquidator in carrying out the liquidator</w:t>
      </w:r>
      <w:r w:rsidR="006A45F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functions in the winding up.</w:t>
      </w:r>
    </w:p>
    <w:p w14:paraId="255F531E" w14:textId="7FEA7CF4" w:rsidR="00837D19" w:rsidRDefault="00837D19" w:rsidP="00FF5098">
      <w:pPr>
        <w:jc w:val="both"/>
        <w:rPr>
          <w:rFonts w:ascii="Arial" w:hAnsi="Arial" w:cs="Arial"/>
          <w:color w:val="7B7B7B" w:themeColor="accent3" w:themeShade="BF"/>
          <w:sz w:val="22"/>
          <w:szCs w:val="22"/>
          <w:lang w:val="en-GB"/>
        </w:rPr>
      </w:pPr>
    </w:p>
    <w:p w14:paraId="61C89B0B" w14:textId="28BB5632" w:rsidR="00837D19" w:rsidRDefault="003122F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837D19">
        <w:rPr>
          <w:rFonts w:ascii="Arial" w:hAnsi="Arial" w:cs="Arial"/>
          <w:color w:val="7B7B7B" w:themeColor="accent3" w:themeShade="BF"/>
          <w:sz w:val="22"/>
          <w:szCs w:val="22"/>
          <w:lang w:val="en-GB"/>
        </w:rPr>
        <w:t>referential creditors</w:t>
      </w:r>
      <w:r>
        <w:rPr>
          <w:rFonts w:ascii="Arial" w:hAnsi="Arial" w:cs="Arial"/>
          <w:color w:val="7B7B7B" w:themeColor="accent3" w:themeShade="BF"/>
          <w:sz w:val="22"/>
          <w:szCs w:val="22"/>
          <w:lang w:val="en-GB"/>
        </w:rPr>
        <w:t xml:space="preserve"> are next in line after all expenses have bee</w:t>
      </w:r>
      <w:r w:rsidR="002700C2">
        <w:rPr>
          <w:rFonts w:ascii="Arial" w:hAnsi="Arial" w:cs="Arial"/>
          <w:color w:val="7B7B7B" w:themeColor="accent3" w:themeShade="BF"/>
          <w:sz w:val="22"/>
          <w:szCs w:val="22"/>
          <w:lang w:val="en-GB"/>
        </w:rPr>
        <w:t>n paid in full</w:t>
      </w:r>
      <w:r w:rsidR="006522F3">
        <w:rPr>
          <w:rFonts w:ascii="Arial" w:hAnsi="Arial" w:cs="Arial"/>
          <w:color w:val="7B7B7B" w:themeColor="accent3" w:themeShade="BF"/>
          <w:sz w:val="22"/>
          <w:szCs w:val="22"/>
          <w:lang w:val="en-GB"/>
        </w:rPr>
        <w:t>. In</w:t>
      </w:r>
      <w:r w:rsidR="00837D19">
        <w:rPr>
          <w:rFonts w:ascii="Arial" w:hAnsi="Arial" w:cs="Arial"/>
          <w:color w:val="7B7B7B" w:themeColor="accent3" w:themeShade="BF"/>
          <w:sz w:val="22"/>
          <w:szCs w:val="22"/>
          <w:lang w:val="en-GB"/>
        </w:rPr>
        <w:t xml:space="preserve"> practice this class of creditor is limited to reasonably modest claims from employees who are owed money by their insolvent employers and some taxation debts owed to the Government where the company has acted in effect as a tax collector for the Government</w:t>
      </w:r>
      <w:r w:rsidR="006522F3">
        <w:rPr>
          <w:rFonts w:ascii="Arial" w:hAnsi="Arial" w:cs="Arial"/>
          <w:color w:val="7B7B7B" w:themeColor="accent3" w:themeShade="BF"/>
          <w:sz w:val="22"/>
          <w:szCs w:val="22"/>
          <w:lang w:val="en-GB"/>
        </w:rPr>
        <w:t>. It has always been a characteristic of the statutory preferential debts regime that employees' remuneration (and later contribution to their pension schemes) has been given some priority. It should be noted that there are significant limits on such claims. The statutory protection afforded to employees under the Employment Rights Act 1996 provides a much more extensive protection for employees and it has</w:t>
      </w:r>
      <w:r w:rsidR="00C555AB">
        <w:rPr>
          <w:rFonts w:ascii="Arial" w:hAnsi="Arial" w:cs="Arial"/>
          <w:color w:val="7B7B7B" w:themeColor="accent3" w:themeShade="BF"/>
          <w:sz w:val="22"/>
          <w:szCs w:val="22"/>
          <w:lang w:val="en-GB"/>
        </w:rPr>
        <w:t xml:space="preserve"> been questioned why the Insolvency Act </w:t>
      </w:r>
      <w:r w:rsidR="006522F3">
        <w:rPr>
          <w:rFonts w:ascii="Arial" w:hAnsi="Arial" w:cs="Arial"/>
          <w:color w:val="7B7B7B" w:themeColor="accent3" w:themeShade="BF"/>
          <w:sz w:val="22"/>
          <w:szCs w:val="22"/>
          <w:lang w:val="en-GB"/>
        </w:rPr>
        <w:t xml:space="preserve">retains this much historic employee protection provision. </w:t>
      </w:r>
    </w:p>
    <w:p w14:paraId="79AFCC65" w14:textId="48B146FE" w:rsidR="006522F3" w:rsidRDefault="006522F3" w:rsidP="00FF5098">
      <w:pPr>
        <w:jc w:val="both"/>
        <w:rPr>
          <w:rFonts w:ascii="Arial" w:hAnsi="Arial" w:cs="Arial"/>
          <w:color w:val="7B7B7B" w:themeColor="accent3" w:themeShade="BF"/>
          <w:sz w:val="22"/>
          <w:szCs w:val="22"/>
          <w:lang w:val="en-GB"/>
        </w:rPr>
      </w:pPr>
    </w:p>
    <w:p w14:paraId="61B0F552" w14:textId="728ADF6F" w:rsidR="00C555AB" w:rsidRDefault="006522F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two classes of preferential</w:t>
      </w:r>
      <w:r w:rsidR="00C555AB">
        <w:rPr>
          <w:rFonts w:ascii="Arial" w:hAnsi="Arial" w:cs="Arial"/>
          <w:color w:val="7B7B7B" w:themeColor="accent3" w:themeShade="BF"/>
          <w:sz w:val="22"/>
          <w:szCs w:val="22"/>
          <w:lang w:val="en-GB"/>
        </w:rPr>
        <w:t xml:space="preserve"> debts, ordinary and secondary, with ordinary preferential debts being paid before secondary. Preferential debts rank equally amongst themselves in their respective classes. </w:t>
      </w:r>
      <w:r w:rsidR="00471799">
        <w:rPr>
          <w:rFonts w:ascii="Arial" w:hAnsi="Arial" w:cs="Arial"/>
          <w:color w:val="7B7B7B" w:themeColor="accent3" w:themeShade="BF"/>
          <w:sz w:val="22"/>
          <w:szCs w:val="22"/>
          <w:lang w:val="en-GB"/>
        </w:rPr>
        <w:t>Schedule</w:t>
      </w:r>
      <w:r w:rsidR="00C555AB">
        <w:rPr>
          <w:rFonts w:ascii="Arial" w:hAnsi="Arial" w:cs="Arial"/>
          <w:color w:val="7B7B7B" w:themeColor="accent3" w:themeShade="BF"/>
          <w:sz w:val="22"/>
          <w:szCs w:val="22"/>
          <w:lang w:val="en-GB"/>
        </w:rPr>
        <w:t xml:space="preserve"> 6 of the Insolvency Act sets out the various types of </w:t>
      </w:r>
      <w:r w:rsidR="00471799">
        <w:rPr>
          <w:rFonts w:ascii="Arial" w:hAnsi="Arial" w:cs="Arial"/>
          <w:color w:val="7B7B7B" w:themeColor="accent3" w:themeShade="BF"/>
          <w:sz w:val="22"/>
          <w:szCs w:val="22"/>
          <w:lang w:val="en-GB"/>
        </w:rPr>
        <w:t>preferential</w:t>
      </w:r>
      <w:r w:rsidR="00C555AB">
        <w:rPr>
          <w:rFonts w:ascii="Arial" w:hAnsi="Arial" w:cs="Arial"/>
          <w:color w:val="7B7B7B" w:themeColor="accent3" w:themeShade="BF"/>
          <w:sz w:val="22"/>
          <w:szCs w:val="22"/>
          <w:lang w:val="en-GB"/>
        </w:rPr>
        <w:t xml:space="preserve"> debt, which include any sum owed on account on an employee's contribution to an occupational pension scheme and any amounts owing by the company by way of accrued holiday remuneration in respect of any period of </w:t>
      </w:r>
      <w:r w:rsidR="00471799">
        <w:rPr>
          <w:rFonts w:ascii="Arial" w:hAnsi="Arial" w:cs="Arial"/>
          <w:color w:val="7B7B7B" w:themeColor="accent3" w:themeShade="BF"/>
          <w:sz w:val="22"/>
          <w:szCs w:val="22"/>
          <w:lang w:val="en-GB"/>
        </w:rPr>
        <w:t>employment</w:t>
      </w:r>
      <w:r w:rsidR="00C555AB">
        <w:rPr>
          <w:rFonts w:ascii="Arial" w:hAnsi="Arial" w:cs="Arial"/>
          <w:color w:val="7B7B7B" w:themeColor="accent3" w:themeShade="BF"/>
          <w:sz w:val="22"/>
          <w:szCs w:val="22"/>
          <w:lang w:val="en-GB"/>
        </w:rPr>
        <w:t xml:space="preserve"> before the winding up. </w:t>
      </w:r>
    </w:p>
    <w:p w14:paraId="74CCE4C7" w14:textId="77777777" w:rsidR="00C555AB" w:rsidRDefault="00C555AB" w:rsidP="00FF5098">
      <w:pPr>
        <w:jc w:val="both"/>
        <w:rPr>
          <w:rFonts w:ascii="Arial" w:hAnsi="Arial" w:cs="Arial"/>
          <w:color w:val="7B7B7B" w:themeColor="accent3" w:themeShade="BF"/>
          <w:sz w:val="22"/>
          <w:szCs w:val="22"/>
          <w:lang w:val="en-GB"/>
        </w:rPr>
      </w:pPr>
    </w:p>
    <w:p w14:paraId="614CFDF4" w14:textId="798E3C3A" w:rsidR="00C555AB" w:rsidRDefault="00C555A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recent years, a number of additional </w:t>
      </w:r>
      <w:r w:rsidR="00471799">
        <w:rPr>
          <w:rFonts w:ascii="Arial" w:hAnsi="Arial" w:cs="Arial"/>
          <w:color w:val="7B7B7B" w:themeColor="accent3" w:themeShade="BF"/>
          <w:sz w:val="22"/>
          <w:szCs w:val="22"/>
          <w:lang w:val="en-GB"/>
        </w:rPr>
        <w:t>preferential</w:t>
      </w:r>
      <w:r>
        <w:rPr>
          <w:rFonts w:ascii="Arial" w:hAnsi="Arial" w:cs="Arial"/>
          <w:color w:val="7B7B7B" w:themeColor="accent3" w:themeShade="BF"/>
          <w:sz w:val="22"/>
          <w:szCs w:val="22"/>
          <w:lang w:val="en-GB"/>
        </w:rPr>
        <w:t xml:space="preserve"> debts have been added to the regime which relate to payments which may have been made to those with </w:t>
      </w:r>
      <w:r w:rsidR="00471799">
        <w:rPr>
          <w:rFonts w:ascii="Arial" w:hAnsi="Arial" w:cs="Arial"/>
          <w:color w:val="7B7B7B" w:themeColor="accent3" w:themeShade="BF"/>
          <w:sz w:val="22"/>
          <w:szCs w:val="22"/>
          <w:lang w:val="en-GB"/>
        </w:rPr>
        <w:t>deposits</w:t>
      </w:r>
      <w:r>
        <w:rPr>
          <w:rFonts w:ascii="Arial" w:hAnsi="Arial" w:cs="Arial"/>
          <w:color w:val="7B7B7B" w:themeColor="accent3" w:themeShade="BF"/>
          <w:sz w:val="22"/>
          <w:szCs w:val="22"/>
          <w:lang w:val="en-GB"/>
        </w:rPr>
        <w:t xml:space="preserve"> and where the financial institution </w:t>
      </w:r>
      <w:r w:rsidR="00471799">
        <w:rPr>
          <w:rFonts w:ascii="Arial" w:hAnsi="Arial" w:cs="Arial"/>
          <w:color w:val="7B7B7B" w:themeColor="accent3" w:themeShade="BF"/>
          <w:sz w:val="22"/>
          <w:szCs w:val="22"/>
          <w:lang w:val="en-GB"/>
        </w:rPr>
        <w:t>holdings</w:t>
      </w:r>
      <w:r>
        <w:rPr>
          <w:rFonts w:ascii="Arial" w:hAnsi="Arial" w:cs="Arial"/>
          <w:color w:val="7B7B7B" w:themeColor="accent3" w:themeShade="BF"/>
          <w:sz w:val="22"/>
          <w:szCs w:val="22"/>
          <w:lang w:val="en-GB"/>
        </w:rPr>
        <w:t xml:space="preserve"> those deposits has become </w:t>
      </w:r>
      <w:r w:rsidR="00471799">
        <w:rPr>
          <w:rFonts w:ascii="Arial" w:hAnsi="Arial" w:cs="Arial"/>
          <w:color w:val="7B7B7B" w:themeColor="accent3" w:themeShade="BF"/>
          <w:sz w:val="22"/>
          <w:szCs w:val="22"/>
          <w:lang w:val="en-GB"/>
        </w:rPr>
        <w:t>insolvent</w:t>
      </w:r>
      <w:r>
        <w:rPr>
          <w:rFonts w:ascii="Arial" w:hAnsi="Arial" w:cs="Arial"/>
          <w:color w:val="7B7B7B" w:themeColor="accent3" w:themeShade="BF"/>
          <w:sz w:val="22"/>
          <w:szCs w:val="22"/>
          <w:lang w:val="en-GB"/>
        </w:rPr>
        <w:t xml:space="preserve"> and </w:t>
      </w:r>
      <w:r w:rsidR="00471799">
        <w:rPr>
          <w:rFonts w:ascii="Arial" w:hAnsi="Arial" w:cs="Arial"/>
          <w:color w:val="7B7B7B" w:themeColor="accent3" w:themeShade="BF"/>
          <w:sz w:val="22"/>
          <w:szCs w:val="22"/>
          <w:lang w:val="en-GB"/>
        </w:rPr>
        <w:t>compensation</w:t>
      </w:r>
      <w:r>
        <w:rPr>
          <w:rFonts w:ascii="Arial" w:hAnsi="Arial" w:cs="Arial"/>
          <w:color w:val="7B7B7B" w:themeColor="accent3" w:themeShade="BF"/>
          <w:sz w:val="22"/>
          <w:szCs w:val="22"/>
          <w:lang w:val="en-GB"/>
        </w:rPr>
        <w:t xml:space="preserve"> payments have been made by the Financial Services Compensation Scheme to those </w:t>
      </w:r>
      <w:r w:rsidR="00471799">
        <w:rPr>
          <w:rFonts w:ascii="Arial" w:hAnsi="Arial" w:cs="Arial"/>
          <w:color w:val="7B7B7B" w:themeColor="accent3" w:themeShade="BF"/>
          <w:sz w:val="22"/>
          <w:szCs w:val="22"/>
          <w:lang w:val="en-GB"/>
        </w:rPr>
        <w:t>depositors. Certain</w:t>
      </w:r>
      <w:r>
        <w:rPr>
          <w:rFonts w:ascii="Arial" w:hAnsi="Arial" w:cs="Arial"/>
          <w:color w:val="7B7B7B" w:themeColor="accent3" w:themeShade="BF"/>
          <w:sz w:val="22"/>
          <w:szCs w:val="22"/>
          <w:lang w:val="en-GB"/>
        </w:rPr>
        <w:t xml:space="preserve"> of these debts are </w:t>
      </w:r>
      <w:r w:rsidR="00471799">
        <w:rPr>
          <w:rFonts w:ascii="Arial" w:hAnsi="Arial" w:cs="Arial"/>
          <w:color w:val="7B7B7B" w:themeColor="accent3" w:themeShade="BF"/>
          <w:sz w:val="22"/>
          <w:szCs w:val="22"/>
          <w:lang w:val="en-GB"/>
        </w:rPr>
        <w:t>defined</w:t>
      </w:r>
      <w:r>
        <w:rPr>
          <w:rFonts w:ascii="Arial" w:hAnsi="Arial" w:cs="Arial"/>
          <w:color w:val="7B7B7B" w:themeColor="accent3" w:themeShade="BF"/>
          <w:sz w:val="22"/>
          <w:szCs w:val="22"/>
          <w:lang w:val="en-GB"/>
        </w:rPr>
        <w:t xml:space="preserve"> as secondary preferential debts under section 386 of the Act and are paid after "ordinary" preferential debts. </w:t>
      </w:r>
    </w:p>
    <w:p w14:paraId="6B385467" w14:textId="3B0F648D" w:rsidR="00C555AB" w:rsidRDefault="00C555AB" w:rsidP="00FF5098">
      <w:pPr>
        <w:jc w:val="both"/>
        <w:rPr>
          <w:rFonts w:ascii="Arial" w:hAnsi="Arial" w:cs="Arial"/>
          <w:color w:val="7B7B7B" w:themeColor="accent3" w:themeShade="BF"/>
          <w:sz w:val="22"/>
          <w:szCs w:val="22"/>
          <w:lang w:val="en-GB"/>
        </w:rPr>
      </w:pPr>
    </w:p>
    <w:p w14:paraId="589153A2" w14:textId="4C8112D7" w:rsidR="00C555AB" w:rsidRDefault="00C555A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preferential creditors have been paid, floating charge holders will be paid. If there is more than one floating charge holder, </w:t>
      </w:r>
      <w:r w:rsidR="00471799">
        <w:rPr>
          <w:rFonts w:ascii="Arial" w:hAnsi="Arial" w:cs="Arial"/>
          <w:color w:val="7B7B7B" w:themeColor="accent3" w:themeShade="BF"/>
          <w:sz w:val="22"/>
          <w:szCs w:val="22"/>
          <w:lang w:val="en-GB"/>
        </w:rPr>
        <w:t>priority</w:t>
      </w:r>
      <w:r>
        <w:rPr>
          <w:rFonts w:ascii="Arial" w:hAnsi="Arial" w:cs="Arial"/>
          <w:color w:val="7B7B7B" w:themeColor="accent3" w:themeShade="BF"/>
          <w:sz w:val="22"/>
          <w:szCs w:val="22"/>
          <w:lang w:val="en-GB"/>
        </w:rPr>
        <w:t xml:space="preserve"> between them usua</w:t>
      </w:r>
      <w:r w:rsidR="00642528">
        <w:rPr>
          <w:rFonts w:ascii="Arial" w:hAnsi="Arial" w:cs="Arial"/>
          <w:color w:val="7B7B7B" w:themeColor="accent3" w:themeShade="BF"/>
          <w:sz w:val="22"/>
          <w:szCs w:val="22"/>
          <w:lang w:val="en-GB"/>
        </w:rPr>
        <w:t>lly</w:t>
      </w:r>
      <w:r>
        <w:rPr>
          <w:rFonts w:ascii="Arial" w:hAnsi="Arial" w:cs="Arial"/>
          <w:color w:val="7B7B7B" w:themeColor="accent3" w:themeShade="BF"/>
          <w:sz w:val="22"/>
          <w:szCs w:val="22"/>
          <w:lang w:val="en-GB"/>
        </w:rPr>
        <w:t xml:space="preserve"> turns upon which charge was created first. The liquidator is under a duty to make a prescribed part of company's net property available for the satisfaction of unsecured debts and must not distribute any of this prescribed part to a floating charge holder except insofar as it is in excess of the amount required to satisfy all the unsecured debts. </w:t>
      </w:r>
    </w:p>
    <w:p w14:paraId="53FD5B1C" w14:textId="0F0C2DFD" w:rsidR="006522F3" w:rsidRDefault="00C555A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15538D2" w14:textId="5D04A446" w:rsidR="00837D19" w:rsidRDefault="0047179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with no security – i.e. unsecured creditors – are paid out last in the statutory order. These will com</w:t>
      </w:r>
      <w:r w:rsidR="00837D19">
        <w:rPr>
          <w:rFonts w:ascii="Arial" w:hAnsi="Arial" w:cs="Arial"/>
          <w:color w:val="7B7B7B" w:themeColor="accent3" w:themeShade="BF"/>
          <w:sz w:val="22"/>
          <w:szCs w:val="22"/>
          <w:lang w:val="en-GB"/>
        </w:rPr>
        <w:t>monly be ordinary trade suppliers and taxation liabilities which are not preferential.</w:t>
      </w:r>
      <w:r w:rsidR="00EC3AD0">
        <w:rPr>
          <w:rFonts w:ascii="Arial" w:hAnsi="Arial" w:cs="Arial"/>
          <w:color w:val="7B7B7B" w:themeColor="accent3" w:themeShade="BF"/>
          <w:sz w:val="22"/>
          <w:szCs w:val="22"/>
          <w:lang w:val="en-GB"/>
        </w:rPr>
        <w:t xml:space="preserve"> Often, once the expense</w:t>
      </w:r>
      <w:r w:rsidR="00642528">
        <w:rPr>
          <w:rFonts w:ascii="Arial" w:hAnsi="Arial" w:cs="Arial"/>
          <w:color w:val="7B7B7B" w:themeColor="accent3" w:themeShade="BF"/>
          <w:sz w:val="22"/>
          <w:szCs w:val="22"/>
          <w:lang w:val="en-GB"/>
        </w:rPr>
        <w:t>s</w:t>
      </w:r>
      <w:r w:rsidR="00EC3AD0">
        <w:rPr>
          <w:rFonts w:ascii="Arial" w:hAnsi="Arial" w:cs="Arial"/>
          <w:color w:val="7B7B7B" w:themeColor="accent3" w:themeShade="BF"/>
          <w:sz w:val="22"/>
          <w:szCs w:val="22"/>
          <w:lang w:val="en-GB"/>
        </w:rPr>
        <w:t xml:space="preserve"> of the liquidation have been paid and distributions have been made to secured and preferential creditors, there is little or nothing left to pay to unsecured creditors. </w:t>
      </w:r>
    </w:p>
    <w:p w14:paraId="1A2BA806" w14:textId="0B7FAE82" w:rsidR="00837D19" w:rsidRDefault="00837D19" w:rsidP="00FF5098">
      <w:pPr>
        <w:jc w:val="both"/>
        <w:rPr>
          <w:rFonts w:ascii="Arial" w:hAnsi="Arial" w:cs="Arial"/>
          <w:color w:val="7B7B7B" w:themeColor="accent3" w:themeShade="BF"/>
          <w:sz w:val="22"/>
          <w:szCs w:val="22"/>
          <w:lang w:val="en-GB"/>
        </w:rPr>
      </w:pPr>
    </w:p>
    <w:p w14:paraId="3C565AD0" w14:textId="455D6DF2" w:rsidR="00837D19" w:rsidRDefault="00EC3AD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if</w:t>
      </w:r>
      <w:r w:rsidR="00837D19">
        <w:rPr>
          <w:rFonts w:ascii="Arial" w:hAnsi="Arial" w:cs="Arial"/>
          <w:color w:val="7B7B7B" w:themeColor="accent3" w:themeShade="BF"/>
          <w:sz w:val="22"/>
          <w:szCs w:val="22"/>
          <w:lang w:val="en-GB"/>
        </w:rPr>
        <w:t xml:space="preserve"> the company is found ultimately to be solvent in that there is a surplus </w:t>
      </w:r>
      <w:r w:rsidR="00654254">
        <w:rPr>
          <w:rFonts w:ascii="Arial" w:hAnsi="Arial" w:cs="Arial"/>
          <w:color w:val="7B7B7B" w:themeColor="accent3" w:themeShade="BF"/>
          <w:sz w:val="22"/>
          <w:szCs w:val="22"/>
          <w:lang w:val="en-GB"/>
        </w:rPr>
        <w:t>after payment of all its liabilities, that surplus will be returned to the members according to their rights u</w:t>
      </w:r>
      <w:r>
        <w:rPr>
          <w:rFonts w:ascii="Arial" w:hAnsi="Arial" w:cs="Arial"/>
          <w:color w:val="7B7B7B" w:themeColor="accent3" w:themeShade="BF"/>
          <w:sz w:val="22"/>
          <w:szCs w:val="22"/>
          <w:lang w:val="en-GB"/>
        </w:rPr>
        <w:t xml:space="preserve">nder the company's constitution, which will normally permit a distribution pro rata the shareholders' respective shareholdings. </w:t>
      </w:r>
    </w:p>
    <w:p w14:paraId="31C6D4BB" w14:textId="4D3AEC4C" w:rsidR="00A042D0" w:rsidRDefault="00A042D0" w:rsidP="00FF5098">
      <w:pPr>
        <w:jc w:val="both"/>
        <w:rPr>
          <w:rFonts w:ascii="Arial" w:hAnsi="Arial" w:cs="Arial"/>
          <w:color w:val="7B7B7B" w:themeColor="accent3" w:themeShade="BF"/>
          <w:sz w:val="22"/>
          <w:szCs w:val="22"/>
          <w:lang w:val="en-GB"/>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CE3EE50" w14:textId="4ABF7C94" w:rsidR="00540146" w:rsidRDefault="0054014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possibilities open to the liquidator to challenge the floating charge. </w:t>
      </w:r>
    </w:p>
    <w:p w14:paraId="4BAB1197" w14:textId="77777777" w:rsidR="00540146" w:rsidRDefault="00540146" w:rsidP="00FF5098">
      <w:pPr>
        <w:jc w:val="both"/>
        <w:rPr>
          <w:rFonts w:ascii="Arial" w:hAnsi="Arial" w:cs="Arial"/>
          <w:color w:val="7B7B7B" w:themeColor="accent3" w:themeShade="BF"/>
          <w:sz w:val="22"/>
          <w:szCs w:val="22"/>
          <w:lang w:val="en-GB"/>
        </w:rPr>
      </w:pPr>
    </w:p>
    <w:p w14:paraId="3D73847A" w14:textId="1385D93E" w:rsidR="00540146" w:rsidRDefault="00DB1C01" w:rsidP="005401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floating charge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(the "</w:t>
      </w:r>
      <w:r w:rsidRPr="00642528">
        <w:rPr>
          <w:rFonts w:ascii="Arial" w:hAnsi="Arial" w:cs="Arial"/>
          <w:b/>
          <w:color w:val="7B7B7B" w:themeColor="accent3" w:themeShade="BF"/>
          <w:sz w:val="22"/>
          <w:szCs w:val="22"/>
          <w:lang w:val="en-GB"/>
        </w:rPr>
        <w:t>Bank</w:t>
      </w:r>
      <w:r>
        <w:rPr>
          <w:rFonts w:ascii="Arial" w:hAnsi="Arial" w:cs="Arial"/>
          <w:color w:val="7B7B7B" w:themeColor="accent3" w:themeShade="BF"/>
          <w:sz w:val="22"/>
          <w:szCs w:val="22"/>
          <w:lang w:val="en-GB"/>
        </w:rPr>
        <w:t xml:space="preserve">") was granted in February 2021, eight months before the creditors' winding up petition was issued. </w:t>
      </w:r>
      <w:r w:rsidR="00540146">
        <w:rPr>
          <w:rFonts w:ascii="Arial" w:hAnsi="Arial" w:cs="Arial"/>
          <w:color w:val="7B7B7B" w:themeColor="accent3" w:themeShade="BF"/>
          <w:sz w:val="22"/>
          <w:szCs w:val="22"/>
          <w:lang w:val="en-GB"/>
        </w:rPr>
        <w:t>Liquidation</w:t>
      </w:r>
      <w:r>
        <w:rPr>
          <w:rFonts w:ascii="Arial" w:hAnsi="Arial" w:cs="Arial"/>
          <w:color w:val="7B7B7B" w:themeColor="accent3" w:themeShade="BF"/>
          <w:sz w:val="22"/>
          <w:szCs w:val="22"/>
          <w:lang w:val="en-GB"/>
        </w:rPr>
        <w:t xml:space="preserve"> is deemed </w:t>
      </w:r>
      <w:r w:rsidR="00540146">
        <w:rPr>
          <w:rFonts w:ascii="Arial" w:hAnsi="Arial" w:cs="Arial"/>
          <w:color w:val="7B7B7B" w:themeColor="accent3" w:themeShade="BF"/>
          <w:sz w:val="22"/>
          <w:szCs w:val="22"/>
          <w:lang w:val="en-GB"/>
        </w:rPr>
        <w:t>to have commenced at that date of the petition, no</w:t>
      </w:r>
      <w:r w:rsidR="00642528">
        <w:rPr>
          <w:rFonts w:ascii="Arial" w:hAnsi="Arial" w:cs="Arial"/>
          <w:color w:val="7B7B7B" w:themeColor="accent3" w:themeShade="BF"/>
          <w:sz w:val="22"/>
          <w:szCs w:val="22"/>
          <w:lang w:val="en-GB"/>
        </w:rPr>
        <w:t>t</w:t>
      </w:r>
      <w:r w:rsidR="00540146">
        <w:rPr>
          <w:rFonts w:ascii="Arial" w:hAnsi="Arial" w:cs="Arial"/>
          <w:color w:val="7B7B7B" w:themeColor="accent3" w:themeShade="BF"/>
          <w:sz w:val="22"/>
          <w:szCs w:val="22"/>
          <w:lang w:val="en-GB"/>
        </w:rPr>
        <w:t xml:space="preserve"> the date of the winding up order (Section 129 of the Insolvency</w:t>
      </w:r>
      <w:r w:rsidR="00642528">
        <w:rPr>
          <w:rFonts w:ascii="Arial" w:hAnsi="Arial" w:cs="Arial"/>
          <w:color w:val="7B7B7B" w:themeColor="accent3" w:themeShade="BF"/>
          <w:sz w:val="22"/>
          <w:szCs w:val="22"/>
          <w:lang w:val="en-GB"/>
        </w:rPr>
        <w:t xml:space="preserve"> Act).</w:t>
      </w:r>
    </w:p>
    <w:p w14:paraId="50EDA5B3" w14:textId="77777777" w:rsidR="00642528" w:rsidRDefault="00642528" w:rsidP="00540146">
      <w:pPr>
        <w:jc w:val="both"/>
        <w:rPr>
          <w:rFonts w:ascii="Arial" w:hAnsi="Arial" w:cs="Arial"/>
          <w:color w:val="7B7B7B" w:themeColor="accent3" w:themeShade="BF"/>
          <w:sz w:val="22"/>
          <w:szCs w:val="22"/>
          <w:lang w:val="en-GB"/>
        </w:rPr>
      </w:pPr>
    </w:p>
    <w:p w14:paraId="5288DD25" w14:textId="3BF87B94" w:rsidR="00540146" w:rsidRDefault="00540146" w:rsidP="005401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239 of the Insolvency Act relates to preferences which may be avoided by the court on the application of the liquidator. The aim of Section 239 is to prevent a company, in the period leading up to entering a formal insolvency procedure, from placing one of its creditors in a better position than the others – for example, by giving security to a creditor who previously only had priority as an unsecured creditor. At first glance, the debenture in favour of the </w:t>
      </w:r>
      <w:r w:rsidR="00642528">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ank granting a floating charge over the whole of the Company's undertaking in the months before the Company entered into insolvency appears to amount to a preference. </w:t>
      </w:r>
    </w:p>
    <w:p w14:paraId="1BF61D69" w14:textId="77777777" w:rsidR="00540146" w:rsidRDefault="00540146" w:rsidP="00540146">
      <w:pPr>
        <w:jc w:val="both"/>
        <w:rPr>
          <w:rFonts w:ascii="Arial" w:hAnsi="Arial" w:cs="Arial"/>
          <w:color w:val="7B7B7B" w:themeColor="accent3" w:themeShade="BF"/>
          <w:sz w:val="22"/>
          <w:szCs w:val="22"/>
          <w:lang w:val="en-GB"/>
        </w:rPr>
      </w:pPr>
    </w:p>
    <w:p w14:paraId="4FFF5546" w14:textId="02DA9B2C" w:rsidR="00540146" w:rsidRDefault="00540146" w:rsidP="005401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succeed on an application under section 239 the liquidator must show that:</w:t>
      </w:r>
    </w:p>
    <w:p w14:paraId="6EB9D28F" w14:textId="5E0140A3" w:rsidR="00540146" w:rsidRDefault="00540146" w:rsidP="00540146">
      <w:pPr>
        <w:jc w:val="both"/>
        <w:rPr>
          <w:rFonts w:ascii="Arial" w:hAnsi="Arial" w:cs="Arial"/>
          <w:color w:val="7B7B7B" w:themeColor="accent3" w:themeShade="BF"/>
          <w:sz w:val="22"/>
          <w:szCs w:val="22"/>
          <w:lang w:val="en-GB"/>
        </w:rPr>
      </w:pPr>
    </w:p>
    <w:p w14:paraId="71198E3F" w14:textId="392132CB" w:rsidR="00540146" w:rsidRDefault="00540146" w:rsidP="00540146">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person who was allegedly </w:t>
      </w:r>
      <w:r w:rsidR="00642528">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referred was a creditor of the company at the time of the transaction;</w:t>
      </w:r>
    </w:p>
    <w:p w14:paraId="17629839" w14:textId="03C0468B" w:rsidR="00540146" w:rsidRDefault="00540146" w:rsidP="00540146">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Something was done by the company which had the effect of putting that person in a better position than he/she would have been in the event of the company going into insolvent liquidation; </w:t>
      </w:r>
    </w:p>
    <w:p w14:paraId="025EFD18" w14:textId="794D761E" w:rsidR="00540146" w:rsidRDefault="00540146" w:rsidP="00540146">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56547">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 xml:space="preserve"> was </w:t>
      </w:r>
      <w:r w:rsidR="00656547">
        <w:rPr>
          <w:rFonts w:ascii="Arial" w:hAnsi="Arial" w:cs="Arial"/>
          <w:color w:val="7B7B7B" w:themeColor="accent3" w:themeShade="BF"/>
          <w:sz w:val="22"/>
          <w:szCs w:val="22"/>
          <w:lang w:val="en-GB"/>
        </w:rPr>
        <w:t>influenced</w:t>
      </w:r>
      <w:r>
        <w:rPr>
          <w:rFonts w:ascii="Arial" w:hAnsi="Arial" w:cs="Arial"/>
          <w:color w:val="7B7B7B" w:themeColor="accent3" w:themeShade="BF"/>
          <w:sz w:val="22"/>
          <w:szCs w:val="22"/>
          <w:lang w:val="en-GB"/>
        </w:rPr>
        <w:t xml:space="preserve"> by a desire to produce the effect at 2) above </w:t>
      </w:r>
      <w:r w:rsidR="00D829A1">
        <w:rPr>
          <w:rFonts w:ascii="Arial" w:hAnsi="Arial" w:cs="Arial"/>
          <w:color w:val="7B7B7B" w:themeColor="accent3" w:themeShade="BF"/>
          <w:sz w:val="22"/>
          <w:szCs w:val="22"/>
          <w:lang w:val="en-GB"/>
        </w:rPr>
        <w:t>(i.e. a desire to prefer); and</w:t>
      </w:r>
    </w:p>
    <w:p w14:paraId="292405B1" w14:textId="7735675C" w:rsidR="00D829A1" w:rsidRDefault="00D829A1" w:rsidP="00540146">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preference was given at a relevant time.</w:t>
      </w:r>
    </w:p>
    <w:p w14:paraId="56CB329A" w14:textId="1B1EB5D0" w:rsidR="00D829A1" w:rsidRDefault="00D829A1" w:rsidP="00D829A1">
      <w:pPr>
        <w:jc w:val="both"/>
        <w:rPr>
          <w:rFonts w:ascii="Arial" w:hAnsi="Arial" w:cs="Arial"/>
          <w:color w:val="7B7B7B" w:themeColor="accent3" w:themeShade="BF"/>
          <w:sz w:val="22"/>
          <w:szCs w:val="22"/>
          <w:lang w:val="en-GB"/>
        </w:rPr>
      </w:pPr>
    </w:p>
    <w:p w14:paraId="0431AE0E" w14:textId="5165FD09" w:rsidR="00D829A1" w:rsidRDefault="00D829A1" w:rsidP="00D829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it would appear that the present situation meets these requirements, there are two important </w:t>
      </w:r>
      <w:r w:rsidR="00656547">
        <w:rPr>
          <w:rFonts w:ascii="Arial" w:hAnsi="Arial" w:cs="Arial"/>
          <w:color w:val="7B7B7B" w:themeColor="accent3" w:themeShade="BF"/>
          <w:sz w:val="22"/>
          <w:szCs w:val="22"/>
          <w:lang w:val="en-GB"/>
        </w:rPr>
        <w:t>factors</w:t>
      </w:r>
      <w:r>
        <w:rPr>
          <w:rFonts w:ascii="Arial" w:hAnsi="Arial" w:cs="Arial"/>
          <w:color w:val="7B7B7B" w:themeColor="accent3" w:themeShade="BF"/>
          <w:sz w:val="22"/>
          <w:szCs w:val="22"/>
          <w:lang w:val="en-GB"/>
        </w:rPr>
        <w:t xml:space="preserve"> to bear in mind. First, the timing of the </w:t>
      </w:r>
      <w:r w:rsidR="00656547">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t>
      </w:r>
      <w:r w:rsidR="00656547">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w:t>
      </w:r>
      <w:r w:rsidR="00656547">
        <w:rPr>
          <w:rFonts w:ascii="Arial" w:hAnsi="Arial" w:cs="Arial"/>
          <w:color w:val="7B7B7B" w:themeColor="accent3" w:themeShade="BF"/>
          <w:sz w:val="22"/>
          <w:szCs w:val="22"/>
          <w:lang w:val="en-GB"/>
        </w:rPr>
        <w:t>relevant</w:t>
      </w:r>
      <w:r>
        <w:rPr>
          <w:rFonts w:ascii="Arial" w:hAnsi="Arial" w:cs="Arial"/>
          <w:color w:val="7B7B7B" w:themeColor="accent3" w:themeShade="BF"/>
          <w:sz w:val="22"/>
          <w:szCs w:val="22"/>
          <w:lang w:val="en-GB"/>
        </w:rPr>
        <w:t xml:space="preserve">. For a preference to be actionable, it must have occurred within the two years prior to the onset of </w:t>
      </w:r>
      <w:r w:rsidR="00656547">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where the </w:t>
      </w:r>
      <w:r w:rsidR="00656547">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t>
      </w:r>
      <w:r w:rsidR="00656547">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in favour of a connected person, or within the six </w:t>
      </w:r>
      <w:r w:rsidR="00656547">
        <w:rPr>
          <w:rFonts w:ascii="Arial" w:hAnsi="Arial" w:cs="Arial"/>
          <w:color w:val="7B7B7B" w:themeColor="accent3" w:themeShade="BF"/>
          <w:sz w:val="22"/>
          <w:szCs w:val="22"/>
          <w:lang w:val="en-GB"/>
        </w:rPr>
        <w:t>months</w:t>
      </w:r>
      <w:r>
        <w:rPr>
          <w:rFonts w:ascii="Arial" w:hAnsi="Arial" w:cs="Arial"/>
          <w:color w:val="7B7B7B" w:themeColor="accent3" w:themeShade="BF"/>
          <w:sz w:val="22"/>
          <w:szCs w:val="22"/>
          <w:lang w:val="en-GB"/>
        </w:rPr>
        <w:t xml:space="preserve"> prior to the onset of </w:t>
      </w:r>
      <w:r w:rsidR="00656547">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where it was in </w:t>
      </w:r>
      <w:r w:rsidR="00656547">
        <w:rPr>
          <w:rFonts w:ascii="Arial" w:hAnsi="Arial" w:cs="Arial"/>
          <w:color w:val="7B7B7B" w:themeColor="accent3" w:themeShade="BF"/>
          <w:sz w:val="22"/>
          <w:szCs w:val="22"/>
          <w:lang w:val="en-GB"/>
        </w:rPr>
        <w:t>favour</w:t>
      </w:r>
      <w:r>
        <w:rPr>
          <w:rFonts w:ascii="Arial" w:hAnsi="Arial" w:cs="Arial"/>
          <w:color w:val="7B7B7B" w:themeColor="accent3" w:themeShade="BF"/>
          <w:sz w:val="22"/>
          <w:szCs w:val="22"/>
          <w:lang w:val="en-GB"/>
        </w:rPr>
        <w:t xml:space="preserve"> of a person not connected to the company. As the Bank is not a connected person, the fact that the prefe</w:t>
      </w:r>
      <w:r w:rsidR="00656547">
        <w:rPr>
          <w:rFonts w:ascii="Arial" w:hAnsi="Arial" w:cs="Arial"/>
          <w:color w:val="7B7B7B" w:themeColor="accent3" w:themeShade="BF"/>
          <w:sz w:val="22"/>
          <w:szCs w:val="22"/>
          <w:lang w:val="en-GB"/>
        </w:rPr>
        <w:t>re</w:t>
      </w:r>
      <w:r>
        <w:rPr>
          <w:rFonts w:ascii="Arial" w:hAnsi="Arial" w:cs="Arial"/>
          <w:color w:val="7B7B7B" w:themeColor="accent3" w:themeShade="BF"/>
          <w:sz w:val="22"/>
          <w:szCs w:val="22"/>
          <w:lang w:val="en-GB"/>
        </w:rPr>
        <w:t>n</w:t>
      </w:r>
      <w:r w:rsidR="00656547">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e </w:t>
      </w:r>
      <w:r w:rsidR="00656547">
        <w:rPr>
          <w:rFonts w:ascii="Arial" w:hAnsi="Arial" w:cs="Arial"/>
          <w:color w:val="7B7B7B" w:themeColor="accent3" w:themeShade="BF"/>
          <w:sz w:val="22"/>
          <w:szCs w:val="22"/>
          <w:lang w:val="en-GB"/>
        </w:rPr>
        <w:t>occurred</w:t>
      </w:r>
      <w:r>
        <w:rPr>
          <w:rFonts w:ascii="Arial" w:hAnsi="Arial" w:cs="Arial"/>
          <w:color w:val="7B7B7B" w:themeColor="accent3" w:themeShade="BF"/>
          <w:sz w:val="22"/>
          <w:szCs w:val="22"/>
          <w:lang w:val="en-GB"/>
        </w:rPr>
        <w:t xml:space="preserve"> earlier than the six months prior to the onset of insolvency means that it is not actionable. </w:t>
      </w:r>
    </w:p>
    <w:p w14:paraId="5BA4F13C" w14:textId="0D0814F6" w:rsidR="00D829A1" w:rsidRDefault="00D829A1" w:rsidP="00D829A1">
      <w:pPr>
        <w:jc w:val="both"/>
        <w:rPr>
          <w:rFonts w:ascii="Arial" w:hAnsi="Arial" w:cs="Arial"/>
          <w:color w:val="7B7B7B" w:themeColor="accent3" w:themeShade="BF"/>
          <w:sz w:val="22"/>
          <w:szCs w:val="22"/>
          <w:lang w:val="en-GB"/>
        </w:rPr>
      </w:pPr>
    </w:p>
    <w:p w14:paraId="0A18CC74" w14:textId="4A5ACE71" w:rsidR="00D829A1" w:rsidRDefault="00656547" w:rsidP="00D829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w:t>
      </w:r>
      <w:r w:rsidR="00D829A1">
        <w:rPr>
          <w:rFonts w:ascii="Arial" w:hAnsi="Arial" w:cs="Arial"/>
          <w:color w:val="7B7B7B" w:themeColor="accent3" w:themeShade="BF"/>
          <w:sz w:val="22"/>
          <w:szCs w:val="22"/>
          <w:lang w:val="en-GB"/>
        </w:rPr>
        <w:t xml:space="preserve">, it </w:t>
      </w:r>
      <w:r>
        <w:rPr>
          <w:rFonts w:ascii="Arial" w:hAnsi="Arial" w:cs="Arial"/>
          <w:color w:val="7B7B7B" w:themeColor="accent3" w:themeShade="BF"/>
          <w:sz w:val="22"/>
          <w:szCs w:val="22"/>
          <w:lang w:val="en-GB"/>
        </w:rPr>
        <w:t>must</w:t>
      </w:r>
      <w:r w:rsidR="00D829A1">
        <w:rPr>
          <w:rFonts w:ascii="Arial" w:hAnsi="Arial" w:cs="Arial"/>
          <w:color w:val="7B7B7B" w:themeColor="accent3" w:themeShade="BF"/>
          <w:sz w:val="22"/>
          <w:szCs w:val="22"/>
          <w:lang w:val="en-GB"/>
        </w:rPr>
        <w:t xml:space="preserve"> be shown that the </w:t>
      </w:r>
      <w:r>
        <w:rPr>
          <w:rFonts w:ascii="Arial" w:hAnsi="Arial" w:cs="Arial"/>
          <w:color w:val="7B7B7B" w:themeColor="accent3" w:themeShade="BF"/>
          <w:sz w:val="22"/>
          <w:szCs w:val="22"/>
          <w:lang w:val="en-GB"/>
        </w:rPr>
        <w:t>Company</w:t>
      </w:r>
      <w:r w:rsidR="00D829A1">
        <w:rPr>
          <w:rFonts w:ascii="Arial" w:hAnsi="Arial" w:cs="Arial"/>
          <w:color w:val="7B7B7B" w:themeColor="accent3" w:themeShade="BF"/>
          <w:sz w:val="22"/>
          <w:szCs w:val="22"/>
          <w:lang w:val="en-GB"/>
        </w:rPr>
        <w:t xml:space="preserve"> was influenced by the desire to prefer the Bank. </w:t>
      </w:r>
      <w:r>
        <w:rPr>
          <w:rFonts w:ascii="Arial" w:hAnsi="Arial" w:cs="Arial"/>
          <w:color w:val="7B7B7B" w:themeColor="accent3" w:themeShade="BF"/>
          <w:sz w:val="22"/>
          <w:szCs w:val="22"/>
          <w:lang w:val="en-GB"/>
        </w:rPr>
        <w:t>Although</w:t>
      </w:r>
      <w:r w:rsidR="00F06D6D">
        <w:rPr>
          <w:rFonts w:ascii="Arial" w:hAnsi="Arial" w:cs="Arial"/>
          <w:color w:val="7B7B7B" w:themeColor="accent3" w:themeShade="BF"/>
          <w:sz w:val="22"/>
          <w:szCs w:val="22"/>
          <w:lang w:val="en-GB"/>
        </w:rPr>
        <w:t xml:space="preserve"> it is said th</w:t>
      </w:r>
      <w:r w:rsidR="00642528">
        <w:rPr>
          <w:rFonts w:ascii="Arial" w:hAnsi="Arial" w:cs="Arial"/>
          <w:color w:val="7B7B7B" w:themeColor="accent3" w:themeShade="BF"/>
          <w:sz w:val="22"/>
          <w:szCs w:val="22"/>
          <w:lang w:val="en-GB"/>
        </w:rPr>
        <w:t>at</w:t>
      </w:r>
      <w:r>
        <w:rPr>
          <w:rFonts w:ascii="Arial" w:hAnsi="Arial" w:cs="Arial"/>
          <w:color w:val="7B7B7B" w:themeColor="accent3" w:themeShade="BF"/>
          <w:sz w:val="22"/>
          <w:szCs w:val="22"/>
          <w:lang w:val="en-GB"/>
        </w:rPr>
        <w:t xml:space="preserve"> </w:t>
      </w:r>
      <w:r w:rsidR="00F06D6D">
        <w:rPr>
          <w:rFonts w:ascii="Arial" w:hAnsi="Arial" w:cs="Arial"/>
          <w:color w:val="7B7B7B" w:themeColor="accent3" w:themeShade="BF"/>
          <w:sz w:val="22"/>
          <w:szCs w:val="22"/>
          <w:lang w:val="en-GB"/>
        </w:rPr>
        <w:t xml:space="preserve">"under pressure </w:t>
      </w:r>
      <w:r>
        <w:rPr>
          <w:rFonts w:ascii="Arial" w:hAnsi="Arial" w:cs="Arial"/>
          <w:color w:val="7B7B7B" w:themeColor="accent3" w:themeShade="BF"/>
          <w:sz w:val="22"/>
          <w:szCs w:val="22"/>
          <w:lang w:val="en-GB"/>
        </w:rPr>
        <w:t>from</w:t>
      </w:r>
      <w:r w:rsidR="00F06D6D">
        <w:rPr>
          <w:rFonts w:ascii="Arial" w:hAnsi="Arial" w:cs="Arial"/>
          <w:color w:val="7B7B7B" w:themeColor="accent3" w:themeShade="BF"/>
          <w:sz w:val="22"/>
          <w:szCs w:val="22"/>
          <w:lang w:val="en-GB"/>
        </w:rPr>
        <w:t xml:space="preserve"> its bank" the Company granted the floating charge, </w:t>
      </w:r>
      <w:r w:rsidR="00642528">
        <w:rPr>
          <w:rFonts w:ascii="Arial" w:hAnsi="Arial" w:cs="Arial"/>
          <w:color w:val="7B7B7B" w:themeColor="accent3" w:themeShade="BF"/>
          <w:sz w:val="22"/>
          <w:szCs w:val="22"/>
          <w:lang w:val="en-GB"/>
        </w:rPr>
        <w:t xml:space="preserve">in </w:t>
      </w:r>
      <w:r w:rsidR="00D829A1">
        <w:rPr>
          <w:rFonts w:ascii="Arial" w:hAnsi="Arial" w:cs="Arial"/>
          <w:color w:val="7B7B7B" w:themeColor="accent3" w:themeShade="BF"/>
          <w:sz w:val="22"/>
          <w:szCs w:val="22"/>
          <w:lang w:val="en-GB"/>
        </w:rPr>
        <w:t xml:space="preserve">the </w:t>
      </w:r>
      <w:r w:rsidR="00F06D6D">
        <w:rPr>
          <w:rFonts w:ascii="Arial" w:hAnsi="Arial" w:cs="Arial"/>
          <w:color w:val="7B7B7B" w:themeColor="accent3" w:themeShade="BF"/>
          <w:sz w:val="22"/>
          <w:szCs w:val="22"/>
          <w:lang w:val="en-GB"/>
        </w:rPr>
        <w:t xml:space="preserve">leading </w:t>
      </w:r>
      <w:r w:rsidR="00642528">
        <w:rPr>
          <w:rFonts w:ascii="Arial" w:hAnsi="Arial" w:cs="Arial"/>
          <w:color w:val="7B7B7B" w:themeColor="accent3" w:themeShade="BF"/>
          <w:sz w:val="22"/>
          <w:szCs w:val="22"/>
          <w:lang w:val="en-GB"/>
        </w:rPr>
        <w:t xml:space="preserve">case of MC Bacon Ltd. the court </w:t>
      </w:r>
      <w:r w:rsidR="00F06D6D">
        <w:rPr>
          <w:rFonts w:ascii="Arial" w:hAnsi="Arial" w:cs="Arial"/>
          <w:color w:val="7B7B7B" w:themeColor="accent3" w:themeShade="BF"/>
          <w:sz w:val="22"/>
          <w:szCs w:val="22"/>
          <w:lang w:val="en-GB"/>
        </w:rPr>
        <w:t xml:space="preserve">held that where a </w:t>
      </w:r>
      <w:r>
        <w:rPr>
          <w:rFonts w:ascii="Arial" w:hAnsi="Arial" w:cs="Arial"/>
          <w:color w:val="7B7B7B" w:themeColor="accent3" w:themeShade="BF"/>
          <w:sz w:val="22"/>
          <w:szCs w:val="22"/>
          <w:lang w:val="en-GB"/>
        </w:rPr>
        <w:t>company</w:t>
      </w:r>
      <w:r w:rsidR="00F06D6D">
        <w:rPr>
          <w:rFonts w:ascii="Arial" w:hAnsi="Arial" w:cs="Arial"/>
          <w:color w:val="7B7B7B" w:themeColor="accent3" w:themeShade="BF"/>
          <w:sz w:val="22"/>
          <w:szCs w:val="22"/>
          <w:lang w:val="en-GB"/>
        </w:rPr>
        <w:t xml:space="preserve"> is entirely </w:t>
      </w:r>
      <w:r>
        <w:rPr>
          <w:rFonts w:ascii="Arial" w:hAnsi="Arial" w:cs="Arial"/>
          <w:color w:val="7B7B7B" w:themeColor="accent3" w:themeShade="BF"/>
          <w:sz w:val="22"/>
          <w:szCs w:val="22"/>
          <w:lang w:val="en-GB"/>
        </w:rPr>
        <w:t>dependent</w:t>
      </w:r>
      <w:r w:rsidR="00F06D6D">
        <w:rPr>
          <w:rFonts w:ascii="Arial" w:hAnsi="Arial" w:cs="Arial"/>
          <w:color w:val="7B7B7B" w:themeColor="accent3" w:themeShade="BF"/>
          <w:sz w:val="22"/>
          <w:szCs w:val="22"/>
          <w:lang w:val="en-GB"/>
        </w:rPr>
        <w:t xml:space="preserve"> u</w:t>
      </w:r>
      <w:r w:rsidR="00642528">
        <w:rPr>
          <w:rFonts w:ascii="Arial" w:hAnsi="Arial" w:cs="Arial"/>
          <w:color w:val="7B7B7B" w:themeColor="accent3" w:themeShade="BF"/>
          <w:sz w:val="22"/>
          <w:szCs w:val="22"/>
          <w:lang w:val="en-GB"/>
        </w:rPr>
        <w:t xml:space="preserve">pon bank support for continued </w:t>
      </w:r>
      <w:r w:rsidR="00F06D6D">
        <w:rPr>
          <w:rFonts w:ascii="Arial" w:hAnsi="Arial" w:cs="Arial"/>
          <w:color w:val="7B7B7B" w:themeColor="accent3" w:themeShade="BF"/>
          <w:sz w:val="22"/>
          <w:szCs w:val="22"/>
          <w:lang w:val="en-GB"/>
        </w:rPr>
        <w:t xml:space="preserve">trading, </w:t>
      </w:r>
      <w:r>
        <w:rPr>
          <w:rFonts w:ascii="Arial" w:hAnsi="Arial" w:cs="Arial"/>
          <w:color w:val="7B7B7B" w:themeColor="accent3" w:themeShade="BF"/>
          <w:sz w:val="22"/>
          <w:szCs w:val="22"/>
          <w:lang w:val="en-GB"/>
        </w:rPr>
        <w:t>such</w:t>
      </w:r>
      <w:r w:rsidR="00F06D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that</w:t>
      </w:r>
      <w:r w:rsidR="00F06D6D">
        <w:rPr>
          <w:rFonts w:ascii="Arial" w:hAnsi="Arial" w:cs="Arial"/>
          <w:color w:val="7B7B7B" w:themeColor="accent3" w:themeShade="BF"/>
          <w:sz w:val="22"/>
          <w:szCs w:val="22"/>
          <w:lang w:val="en-GB"/>
        </w:rPr>
        <w:t xml:space="preserve"> if the </w:t>
      </w:r>
      <w:r>
        <w:rPr>
          <w:rFonts w:ascii="Arial" w:hAnsi="Arial" w:cs="Arial"/>
          <w:color w:val="7B7B7B" w:themeColor="accent3" w:themeShade="BF"/>
          <w:sz w:val="22"/>
          <w:szCs w:val="22"/>
          <w:lang w:val="en-GB"/>
        </w:rPr>
        <w:t>debenture</w:t>
      </w:r>
      <w:r w:rsidR="00F06D6D">
        <w:rPr>
          <w:rFonts w:ascii="Arial" w:hAnsi="Arial" w:cs="Arial"/>
          <w:color w:val="7B7B7B" w:themeColor="accent3" w:themeShade="BF"/>
          <w:sz w:val="22"/>
          <w:szCs w:val="22"/>
          <w:lang w:val="en-GB"/>
        </w:rPr>
        <w:t xml:space="preserve"> were not </w:t>
      </w:r>
      <w:r>
        <w:rPr>
          <w:rFonts w:ascii="Arial" w:hAnsi="Arial" w:cs="Arial"/>
          <w:color w:val="7B7B7B" w:themeColor="accent3" w:themeShade="BF"/>
          <w:sz w:val="22"/>
          <w:szCs w:val="22"/>
          <w:lang w:val="en-GB"/>
        </w:rPr>
        <w:t>granted</w:t>
      </w:r>
      <w:r w:rsidR="00F06D6D">
        <w:rPr>
          <w:rFonts w:ascii="Arial" w:hAnsi="Arial" w:cs="Arial"/>
          <w:color w:val="7B7B7B" w:themeColor="accent3" w:themeShade="BF"/>
          <w:sz w:val="22"/>
          <w:szCs w:val="22"/>
          <w:lang w:val="en-GB"/>
        </w:rPr>
        <w:t xml:space="preserve"> the bank would withdraw its support, and if the ban</w:t>
      </w:r>
      <w:r w:rsidR="00642528">
        <w:rPr>
          <w:rFonts w:ascii="Arial" w:hAnsi="Arial" w:cs="Arial"/>
          <w:color w:val="7B7B7B" w:themeColor="accent3" w:themeShade="BF"/>
          <w:sz w:val="22"/>
          <w:szCs w:val="22"/>
          <w:lang w:val="en-GB"/>
        </w:rPr>
        <w:t>k</w:t>
      </w:r>
      <w:r w:rsidR="00F06D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withdrew</w:t>
      </w:r>
      <w:r w:rsidR="00F06D6D">
        <w:rPr>
          <w:rFonts w:ascii="Arial" w:hAnsi="Arial" w:cs="Arial"/>
          <w:color w:val="7B7B7B" w:themeColor="accent3" w:themeShade="BF"/>
          <w:sz w:val="22"/>
          <w:szCs w:val="22"/>
          <w:lang w:val="en-GB"/>
        </w:rPr>
        <w:t xml:space="preserve"> its support, the company would be forced into immediate liquidation, </w:t>
      </w:r>
      <w:r>
        <w:rPr>
          <w:rFonts w:ascii="Arial" w:hAnsi="Arial" w:cs="Arial"/>
          <w:color w:val="7B7B7B" w:themeColor="accent3" w:themeShade="BF"/>
          <w:sz w:val="22"/>
          <w:szCs w:val="22"/>
          <w:lang w:val="en-GB"/>
        </w:rPr>
        <w:t>the</w:t>
      </w:r>
      <w:r w:rsidR="00F06D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granting</w:t>
      </w:r>
      <w:r w:rsidR="00F06D6D">
        <w:rPr>
          <w:rFonts w:ascii="Arial" w:hAnsi="Arial" w:cs="Arial"/>
          <w:color w:val="7B7B7B" w:themeColor="accent3" w:themeShade="BF"/>
          <w:sz w:val="22"/>
          <w:szCs w:val="22"/>
          <w:lang w:val="en-GB"/>
        </w:rPr>
        <w:t xml:space="preserve"> of the debenture </w:t>
      </w:r>
      <w:r>
        <w:rPr>
          <w:rFonts w:ascii="Arial" w:hAnsi="Arial" w:cs="Arial"/>
          <w:color w:val="7B7B7B" w:themeColor="accent3" w:themeShade="BF"/>
          <w:sz w:val="22"/>
          <w:szCs w:val="22"/>
          <w:lang w:val="en-GB"/>
        </w:rPr>
        <w:t>was</w:t>
      </w:r>
      <w:r w:rsidR="00F06D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motivated</w:t>
      </w:r>
      <w:r w:rsidR="00F06D6D">
        <w:rPr>
          <w:rFonts w:ascii="Arial" w:hAnsi="Arial" w:cs="Arial"/>
          <w:color w:val="7B7B7B" w:themeColor="accent3" w:themeShade="BF"/>
          <w:sz w:val="22"/>
          <w:szCs w:val="22"/>
          <w:lang w:val="en-GB"/>
        </w:rPr>
        <w:t xml:space="preserve"> not by a desire to prefer the </w:t>
      </w:r>
      <w:r>
        <w:rPr>
          <w:rFonts w:ascii="Arial" w:hAnsi="Arial" w:cs="Arial"/>
          <w:color w:val="7B7B7B" w:themeColor="accent3" w:themeShade="BF"/>
          <w:sz w:val="22"/>
          <w:szCs w:val="22"/>
          <w:lang w:val="en-GB"/>
        </w:rPr>
        <w:t>bank</w:t>
      </w:r>
      <w:r w:rsidR="00F06D6D">
        <w:rPr>
          <w:rFonts w:ascii="Arial" w:hAnsi="Arial" w:cs="Arial"/>
          <w:color w:val="7B7B7B" w:themeColor="accent3" w:themeShade="BF"/>
          <w:sz w:val="22"/>
          <w:szCs w:val="22"/>
          <w:lang w:val="en-GB"/>
        </w:rPr>
        <w:t xml:space="preserve"> but by the desire to avoid the calling in of t</w:t>
      </w:r>
      <w:r w:rsidR="00642528">
        <w:rPr>
          <w:rFonts w:ascii="Arial" w:hAnsi="Arial" w:cs="Arial"/>
          <w:color w:val="7B7B7B" w:themeColor="accent3" w:themeShade="BF"/>
          <w:sz w:val="22"/>
          <w:szCs w:val="22"/>
          <w:lang w:val="en-GB"/>
        </w:rPr>
        <w:t>he overdraft</w:t>
      </w:r>
      <w:r w:rsidR="00F06D6D">
        <w:rPr>
          <w:rFonts w:ascii="Arial" w:hAnsi="Arial" w:cs="Arial"/>
          <w:color w:val="7B7B7B" w:themeColor="accent3" w:themeShade="BF"/>
          <w:sz w:val="22"/>
          <w:szCs w:val="22"/>
          <w:lang w:val="en-GB"/>
        </w:rPr>
        <w:t xml:space="preserve"> and the continued trading of the company. The present case seems to be on all fours with MC Bacon, therefore – regardless of the timing issue- the </w:t>
      </w:r>
      <w:r>
        <w:rPr>
          <w:rFonts w:ascii="Arial" w:hAnsi="Arial" w:cs="Arial"/>
          <w:color w:val="7B7B7B" w:themeColor="accent3" w:themeShade="BF"/>
          <w:sz w:val="22"/>
          <w:szCs w:val="22"/>
          <w:lang w:val="en-GB"/>
        </w:rPr>
        <w:t>liquidator</w:t>
      </w:r>
      <w:r w:rsidR="00F06D6D">
        <w:rPr>
          <w:rFonts w:ascii="Arial" w:hAnsi="Arial" w:cs="Arial"/>
          <w:color w:val="7B7B7B" w:themeColor="accent3" w:themeShade="BF"/>
          <w:sz w:val="22"/>
          <w:szCs w:val="22"/>
          <w:lang w:val="en-GB"/>
        </w:rPr>
        <w:t xml:space="preserve"> would find it difficult to </w:t>
      </w:r>
      <w:r>
        <w:rPr>
          <w:rFonts w:ascii="Arial" w:hAnsi="Arial" w:cs="Arial"/>
          <w:color w:val="7B7B7B" w:themeColor="accent3" w:themeShade="BF"/>
          <w:sz w:val="22"/>
          <w:szCs w:val="22"/>
          <w:lang w:val="en-GB"/>
        </w:rPr>
        <w:t>prove</w:t>
      </w:r>
      <w:r w:rsidR="00F06D6D">
        <w:rPr>
          <w:rFonts w:ascii="Arial" w:hAnsi="Arial" w:cs="Arial"/>
          <w:color w:val="7B7B7B" w:themeColor="accent3" w:themeShade="BF"/>
          <w:sz w:val="22"/>
          <w:szCs w:val="22"/>
          <w:lang w:val="en-GB"/>
        </w:rPr>
        <w:t xml:space="preserve"> that the Company has a desire to </w:t>
      </w:r>
      <w:r>
        <w:rPr>
          <w:rFonts w:ascii="Arial" w:hAnsi="Arial" w:cs="Arial"/>
          <w:color w:val="7B7B7B" w:themeColor="accent3" w:themeShade="BF"/>
          <w:sz w:val="22"/>
          <w:szCs w:val="22"/>
          <w:lang w:val="en-GB"/>
        </w:rPr>
        <w:t>prefer</w:t>
      </w:r>
      <w:r w:rsidR="00F06D6D">
        <w:rPr>
          <w:rFonts w:ascii="Arial" w:hAnsi="Arial" w:cs="Arial"/>
          <w:color w:val="7B7B7B" w:themeColor="accent3" w:themeShade="BF"/>
          <w:sz w:val="22"/>
          <w:szCs w:val="22"/>
          <w:lang w:val="en-GB"/>
        </w:rPr>
        <w:t xml:space="preserve"> the Bank. </w:t>
      </w:r>
    </w:p>
    <w:p w14:paraId="26628A69" w14:textId="155EE5D4" w:rsidR="00F06D6D" w:rsidRDefault="00F06D6D" w:rsidP="00D829A1">
      <w:pPr>
        <w:jc w:val="both"/>
        <w:rPr>
          <w:rFonts w:ascii="Arial" w:hAnsi="Arial" w:cs="Arial"/>
          <w:color w:val="7B7B7B" w:themeColor="accent3" w:themeShade="BF"/>
          <w:sz w:val="22"/>
          <w:szCs w:val="22"/>
          <w:lang w:val="en-GB"/>
        </w:rPr>
      </w:pPr>
    </w:p>
    <w:p w14:paraId="74A3C0F1" w14:textId="27D4F0A6" w:rsidR="00F06D6D" w:rsidRDefault="00F06D6D" w:rsidP="00D829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second option open to the liquidator would be under Section 245 of the </w:t>
      </w:r>
      <w:r w:rsidR="00656547">
        <w:rPr>
          <w:rFonts w:ascii="Arial" w:hAnsi="Arial" w:cs="Arial"/>
          <w:color w:val="7B7B7B" w:themeColor="accent3" w:themeShade="BF"/>
          <w:sz w:val="22"/>
          <w:szCs w:val="22"/>
          <w:lang w:val="en-GB"/>
        </w:rPr>
        <w:t xml:space="preserve">Insolvency Act, which only applies to floating charges. Pursuant to this provision, where a company is in liquation pre-existing </w:t>
      </w:r>
      <w:r w:rsidR="00642528">
        <w:rPr>
          <w:rFonts w:ascii="Arial" w:hAnsi="Arial" w:cs="Arial"/>
          <w:color w:val="7B7B7B" w:themeColor="accent3" w:themeShade="BF"/>
          <w:sz w:val="22"/>
          <w:szCs w:val="22"/>
          <w:lang w:val="en-GB"/>
        </w:rPr>
        <w:t>unsecured creditors are prevented</w:t>
      </w:r>
      <w:r w:rsidR="00656547">
        <w:rPr>
          <w:rFonts w:ascii="Arial" w:hAnsi="Arial" w:cs="Arial"/>
          <w:color w:val="7B7B7B" w:themeColor="accent3" w:themeShade="BF"/>
          <w:sz w:val="22"/>
          <w:szCs w:val="22"/>
          <w:lang w:val="en-GB"/>
        </w:rPr>
        <w:t xml:space="preserve"> from obtaining the security of a floating charge shortly before the company enters a formal insolvency procedure.</w:t>
      </w:r>
    </w:p>
    <w:p w14:paraId="7ED7D013" w14:textId="72C4D0EC" w:rsidR="00656547" w:rsidRDefault="00656547" w:rsidP="00D829A1">
      <w:pPr>
        <w:jc w:val="both"/>
        <w:rPr>
          <w:rFonts w:ascii="Arial" w:hAnsi="Arial" w:cs="Arial"/>
          <w:color w:val="7B7B7B" w:themeColor="accent3" w:themeShade="BF"/>
          <w:sz w:val="22"/>
          <w:szCs w:val="22"/>
          <w:lang w:val="en-GB"/>
        </w:rPr>
      </w:pPr>
    </w:p>
    <w:p w14:paraId="038FF1B0" w14:textId="41B9393E" w:rsidR="00656547" w:rsidRPr="00D829A1" w:rsidRDefault="00656547" w:rsidP="00D829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does not prevent lenders who are providing fresh funding to the company from taking a floating charge for that new funding, but rather renders invalid floating charges given by a company at a relevant time, except to the extent that "new" consideration is provided for the charge. Where the person in whose favour the floating charge is granted is </w:t>
      </w:r>
      <w:r w:rsidR="000B6728">
        <w:rPr>
          <w:rFonts w:ascii="Arial" w:hAnsi="Arial" w:cs="Arial"/>
          <w:color w:val="7B7B7B" w:themeColor="accent3" w:themeShade="BF"/>
          <w:sz w:val="22"/>
          <w:szCs w:val="22"/>
          <w:lang w:val="en-GB"/>
        </w:rPr>
        <w:t>connected</w:t>
      </w:r>
      <w:r>
        <w:rPr>
          <w:rFonts w:ascii="Arial" w:hAnsi="Arial" w:cs="Arial"/>
          <w:color w:val="7B7B7B" w:themeColor="accent3" w:themeShade="BF"/>
          <w:sz w:val="22"/>
          <w:szCs w:val="22"/>
          <w:lang w:val="en-GB"/>
        </w:rPr>
        <w:t xml:space="preserve"> with the company, the relevant time is any time within the period of two years prior to the onset of insolvency. Where the person is not connected, the </w:t>
      </w:r>
      <w:r w:rsidR="000B6728">
        <w:rPr>
          <w:rFonts w:ascii="Arial" w:hAnsi="Arial" w:cs="Arial"/>
          <w:color w:val="7B7B7B" w:themeColor="accent3" w:themeShade="BF"/>
          <w:sz w:val="22"/>
          <w:szCs w:val="22"/>
          <w:lang w:val="en-GB"/>
        </w:rPr>
        <w:t>period</w:t>
      </w:r>
      <w:r>
        <w:rPr>
          <w:rFonts w:ascii="Arial" w:hAnsi="Arial" w:cs="Arial"/>
          <w:color w:val="7B7B7B" w:themeColor="accent3" w:themeShade="BF"/>
          <w:sz w:val="22"/>
          <w:szCs w:val="22"/>
          <w:lang w:val="en-GB"/>
        </w:rPr>
        <w:t xml:space="preserve"> </w:t>
      </w:r>
      <w:r w:rsidR="000B6728">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12 months prior to the onset on </w:t>
      </w:r>
      <w:r w:rsidR="000B6728">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It would appear that the floating charge in favour of the Bank </w:t>
      </w:r>
      <w:r w:rsidR="000B6728">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caught by this section, as there is no evidence of "new" </w:t>
      </w:r>
      <w:r w:rsidR="000B6728">
        <w:rPr>
          <w:rFonts w:ascii="Arial" w:hAnsi="Arial" w:cs="Arial"/>
          <w:color w:val="7B7B7B" w:themeColor="accent3" w:themeShade="BF"/>
          <w:sz w:val="22"/>
          <w:szCs w:val="22"/>
          <w:lang w:val="en-GB"/>
        </w:rPr>
        <w:t>consideration</w:t>
      </w:r>
      <w:r>
        <w:rPr>
          <w:rFonts w:ascii="Arial" w:hAnsi="Arial" w:cs="Arial"/>
          <w:color w:val="7B7B7B" w:themeColor="accent3" w:themeShade="BF"/>
          <w:sz w:val="22"/>
          <w:szCs w:val="22"/>
          <w:lang w:val="en-GB"/>
        </w:rPr>
        <w:t xml:space="preserve"> being given for the charge</w:t>
      </w:r>
      <w:r w:rsidR="00E47070">
        <w:rPr>
          <w:rFonts w:ascii="Arial" w:hAnsi="Arial" w:cs="Arial"/>
          <w:color w:val="7B7B7B" w:themeColor="accent3" w:themeShade="BF"/>
          <w:sz w:val="22"/>
          <w:szCs w:val="22"/>
          <w:lang w:val="en-GB"/>
        </w:rPr>
        <w:t xml:space="preserve"> and it occurred at the relevant time</w:t>
      </w:r>
      <w:r>
        <w:rPr>
          <w:rFonts w:ascii="Arial" w:hAnsi="Arial" w:cs="Arial"/>
          <w:color w:val="7B7B7B" w:themeColor="accent3" w:themeShade="BF"/>
          <w:sz w:val="22"/>
          <w:szCs w:val="22"/>
          <w:lang w:val="en-GB"/>
        </w:rPr>
        <w:t xml:space="preserve">. The floating charge is therefore rendered invalid.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7468878A" w:rsidR="00FF5098" w:rsidRDefault="000B672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w:t>
      </w:r>
      <w:r w:rsidR="00186B6C">
        <w:rPr>
          <w:rFonts w:ascii="Arial" w:hAnsi="Arial" w:cs="Arial"/>
          <w:color w:val="7B7B7B" w:themeColor="accent3" w:themeShade="BF"/>
          <w:sz w:val="22"/>
          <w:szCs w:val="22"/>
          <w:lang w:val="en-GB"/>
        </w:rPr>
        <w:t xml:space="preserve"> would appear to be a transaction</w:t>
      </w:r>
      <w:r>
        <w:rPr>
          <w:rFonts w:ascii="Arial" w:hAnsi="Arial" w:cs="Arial"/>
          <w:color w:val="7B7B7B" w:themeColor="accent3" w:themeShade="BF"/>
          <w:sz w:val="22"/>
          <w:szCs w:val="22"/>
          <w:lang w:val="en-GB"/>
        </w:rPr>
        <w:t xml:space="preserve"> at an undervalue which may be attacked by the liquidator (Section 238 of the Insolvency Act). The </w:t>
      </w:r>
      <w:r w:rsidR="00656432">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must show that the company:</w:t>
      </w:r>
    </w:p>
    <w:p w14:paraId="60BB19EF" w14:textId="66457911" w:rsidR="000B6728" w:rsidRDefault="000B6728" w:rsidP="00FF5098">
      <w:pPr>
        <w:jc w:val="both"/>
        <w:rPr>
          <w:rFonts w:ascii="Arial" w:hAnsi="Arial" w:cs="Arial"/>
          <w:color w:val="7B7B7B" w:themeColor="accent3" w:themeShade="BF"/>
          <w:sz w:val="22"/>
          <w:szCs w:val="22"/>
          <w:lang w:val="en-GB"/>
        </w:rPr>
      </w:pPr>
    </w:p>
    <w:p w14:paraId="12425D0A" w14:textId="4EC05316" w:rsidR="000B6728" w:rsidRDefault="000B6728" w:rsidP="000B672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Made a gift to </w:t>
      </w:r>
      <w:r w:rsidR="00656432">
        <w:rPr>
          <w:rFonts w:ascii="Arial" w:hAnsi="Arial" w:cs="Arial"/>
          <w:color w:val="7B7B7B" w:themeColor="accent3" w:themeShade="BF"/>
          <w:sz w:val="22"/>
          <w:szCs w:val="22"/>
          <w:lang w:val="en-GB"/>
        </w:rPr>
        <w:t>another</w:t>
      </w:r>
      <w:r>
        <w:rPr>
          <w:rFonts w:ascii="Arial" w:hAnsi="Arial" w:cs="Arial"/>
          <w:color w:val="7B7B7B" w:themeColor="accent3" w:themeShade="BF"/>
          <w:sz w:val="22"/>
          <w:szCs w:val="22"/>
          <w:lang w:val="en-GB"/>
        </w:rPr>
        <w:t xml:space="preserve"> person, or</w:t>
      </w:r>
    </w:p>
    <w:p w14:paraId="6950F88A" w14:textId="5701B335" w:rsidR="000B6728" w:rsidRDefault="000B6728" w:rsidP="000B672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Entered into a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t>
      </w:r>
      <w:r w:rsidR="00656432">
        <w:rPr>
          <w:rFonts w:ascii="Arial" w:hAnsi="Arial" w:cs="Arial"/>
          <w:color w:val="7B7B7B" w:themeColor="accent3" w:themeShade="BF"/>
          <w:sz w:val="22"/>
          <w:szCs w:val="22"/>
          <w:lang w:val="en-GB"/>
        </w:rPr>
        <w:t>with</w:t>
      </w:r>
      <w:r>
        <w:rPr>
          <w:rFonts w:ascii="Arial" w:hAnsi="Arial" w:cs="Arial"/>
          <w:color w:val="7B7B7B" w:themeColor="accent3" w:themeShade="BF"/>
          <w:sz w:val="22"/>
          <w:szCs w:val="22"/>
          <w:lang w:val="en-GB"/>
        </w:rPr>
        <w:t xml:space="preserve"> </w:t>
      </w:r>
      <w:r w:rsidR="00656432">
        <w:rPr>
          <w:rFonts w:ascii="Arial" w:hAnsi="Arial" w:cs="Arial"/>
          <w:color w:val="7B7B7B" w:themeColor="accent3" w:themeShade="BF"/>
          <w:sz w:val="22"/>
          <w:szCs w:val="22"/>
          <w:lang w:val="en-GB"/>
        </w:rPr>
        <w:t>another</w:t>
      </w:r>
      <w:r>
        <w:rPr>
          <w:rFonts w:ascii="Arial" w:hAnsi="Arial" w:cs="Arial"/>
          <w:color w:val="7B7B7B" w:themeColor="accent3" w:themeShade="BF"/>
          <w:sz w:val="22"/>
          <w:szCs w:val="22"/>
          <w:lang w:val="en-GB"/>
        </w:rPr>
        <w:t xml:space="preserve"> </w:t>
      </w:r>
      <w:r w:rsidR="00656432">
        <w:rPr>
          <w:rFonts w:ascii="Arial" w:hAnsi="Arial" w:cs="Arial"/>
          <w:color w:val="7B7B7B" w:themeColor="accent3" w:themeShade="BF"/>
          <w:sz w:val="22"/>
          <w:szCs w:val="22"/>
          <w:lang w:val="en-GB"/>
        </w:rPr>
        <w:t>person</w:t>
      </w:r>
      <w:r>
        <w:rPr>
          <w:rFonts w:ascii="Arial" w:hAnsi="Arial" w:cs="Arial"/>
          <w:color w:val="7B7B7B" w:themeColor="accent3" w:themeShade="BF"/>
          <w:sz w:val="22"/>
          <w:szCs w:val="22"/>
          <w:lang w:val="en-GB"/>
        </w:rPr>
        <w:t xml:space="preserve"> on terms that provided for the company to receive no </w:t>
      </w:r>
      <w:r w:rsidR="00656432">
        <w:rPr>
          <w:rFonts w:ascii="Arial" w:hAnsi="Arial" w:cs="Arial"/>
          <w:color w:val="7B7B7B" w:themeColor="accent3" w:themeShade="BF"/>
          <w:sz w:val="22"/>
          <w:szCs w:val="22"/>
          <w:lang w:val="en-GB"/>
        </w:rPr>
        <w:t>consideration</w:t>
      </w:r>
      <w:r>
        <w:rPr>
          <w:rFonts w:ascii="Arial" w:hAnsi="Arial" w:cs="Arial"/>
          <w:color w:val="7B7B7B" w:themeColor="accent3" w:themeShade="BF"/>
          <w:sz w:val="22"/>
          <w:szCs w:val="22"/>
          <w:lang w:val="en-GB"/>
        </w:rPr>
        <w:t>, or</w:t>
      </w:r>
    </w:p>
    <w:p w14:paraId="07664BA3" w14:textId="55B044FE" w:rsidR="000B6728" w:rsidRDefault="000B6728" w:rsidP="000B672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Entered into a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with another person for a consideration </w:t>
      </w:r>
      <w:r w:rsidR="00656432">
        <w:rPr>
          <w:rFonts w:ascii="Arial" w:hAnsi="Arial" w:cs="Arial"/>
          <w:color w:val="7B7B7B" w:themeColor="accent3" w:themeShade="BF"/>
          <w:sz w:val="22"/>
          <w:szCs w:val="22"/>
          <w:lang w:val="en-GB"/>
        </w:rPr>
        <w:t>which</w:t>
      </w:r>
      <w:r>
        <w:rPr>
          <w:rFonts w:ascii="Arial" w:hAnsi="Arial" w:cs="Arial"/>
          <w:color w:val="7B7B7B" w:themeColor="accent3" w:themeShade="BF"/>
          <w:sz w:val="22"/>
          <w:szCs w:val="22"/>
          <w:lang w:val="en-GB"/>
        </w:rPr>
        <w:t xml:space="preserve"> was, at the date of the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t>
      </w:r>
      <w:r w:rsidR="00656432">
        <w:rPr>
          <w:rFonts w:ascii="Arial" w:hAnsi="Arial" w:cs="Arial"/>
          <w:color w:val="7B7B7B" w:themeColor="accent3" w:themeShade="BF"/>
          <w:sz w:val="22"/>
          <w:szCs w:val="22"/>
          <w:lang w:val="en-GB"/>
        </w:rPr>
        <w:t>significantly</w:t>
      </w:r>
      <w:r>
        <w:rPr>
          <w:rFonts w:ascii="Arial" w:hAnsi="Arial" w:cs="Arial"/>
          <w:color w:val="7B7B7B" w:themeColor="accent3" w:themeShade="BF"/>
          <w:sz w:val="22"/>
          <w:szCs w:val="22"/>
          <w:lang w:val="en-GB"/>
        </w:rPr>
        <w:t xml:space="preserve"> less that the value of the </w:t>
      </w:r>
      <w:r w:rsidR="00656432">
        <w:rPr>
          <w:rFonts w:ascii="Arial" w:hAnsi="Arial" w:cs="Arial"/>
          <w:color w:val="7B7B7B" w:themeColor="accent3" w:themeShade="BF"/>
          <w:sz w:val="22"/>
          <w:szCs w:val="22"/>
          <w:lang w:val="en-GB"/>
        </w:rPr>
        <w:t>consideration</w:t>
      </w:r>
      <w:r>
        <w:rPr>
          <w:rFonts w:ascii="Arial" w:hAnsi="Arial" w:cs="Arial"/>
          <w:color w:val="7B7B7B" w:themeColor="accent3" w:themeShade="BF"/>
          <w:sz w:val="22"/>
          <w:szCs w:val="22"/>
          <w:lang w:val="en-GB"/>
        </w:rPr>
        <w:t xml:space="preserve"> paid by the company. </w:t>
      </w:r>
    </w:p>
    <w:p w14:paraId="69E56B51" w14:textId="1DCA2913" w:rsidR="000B6728" w:rsidRDefault="000B6728" w:rsidP="000B67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in order to be </w:t>
      </w:r>
      <w:r w:rsidR="00656432">
        <w:rPr>
          <w:rFonts w:ascii="Arial" w:hAnsi="Arial" w:cs="Arial"/>
          <w:color w:val="7B7B7B" w:themeColor="accent3" w:themeShade="BF"/>
          <w:sz w:val="22"/>
          <w:szCs w:val="22"/>
          <w:lang w:val="en-GB"/>
        </w:rPr>
        <w:t xml:space="preserve">attacked </w:t>
      </w:r>
      <w:r>
        <w:rPr>
          <w:rFonts w:ascii="Arial" w:hAnsi="Arial" w:cs="Arial"/>
          <w:color w:val="7B7B7B" w:themeColor="accent3" w:themeShade="BF"/>
          <w:sz w:val="22"/>
          <w:szCs w:val="22"/>
          <w:lang w:val="en-GB"/>
        </w:rPr>
        <w:t xml:space="preserve">the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must have taken </w:t>
      </w:r>
      <w:r w:rsidR="00656432">
        <w:rPr>
          <w:rFonts w:ascii="Arial" w:hAnsi="Arial" w:cs="Arial"/>
          <w:color w:val="7B7B7B" w:themeColor="accent3" w:themeShade="BF"/>
          <w:sz w:val="22"/>
          <w:szCs w:val="22"/>
          <w:lang w:val="en-GB"/>
        </w:rPr>
        <w:t>place</w:t>
      </w:r>
      <w:r>
        <w:rPr>
          <w:rFonts w:ascii="Arial" w:hAnsi="Arial" w:cs="Arial"/>
          <w:color w:val="7B7B7B" w:themeColor="accent3" w:themeShade="BF"/>
          <w:sz w:val="22"/>
          <w:szCs w:val="22"/>
          <w:lang w:val="en-GB"/>
        </w:rPr>
        <w:t xml:space="preserve"> at a relevant time – i.e. within the period of two years prior to the onset of the </w:t>
      </w:r>
      <w:r w:rsidR="00656432">
        <w:rPr>
          <w:rFonts w:ascii="Arial" w:hAnsi="Arial" w:cs="Arial"/>
          <w:color w:val="7B7B7B" w:themeColor="accent3" w:themeShade="BF"/>
          <w:sz w:val="22"/>
          <w:szCs w:val="22"/>
          <w:lang w:val="en-GB"/>
        </w:rPr>
        <w:t>liquidation</w:t>
      </w:r>
      <w:r>
        <w:rPr>
          <w:rFonts w:ascii="Arial" w:hAnsi="Arial" w:cs="Arial"/>
          <w:color w:val="7B7B7B" w:themeColor="accent3" w:themeShade="BF"/>
          <w:sz w:val="22"/>
          <w:szCs w:val="22"/>
          <w:lang w:val="en-GB"/>
        </w:rPr>
        <w:t xml:space="preserve">. </w:t>
      </w:r>
    </w:p>
    <w:p w14:paraId="37DC7B74" w14:textId="2A5C36F6" w:rsidR="000B6728" w:rsidRDefault="000B6728" w:rsidP="000B6728">
      <w:pPr>
        <w:jc w:val="both"/>
        <w:rPr>
          <w:rFonts w:ascii="Arial" w:hAnsi="Arial" w:cs="Arial"/>
          <w:color w:val="7B7B7B" w:themeColor="accent3" w:themeShade="BF"/>
          <w:sz w:val="22"/>
          <w:szCs w:val="22"/>
          <w:lang w:val="en-GB"/>
        </w:rPr>
      </w:pPr>
    </w:p>
    <w:p w14:paraId="2EB545ED" w14:textId="4345F91E" w:rsidR="000B6728" w:rsidRDefault="000B6728" w:rsidP="000B67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 </w:t>
      </w:r>
      <w:r w:rsidR="00656432">
        <w:rPr>
          <w:rFonts w:ascii="Arial" w:hAnsi="Arial" w:cs="Arial"/>
          <w:color w:val="7B7B7B" w:themeColor="accent3" w:themeShade="BF"/>
          <w:sz w:val="22"/>
          <w:szCs w:val="22"/>
          <w:lang w:val="en-GB"/>
        </w:rPr>
        <w:t>prerequisite</w:t>
      </w:r>
      <w:r>
        <w:rPr>
          <w:rFonts w:ascii="Arial" w:hAnsi="Arial" w:cs="Arial"/>
          <w:color w:val="7B7B7B" w:themeColor="accent3" w:themeShade="BF"/>
          <w:sz w:val="22"/>
          <w:szCs w:val="22"/>
          <w:lang w:val="en-GB"/>
        </w:rPr>
        <w:t xml:space="preserve"> that at the </w:t>
      </w:r>
      <w:r w:rsidR="00656432">
        <w:rPr>
          <w:rFonts w:ascii="Arial" w:hAnsi="Arial" w:cs="Arial"/>
          <w:color w:val="7B7B7B" w:themeColor="accent3" w:themeShade="BF"/>
          <w:sz w:val="22"/>
          <w:szCs w:val="22"/>
          <w:lang w:val="en-GB"/>
        </w:rPr>
        <w:t>time of the transaction</w:t>
      </w:r>
      <w:r>
        <w:rPr>
          <w:rFonts w:ascii="Arial" w:hAnsi="Arial" w:cs="Arial"/>
          <w:color w:val="7B7B7B" w:themeColor="accent3" w:themeShade="BF"/>
          <w:sz w:val="22"/>
          <w:szCs w:val="22"/>
          <w:lang w:val="en-GB"/>
        </w:rPr>
        <w:t xml:space="preserve">, the company was either </w:t>
      </w:r>
      <w:r w:rsidR="00656432">
        <w:rPr>
          <w:rFonts w:ascii="Arial" w:hAnsi="Arial" w:cs="Arial"/>
          <w:color w:val="7B7B7B" w:themeColor="accent3" w:themeShade="BF"/>
          <w:sz w:val="22"/>
          <w:szCs w:val="22"/>
          <w:lang w:val="en-GB"/>
        </w:rPr>
        <w:t>unable</w:t>
      </w:r>
      <w:r>
        <w:rPr>
          <w:rFonts w:ascii="Arial" w:hAnsi="Arial" w:cs="Arial"/>
          <w:color w:val="7B7B7B" w:themeColor="accent3" w:themeShade="BF"/>
          <w:sz w:val="22"/>
          <w:szCs w:val="22"/>
          <w:lang w:val="en-GB"/>
        </w:rPr>
        <w:t xml:space="preserve"> to pay its debts as they fell due within the meaning of section 123 of the </w:t>
      </w:r>
      <w:r w:rsidR="00656432">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Act or became unable to pay its debts as a </w:t>
      </w:r>
      <w:r w:rsidR="00656432">
        <w:rPr>
          <w:rFonts w:ascii="Arial" w:hAnsi="Arial" w:cs="Arial"/>
          <w:color w:val="7B7B7B" w:themeColor="accent3" w:themeShade="BF"/>
          <w:sz w:val="22"/>
          <w:szCs w:val="22"/>
          <w:lang w:val="en-GB"/>
        </w:rPr>
        <w:t>consequence</w:t>
      </w:r>
      <w:r>
        <w:rPr>
          <w:rFonts w:ascii="Arial" w:hAnsi="Arial" w:cs="Arial"/>
          <w:color w:val="7B7B7B" w:themeColor="accent3" w:themeShade="BF"/>
          <w:sz w:val="22"/>
          <w:szCs w:val="22"/>
          <w:lang w:val="en-GB"/>
        </w:rPr>
        <w:t xml:space="preserve"> of the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Importantly, in the case of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with a connected person, the company is presumed to have been</w:t>
      </w:r>
      <w:r w:rsidR="00656432">
        <w:rPr>
          <w:rFonts w:ascii="Arial" w:hAnsi="Arial" w:cs="Arial"/>
          <w:color w:val="7B7B7B" w:themeColor="accent3" w:themeShade="BF"/>
          <w:sz w:val="22"/>
          <w:szCs w:val="22"/>
          <w:lang w:val="en-GB"/>
        </w:rPr>
        <w:t xml:space="preserve"> insolvent, or to have become insolvent</w:t>
      </w:r>
      <w:r>
        <w:rPr>
          <w:rFonts w:ascii="Arial" w:hAnsi="Arial" w:cs="Arial"/>
          <w:color w:val="7B7B7B" w:themeColor="accent3" w:themeShade="BF"/>
          <w:sz w:val="22"/>
          <w:szCs w:val="22"/>
          <w:lang w:val="en-GB"/>
        </w:rPr>
        <w:t xml:space="preserve"> as a result of the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unless the contrary is </w:t>
      </w:r>
      <w:r w:rsidR="00656432">
        <w:rPr>
          <w:rFonts w:ascii="Arial" w:hAnsi="Arial" w:cs="Arial"/>
          <w:color w:val="7B7B7B" w:themeColor="accent3" w:themeShade="BF"/>
          <w:sz w:val="22"/>
          <w:szCs w:val="22"/>
          <w:lang w:val="en-GB"/>
        </w:rPr>
        <w:t>proved</w:t>
      </w:r>
      <w:r>
        <w:rPr>
          <w:rFonts w:ascii="Arial" w:hAnsi="Arial" w:cs="Arial"/>
          <w:color w:val="7B7B7B" w:themeColor="accent3" w:themeShade="BF"/>
          <w:sz w:val="22"/>
          <w:szCs w:val="22"/>
          <w:lang w:val="en-GB"/>
        </w:rPr>
        <w:t>.</w:t>
      </w:r>
    </w:p>
    <w:p w14:paraId="2AC2CA74" w14:textId="02035923" w:rsidR="000B6728" w:rsidRDefault="000B6728" w:rsidP="000B6728">
      <w:pPr>
        <w:jc w:val="both"/>
        <w:rPr>
          <w:rFonts w:ascii="Arial" w:hAnsi="Arial" w:cs="Arial"/>
          <w:color w:val="7B7B7B" w:themeColor="accent3" w:themeShade="BF"/>
          <w:sz w:val="22"/>
          <w:szCs w:val="22"/>
          <w:lang w:val="en-GB"/>
        </w:rPr>
      </w:pPr>
    </w:p>
    <w:p w14:paraId="557F44CB" w14:textId="20EFABCF" w:rsidR="000B6728" w:rsidRDefault="004313A2" w:rsidP="000B67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present case, a transaction</w:t>
      </w:r>
      <w:r w:rsidR="000B6728">
        <w:rPr>
          <w:rFonts w:ascii="Arial" w:hAnsi="Arial" w:cs="Arial"/>
          <w:color w:val="7B7B7B" w:themeColor="accent3" w:themeShade="BF"/>
          <w:sz w:val="22"/>
          <w:szCs w:val="22"/>
          <w:lang w:val="en-GB"/>
        </w:rPr>
        <w:t xml:space="preserve"> was made between the Company and another person, Ann Young, fo</w:t>
      </w:r>
      <w:r w:rsidR="00656432">
        <w:rPr>
          <w:rFonts w:ascii="Arial" w:hAnsi="Arial" w:cs="Arial"/>
          <w:color w:val="7B7B7B" w:themeColor="accent3" w:themeShade="BF"/>
          <w:sz w:val="22"/>
          <w:szCs w:val="22"/>
          <w:lang w:val="en-GB"/>
        </w:rPr>
        <w:t>r significantly</w:t>
      </w:r>
      <w:r w:rsidR="000B6728">
        <w:rPr>
          <w:rFonts w:ascii="Arial" w:hAnsi="Arial" w:cs="Arial"/>
          <w:color w:val="7B7B7B" w:themeColor="accent3" w:themeShade="BF"/>
          <w:sz w:val="22"/>
          <w:szCs w:val="22"/>
          <w:lang w:val="en-GB"/>
        </w:rPr>
        <w:t xml:space="preserve"> less value that the roasting </w:t>
      </w:r>
      <w:r w:rsidR="00656432">
        <w:rPr>
          <w:rFonts w:ascii="Arial" w:hAnsi="Arial" w:cs="Arial"/>
          <w:color w:val="7B7B7B" w:themeColor="accent3" w:themeShade="BF"/>
          <w:sz w:val="22"/>
          <w:szCs w:val="22"/>
          <w:lang w:val="en-GB"/>
        </w:rPr>
        <w:t>machines</w:t>
      </w:r>
      <w:r w:rsidR="000B6728">
        <w:rPr>
          <w:rFonts w:ascii="Arial" w:hAnsi="Arial" w:cs="Arial"/>
          <w:color w:val="7B7B7B" w:themeColor="accent3" w:themeShade="BF"/>
          <w:sz w:val="22"/>
          <w:szCs w:val="22"/>
          <w:lang w:val="en-GB"/>
        </w:rPr>
        <w:t xml:space="preserve"> were bought for. The </w:t>
      </w:r>
      <w:r w:rsidR="00656432">
        <w:rPr>
          <w:rFonts w:ascii="Arial" w:hAnsi="Arial" w:cs="Arial"/>
          <w:color w:val="7B7B7B" w:themeColor="accent3" w:themeShade="BF"/>
          <w:sz w:val="22"/>
          <w:szCs w:val="22"/>
          <w:lang w:val="en-GB"/>
        </w:rPr>
        <w:t>transaction</w:t>
      </w:r>
      <w:r w:rsidR="000B6728">
        <w:rPr>
          <w:rFonts w:ascii="Arial" w:hAnsi="Arial" w:cs="Arial"/>
          <w:color w:val="7B7B7B" w:themeColor="accent3" w:themeShade="BF"/>
          <w:sz w:val="22"/>
          <w:szCs w:val="22"/>
          <w:lang w:val="en-GB"/>
        </w:rPr>
        <w:t xml:space="preserve"> happened in July 2021, well within the two year </w:t>
      </w:r>
      <w:r w:rsidR="00656432">
        <w:rPr>
          <w:rFonts w:ascii="Arial" w:hAnsi="Arial" w:cs="Arial"/>
          <w:color w:val="7B7B7B" w:themeColor="accent3" w:themeShade="BF"/>
          <w:sz w:val="22"/>
          <w:szCs w:val="22"/>
          <w:lang w:val="en-GB"/>
        </w:rPr>
        <w:t>relevance</w:t>
      </w:r>
      <w:r w:rsidR="000B6728">
        <w:rPr>
          <w:rFonts w:ascii="Arial" w:hAnsi="Arial" w:cs="Arial"/>
          <w:color w:val="7B7B7B" w:themeColor="accent3" w:themeShade="BF"/>
          <w:sz w:val="22"/>
          <w:szCs w:val="22"/>
          <w:lang w:val="en-GB"/>
        </w:rPr>
        <w:t xml:space="preserve"> period. Further, because Ann </w:t>
      </w:r>
      <w:r w:rsidR="00656432">
        <w:rPr>
          <w:rFonts w:ascii="Arial" w:hAnsi="Arial" w:cs="Arial"/>
          <w:color w:val="7B7B7B" w:themeColor="accent3" w:themeShade="BF"/>
          <w:sz w:val="22"/>
          <w:szCs w:val="22"/>
          <w:lang w:val="en-GB"/>
        </w:rPr>
        <w:t>Young</w:t>
      </w:r>
      <w:r w:rsidR="000B6728">
        <w:rPr>
          <w:rFonts w:ascii="Arial" w:hAnsi="Arial" w:cs="Arial"/>
          <w:color w:val="7B7B7B" w:themeColor="accent3" w:themeShade="BF"/>
          <w:sz w:val="22"/>
          <w:szCs w:val="22"/>
          <w:lang w:val="en-GB"/>
        </w:rPr>
        <w:t xml:space="preserve"> was a director of the company she was a connected </w:t>
      </w:r>
      <w:r w:rsidR="00656432">
        <w:rPr>
          <w:rFonts w:ascii="Arial" w:hAnsi="Arial" w:cs="Arial"/>
          <w:color w:val="7B7B7B" w:themeColor="accent3" w:themeShade="BF"/>
          <w:sz w:val="22"/>
          <w:szCs w:val="22"/>
          <w:lang w:val="en-GB"/>
        </w:rPr>
        <w:t>person</w:t>
      </w:r>
      <w:r w:rsidR="000B6728">
        <w:rPr>
          <w:rFonts w:ascii="Arial" w:hAnsi="Arial" w:cs="Arial"/>
          <w:color w:val="7B7B7B" w:themeColor="accent3" w:themeShade="BF"/>
          <w:sz w:val="22"/>
          <w:szCs w:val="22"/>
          <w:lang w:val="en-GB"/>
        </w:rPr>
        <w:t xml:space="preserve">, therefore the </w:t>
      </w:r>
      <w:r w:rsidR="00656432">
        <w:rPr>
          <w:rFonts w:ascii="Arial" w:hAnsi="Arial" w:cs="Arial"/>
          <w:color w:val="7B7B7B" w:themeColor="accent3" w:themeShade="BF"/>
          <w:sz w:val="22"/>
          <w:szCs w:val="22"/>
          <w:lang w:val="en-GB"/>
        </w:rPr>
        <w:t>presumption</w:t>
      </w:r>
      <w:r w:rsidR="000B6728">
        <w:rPr>
          <w:rFonts w:ascii="Arial" w:hAnsi="Arial" w:cs="Arial"/>
          <w:color w:val="7B7B7B" w:themeColor="accent3" w:themeShade="BF"/>
          <w:sz w:val="22"/>
          <w:szCs w:val="22"/>
          <w:lang w:val="en-GB"/>
        </w:rPr>
        <w:t xml:space="preserve"> is that the Company was </w:t>
      </w:r>
      <w:r w:rsidR="00656432">
        <w:rPr>
          <w:rFonts w:ascii="Arial" w:hAnsi="Arial" w:cs="Arial"/>
          <w:color w:val="7B7B7B" w:themeColor="accent3" w:themeShade="BF"/>
          <w:sz w:val="22"/>
          <w:szCs w:val="22"/>
          <w:lang w:val="en-GB"/>
        </w:rPr>
        <w:t>insolvent</w:t>
      </w:r>
      <w:r w:rsidR="000B6728">
        <w:rPr>
          <w:rFonts w:ascii="Arial" w:hAnsi="Arial" w:cs="Arial"/>
          <w:color w:val="7B7B7B" w:themeColor="accent3" w:themeShade="BF"/>
          <w:sz w:val="22"/>
          <w:szCs w:val="22"/>
          <w:lang w:val="en-GB"/>
        </w:rPr>
        <w:t xml:space="preserve"> at the time, or became </w:t>
      </w:r>
      <w:r w:rsidR="00656432">
        <w:rPr>
          <w:rFonts w:ascii="Arial" w:hAnsi="Arial" w:cs="Arial"/>
          <w:color w:val="7B7B7B" w:themeColor="accent3" w:themeShade="BF"/>
          <w:sz w:val="22"/>
          <w:szCs w:val="22"/>
          <w:lang w:val="en-GB"/>
        </w:rPr>
        <w:t>insolvent</w:t>
      </w:r>
      <w:r w:rsidR="000B6728">
        <w:rPr>
          <w:rFonts w:ascii="Arial" w:hAnsi="Arial" w:cs="Arial"/>
          <w:color w:val="7B7B7B" w:themeColor="accent3" w:themeShade="BF"/>
          <w:sz w:val="22"/>
          <w:szCs w:val="22"/>
          <w:lang w:val="en-GB"/>
        </w:rPr>
        <w:t xml:space="preserve"> as a result of the </w:t>
      </w:r>
      <w:r w:rsidR="00656432">
        <w:rPr>
          <w:rFonts w:ascii="Arial" w:hAnsi="Arial" w:cs="Arial"/>
          <w:color w:val="7B7B7B" w:themeColor="accent3" w:themeShade="BF"/>
          <w:sz w:val="22"/>
          <w:szCs w:val="22"/>
          <w:lang w:val="en-GB"/>
        </w:rPr>
        <w:t>transaction</w:t>
      </w:r>
      <w:r w:rsidR="000B6728">
        <w:rPr>
          <w:rFonts w:ascii="Arial" w:hAnsi="Arial" w:cs="Arial"/>
          <w:color w:val="7B7B7B" w:themeColor="accent3" w:themeShade="BF"/>
          <w:sz w:val="22"/>
          <w:szCs w:val="22"/>
          <w:lang w:val="en-GB"/>
        </w:rPr>
        <w:t>, unless it can be proved otherwise.</w:t>
      </w:r>
    </w:p>
    <w:p w14:paraId="23C2EDFB" w14:textId="2985FB84" w:rsidR="000B6728" w:rsidRDefault="000B6728" w:rsidP="000B6728">
      <w:pPr>
        <w:jc w:val="both"/>
        <w:rPr>
          <w:rFonts w:ascii="Arial" w:hAnsi="Arial" w:cs="Arial"/>
          <w:color w:val="7B7B7B" w:themeColor="accent3" w:themeShade="BF"/>
          <w:sz w:val="22"/>
          <w:szCs w:val="22"/>
          <w:lang w:val="en-GB"/>
        </w:rPr>
      </w:pPr>
    </w:p>
    <w:p w14:paraId="140EAD6E" w14:textId="711C3A55" w:rsidR="000B6728" w:rsidRDefault="000B6728" w:rsidP="000B67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56432">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is likely to be successful in </w:t>
      </w:r>
      <w:r w:rsidR="00656432">
        <w:rPr>
          <w:rFonts w:ascii="Arial" w:hAnsi="Arial" w:cs="Arial"/>
          <w:color w:val="7B7B7B" w:themeColor="accent3" w:themeShade="BF"/>
          <w:sz w:val="22"/>
          <w:szCs w:val="22"/>
          <w:lang w:val="en-GB"/>
        </w:rPr>
        <w:t>challenging</w:t>
      </w:r>
      <w:r>
        <w:rPr>
          <w:rFonts w:ascii="Arial" w:hAnsi="Arial" w:cs="Arial"/>
          <w:color w:val="7B7B7B" w:themeColor="accent3" w:themeShade="BF"/>
          <w:sz w:val="22"/>
          <w:szCs w:val="22"/>
          <w:lang w:val="en-GB"/>
        </w:rPr>
        <w:t xml:space="preserve"> this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unless the </w:t>
      </w:r>
      <w:r w:rsidR="00656432">
        <w:rPr>
          <w:rFonts w:ascii="Arial" w:hAnsi="Arial" w:cs="Arial"/>
          <w:color w:val="7B7B7B" w:themeColor="accent3" w:themeShade="BF"/>
          <w:sz w:val="22"/>
          <w:szCs w:val="22"/>
          <w:lang w:val="en-GB"/>
        </w:rPr>
        <w:t>respondent</w:t>
      </w:r>
      <w:r>
        <w:rPr>
          <w:rFonts w:ascii="Arial" w:hAnsi="Arial" w:cs="Arial"/>
          <w:color w:val="7B7B7B" w:themeColor="accent3" w:themeShade="BF"/>
          <w:sz w:val="22"/>
          <w:szCs w:val="22"/>
          <w:lang w:val="en-GB"/>
        </w:rPr>
        <w:t xml:space="preserve"> can satisfy </w:t>
      </w:r>
      <w:r w:rsidR="00656432">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court that the </w:t>
      </w:r>
      <w:r w:rsidR="00656432">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t>
      </w:r>
      <w:r w:rsidR="00656432">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entered into by the Company in good faith and for the purpo</w:t>
      </w:r>
      <w:r w:rsidR="00656432">
        <w:rPr>
          <w:rFonts w:ascii="Arial" w:hAnsi="Arial" w:cs="Arial"/>
          <w:color w:val="7B7B7B" w:themeColor="accent3" w:themeShade="BF"/>
          <w:sz w:val="22"/>
          <w:szCs w:val="22"/>
          <w:lang w:val="en-GB"/>
        </w:rPr>
        <w:t>se of carrying on its business, and that at the time it did so there were reasonable grounds f</w:t>
      </w:r>
      <w:r w:rsidR="004313A2">
        <w:rPr>
          <w:rFonts w:ascii="Arial" w:hAnsi="Arial" w:cs="Arial"/>
          <w:color w:val="7B7B7B" w:themeColor="accent3" w:themeShade="BF"/>
          <w:sz w:val="22"/>
          <w:szCs w:val="22"/>
          <w:lang w:val="en-GB"/>
        </w:rPr>
        <w:t>or believing that the transaction</w:t>
      </w:r>
      <w:r w:rsidR="00656432">
        <w:rPr>
          <w:rFonts w:ascii="Arial" w:hAnsi="Arial" w:cs="Arial"/>
          <w:color w:val="7B7B7B" w:themeColor="accent3" w:themeShade="BF"/>
          <w:sz w:val="22"/>
          <w:szCs w:val="22"/>
          <w:lang w:val="en-GB"/>
        </w:rPr>
        <w:t xml:space="preserve"> would be for the benefit of the company. It appears that this may be a possible defence in this situation; at the time of the transaction the Company was continuing to suffer cash flow problems, so the directors may have taken the view that it would be beneficial to the Company to receive at least some cash for the roasting machines.</w:t>
      </w:r>
    </w:p>
    <w:p w14:paraId="1F079834" w14:textId="77777777" w:rsidR="00656432" w:rsidRPr="000B6728" w:rsidRDefault="00656432" w:rsidP="000B6728">
      <w:pPr>
        <w:jc w:val="both"/>
        <w:rPr>
          <w:rFonts w:ascii="Arial" w:hAnsi="Arial" w:cs="Arial"/>
          <w:color w:val="7B7B7B" w:themeColor="accent3" w:themeShade="BF"/>
          <w:sz w:val="22"/>
          <w:szCs w:val="22"/>
          <w:lang w:val="en-GB"/>
        </w:rPr>
      </w:pPr>
    </w:p>
    <w:p w14:paraId="7AEDE530" w14:textId="3C0A5381" w:rsidR="00311816" w:rsidRDefault="000B6728"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7BB10E9C" w14:textId="77777777" w:rsidR="00927676" w:rsidRDefault="00BB7219"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payments to Beans and Leaves Ltd. may be declared void by the Court unless it can be validated. </w:t>
      </w:r>
    </w:p>
    <w:p w14:paraId="64EAF265" w14:textId="77777777" w:rsidR="00927676" w:rsidRDefault="00927676" w:rsidP="008769B2">
      <w:pPr>
        <w:jc w:val="both"/>
        <w:rPr>
          <w:rFonts w:ascii="Arial" w:hAnsi="Arial" w:cs="Arial"/>
          <w:color w:val="7B7B7B" w:themeColor="accent3" w:themeShade="BF"/>
          <w:sz w:val="22"/>
          <w:szCs w:val="22"/>
          <w:lang w:val="en-GB"/>
        </w:rPr>
      </w:pPr>
    </w:p>
    <w:p w14:paraId="68B4441D" w14:textId="77777777" w:rsidR="00927676" w:rsidRDefault="00BB7219"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compulsory winding up, as in the present case, Section 127 of the Insolvency Act avoids any disposition of property of the company made after the commencement of winding up, unless the court otherwise orders. </w:t>
      </w:r>
    </w:p>
    <w:p w14:paraId="1CE96746" w14:textId="77777777" w:rsidR="00927676" w:rsidRDefault="00927676" w:rsidP="008769B2">
      <w:pPr>
        <w:jc w:val="both"/>
        <w:rPr>
          <w:rFonts w:ascii="Arial" w:hAnsi="Arial" w:cs="Arial"/>
          <w:color w:val="7B7B7B" w:themeColor="accent3" w:themeShade="BF"/>
          <w:sz w:val="22"/>
          <w:szCs w:val="22"/>
          <w:lang w:val="en-GB"/>
        </w:rPr>
      </w:pPr>
    </w:p>
    <w:p w14:paraId="3944217E" w14:textId="32065B64" w:rsidR="008769B2" w:rsidRDefault="00D542C0"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commencement date is taken to be the date of the presentation of </w:t>
      </w:r>
      <w:r w:rsidR="004469A1">
        <w:rPr>
          <w:rFonts w:ascii="Arial" w:hAnsi="Arial" w:cs="Arial"/>
          <w:color w:val="7B7B7B" w:themeColor="accent3" w:themeShade="BF"/>
          <w:sz w:val="22"/>
          <w:szCs w:val="22"/>
          <w:lang w:val="en-GB"/>
        </w:rPr>
        <w:t xml:space="preserve">the </w:t>
      </w:r>
      <w:r w:rsidR="00821D3B">
        <w:rPr>
          <w:rFonts w:ascii="Arial" w:hAnsi="Arial" w:cs="Arial"/>
          <w:color w:val="7B7B7B" w:themeColor="accent3" w:themeShade="BF"/>
          <w:sz w:val="22"/>
          <w:szCs w:val="22"/>
          <w:lang w:val="en-GB"/>
        </w:rPr>
        <w:t>winding</w:t>
      </w:r>
      <w:r>
        <w:rPr>
          <w:rFonts w:ascii="Arial" w:hAnsi="Arial" w:cs="Arial"/>
          <w:color w:val="7B7B7B" w:themeColor="accent3" w:themeShade="BF"/>
          <w:sz w:val="22"/>
          <w:szCs w:val="22"/>
          <w:lang w:val="en-GB"/>
        </w:rPr>
        <w:t xml:space="preserve"> up </w:t>
      </w:r>
      <w:r w:rsidR="00821D3B">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so the avoidance provision acts in</w:t>
      </w:r>
      <w:r w:rsidR="00821D3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backdated manner. In the present case, the petition </w:t>
      </w:r>
      <w:r w:rsidR="00821D3B">
        <w:rPr>
          <w:rFonts w:ascii="Arial" w:hAnsi="Arial" w:cs="Arial"/>
          <w:color w:val="7B7B7B" w:themeColor="accent3" w:themeShade="BF"/>
          <w:sz w:val="22"/>
          <w:szCs w:val="22"/>
          <w:lang w:val="en-GB"/>
        </w:rPr>
        <w:t>was issued on 14 Oc</w:t>
      </w:r>
      <w:r w:rsidR="004469A1">
        <w:rPr>
          <w:rFonts w:ascii="Arial" w:hAnsi="Arial" w:cs="Arial"/>
          <w:color w:val="7B7B7B" w:themeColor="accent3" w:themeShade="BF"/>
          <w:sz w:val="22"/>
          <w:szCs w:val="22"/>
          <w:lang w:val="en-GB"/>
        </w:rPr>
        <w:t>tober 2021 and the payments to B</w:t>
      </w:r>
      <w:r w:rsidR="00821D3B">
        <w:rPr>
          <w:rFonts w:ascii="Arial" w:hAnsi="Arial" w:cs="Arial"/>
          <w:color w:val="7B7B7B" w:themeColor="accent3" w:themeShade="BF"/>
          <w:sz w:val="22"/>
          <w:szCs w:val="22"/>
          <w:lang w:val="en-GB"/>
        </w:rPr>
        <w:t xml:space="preserve">eans and Leaves Ltd. were made </w:t>
      </w:r>
      <w:r w:rsidR="00821D3B">
        <w:rPr>
          <w:rFonts w:ascii="Arial" w:hAnsi="Arial" w:cs="Arial"/>
          <w:color w:val="7B7B7B" w:themeColor="accent3" w:themeShade="BF"/>
          <w:sz w:val="22"/>
          <w:szCs w:val="22"/>
          <w:lang w:val="en-GB"/>
        </w:rPr>
        <w:br/>
        <w:t>a month before the winding up order was made on 23 December 2021, therefore the payments are caught by section 127.</w:t>
      </w:r>
    </w:p>
    <w:p w14:paraId="5338AE46" w14:textId="492149F6" w:rsidR="00821D3B" w:rsidRDefault="00821D3B" w:rsidP="008769B2">
      <w:pPr>
        <w:jc w:val="both"/>
        <w:rPr>
          <w:rFonts w:ascii="Arial" w:hAnsi="Arial" w:cs="Arial"/>
          <w:color w:val="7B7B7B" w:themeColor="accent3" w:themeShade="BF"/>
          <w:sz w:val="22"/>
          <w:szCs w:val="22"/>
          <w:lang w:val="en-GB"/>
        </w:rPr>
      </w:pPr>
    </w:p>
    <w:p w14:paraId="6708B964" w14:textId="6F3F2BDA" w:rsidR="00CD0289" w:rsidRDefault="00821D3B"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words "disposition of property" in Section 127 have a wide meaning and affect any payment of money as well as assets being sold or transferred. Section 127 covers any type of transaction where property ceases to be vested in a company, such as by way of sale, gift, assignment, mortgage, charge, lease, loan or exchange. The payments to Beans and Leaves Ltd. clearly qualify as a "disposition of property". </w:t>
      </w:r>
    </w:p>
    <w:p w14:paraId="65824620" w14:textId="567957D1" w:rsidR="00CD0289" w:rsidRDefault="00CD0289" w:rsidP="008769B2">
      <w:pPr>
        <w:jc w:val="both"/>
        <w:rPr>
          <w:rFonts w:ascii="Arial" w:hAnsi="Arial" w:cs="Arial"/>
          <w:color w:val="7B7B7B" w:themeColor="accent3" w:themeShade="BF"/>
          <w:sz w:val="22"/>
          <w:szCs w:val="22"/>
          <w:lang w:val="en-GB"/>
        </w:rPr>
      </w:pPr>
    </w:p>
    <w:p w14:paraId="082AC259" w14:textId="2682E219" w:rsidR="00CD0289" w:rsidRDefault="00CD0289"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impact of Section 127 is not absolute. The court has a discretionary power to declare that dispositions shall not be void by way of a "validation order". Anyone applying for a</w:t>
      </w:r>
      <w:r w:rsidR="00014640">
        <w:rPr>
          <w:rFonts w:ascii="Arial" w:hAnsi="Arial" w:cs="Arial"/>
          <w:color w:val="7B7B7B" w:themeColor="accent3" w:themeShade="BF"/>
          <w:sz w:val="22"/>
          <w:szCs w:val="22"/>
          <w:lang w:val="en-GB"/>
        </w:rPr>
        <w:t xml:space="preserve"> validation order has the burden</w:t>
      </w:r>
      <w:r>
        <w:rPr>
          <w:rFonts w:ascii="Arial" w:hAnsi="Arial" w:cs="Arial"/>
          <w:color w:val="7B7B7B" w:themeColor="accent3" w:themeShade="BF"/>
          <w:sz w:val="22"/>
          <w:szCs w:val="22"/>
          <w:lang w:val="en-GB"/>
        </w:rPr>
        <w:t xml:space="preserve"> of proving the order should be made. </w:t>
      </w:r>
    </w:p>
    <w:p w14:paraId="476F6848" w14:textId="25EE93C4" w:rsidR="00CD0289" w:rsidRDefault="00CD0289" w:rsidP="008769B2">
      <w:pPr>
        <w:jc w:val="both"/>
        <w:rPr>
          <w:rFonts w:ascii="Arial" w:hAnsi="Arial" w:cs="Arial"/>
          <w:color w:val="7B7B7B" w:themeColor="accent3" w:themeShade="BF"/>
          <w:sz w:val="22"/>
          <w:szCs w:val="22"/>
          <w:lang w:val="en-GB"/>
        </w:rPr>
      </w:pPr>
    </w:p>
    <w:p w14:paraId="7E0AE698" w14:textId="25239F51" w:rsidR="00AC07C4" w:rsidRDefault="00CD0289"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is trading, if transactions in the ordinary course of business which are entered into bona fide are not permitted, the parties interested in the assets of the company could be prejudiced. A validation order will only be made in respect of an insolvent company where the circumstances indicate that the disposition will be or has been made for the benefit of the general body of secured creditors. This will include a situation such as</w:t>
      </w:r>
      <w:r w:rsidR="00901B96">
        <w:rPr>
          <w:rFonts w:ascii="Arial" w:hAnsi="Arial" w:cs="Arial"/>
          <w:color w:val="7B7B7B" w:themeColor="accent3" w:themeShade="BF"/>
          <w:sz w:val="22"/>
          <w:szCs w:val="22"/>
          <w:lang w:val="en-GB"/>
        </w:rPr>
        <w:t xml:space="preserve"> the present case where payments </w:t>
      </w:r>
      <w:r>
        <w:rPr>
          <w:rFonts w:ascii="Arial" w:hAnsi="Arial" w:cs="Arial"/>
          <w:color w:val="7B7B7B" w:themeColor="accent3" w:themeShade="BF"/>
          <w:sz w:val="22"/>
          <w:szCs w:val="22"/>
          <w:lang w:val="en-GB"/>
        </w:rPr>
        <w:t xml:space="preserve">were made </w:t>
      </w:r>
      <w:r w:rsidR="004075DC">
        <w:rPr>
          <w:rFonts w:ascii="Arial" w:hAnsi="Arial" w:cs="Arial"/>
          <w:color w:val="7B7B7B" w:themeColor="accent3" w:themeShade="BF"/>
          <w:sz w:val="22"/>
          <w:szCs w:val="22"/>
          <w:lang w:val="en-GB"/>
        </w:rPr>
        <w:t xml:space="preserve">on </w:t>
      </w:r>
      <w:r>
        <w:rPr>
          <w:rFonts w:ascii="Arial" w:hAnsi="Arial" w:cs="Arial"/>
          <w:color w:val="7B7B7B" w:themeColor="accent3" w:themeShade="BF"/>
          <w:sz w:val="22"/>
          <w:szCs w:val="22"/>
          <w:lang w:val="en-GB"/>
        </w:rPr>
        <w:t xml:space="preserve">supplies to enable to </w:t>
      </w:r>
      <w:r w:rsidR="004075DC">
        <w:rPr>
          <w:rFonts w:ascii="Arial" w:hAnsi="Arial" w:cs="Arial"/>
          <w:color w:val="7B7B7B" w:themeColor="accent3" w:themeShade="BF"/>
          <w:sz w:val="22"/>
          <w:szCs w:val="22"/>
          <w:lang w:val="en-GB"/>
        </w:rPr>
        <w:t>the company</w:t>
      </w:r>
      <w:r>
        <w:rPr>
          <w:rFonts w:ascii="Arial" w:hAnsi="Arial" w:cs="Arial"/>
          <w:color w:val="7B7B7B" w:themeColor="accent3" w:themeShade="BF"/>
          <w:sz w:val="22"/>
          <w:szCs w:val="22"/>
          <w:lang w:val="en-GB"/>
        </w:rPr>
        <w:t xml:space="preserve"> to fulfil a contract that appear to be profitable. </w:t>
      </w:r>
    </w:p>
    <w:p w14:paraId="32A4338C" w14:textId="77777777" w:rsidR="00AC07C4" w:rsidRDefault="00AC07C4" w:rsidP="008769B2">
      <w:pPr>
        <w:jc w:val="both"/>
        <w:rPr>
          <w:rFonts w:ascii="Arial" w:hAnsi="Arial" w:cs="Arial"/>
          <w:color w:val="7B7B7B" w:themeColor="accent3" w:themeShade="BF"/>
          <w:sz w:val="22"/>
          <w:szCs w:val="22"/>
          <w:lang w:val="en-GB"/>
        </w:rPr>
      </w:pPr>
    </w:p>
    <w:p w14:paraId="639B904D" w14:textId="76158535" w:rsidR="00AC07C4" w:rsidRDefault="004075D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transaction allows the company to continue to trade, it will generally be validated. Payments are likely to be sanctioned where necessary to ensure continued supplies enabling the company to continue trading, in cases where the court considers that the continuance of trading was in the best interests of the creditors. Where goods have been paid for on terms of cash on delivery, as in the present case, the court will consider the benefit to the company including whether the payment will enable further supplies to be received and so the enable the business to continue. </w:t>
      </w:r>
    </w:p>
    <w:p w14:paraId="1B433B03" w14:textId="77777777" w:rsidR="00AC07C4" w:rsidRDefault="00AC07C4" w:rsidP="008769B2">
      <w:pPr>
        <w:jc w:val="both"/>
        <w:rPr>
          <w:rFonts w:ascii="Arial" w:hAnsi="Arial" w:cs="Arial"/>
          <w:color w:val="7B7B7B" w:themeColor="accent3" w:themeShade="BF"/>
          <w:sz w:val="22"/>
          <w:szCs w:val="22"/>
          <w:lang w:val="en-GB"/>
        </w:rPr>
      </w:pPr>
    </w:p>
    <w:p w14:paraId="4CA79E51" w14:textId="4C4D87E0" w:rsidR="00CD0289" w:rsidRPr="00FF5098" w:rsidRDefault="00AC07C4"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Beans and Leaves Ltd. was a key supplier and therefore most likely essential to the company carrying on business, so it is likely that </w:t>
      </w:r>
      <w:r w:rsidR="00901B96">
        <w:rPr>
          <w:rFonts w:ascii="Arial" w:hAnsi="Arial" w:cs="Arial"/>
          <w:color w:val="7B7B7B" w:themeColor="accent3" w:themeShade="BF"/>
          <w:sz w:val="22"/>
          <w:szCs w:val="22"/>
          <w:lang w:val="en-GB"/>
        </w:rPr>
        <w:t>t</w:t>
      </w:r>
      <w:bookmarkStart w:id="1" w:name="_GoBack"/>
      <w:bookmarkEnd w:id="1"/>
      <w:r>
        <w:rPr>
          <w:rFonts w:ascii="Arial" w:hAnsi="Arial" w:cs="Arial"/>
          <w:color w:val="7B7B7B" w:themeColor="accent3" w:themeShade="BF"/>
          <w:sz w:val="22"/>
          <w:szCs w:val="22"/>
          <w:lang w:val="en-GB"/>
        </w:rPr>
        <w:t>he court would validate the payments.</w:t>
      </w:r>
    </w:p>
    <w:p w14:paraId="1B5E2F08" w14:textId="05F46E90" w:rsidR="002D3473" w:rsidRDefault="002D3473" w:rsidP="00087F21">
      <w:pPr>
        <w:autoSpaceDE w:val="0"/>
        <w:autoSpaceDN w:val="0"/>
        <w:adjustRightInd w:val="0"/>
        <w:jc w:val="both"/>
        <w:rPr>
          <w:rFonts w:ascii="Arial" w:hAnsi="Arial" w:cs="Arial"/>
          <w:sz w:val="22"/>
          <w:szCs w:val="22"/>
          <w:lang w:val="en-GB"/>
        </w:rPr>
      </w:pPr>
    </w:p>
    <w:p w14:paraId="0D422B49" w14:textId="77777777" w:rsidR="004075DC" w:rsidRDefault="004075DC"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656547" w:rsidRDefault="00656547" w:rsidP="00241B44">
      <w:r>
        <w:separator/>
      </w:r>
    </w:p>
  </w:endnote>
  <w:endnote w:type="continuationSeparator" w:id="0">
    <w:p w14:paraId="58D3AFD8" w14:textId="77777777" w:rsidR="00656547" w:rsidRDefault="006565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56547" w:rsidRPr="00FC7B47" w:rsidRDefault="0065654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56547" w:rsidRPr="00FC7B47" w:rsidRDefault="0065654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99CC06B" w:rsidR="00656547" w:rsidRPr="009B4976" w:rsidRDefault="00656547" w:rsidP="00656547">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01B96">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52CD0FA1" w:rsidR="00656547" w:rsidRPr="009B4976" w:rsidRDefault="00895F57" w:rsidP="009B4976">
    <w:pPr>
      <w:pStyle w:val="Footer"/>
      <w:ind w:right="360"/>
      <w:rPr>
        <w:rFonts w:ascii="Arial" w:hAnsi="Arial" w:cs="Arial"/>
        <w:sz w:val="18"/>
        <w:szCs w:val="18"/>
        <w:lang w:val="en-GB"/>
      </w:rPr>
    </w:pPr>
    <w:r w:rsidRPr="00895F57">
      <w:rPr>
        <w:rFonts w:ascii="Arial" w:hAnsi="Arial" w:cs="Arial"/>
        <w:sz w:val="18"/>
        <w:szCs w:val="18"/>
        <w:lang w:val="en-GB"/>
      </w:rPr>
      <w:t>202122-437</w:t>
    </w:r>
    <w:r w:rsidR="00656547" w:rsidRPr="009B4976">
      <w:rPr>
        <w:rFonts w:ascii="Arial" w:hAnsi="Arial" w:cs="Arial"/>
        <w:sz w:val="18"/>
        <w:szCs w:val="18"/>
        <w:lang w:val="en-GB"/>
      </w:rPr>
      <w:t>.assessment</w:t>
    </w:r>
    <w:r w:rsidR="00656547">
      <w:rPr>
        <w:rFonts w:ascii="Arial" w:hAnsi="Arial" w:cs="Arial"/>
        <w:sz w:val="18"/>
        <w:szCs w:val="18"/>
        <w:lang w:val="en-GB"/>
      </w:rPr>
      <w:t>3B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4DF9" w14:textId="77777777" w:rsidR="00895F57" w:rsidRDefault="0089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656547" w:rsidRDefault="00656547" w:rsidP="00241B44">
      <w:r>
        <w:separator/>
      </w:r>
    </w:p>
  </w:footnote>
  <w:footnote w:type="continuationSeparator" w:id="0">
    <w:p w14:paraId="4A2A4F3D" w14:textId="77777777" w:rsidR="00656547" w:rsidRDefault="0065654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F46D" w14:textId="77777777" w:rsidR="00895F57" w:rsidRDefault="00895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7315" w14:textId="77777777" w:rsidR="00895F57" w:rsidRDefault="00895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F103" w14:textId="77777777" w:rsidR="00895F57" w:rsidRDefault="00895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365BE"/>
    <w:multiLevelType w:val="hybridMultilevel"/>
    <w:tmpl w:val="D4F07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E2D18"/>
    <w:multiLevelType w:val="hybridMultilevel"/>
    <w:tmpl w:val="68E6A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4669D"/>
    <w:multiLevelType w:val="hybridMultilevel"/>
    <w:tmpl w:val="A69C2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9666D"/>
    <w:multiLevelType w:val="hybridMultilevel"/>
    <w:tmpl w:val="8398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E292A"/>
    <w:multiLevelType w:val="hybridMultilevel"/>
    <w:tmpl w:val="E8E43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C71E0"/>
    <w:multiLevelType w:val="multilevel"/>
    <w:tmpl w:val="CF3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2"/>
  </w:num>
  <w:num w:numId="5">
    <w:abstractNumId w:val="15"/>
  </w:num>
  <w:num w:numId="6">
    <w:abstractNumId w:val="2"/>
  </w:num>
  <w:num w:numId="7">
    <w:abstractNumId w:val="16"/>
  </w:num>
  <w:num w:numId="8">
    <w:abstractNumId w:val="21"/>
  </w:num>
  <w:num w:numId="9">
    <w:abstractNumId w:val="13"/>
  </w:num>
  <w:num w:numId="10">
    <w:abstractNumId w:val="22"/>
  </w:num>
  <w:num w:numId="11">
    <w:abstractNumId w:val="7"/>
  </w:num>
  <w:num w:numId="12">
    <w:abstractNumId w:val="19"/>
  </w:num>
  <w:num w:numId="13">
    <w:abstractNumId w:val="14"/>
  </w:num>
  <w:num w:numId="14">
    <w:abstractNumId w:val="6"/>
  </w:num>
  <w:num w:numId="15">
    <w:abstractNumId w:val="17"/>
  </w:num>
  <w:num w:numId="16">
    <w:abstractNumId w:val="20"/>
  </w:num>
  <w:num w:numId="17">
    <w:abstractNumId w:val="10"/>
  </w:num>
  <w:num w:numId="18">
    <w:abstractNumId w:val="3"/>
  </w:num>
  <w:num w:numId="19">
    <w:abstractNumId w:val="4"/>
  </w:num>
  <w:num w:numId="20">
    <w:abstractNumId w:val="18"/>
  </w:num>
  <w:num w:numId="21">
    <w:abstractNumId w:val="9"/>
  </w:num>
  <w:num w:numId="22">
    <w:abstractNumId w:val="8"/>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464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B6728"/>
    <w:rsid w:val="000D10C6"/>
    <w:rsid w:val="000D55A8"/>
    <w:rsid w:val="000E4841"/>
    <w:rsid w:val="000F1677"/>
    <w:rsid w:val="000F3D6C"/>
    <w:rsid w:val="00101707"/>
    <w:rsid w:val="00102CC9"/>
    <w:rsid w:val="0010593A"/>
    <w:rsid w:val="0011473D"/>
    <w:rsid w:val="00115C85"/>
    <w:rsid w:val="00123855"/>
    <w:rsid w:val="00126A4D"/>
    <w:rsid w:val="0014171F"/>
    <w:rsid w:val="001456A6"/>
    <w:rsid w:val="0014622C"/>
    <w:rsid w:val="00152348"/>
    <w:rsid w:val="0015456D"/>
    <w:rsid w:val="00155FA2"/>
    <w:rsid w:val="00161F1B"/>
    <w:rsid w:val="00162829"/>
    <w:rsid w:val="00180548"/>
    <w:rsid w:val="00180AC4"/>
    <w:rsid w:val="00180CCE"/>
    <w:rsid w:val="0018267A"/>
    <w:rsid w:val="00182779"/>
    <w:rsid w:val="00182788"/>
    <w:rsid w:val="001830DF"/>
    <w:rsid w:val="00186B6C"/>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00C2"/>
    <w:rsid w:val="0027299F"/>
    <w:rsid w:val="00284EBE"/>
    <w:rsid w:val="002903A7"/>
    <w:rsid w:val="00291208"/>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22F3"/>
    <w:rsid w:val="003144EF"/>
    <w:rsid w:val="00314F32"/>
    <w:rsid w:val="00326292"/>
    <w:rsid w:val="00326415"/>
    <w:rsid w:val="00330937"/>
    <w:rsid w:val="00330F31"/>
    <w:rsid w:val="00334648"/>
    <w:rsid w:val="0033768C"/>
    <w:rsid w:val="00337938"/>
    <w:rsid w:val="00340769"/>
    <w:rsid w:val="00341AA6"/>
    <w:rsid w:val="00355339"/>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C692B"/>
    <w:rsid w:val="003D0A6D"/>
    <w:rsid w:val="003E0B16"/>
    <w:rsid w:val="003E67D1"/>
    <w:rsid w:val="00404329"/>
    <w:rsid w:val="00405DC1"/>
    <w:rsid w:val="004075DC"/>
    <w:rsid w:val="00415F1F"/>
    <w:rsid w:val="0042108F"/>
    <w:rsid w:val="00430FED"/>
    <w:rsid w:val="004313A2"/>
    <w:rsid w:val="00434A8C"/>
    <w:rsid w:val="00435114"/>
    <w:rsid w:val="00437297"/>
    <w:rsid w:val="00444284"/>
    <w:rsid w:val="00445CE6"/>
    <w:rsid w:val="004469A1"/>
    <w:rsid w:val="004534C2"/>
    <w:rsid w:val="0045446F"/>
    <w:rsid w:val="0045683E"/>
    <w:rsid w:val="00461F95"/>
    <w:rsid w:val="00471799"/>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0CFF"/>
    <w:rsid w:val="005176D8"/>
    <w:rsid w:val="005177FE"/>
    <w:rsid w:val="0052263B"/>
    <w:rsid w:val="00524728"/>
    <w:rsid w:val="005331CA"/>
    <w:rsid w:val="00537970"/>
    <w:rsid w:val="00540146"/>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A7A88"/>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2528"/>
    <w:rsid w:val="006522F3"/>
    <w:rsid w:val="00654254"/>
    <w:rsid w:val="00654C2F"/>
    <w:rsid w:val="00656432"/>
    <w:rsid w:val="00656547"/>
    <w:rsid w:val="00657087"/>
    <w:rsid w:val="006624AB"/>
    <w:rsid w:val="006639DB"/>
    <w:rsid w:val="006661EF"/>
    <w:rsid w:val="00677AEB"/>
    <w:rsid w:val="00680EF2"/>
    <w:rsid w:val="00687A1D"/>
    <w:rsid w:val="00697EA1"/>
    <w:rsid w:val="006A2646"/>
    <w:rsid w:val="006A45F5"/>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75007"/>
    <w:rsid w:val="007809BC"/>
    <w:rsid w:val="00784128"/>
    <w:rsid w:val="00787BCC"/>
    <w:rsid w:val="00793173"/>
    <w:rsid w:val="007A2A33"/>
    <w:rsid w:val="007A5171"/>
    <w:rsid w:val="007B5C89"/>
    <w:rsid w:val="007C005D"/>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1D3B"/>
    <w:rsid w:val="0082483F"/>
    <w:rsid w:val="008279C0"/>
    <w:rsid w:val="00837D19"/>
    <w:rsid w:val="00866326"/>
    <w:rsid w:val="00867701"/>
    <w:rsid w:val="008723F3"/>
    <w:rsid w:val="008769B2"/>
    <w:rsid w:val="00876F56"/>
    <w:rsid w:val="00881DE6"/>
    <w:rsid w:val="008837A6"/>
    <w:rsid w:val="00890F5B"/>
    <w:rsid w:val="0089145D"/>
    <w:rsid w:val="00891690"/>
    <w:rsid w:val="00895AA7"/>
    <w:rsid w:val="00895F57"/>
    <w:rsid w:val="008A4DF2"/>
    <w:rsid w:val="008A6CFE"/>
    <w:rsid w:val="008B5333"/>
    <w:rsid w:val="008B6223"/>
    <w:rsid w:val="008B72B8"/>
    <w:rsid w:val="008C66E0"/>
    <w:rsid w:val="008C772F"/>
    <w:rsid w:val="008D1616"/>
    <w:rsid w:val="008E3339"/>
    <w:rsid w:val="008F20FC"/>
    <w:rsid w:val="008F5FFE"/>
    <w:rsid w:val="00901B96"/>
    <w:rsid w:val="00905A43"/>
    <w:rsid w:val="009078D9"/>
    <w:rsid w:val="00912C79"/>
    <w:rsid w:val="00921B8C"/>
    <w:rsid w:val="00924DAF"/>
    <w:rsid w:val="00927676"/>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2D0"/>
    <w:rsid w:val="00A047EE"/>
    <w:rsid w:val="00A2274A"/>
    <w:rsid w:val="00A235B7"/>
    <w:rsid w:val="00A27A7A"/>
    <w:rsid w:val="00A34ABE"/>
    <w:rsid w:val="00A407EF"/>
    <w:rsid w:val="00A46B4C"/>
    <w:rsid w:val="00A5117B"/>
    <w:rsid w:val="00A56D34"/>
    <w:rsid w:val="00A60074"/>
    <w:rsid w:val="00A6627C"/>
    <w:rsid w:val="00A71019"/>
    <w:rsid w:val="00A73764"/>
    <w:rsid w:val="00A81029"/>
    <w:rsid w:val="00A845F5"/>
    <w:rsid w:val="00A96489"/>
    <w:rsid w:val="00AA06E3"/>
    <w:rsid w:val="00AB2425"/>
    <w:rsid w:val="00AB685C"/>
    <w:rsid w:val="00AB6C2D"/>
    <w:rsid w:val="00AC07C4"/>
    <w:rsid w:val="00AC08F7"/>
    <w:rsid w:val="00AC317D"/>
    <w:rsid w:val="00AC3839"/>
    <w:rsid w:val="00AC7082"/>
    <w:rsid w:val="00AD4BE8"/>
    <w:rsid w:val="00AE05D2"/>
    <w:rsid w:val="00AE5B6F"/>
    <w:rsid w:val="00AF228E"/>
    <w:rsid w:val="00B016A8"/>
    <w:rsid w:val="00B04033"/>
    <w:rsid w:val="00B14234"/>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B7219"/>
    <w:rsid w:val="00BE4FF3"/>
    <w:rsid w:val="00BF2C93"/>
    <w:rsid w:val="00BF50F7"/>
    <w:rsid w:val="00C02F29"/>
    <w:rsid w:val="00C17718"/>
    <w:rsid w:val="00C20AFE"/>
    <w:rsid w:val="00C22A25"/>
    <w:rsid w:val="00C305F5"/>
    <w:rsid w:val="00C34477"/>
    <w:rsid w:val="00C35671"/>
    <w:rsid w:val="00C35B77"/>
    <w:rsid w:val="00C376EB"/>
    <w:rsid w:val="00C46A92"/>
    <w:rsid w:val="00C46EC1"/>
    <w:rsid w:val="00C52796"/>
    <w:rsid w:val="00C53E2C"/>
    <w:rsid w:val="00C550C8"/>
    <w:rsid w:val="00C555AB"/>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0289"/>
    <w:rsid w:val="00CD4998"/>
    <w:rsid w:val="00CE1035"/>
    <w:rsid w:val="00CE6E50"/>
    <w:rsid w:val="00CF2819"/>
    <w:rsid w:val="00CF4F9D"/>
    <w:rsid w:val="00CF70DC"/>
    <w:rsid w:val="00D148DC"/>
    <w:rsid w:val="00D17FDC"/>
    <w:rsid w:val="00D21D8C"/>
    <w:rsid w:val="00D53719"/>
    <w:rsid w:val="00D542C0"/>
    <w:rsid w:val="00D63EFD"/>
    <w:rsid w:val="00D829A1"/>
    <w:rsid w:val="00D84752"/>
    <w:rsid w:val="00D86B3B"/>
    <w:rsid w:val="00D8748A"/>
    <w:rsid w:val="00D93196"/>
    <w:rsid w:val="00DA0DC0"/>
    <w:rsid w:val="00DB1C01"/>
    <w:rsid w:val="00DB243C"/>
    <w:rsid w:val="00DB482A"/>
    <w:rsid w:val="00DB50FB"/>
    <w:rsid w:val="00DB56F2"/>
    <w:rsid w:val="00DB6EF5"/>
    <w:rsid w:val="00DB7DAD"/>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47070"/>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3AD0"/>
    <w:rsid w:val="00EC441F"/>
    <w:rsid w:val="00EC4755"/>
    <w:rsid w:val="00ED0BC4"/>
    <w:rsid w:val="00ED447D"/>
    <w:rsid w:val="00EE4971"/>
    <w:rsid w:val="00EE6CB0"/>
    <w:rsid w:val="00EF090E"/>
    <w:rsid w:val="00EF5572"/>
    <w:rsid w:val="00F0005D"/>
    <w:rsid w:val="00F01D7D"/>
    <w:rsid w:val="00F033DA"/>
    <w:rsid w:val="00F06D6D"/>
    <w:rsid w:val="00F13691"/>
    <w:rsid w:val="00F13FB1"/>
    <w:rsid w:val="00F25689"/>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semiHidden/>
    <w:unhideWhenUsed/>
    <w:rsid w:val="00C3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zh-CN"/>
    </w:rPr>
  </w:style>
  <w:style w:type="character" w:customStyle="1" w:styleId="HTMLPreformattedChar">
    <w:name w:val="HTML Preformatted Char"/>
    <w:basedOn w:val="DefaultParagraphFont"/>
    <w:link w:val="HTMLPreformatted"/>
    <w:uiPriority w:val="99"/>
    <w:semiHidden/>
    <w:rsid w:val="00C34477"/>
    <w:rPr>
      <w:rFonts w:ascii="Courier New" w:eastAsia="Times New Roman" w:hAnsi="Courier New" w:cs="Courier New"/>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77484970">
      <w:bodyDiv w:val="1"/>
      <w:marLeft w:val="0"/>
      <w:marRight w:val="0"/>
      <w:marTop w:val="0"/>
      <w:marBottom w:val="0"/>
      <w:divBdr>
        <w:top w:val="none" w:sz="0" w:space="0" w:color="auto"/>
        <w:left w:val="none" w:sz="0" w:space="0" w:color="auto"/>
        <w:bottom w:val="none" w:sz="0" w:space="0" w:color="auto"/>
        <w:right w:val="none" w:sz="0" w:space="0" w:color="auto"/>
      </w:divBdr>
      <w:divsChild>
        <w:div w:id="1574971313">
          <w:marLeft w:val="0"/>
          <w:marRight w:val="0"/>
          <w:marTop w:val="0"/>
          <w:marBottom w:val="0"/>
          <w:divBdr>
            <w:top w:val="none" w:sz="0" w:space="0" w:color="auto"/>
            <w:left w:val="none" w:sz="0" w:space="0" w:color="auto"/>
            <w:bottom w:val="none" w:sz="0" w:space="0" w:color="auto"/>
            <w:right w:val="none" w:sz="0" w:space="0" w:color="auto"/>
          </w:divBdr>
          <w:divsChild>
            <w:div w:id="676542040">
              <w:marLeft w:val="0"/>
              <w:marRight w:val="0"/>
              <w:marTop w:val="0"/>
              <w:marBottom w:val="0"/>
              <w:divBdr>
                <w:top w:val="none" w:sz="0" w:space="0" w:color="auto"/>
                <w:left w:val="none" w:sz="0" w:space="0" w:color="auto"/>
                <w:bottom w:val="none" w:sz="0" w:space="0" w:color="auto"/>
                <w:right w:val="none" w:sz="0" w:space="0" w:color="auto"/>
              </w:divBdr>
            </w:div>
          </w:divsChild>
        </w:div>
        <w:div w:id="1597205613">
          <w:marLeft w:val="0"/>
          <w:marRight w:val="0"/>
          <w:marTop w:val="0"/>
          <w:marBottom w:val="0"/>
          <w:divBdr>
            <w:top w:val="none" w:sz="0" w:space="0" w:color="auto"/>
            <w:left w:val="none" w:sz="0" w:space="0" w:color="auto"/>
            <w:bottom w:val="none" w:sz="0" w:space="0" w:color="auto"/>
            <w:right w:val="none" w:sz="0" w:space="0" w:color="auto"/>
          </w:divBdr>
          <w:divsChild>
            <w:div w:id="953370311">
              <w:marLeft w:val="0"/>
              <w:marRight w:val="0"/>
              <w:marTop w:val="0"/>
              <w:marBottom w:val="0"/>
              <w:divBdr>
                <w:top w:val="none" w:sz="0" w:space="0" w:color="auto"/>
                <w:left w:val="none" w:sz="0" w:space="0" w:color="auto"/>
                <w:bottom w:val="none" w:sz="0" w:space="0" w:color="auto"/>
                <w:right w:val="none" w:sz="0" w:space="0" w:color="auto"/>
              </w:divBdr>
            </w:div>
          </w:divsChild>
        </w:div>
        <w:div w:id="1191993630">
          <w:marLeft w:val="0"/>
          <w:marRight w:val="0"/>
          <w:marTop w:val="0"/>
          <w:marBottom w:val="0"/>
          <w:divBdr>
            <w:top w:val="none" w:sz="0" w:space="0" w:color="auto"/>
            <w:left w:val="none" w:sz="0" w:space="0" w:color="auto"/>
            <w:bottom w:val="none" w:sz="0" w:space="0" w:color="auto"/>
            <w:right w:val="none" w:sz="0" w:space="0" w:color="auto"/>
          </w:divBdr>
          <w:divsChild>
            <w:div w:id="1101560659">
              <w:marLeft w:val="0"/>
              <w:marRight w:val="0"/>
              <w:marTop w:val="0"/>
              <w:marBottom w:val="0"/>
              <w:divBdr>
                <w:top w:val="none" w:sz="0" w:space="0" w:color="auto"/>
                <w:left w:val="none" w:sz="0" w:space="0" w:color="auto"/>
                <w:bottom w:val="none" w:sz="0" w:space="0" w:color="auto"/>
                <w:right w:val="none" w:sz="0" w:space="0" w:color="auto"/>
              </w:divBdr>
            </w:div>
          </w:divsChild>
        </w:div>
        <w:div w:id="1824271746">
          <w:marLeft w:val="0"/>
          <w:marRight w:val="0"/>
          <w:marTop w:val="0"/>
          <w:marBottom w:val="0"/>
          <w:divBdr>
            <w:top w:val="none" w:sz="0" w:space="0" w:color="auto"/>
            <w:left w:val="none" w:sz="0" w:space="0" w:color="auto"/>
            <w:bottom w:val="none" w:sz="0" w:space="0" w:color="auto"/>
            <w:right w:val="none" w:sz="0" w:space="0" w:color="auto"/>
          </w:divBdr>
          <w:divsChild>
            <w:div w:id="1500195292">
              <w:marLeft w:val="0"/>
              <w:marRight w:val="0"/>
              <w:marTop w:val="0"/>
              <w:marBottom w:val="0"/>
              <w:divBdr>
                <w:top w:val="none" w:sz="0" w:space="0" w:color="auto"/>
                <w:left w:val="none" w:sz="0" w:space="0" w:color="auto"/>
                <w:bottom w:val="none" w:sz="0" w:space="0" w:color="auto"/>
                <w:right w:val="none" w:sz="0" w:space="0" w:color="auto"/>
              </w:divBdr>
            </w:div>
          </w:divsChild>
        </w:div>
        <w:div w:id="1792435312">
          <w:marLeft w:val="0"/>
          <w:marRight w:val="0"/>
          <w:marTop w:val="0"/>
          <w:marBottom w:val="0"/>
          <w:divBdr>
            <w:top w:val="none" w:sz="0" w:space="0" w:color="auto"/>
            <w:left w:val="none" w:sz="0" w:space="0" w:color="auto"/>
            <w:bottom w:val="none" w:sz="0" w:space="0" w:color="auto"/>
            <w:right w:val="none" w:sz="0" w:space="0" w:color="auto"/>
          </w:divBdr>
          <w:divsChild>
            <w:div w:id="2046787282">
              <w:marLeft w:val="0"/>
              <w:marRight w:val="0"/>
              <w:marTop w:val="0"/>
              <w:marBottom w:val="0"/>
              <w:divBdr>
                <w:top w:val="none" w:sz="0" w:space="0" w:color="auto"/>
                <w:left w:val="none" w:sz="0" w:space="0" w:color="auto"/>
                <w:bottom w:val="none" w:sz="0" w:space="0" w:color="auto"/>
                <w:right w:val="none" w:sz="0" w:space="0" w:color="auto"/>
              </w:divBdr>
            </w:div>
          </w:divsChild>
        </w:div>
        <w:div w:id="1188448519">
          <w:marLeft w:val="0"/>
          <w:marRight w:val="0"/>
          <w:marTop w:val="0"/>
          <w:marBottom w:val="0"/>
          <w:divBdr>
            <w:top w:val="none" w:sz="0" w:space="0" w:color="auto"/>
            <w:left w:val="none" w:sz="0" w:space="0" w:color="auto"/>
            <w:bottom w:val="none" w:sz="0" w:space="0" w:color="auto"/>
            <w:right w:val="none" w:sz="0" w:space="0" w:color="auto"/>
          </w:divBdr>
          <w:divsChild>
            <w:div w:id="1235359100">
              <w:marLeft w:val="0"/>
              <w:marRight w:val="0"/>
              <w:marTop w:val="0"/>
              <w:marBottom w:val="0"/>
              <w:divBdr>
                <w:top w:val="none" w:sz="0" w:space="0" w:color="auto"/>
                <w:left w:val="none" w:sz="0" w:space="0" w:color="auto"/>
                <w:bottom w:val="none" w:sz="0" w:space="0" w:color="auto"/>
                <w:right w:val="none" w:sz="0" w:space="0" w:color="auto"/>
              </w:divBdr>
            </w:div>
          </w:divsChild>
        </w:div>
        <w:div w:id="1954089511">
          <w:marLeft w:val="0"/>
          <w:marRight w:val="0"/>
          <w:marTop w:val="0"/>
          <w:marBottom w:val="0"/>
          <w:divBdr>
            <w:top w:val="none" w:sz="0" w:space="0" w:color="auto"/>
            <w:left w:val="none" w:sz="0" w:space="0" w:color="auto"/>
            <w:bottom w:val="none" w:sz="0" w:space="0" w:color="auto"/>
            <w:right w:val="none" w:sz="0" w:space="0" w:color="auto"/>
          </w:divBdr>
          <w:divsChild>
            <w:div w:id="10521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0D69-1966-4586-86FA-C1892562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 O'Connell</cp:lastModifiedBy>
  <cp:revision>49</cp:revision>
  <cp:lastPrinted>2019-08-27T05:42:00Z</cp:lastPrinted>
  <dcterms:created xsi:type="dcterms:W3CDTF">2021-08-17T11:41:00Z</dcterms:created>
  <dcterms:modified xsi:type="dcterms:W3CDTF">2022-03-01T14:27:00Z</dcterms:modified>
</cp:coreProperties>
</file>