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59700D"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59700D">
        <w:rPr>
          <w:rFonts w:ascii="Arial" w:hAnsi="Arial" w:cs="Arial"/>
          <w:sz w:val="22"/>
          <w:szCs w:val="22"/>
          <w:highlight w:val="yellow"/>
          <w:lang w:val="en-GB"/>
        </w:rPr>
        <w:t xml:space="preserve">All of the above. </w:t>
      </w:r>
      <w:bookmarkEnd w:id="1"/>
      <w:r w:rsidRPr="0059700D">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59700D" w:rsidRDefault="005F21F4" w:rsidP="005F21F4">
      <w:pPr>
        <w:pStyle w:val="ListParagraph"/>
        <w:numPr>
          <w:ilvl w:val="0"/>
          <w:numId w:val="14"/>
        </w:numPr>
        <w:ind w:left="426"/>
        <w:jc w:val="both"/>
        <w:rPr>
          <w:rFonts w:ascii="Arial" w:hAnsi="Arial" w:cs="Arial"/>
          <w:sz w:val="22"/>
          <w:szCs w:val="22"/>
          <w:highlight w:val="yellow"/>
          <w:lang w:val="en-GB"/>
        </w:rPr>
      </w:pPr>
      <w:r w:rsidRPr="0059700D">
        <w:rPr>
          <w:rFonts w:ascii="Arial" w:hAnsi="Arial" w:cs="Arial"/>
          <w:sz w:val="22"/>
          <w:szCs w:val="22"/>
          <w:highlight w:val="yellow"/>
          <w:lang w:val="en-GB"/>
        </w:rPr>
        <w:t>The existence of a statutory basis in national (insolvency) laws for co</w:t>
      </w:r>
      <w:r w:rsidR="00B61419" w:rsidRPr="0059700D">
        <w:rPr>
          <w:rFonts w:ascii="Arial" w:hAnsi="Arial" w:cs="Arial"/>
          <w:sz w:val="22"/>
          <w:szCs w:val="22"/>
          <w:highlight w:val="yellow"/>
          <w:lang w:val="en-GB"/>
        </w:rPr>
        <w:t>-</w:t>
      </w:r>
      <w:r w:rsidRPr="0059700D">
        <w:rPr>
          <w:rFonts w:ascii="Arial" w:hAnsi="Arial" w:cs="Arial"/>
          <w:sz w:val="22"/>
          <w:szCs w:val="22"/>
          <w:highlight w:val="yellow"/>
          <w:lang w:val="en-GB"/>
        </w:rPr>
        <w:t>operation and co</w:t>
      </w:r>
      <w:r w:rsidR="00B61419" w:rsidRPr="0059700D">
        <w:rPr>
          <w:rFonts w:ascii="Arial" w:hAnsi="Arial" w:cs="Arial"/>
          <w:sz w:val="22"/>
          <w:szCs w:val="22"/>
          <w:highlight w:val="yellow"/>
          <w:lang w:val="en-GB"/>
        </w:rPr>
        <w:t>-</w:t>
      </w:r>
      <w:r w:rsidRPr="0059700D">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ED38A7" w:rsidRDefault="00853A74" w:rsidP="00853A74">
      <w:pPr>
        <w:pStyle w:val="ListParagraph"/>
        <w:numPr>
          <w:ilvl w:val="0"/>
          <w:numId w:val="16"/>
        </w:numPr>
        <w:ind w:left="426"/>
        <w:jc w:val="both"/>
        <w:rPr>
          <w:rFonts w:ascii="Arial" w:hAnsi="Arial" w:cs="Arial"/>
          <w:sz w:val="22"/>
          <w:szCs w:val="22"/>
          <w:highlight w:val="yellow"/>
          <w:lang w:val="en-GB"/>
        </w:rPr>
      </w:pPr>
      <w:r w:rsidRPr="00ED38A7">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C105FE" w:rsidRDefault="00E57410" w:rsidP="00322F3B">
      <w:pPr>
        <w:pStyle w:val="ListParagraph"/>
        <w:numPr>
          <w:ilvl w:val="0"/>
          <w:numId w:val="18"/>
        </w:numPr>
        <w:ind w:left="426"/>
        <w:jc w:val="both"/>
        <w:rPr>
          <w:rFonts w:ascii="Arial" w:hAnsi="Arial" w:cs="Arial"/>
          <w:sz w:val="22"/>
          <w:szCs w:val="22"/>
          <w:lang w:val="en-GB"/>
        </w:rPr>
      </w:pPr>
      <w:r w:rsidRPr="00C105FE">
        <w:rPr>
          <w:rFonts w:ascii="Arial" w:hAnsi="Arial" w:cs="Arial"/>
          <w:sz w:val="22"/>
          <w:szCs w:val="22"/>
          <w:lang w:val="en-GB"/>
        </w:rPr>
        <w:t xml:space="preserve">The </w:t>
      </w:r>
      <w:r w:rsidRPr="00C105FE">
        <w:rPr>
          <w:rFonts w:ascii="Arial" w:hAnsi="Arial" w:cs="Arial"/>
          <w:i/>
          <w:iCs/>
          <w:sz w:val="22"/>
          <w:szCs w:val="22"/>
          <w:lang w:val="en-GB"/>
        </w:rPr>
        <w:t>locus standi</w:t>
      </w:r>
      <w:r w:rsidRPr="00C105FE">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C105FE" w:rsidRDefault="00E57410" w:rsidP="00322F3B">
      <w:pPr>
        <w:pStyle w:val="ListParagraph"/>
        <w:numPr>
          <w:ilvl w:val="0"/>
          <w:numId w:val="18"/>
        </w:numPr>
        <w:ind w:left="426"/>
        <w:jc w:val="both"/>
        <w:rPr>
          <w:rFonts w:ascii="Arial" w:hAnsi="Arial" w:cs="Arial"/>
          <w:sz w:val="22"/>
          <w:szCs w:val="22"/>
          <w:highlight w:val="yellow"/>
          <w:lang w:val="en-GB"/>
        </w:rPr>
      </w:pPr>
      <w:r w:rsidRPr="00C105FE">
        <w:rPr>
          <w:rFonts w:ascii="Arial" w:hAnsi="Arial" w:cs="Arial"/>
          <w:sz w:val="22"/>
          <w:szCs w:val="22"/>
          <w:highlight w:val="yellow"/>
          <w:lang w:val="en-GB"/>
        </w:rPr>
        <w:t xml:space="preserve">The </w:t>
      </w:r>
      <w:r w:rsidR="001747C2" w:rsidRPr="00C105FE">
        <w:rPr>
          <w:rFonts w:ascii="Arial" w:hAnsi="Arial" w:cs="Arial"/>
          <w:sz w:val="22"/>
          <w:szCs w:val="22"/>
          <w:highlight w:val="yellow"/>
          <w:lang w:val="en-GB"/>
        </w:rPr>
        <w:t>“</w:t>
      </w:r>
      <w:r w:rsidRPr="00C105FE">
        <w:rPr>
          <w:rFonts w:ascii="Arial" w:hAnsi="Arial" w:cs="Arial"/>
          <w:sz w:val="22"/>
          <w:szCs w:val="22"/>
          <w:highlight w:val="yellow"/>
          <w:lang w:val="en-GB"/>
        </w:rPr>
        <w:t>hotchpot</w:t>
      </w:r>
      <w:r w:rsidR="001747C2" w:rsidRPr="00C105FE">
        <w:rPr>
          <w:rFonts w:ascii="Arial" w:hAnsi="Arial" w:cs="Arial"/>
          <w:sz w:val="22"/>
          <w:szCs w:val="22"/>
          <w:highlight w:val="yellow"/>
          <w:lang w:val="en-GB"/>
        </w:rPr>
        <w:t>”</w:t>
      </w:r>
      <w:r w:rsidRPr="00C105FE">
        <w:rPr>
          <w:rFonts w:ascii="Arial" w:hAnsi="Arial" w:cs="Arial"/>
          <w:sz w:val="22"/>
          <w:szCs w:val="22"/>
          <w:highlight w:val="yellow"/>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5D1D69" w:rsidRDefault="00C504E5" w:rsidP="00C504E5">
      <w:pPr>
        <w:pStyle w:val="ListParagraph"/>
        <w:numPr>
          <w:ilvl w:val="0"/>
          <w:numId w:val="20"/>
        </w:numPr>
        <w:ind w:left="426"/>
        <w:jc w:val="both"/>
        <w:rPr>
          <w:rFonts w:ascii="Arial" w:hAnsi="Arial" w:cs="Arial"/>
          <w:sz w:val="22"/>
          <w:szCs w:val="22"/>
          <w:highlight w:val="yellow"/>
          <w:lang w:val="en-GB"/>
        </w:rPr>
      </w:pPr>
      <w:r w:rsidRPr="005D1D69">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5D1D69" w:rsidRDefault="00B72F5F" w:rsidP="00114082">
      <w:pPr>
        <w:pStyle w:val="ListParagraph"/>
        <w:numPr>
          <w:ilvl w:val="0"/>
          <w:numId w:val="26"/>
        </w:numPr>
        <w:ind w:left="426"/>
        <w:jc w:val="both"/>
        <w:rPr>
          <w:rFonts w:ascii="Arial" w:hAnsi="Arial" w:cs="Arial"/>
          <w:sz w:val="22"/>
          <w:szCs w:val="22"/>
          <w:highlight w:val="yellow"/>
          <w:lang w:val="en-GB"/>
        </w:rPr>
      </w:pPr>
      <w:r w:rsidRPr="005D1D69">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5D1D69">
        <w:rPr>
          <w:rFonts w:ascii="Arial" w:hAnsi="Arial" w:cs="Arial"/>
          <w:sz w:val="22"/>
          <w:szCs w:val="22"/>
          <w:highlight w:val="yellow"/>
          <w:lang w:val="en-GB"/>
        </w:rPr>
        <w:t>will</w:t>
      </w:r>
      <w:r w:rsidRPr="005D1D69">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5D1D69" w:rsidRDefault="0067294B" w:rsidP="00114082">
      <w:pPr>
        <w:pStyle w:val="ListParagraph"/>
        <w:numPr>
          <w:ilvl w:val="0"/>
          <w:numId w:val="27"/>
        </w:numPr>
        <w:ind w:left="426"/>
        <w:jc w:val="both"/>
        <w:rPr>
          <w:rFonts w:ascii="Arial" w:hAnsi="Arial" w:cs="Arial"/>
          <w:sz w:val="22"/>
          <w:szCs w:val="22"/>
          <w:highlight w:val="yellow"/>
          <w:lang w:val="en-GB"/>
        </w:rPr>
      </w:pPr>
      <w:r w:rsidRPr="005D1D69">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5D1D69" w:rsidRDefault="004E0549" w:rsidP="00114082">
      <w:pPr>
        <w:pStyle w:val="ListParagraph"/>
        <w:numPr>
          <w:ilvl w:val="0"/>
          <w:numId w:val="28"/>
        </w:numPr>
        <w:ind w:left="426"/>
        <w:jc w:val="both"/>
        <w:rPr>
          <w:rFonts w:ascii="Arial" w:hAnsi="Arial" w:cs="Arial"/>
          <w:sz w:val="22"/>
          <w:szCs w:val="22"/>
          <w:highlight w:val="yellow"/>
          <w:lang w:val="en-GB"/>
        </w:rPr>
      </w:pPr>
      <w:r w:rsidRPr="005D1D69">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323ED" w:rsidRDefault="00573E73" w:rsidP="00114082">
      <w:pPr>
        <w:pStyle w:val="ListParagraph"/>
        <w:numPr>
          <w:ilvl w:val="0"/>
          <w:numId w:val="29"/>
        </w:numPr>
        <w:ind w:left="426"/>
        <w:jc w:val="both"/>
        <w:rPr>
          <w:rFonts w:ascii="Arial" w:hAnsi="Arial" w:cs="Arial"/>
          <w:sz w:val="22"/>
          <w:szCs w:val="22"/>
          <w:highlight w:val="yellow"/>
          <w:lang w:val="en-GB"/>
        </w:rPr>
      </w:pPr>
      <w:r w:rsidRPr="009323ED">
        <w:rPr>
          <w:rFonts w:ascii="Arial" w:hAnsi="Arial" w:cs="Arial"/>
          <w:sz w:val="22"/>
          <w:szCs w:val="22"/>
          <w:highlight w:val="yellow"/>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323ED" w:rsidRDefault="00114082" w:rsidP="00114082">
      <w:pPr>
        <w:pStyle w:val="ListParagraph"/>
        <w:numPr>
          <w:ilvl w:val="0"/>
          <w:numId w:val="30"/>
        </w:numPr>
        <w:ind w:left="426"/>
        <w:jc w:val="both"/>
        <w:rPr>
          <w:rFonts w:ascii="Arial" w:hAnsi="Arial" w:cs="Arial"/>
          <w:sz w:val="22"/>
          <w:szCs w:val="22"/>
          <w:lang w:val="en-GB"/>
        </w:rPr>
      </w:pPr>
      <w:r w:rsidRPr="009323ED">
        <w:rPr>
          <w:rFonts w:ascii="Arial" w:hAnsi="Arial" w:cs="Arial"/>
          <w:sz w:val="22"/>
          <w:szCs w:val="22"/>
          <w:lang w:val="en-GB"/>
        </w:rPr>
        <w:t>The UNCITRAL Guide of Enactment and the Practice Guide</w:t>
      </w:r>
      <w:r w:rsidR="00835FD1" w:rsidRPr="009323ED">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0771CD" w:rsidRDefault="00114082" w:rsidP="00114082">
      <w:pPr>
        <w:pStyle w:val="ListParagraph"/>
        <w:numPr>
          <w:ilvl w:val="0"/>
          <w:numId w:val="30"/>
        </w:numPr>
        <w:ind w:left="426"/>
        <w:jc w:val="both"/>
        <w:rPr>
          <w:rFonts w:ascii="Arial" w:hAnsi="Arial" w:cs="Arial"/>
          <w:sz w:val="22"/>
          <w:szCs w:val="22"/>
          <w:lang w:val="en-GB"/>
        </w:rPr>
      </w:pPr>
      <w:r w:rsidRPr="000771CD">
        <w:rPr>
          <w:rFonts w:ascii="Arial" w:hAnsi="Arial" w:cs="Arial"/>
          <w:sz w:val="22"/>
          <w:szCs w:val="22"/>
          <w:lang w:val="en-GB"/>
        </w:rPr>
        <w:t>The UNCITRAL Guide of Enactment and the Legislative Guide – Parts One, Two, Three and Four</w:t>
      </w:r>
      <w:r w:rsidR="00835FD1" w:rsidRPr="000771CD">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0771CD"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0771CD">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63BC841F" w:rsidR="009B07AD" w:rsidRPr="009B5832" w:rsidRDefault="00F40AC4"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appropriate date of determining COMI of a debtor or whether an establishment exists is the date of commencement of the foreign proceedings. It is possible for the COMI of a debtor to move locations. However, the shifting of COMI closer to the date of commencement of the foreign proceedings, in terms of timing may create issues, among other things, it </w:t>
      </w:r>
      <w:r w:rsidR="00DE14EA">
        <w:rPr>
          <w:rFonts w:ascii="Arial" w:hAnsi="Arial" w:cs="Arial"/>
          <w:color w:val="7B7B7B" w:themeColor="accent3" w:themeShade="BF"/>
          <w:sz w:val="22"/>
          <w:szCs w:val="22"/>
          <w:lang w:val="en-GB"/>
        </w:rPr>
        <w:t xml:space="preserve">not </w:t>
      </w:r>
      <w:r>
        <w:rPr>
          <w:rFonts w:ascii="Arial" w:hAnsi="Arial" w:cs="Arial"/>
          <w:color w:val="7B7B7B" w:themeColor="accent3" w:themeShade="BF"/>
          <w:sz w:val="22"/>
          <w:szCs w:val="22"/>
          <w:lang w:val="en-GB"/>
        </w:rPr>
        <w:t>being readily ascertainable as the COMI by the creditors (which is a key factor in determining COMI under MLCBI).</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69E1A538" w:rsidR="009B07AD" w:rsidRDefault="00F40AC4" w:rsidP="00707FC8">
      <w:pPr>
        <w:ind w:left="720" w:hanging="720"/>
        <w:jc w:val="both"/>
        <w:rPr>
          <w:rFonts w:ascii="Arial" w:hAnsi="Arial" w:cs="Arial"/>
          <w:color w:val="7B7B7B" w:themeColor="accent3" w:themeShade="BF"/>
          <w:sz w:val="22"/>
          <w:szCs w:val="22"/>
          <w:lang w:val="en-GB"/>
        </w:rPr>
      </w:pPr>
      <w:r w:rsidRPr="00005062">
        <w:rPr>
          <w:rFonts w:ascii="Arial" w:hAnsi="Arial" w:cs="Arial"/>
          <w:color w:val="7B7B7B" w:themeColor="accent3" w:themeShade="BF"/>
          <w:sz w:val="22"/>
          <w:szCs w:val="22"/>
          <w:u w:val="single"/>
          <w:lang w:val="en-GB"/>
        </w:rPr>
        <w:t>Statement 1</w:t>
      </w:r>
      <w:r>
        <w:rPr>
          <w:rFonts w:ascii="Arial" w:hAnsi="Arial" w:cs="Arial"/>
          <w:color w:val="7B7B7B" w:themeColor="accent3" w:themeShade="BF"/>
          <w:sz w:val="22"/>
          <w:szCs w:val="22"/>
          <w:lang w:val="en-GB"/>
        </w:rPr>
        <w:t xml:space="preserve">: </w:t>
      </w:r>
      <w:r w:rsidR="00005062">
        <w:rPr>
          <w:rFonts w:ascii="Arial" w:hAnsi="Arial" w:cs="Arial"/>
          <w:color w:val="7B7B7B" w:themeColor="accent3" w:themeShade="BF"/>
          <w:sz w:val="22"/>
          <w:szCs w:val="22"/>
          <w:lang w:val="en-GB"/>
        </w:rPr>
        <w:t xml:space="preserve">Article 30(c) provides guidance on the treatment of concurrent foreign non-main proceedings. In case of more than one foreign non-main proceedings, neither is a priori treated preferentially. </w:t>
      </w:r>
    </w:p>
    <w:p w14:paraId="108C4DC2" w14:textId="066D651B" w:rsidR="00005062" w:rsidRDefault="00005062" w:rsidP="00707FC8">
      <w:pPr>
        <w:ind w:left="720" w:hanging="720"/>
        <w:jc w:val="both"/>
        <w:rPr>
          <w:rFonts w:ascii="Arial" w:hAnsi="Arial" w:cs="Arial"/>
          <w:color w:val="7B7B7B" w:themeColor="accent3" w:themeShade="BF"/>
          <w:sz w:val="22"/>
          <w:szCs w:val="22"/>
          <w:lang w:val="en-GB"/>
        </w:rPr>
      </w:pPr>
    </w:p>
    <w:p w14:paraId="35568AFB" w14:textId="77777777" w:rsidR="00C105FE" w:rsidRDefault="00005062" w:rsidP="00707FC8">
      <w:pPr>
        <w:ind w:left="720" w:hanging="720"/>
        <w:jc w:val="both"/>
        <w:rPr>
          <w:rFonts w:ascii="Arial" w:hAnsi="Arial" w:cs="Arial"/>
          <w:color w:val="7B7B7B" w:themeColor="accent3" w:themeShade="BF"/>
          <w:sz w:val="22"/>
          <w:szCs w:val="22"/>
          <w:lang w:val="en-GB"/>
        </w:rPr>
      </w:pPr>
      <w:r w:rsidRPr="00005062">
        <w:rPr>
          <w:rFonts w:ascii="Arial" w:hAnsi="Arial" w:cs="Arial"/>
          <w:color w:val="7B7B7B" w:themeColor="accent3" w:themeShade="BF"/>
          <w:sz w:val="22"/>
          <w:szCs w:val="22"/>
          <w:u w:val="single"/>
          <w:lang w:val="en-GB"/>
        </w:rPr>
        <w:t>Statement 2</w:t>
      </w:r>
      <w:r>
        <w:rPr>
          <w:rFonts w:ascii="Arial" w:hAnsi="Arial" w:cs="Arial"/>
          <w:color w:val="7B7B7B" w:themeColor="accent3" w:themeShade="BF"/>
          <w:sz w:val="22"/>
          <w:szCs w:val="22"/>
          <w:lang w:val="en-GB"/>
        </w:rPr>
        <w:t xml:space="preserve">: </w:t>
      </w:r>
      <w:r w:rsidR="00C105FE">
        <w:rPr>
          <w:rFonts w:ascii="Arial" w:hAnsi="Arial" w:cs="Arial"/>
          <w:color w:val="7B7B7B" w:themeColor="accent3" w:themeShade="BF"/>
          <w:sz w:val="22"/>
          <w:szCs w:val="22"/>
          <w:lang w:val="en-GB"/>
        </w:rPr>
        <w:t xml:space="preserve">Article 32 sets out the hotchpot rule which provides for the treatment of creditor claims where such creditor seeks relief and payment of outstanding debt in multiple proceedings. However, this is without prejudice to the secured claims. </w:t>
      </w:r>
    </w:p>
    <w:p w14:paraId="1C9E0DD2" w14:textId="77777777" w:rsidR="00C105FE" w:rsidRDefault="00C105FE" w:rsidP="00707FC8">
      <w:pPr>
        <w:ind w:left="720" w:hanging="720"/>
        <w:jc w:val="both"/>
        <w:rPr>
          <w:rFonts w:ascii="Arial" w:hAnsi="Arial" w:cs="Arial"/>
          <w:color w:val="7B7B7B" w:themeColor="accent3" w:themeShade="BF"/>
          <w:sz w:val="22"/>
          <w:szCs w:val="22"/>
          <w:lang w:val="en-GB"/>
        </w:rPr>
      </w:pPr>
    </w:p>
    <w:p w14:paraId="2DCC62CC" w14:textId="5B973AA9" w:rsidR="00005062" w:rsidRPr="007A693E" w:rsidRDefault="00C105FE" w:rsidP="00707FC8">
      <w:pPr>
        <w:ind w:left="720" w:hanging="720"/>
        <w:jc w:val="both"/>
        <w:rPr>
          <w:rFonts w:ascii="Arial" w:hAnsi="Arial" w:cs="Arial"/>
          <w:color w:val="7B7B7B" w:themeColor="accent3" w:themeShade="BF"/>
          <w:sz w:val="22"/>
          <w:szCs w:val="22"/>
          <w:lang w:val="en-GB"/>
        </w:rPr>
      </w:pPr>
      <w:r w:rsidRPr="007A693E">
        <w:rPr>
          <w:rFonts w:ascii="Arial" w:hAnsi="Arial" w:cs="Arial"/>
          <w:color w:val="7B7B7B" w:themeColor="accent3" w:themeShade="BF"/>
          <w:sz w:val="22"/>
          <w:szCs w:val="22"/>
          <w:u w:val="single"/>
          <w:lang w:val="en-GB"/>
        </w:rPr>
        <w:t>Statement 3</w:t>
      </w:r>
      <w:r w:rsidRPr="007A693E">
        <w:rPr>
          <w:rFonts w:ascii="Arial" w:hAnsi="Arial" w:cs="Arial"/>
          <w:color w:val="7B7B7B" w:themeColor="accent3" w:themeShade="BF"/>
          <w:sz w:val="22"/>
          <w:szCs w:val="22"/>
          <w:lang w:val="en-GB"/>
        </w:rPr>
        <w:t>:</w:t>
      </w:r>
      <w:r w:rsidR="007A693E" w:rsidRPr="007A693E">
        <w:rPr>
          <w:rFonts w:ascii="Arial" w:hAnsi="Arial" w:cs="Arial"/>
          <w:color w:val="7B7B7B" w:themeColor="accent3" w:themeShade="BF"/>
          <w:sz w:val="22"/>
          <w:szCs w:val="22"/>
          <w:lang w:val="en-GB"/>
        </w:rPr>
        <w:t xml:space="preserve"> Article 31 of the Model Law provides that there is a rebuttable presumption of the inso</w:t>
      </w:r>
      <w:r w:rsidR="00156541">
        <w:rPr>
          <w:rFonts w:ascii="Arial" w:hAnsi="Arial" w:cs="Arial"/>
          <w:color w:val="7B7B7B" w:themeColor="accent3" w:themeShade="BF"/>
          <w:sz w:val="22"/>
          <w:szCs w:val="22"/>
          <w:lang w:val="en-GB"/>
        </w:rPr>
        <w:t>lvency of a debtor if a foreign-main proceeding</w:t>
      </w:r>
      <w:r w:rsidR="007A693E" w:rsidRPr="007A693E">
        <w:rPr>
          <w:rFonts w:ascii="Arial" w:hAnsi="Arial" w:cs="Arial"/>
          <w:color w:val="7B7B7B" w:themeColor="accent3" w:themeShade="BF"/>
          <w:sz w:val="22"/>
          <w:szCs w:val="22"/>
          <w:lang w:val="en-GB"/>
        </w:rPr>
        <w:t xml:space="preserve"> is recognised by an enacting state.</w:t>
      </w:r>
    </w:p>
    <w:p w14:paraId="6ECA0F4C" w14:textId="1A41F703" w:rsidR="00C105FE" w:rsidRPr="009B5832" w:rsidRDefault="00C105FE" w:rsidP="00C105FE">
      <w:pPr>
        <w:jc w:val="both"/>
        <w:rPr>
          <w:rFonts w:ascii="Arial" w:hAnsi="Arial" w:cs="Arial"/>
          <w:sz w:val="22"/>
          <w:szCs w:val="22"/>
          <w:lang w:val="en-GB"/>
        </w:rPr>
      </w:pP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47A78EF" w14:textId="511A90E9" w:rsidR="00A8474E" w:rsidRDefault="007A693E" w:rsidP="0015654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IBA case appeal,</w:t>
      </w:r>
      <w:r w:rsidR="001F6DF3">
        <w:rPr>
          <w:rFonts w:ascii="Arial" w:hAnsi="Arial" w:cs="Arial"/>
          <w:color w:val="7B7B7B" w:themeColor="accent3" w:themeShade="BF"/>
          <w:sz w:val="22"/>
          <w:szCs w:val="22"/>
          <w:lang w:val="en-GB"/>
        </w:rPr>
        <w:t xml:space="preserve"> the English Court of Appeal</w:t>
      </w:r>
      <w:r w:rsidR="00D1579C">
        <w:rPr>
          <w:rFonts w:ascii="Arial" w:hAnsi="Arial" w:cs="Arial"/>
          <w:color w:val="7B7B7B" w:themeColor="accent3" w:themeShade="BF"/>
          <w:sz w:val="22"/>
          <w:szCs w:val="22"/>
          <w:lang w:val="en-GB"/>
        </w:rPr>
        <w:t xml:space="preserve"> (</w:t>
      </w:r>
      <w:r w:rsidR="00D1579C" w:rsidRPr="00D1579C">
        <w:rPr>
          <w:rFonts w:ascii="Arial" w:hAnsi="Arial" w:cs="Arial"/>
          <w:b/>
          <w:i/>
          <w:color w:val="7B7B7B" w:themeColor="accent3" w:themeShade="BF"/>
          <w:sz w:val="22"/>
          <w:szCs w:val="22"/>
          <w:lang w:val="en-GB"/>
        </w:rPr>
        <w:t>CA</w:t>
      </w:r>
      <w:r w:rsidR="00D1579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identified that the real issue in the </w:t>
      </w:r>
      <w:r w:rsidR="001F6DF3">
        <w:rPr>
          <w:rFonts w:ascii="Arial" w:hAnsi="Arial" w:cs="Arial"/>
          <w:color w:val="7B7B7B" w:themeColor="accent3" w:themeShade="BF"/>
          <w:sz w:val="22"/>
          <w:szCs w:val="22"/>
          <w:lang w:val="en-GB"/>
        </w:rPr>
        <w:t>case</w:t>
      </w:r>
      <w:r>
        <w:rPr>
          <w:rFonts w:ascii="Arial" w:hAnsi="Arial" w:cs="Arial"/>
          <w:color w:val="7B7B7B" w:themeColor="accent3" w:themeShade="BF"/>
          <w:sz w:val="22"/>
          <w:szCs w:val="22"/>
          <w:lang w:val="en-GB"/>
        </w:rPr>
        <w:t xml:space="preserve"> was whether </w:t>
      </w:r>
      <w:r w:rsidR="001F6DF3">
        <w:rPr>
          <w:rFonts w:ascii="Arial" w:hAnsi="Arial" w:cs="Arial"/>
          <w:color w:val="7B7B7B" w:themeColor="accent3" w:themeShade="BF"/>
          <w:sz w:val="22"/>
          <w:szCs w:val="22"/>
          <w:lang w:val="en-GB"/>
        </w:rPr>
        <w:t xml:space="preserve">as a matter of settled practice, </w:t>
      </w:r>
      <w:r>
        <w:rPr>
          <w:rFonts w:ascii="Arial" w:hAnsi="Arial" w:cs="Arial"/>
          <w:color w:val="7B7B7B" w:themeColor="accent3" w:themeShade="BF"/>
          <w:sz w:val="22"/>
          <w:szCs w:val="22"/>
          <w:lang w:val="en-GB"/>
        </w:rPr>
        <w:t>the court should exercise its power to grant indefinite moratorium continuation</w:t>
      </w:r>
      <w:r w:rsidR="001F6DF3">
        <w:rPr>
          <w:rFonts w:ascii="Arial" w:hAnsi="Arial" w:cs="Arial"/>
          <w:color w:val="7B7B7B" w:themeColor="accent3" w:themeShade="BF"/>
          <w:sz w:val="22"/>
          <w:szCs w:val="22"/>
          <w:lang w:val="en-GB"/>
        </w:rPr>
        <w:t xml:space="preserve"> </w:t>
      </w:r>
      <w:r w:rsidR="00156541">
        <w:rPr>
          <w:rFonts w:ascii="Arial" w:hAnsi="Arial" w:cs="Arial"/>
          <w:color w:val="7B7B7B" w:themeColor="accent3" w:themeShade="BF"/>
          <w:sz w:val="22"/>
          <w:szCs w:val="22"/>
          <w:lang w:val="en-GB"/>
        </w:rPr>
        <w:t>(</w:t>
      </w:r>
      <w:r w:rsidR="00156541" w:rsidRPr="00156541">
        <w:rPr>
          <w:rFonts w:ascii="Arial" w:hAnsi="Arial" w:cs="Arial"/>
          <w:b/>
          <w:i/>
          <w:color w:val="7B7B7B" w:themeColor="accent3" w:themeShade="BF"/>
          <w:sz w:val="22"/>
          <w:szCs w:val="22"/>
          <w:lang w:val="en-GB"/>
        </w:rPr>
        <w:t>IDC</w:t>
      </w:r>
      <w:r w:rsidR="00156541">
        <w:rPr>
          <w:rFonts w:ascii="Arial" w:hAnsi="Arial" w:cs="Arial"/>
          <w:color w:val="7B7B7B" w:themeColor="accent3" w:themeShade="BF"/>
          <w:sz w:val="22"/>
          <w:szCs w:val="22"/>
          <w:lang w:val="en-GB"/>
        </w:rPr>
        <w:t>) and if it would: (1) prevent the creditors challenging the IDC, in substance, from enforcing their English law rights in accordance with the rule in Gibbs</w:t>
      </w:r>
      <w:r w:rsidR="003C48B0">
        <w:rPr>
          <w:rStyle w:val="FootnoteReference"/>
          <w:rFonts w:ascii="Arial" w:hAnsi="Arial" w:cs="Arial"/>
          <w:color w:val="7B7B7B" w:themeColor="accent3" w:themeShade="BF"/>
          <w:sz w:val="22"/>
          <w:szCs w:val="22"/>
          <w:lang w:val="en-GB"/>
        </w:rPr>
        <w:footnoteReference w:id="1"/>
      </w:r>
      <w:r w:rsidR="00156541">
        <w:rPr>
          <w:rFonts w:ascii="Arial" w:hAnsi="Arial" w:cs="Arial"/>
          <w:color w:val="7B7B7B" w:themeColor="accent3" w:themeShade="BF"/>
          <w:sz w:val="22"/>
          <w:szCs w:val="22"/>
          <w:lang w:val="en-GB"/>
        </w:rPr>
        <w:t xml:space="preserve"> (i.e. debt governed </w:t>
      </w:r>
      <w:r w:rsidR="00A8474E">
        <w:rPr>
          <w:rFonts w:ascii="Arial" w:hAnsi="Arial" w:cs="Arial"/>
          <w:color w:val="7B7B7B" w:themeColor="accent3" w:themeShade="BF"/>
          <w:sz w:val="22"/>
          <w:szCs w:val="22"/>
          <w:lang w:val="en-GB"/>
        </w:rPr>
        <w:t xml:space="preserve">by English law cannot be discharged by foreign proceedings) and/or (2) prolong the stay granted to the debtor after the Azeri reconstruction has ended. </w:t>
      </w:r>
    </w:p>
    <w:p w14:paraId="05520600" w14:textId="77777777" w:rsidR="00D1579C" w:rsidRDefault="00D1579C" w:rsidP="00156541">
      <w:pPr>
        <w:ind w:left="720" w:hanging="720"/>
        <w:jc w:val="both"/>
        <w:rPr>
          <w:rFonts w:ascii="Arial" w:hAnsi="Arial" w:cs="Arial"/>
          <w:color w:val="7B7B7B" w:themeColor="accent3" w:themeShade="BF"/>
          <w:sz w:val="22"/>
          <w:szCs w:val="22"/>
          <w:lang w:val="en-GB"/>
        </w:rPr>
      </w:pPr>
    </w:p>
    <w:p w14:paraId="6FDCA7B9" w14:textId="0222B5C3" w:rsidR="00156541" w:rsidRPr="00156541" w:rsidRDefault="00A8474E" w:rsidP="0015654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D1579C">
        <w:rPr>
          <w:rFonts w:ascii="Arial" w:hAnsi="Arial" w:cs="Arial"/>
          <w:color w:val="7B7B7B" w:themeColor="accent3" w:themeShade="BF"/>
          <w:sz w:val="22"/>
          <w:szCs w:val="22"/>
          <w:lang w:val="en-GB"/>
        </w:rPr>
        <w:t xml:space="preserve"> CA ruled the above issues in favour of the challenging creditors and held that an English court could properly grant an IDC if it were satisfied that (a) the stay would have to be necessary to protect the interest of the creditors and (b) the stay would have to be appropriate way of achieving such protection for the creditors. </w:t>
      </w:r>
      <w:r>
        <w:rPr>
          <w:rFonts w:ascii="Arial" w:hAnsi="Arial" w:cs="Arial"/>
          <w:color w:val="7B7B7B" w:themeColor="accent3" w:themeShade="BF"/>
          <w:sz w:val="22"/>
          <w:szCs w:val="22"/>
          <w:lang w:val="en-GB"/>
        </w:rPr>
        <w:t xml:space="preserve"> </w:t>
      </w:r>
      <w:r w:rsidR="00D1579C">
        <w:rPr>
          <w:rFonts w:ascii="Arial" w:hAnsi="Arial" w:cs="Arial"/>
          <w:color w:val="7B7B7B" w:themeColor="accent3" w:themeShade="BF"/>
          <w:sz w:val="22"/>
          <w:szCs w:val="22"/>
          <w:lang w:val="en-GB"/>
        </w:rPr>
        <w:t>As neither of these were satisfied in this case, the CA rules in favour of the challenging creditors.</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35EAB1EB" w:rsidR="0041139B" w:rsidRDefault="0068760E"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1052CF">
        <w:rPr>
          <w:rFonts w:ascii="Arial" w:hAnsi="Arial" w:cs="Arial"/>
          <w:color w:val="7B7B7B" w:themeColor="accent3" w:themeShade="BF"/>
          <w:sz w:val="22"/>
          <w:szCs w:val="22"/>
          <w:lang w:val="en-GB"/>
        </w:rPr>
        <w:t>immediate consequence</w:t>
      </w:r>
      <w:r>
        <w:rPr>
          <w:rFonts w:ascii="Arial" w:hAnsi="Arial" w:cs="Arial"/>
          <w:color w:val="7B7B7B" w:themeColor="accent3" w:themeShade="BF"/>
          <w:sz w:val="22"/>
          <w:szCs w:val="22"/>
          <w:lang w:val="en-GB"/>
        </w:rPr>
        <w:t xml:space="preserve"> upon recognition of a foreign main proceeding is the grant of automatic </w:t>
      </w:r>
      <w:r w:rsidR="001052CF">
        <w:rPr>
          <w:rFonts w:ascii="Arial" w:hAnsi="Arial" w:cs="Arial"/>
          <w:color w:val="7B7B7B" w:themeColor="accent3" w:themeShade="BF"/>
          <w:sz w:val="22"/>
          <w:szCs w:val="22"/>
          <w:lang w:val="en-GB"/>
        </w:rPr>
        <w:t>mandatory relief under Article 20 of the MLCBI.</w:t>
      </w:r>
      <w:r>
        <w:rPr>
          <w:rFonts w:ascii="Arial" w:hAnsi="Arial" w:cs="Arial"/>
          <w:color w:val="7B7B7B" w:themeColor="accent3" w:themeShade="BF"/>
          <w:sz w:val="22"/>
          <w:szCs w:val="22"/>
          <w:lang w:val="en-GB"/>
        </w:rPr>
        <w:t xml:space="preserve"> </w:t>
      </w:r>
      <w:r w:rsidR="001052CF">
        <w:rPr>
          <w:rFonts w:ascii="Arial" w:hAnsi="Arial" w:cs="Arial"/>
          <w:color w:val="7B7B7B" w:themeColor="accent3" w:themeShade="BF"/>
          <w:sz w:val="22"/>
          <w:szCs w:val="22"/>
          <w:lang w:val="en-GB"/>
        </w:rPr>
        <w:t xml:space="preserve">This includes the grant of </w:t>
      </w:r>
      <w:r w:rsidR="001052CF">
        <w:rPr>
          <w:rFonts w:ascii="Arial" w:hAnsi="Arial" w:cs="Arial"/>
          <w:color w:val="7B7B7B" w:themeColor="accent3" w:themeShade="BF"/>
          <w:sz w:val="22"/>
          <w:szCs w:val="22"/>
          <w:lang w:val="en-GB"/>
        </w:rPr>
        <w:lastRenderedPageBreak/>
        <w:t>automatic stay against the commenc</w:t>
      </w:r>
      <w:bookmarkStart w:id="4" w:name="_GoBack"/>
      <w:bookmarkEnd w:id="4"/>
      <w:r w:rsidR="001052CF">
        <w:rPr>
          <w:rFonts w:ascii="Arial" w:hAnsi="Arial" w:cs="Arial"/>
          <w:color w:val="7B7B7B" w:themeColor="accent3" w:themeShade="BF"/>
          <w:sz w:val="22"/>
          <w:szCs w:val="22"/>
          <w:lang w:val="en-GB"/>
        </w:rPr>
        <w:t xml:space="preserve">ement or continuation of actions against the debtor. </w:t>
      </w:r>
    </w:p>
    <w:p w14:paraId="07B842A4" w14:textId="5D7F09B7" w:rsidR="001052CF" w:rsidRPr="001052CF" w:rsidRDefault="001052CF" w:rsidP="001052C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18 of the MLCBI requires the foreign representative (as an ongoing duty) from </w:t>
      </w:r>
      <w:r w:rsidR="00BC1AD7">
        <w:rPr>
          <w:rFonts w:ascii="Arial" w:hAnsi="Arial" w:cs="Arial"/>
          <w:color w:val="7B7B7B" w:themeColor="accent3" w:themeShade="BF"/>
          <w:sz w:val="22"/>
          <w:szCs w:val="22"/>
          <w:lang w:val="en-GB"/>
        </w:rPr>
        <w:t xml:space="preserve">the time of filing </w:t>
      </w:r>
      <w:r w:rsidR="005C415F">
        <w:rPr>
          <w:rFonts w:ascii="Arial" w:hAnsi="Arial" w:cs="Arial"/>
          <w:color w:val="7B7B7B" w:themeColor="accent3" w:themeShade="BF"/>
          <w:sz w:val="22"/>
          <w:szCs w:val="22"/>
          <w:lang w:val="en-GB"/>
        </w:rPr>
        <w:t xml:space="preserve">the </w:t>
      </w:r>
      <w:r w:rsidR="00BC1AD7">
        <w:rPr>
          <w:rFonts w:ascii="Arial" w:hAnsi="Arial" w:cs="Arial"/>
          <w:color w:val="7B7B7B" w:themeColor="accent3" w:themeShade="BF"/>
          <w:sz w:val="22"/>
          <w:szCs w:val="22"/>
          <w:lang w:val="en-GB"/>
        </w:rPr>
        <w:t xml:space="preserve">recognition application for the foreign proceeding, to promptly inform the court in the </w:t>
      </w:r>
      <w:r w:rsidR="002945B7">
        <w:rPr>
          <w:rFonts w:ascii="Arial" w:hAnsi="Arial" w:cs="Arial"/>
          <w:color w:val="7B7B7B" w:themeColor="accent3" w:themeShade="BF"/>
          <w:sz w:val="22"/>
          <w:szCs w:val="22"/>
          <w:lang w:val="en-GB"/>
        </w:rPr>
        <w:t>enacting</w:t>
      </w:r>
      <w:r w:rsidR="00BC1AD7">
        <w:rPr>
          <w:rFonts w:ascii="Arial" w:hAnsi="Arial" w:cs="Arial"/>
          <w:color w:val="7B7B7B" w:themeColor="accent3" w:themeShade="BF"/>
          <w:sz w:val="22"/>
          <w:szCs w:val="22"/>
          <w:lang w:val="en-GB"/>
        </w:rPr>
        <w:t xml:space="preserve"> state of </w:t>
      </w:r>
      <w:r w:rsidR="005C415F">
        <w:rPr>
          <w:rFonts w:ascii="Arial" w:hAnsi="Arial" w:cs="Arial"/>
          <w:color w:val="7B7B7B" w:themeColor="accent3" w:themeShade="BF"/>
          <w:sz w:val="22"/>
          <w:szCs w:val="22"/>
          <w:lang w:val="en-GB"/>
        </w:rPr>
        <w:t xml:space="preserve">(1) any substantial change in the status of the recognised foreign proceeding or the status of the foreign representative’s appointment and (2) any foreign proceeding regarding the same debtor that becomes known to the foreign representative.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5"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5"/>
    <w:p w14:paraId="318A14AF" w14:textId="77777777" w:rsidR="00C550C8" w:rsidRPr="009B5832" w:rsidRDefault="00C550C8" w:rsidP="00707FC8">
      <w:pPr>
        <w:jc w:val="both"/>
        <w:rPr>
          <w:rFonts w:ascii="Arial" w:hAnsi="Arial" w:cs="Arial"/>
          <w:sz w:val="22"/>
          <w:szCs w:val="22"/>
          <w:lang w:val="en-GB"/>
        </w:rPr>
      </w:pPr>
    </w:p>
    <w:p w14:paraId="379E2747" w14:textId="77777777" w:rsidR="00867346" w:rsidRDefault="00940F7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and co-ordination rights can greatly benefit the foreign representative to secure co-operation from the courts and communicate directly with State A. </w:t>
      </w:r>
    </w:p>
    <w:p w14:paraId="201ACF5D" w14:textId="3A84ED61" w:rsidR="00867346" w:rsidRPr="00867346" w:rsidRDefault="00867346" w:rsidP="00867346">
      <w:pPr>
        <w:pStyle w:val="ListParagraph"/>
        <w:numPr>
          <w:ilvl w:val="0"/>
          <w:numId w:val="43"/>
        </w:numPr>
        <w:jc w:val="both"/>
        <w:rPr>
          <w:rFonts w:ascii="Arial" w:hAnsi="Arial" w:cs="Arial"/>
          <w:sz w:val="24"/>
          <w:lang w:val="en-GB"/>
        </w:rPr>
      </w:pPr>
      <w:r w:rsidRPr="00867346">
        <w:rPr>
          <w:rFonts w:ascii="Arial" w:hAnsi="Arial" w:cs="Arial"/>
          <w:color w:val="7B7B7B" w:themeColor="accent3" w:themeShade="BF"/>
          <w:sz w:val="22"/>
          <w:szCs w:val="22"/>
          <w:u w:val="single"/>
          <w:lang w:val="en-GB"/>
        </w:rPr>
        <w:t>Co-operation not dependent upon recognition</w:t>
      </w:r>
      <w:r>
        <w:rPr>
          <w:rFonts w:ascii="Arial" w:hAnsi="Arial" w:cs="Arial"/>
          <w:color w:val="7B7B7B" w:themeColor="accent3" w:themeShade="BF"/>
          <w:sz w:val="22"/>
          <w:szCs w:val="22"/>
          <w:lang w:val="en-GB"/>
        </w:rPr>
        <w:t xml:space="preserve">: </w:t>
      </w:r>
      <w:r w:rsidR="00940F74" w:rsidRPr="00867346">
        <w:rPr>
          <w:rFonts w:ascii="Arial" w:hAnsi="Arial" w:cs="Arial"/>
          <w:color w:val="7B7B7B" w:themeColor="accent3" w:themeShade="BF"/>
          <w:sz w:val="22"/>
          <w:szCs w:val="22"/>
          <w:lang w:val="en-GB"/>
        </w:rPr>
        <w:t xml:space="preserve">These rights are available </w:t>
      </w:r>
      <w:r>
        <w:rPr>
          <w:rFonts w:ascii="Arial" w:hAnsi="Arial" w:cs="Arial"/>
          <w:color w:val="7B7B7B" w:themeColor="accent3" w:themeShade="BF"/>
          <w:sz w:val="22"/>
          <w:szCs w:val="22"/>
          <w:lang w:val="en-GB"/>
        </w:rPr>
        <w:t xml:space="preserve">to the foreign representative of State B </w:t>
      </w:r>
      <w:r w:rsidR="00940F74" w:rsidRPr="00867346">
        <w:rPr>
          <w:rFonts w:ascii="Arial" w:hAnsi="Arial" w:cs="Arial"/>
          <w:color w:val="7B7B7B" w:themeColor="accent3" w:themeShade="BF"/>
          <w:sz w:val="22"/>
          <w:szCs w:val="22"/>
          <w:lang w:val="en-GB"/>
        </w:rPr>
        <w:t xml:space="preserve">even prior to making a recognition application. This is because </w:t>
      </w:r>
      <w:r w:rsidR="008F4DB5">
        <w:rPr>
          <w:rFonts w:ascii="Arial" w:hAnsi="Arial" w:cs="Arial"/>
          <w:color w:val="7B7B7B" w:themeColor="accent3" w:themeShade="BF"/>
          <w:sz w:val="22"/>
          <w:szCs w:val="22"/>
          <w:lang w:val="en-GB"/>
        </w:rPr>
        <w:t xml:space="preserve">co-operation rights are not limited to recognition applications and qualification </w:t>
      </w:r>
      <w:r w:rsidR="00940F74" w:rsidRPr="00867346">
        <w:rPr>
          <w:rFonts w:ascii="Arial" w:hAnsi="Arial" w:cs="Arial"/>
          <w:color w:val="7B7B7B" w:themeColor="accent3" w:themeShade="BF"/>
          <w:sz w:val="22"/>
          <w:szCs w:val="22"/>
          <w:lang w:val="en-GB"/>
        </w:rPr>
        <w:t>under Article 17 of MLCBI</w:t>
      </w:r>
      <w:r w:rsidR="009C2116">
        <w:rPr>
          <w:rFonts w:ascii="Arial" w:hAnsi="Arial" w:cs="Arial"/>
          <w:color w:val="7B7B7B" w:themeColor="accent3" w:themeShade="BF"/>
          <w:sz w:val="22"/>
          <w:szCs w:val="22"/>
          <w:lang w:val="en-GB"/>
        </w:rPr>
        <w:t>. Even if the foreign proceedings are neither f</w:t>
      </w:r>
      <w:r w:rsidR="008F4DB5" w:rsidRPr="00867346">
        <w:rPr>
          <w:rFonts w:ascii="Arial" w:hAnsi="Arial" w:cs="Arial"/>
          <w:color w:val="7B7B7B" w:themeColor="accent3" w:themeShade="BF"/>
          <w:sz w:val="22"/>
          <w:szCs w:val="22"/>
          <w:lang w:val="en-GB"/>
        </w:rPr>
        <w:t xml:space="preserve">oreign main </w:t>
      </w:r>
      <w:r w:rsidR="009C2116">
        <w:rPr>
          <w:rFonts w:ascii="Arial" w:hAnsi="Arial" w:cs="Arial"/>
          <w:color w:val="7B7B7B" w:themeColor="accent3" w:themeShade="BF"/>
          <w:sz w:val="22"/>
          <w:szCs w:val="22"/>
          <w:lang w:val="en-GB"/>
        </w:rPr>
        <w:t xml:space="preserve">nor non-main, co-operation can still be granted </w:t>
      </w:r>
      <w:r w:rsidR="008F4DB5" w:rsidRPr="00867346">
        <w:rPr>
          <w:rFonts w:ascii="Arial" w:hAnsi="Arial" w:cs="Arial"/>
          <w:color w:val="7B7B7B" w:themeColor="accent3" w:themeShade="BF"/>
          <w:sz w:val="22"/>
          <w:szCs w:val="22"/>
          <w:lang w:val="en-GB"/>
        </w:rPr>
        <w:t xml:space="preserve">on the basis of presence of assets </w:t>
      </w:r>
      <w:r w:rsidRPr="00867346">
        <w:rPr>
          <w:rFonts w:ascii="Arial" w:hAnsi="Arial" w:cs="Arial"/>
          <w:color w:val="7B7B7B" w:themeColor="accent3" w:themeShade="BF"/>
          <w:sz w:val="22"/>
          <w:szCs w:val="22"/>
          <w:lang w:val="en-GB"/>
        </w:rPr>
        <w:t xml:space="preserve">(Article 25 MLCBI). </w:t>
      </w:r>
    </w:p>
    <w:p w14:paraId="4352BF1C" w14:textId="10E3C193" w:rsidR="008F4DB5" w:rsidRPr="008F4DB5" w:rsidRDefault="00867346" w:rsidP="008F4DB5">
      <w:pPr>
        <w:pStyle w:val="ListParagraph"/>
        <w:numPr>
          <w:ilvl w:val="0"/>
          <w:numId w:val="43"/>
        </w:numPr>
        <w:jc w:val="both"/>
        <w:rPr>
          <w:rFonts w:ascii="Arial" w:hAnsi="Arial" w:cs="Arial"/>
          <w:sz w:val="24"/>
          <w:lang w:val="en-GB"/>
        </w:rPr>
      </w:pPr>
      <w:r>
        <w:rPr>
          <w:rFonts w:ascii="Arial" w:hAnsi="Arial" w:cs="Arial"/>
          <w:color w:val="7B7B7B" w:themeColor="accent3" w:themeShade="BF"/>
          <w:sz w:val="22"/>
          <w:szCs w:val="22"/>
          <w:u w:val="single"/>
          <w:lang w:val="en-GB"/>
        </w:rPr>
        <w:t>Comity</w:t>
      </w:r>
      <w:r w:rsidR="00032E63">
        <w:rPr>
          <w:rFonts w:ascii="Arial" w:hAnsi="Arial" w:cs="Arial"/>
          <w:color w:val="7B7B7B" w:themeColor="accent3" w:themeShade="BF"/>
          <w:sz w:val="22"/>
          <w:szCs w:val="22"/>
          <w:u w:val="single"/>
          <w:lang w:val="en-GB"/>
        </w:rPr>
        <w:t xml:space="preserve"> and scope of cooperation</w:t>
      </w:r>
      <w:r w:rsidRPr="0086734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Given the fact that State A (as implemented through the MLCBI), does not contain any reciprocity provision, and based on the principle of comity, the level of judicial co-operation could be very beneficial to the foreign representative of State B </w:t>
      </w:r>
      <w:r w:rsidR="008F4DB5">
        <w:rPr>
          <w:rFonts w:ascii="Arial" w:hAnsi="Arial" w:cs="Arial"/>
          <w:color w:val="7B7B7B" w:themeColor="accent3" w:themeShade="BF"/>
          <w:sz w:val="22"/>
          <w:szCs w:val="22"/>
          <w:lang w:val="en-GB"/>
        </w:rPr>
        <w:t>in achieving optimal and efficient results for the stakeholders. This is because the MLCBI is not prescriptive in what appropriate cooperation is and just provides some guidanc</w:t>
      </w:r>
      <w:r w:rsidR="00DC3200">
        <w:rPr>
          <w:rFonts w:ascii="Arial" w:hAnsi="Arial" w:cs="Arial"/>
          <w:color w:val="7B7B7B" w:themeColor="accent3" w:themeShade="BF"/>
          <w:sz w:val="22"/>
          <w:szCs w:val="22"/>
          <w:lang w:val="en-GB"/>
        </w:rPr>
        <w:t xml:space="preserve">e on measures, means of co-operation (as set out in Article 27 of MLCBI) </w:t>
      </w:r>
      <w:r w:rsidR="008F4DB5">
        <w:rPr>
          <w:rFonts w:ascii="Arial" w:hAnsi="Arial" w:cs="Arial"/>
          <w:color w:val="7B7B7B" w:themeColor="accent3" w:themeShade="BF"/>
          <w:sz w:val="22"/>
          <w:szCs w:val="22"/>
          <w:lang w:val="en-GB"/>
        </w:rPr>
        <w:t>and procedural framework, for the States to then coordinate and decide based on the given sets of facts and circumstances</w:t>
      </w:r>
      <w:r w:rsidR="008F4DB5" w:rsidRPr="008F4DB5">
        <w:rPr>
          <w:rFonts w:ascii="Arial" w:hAnsi="Arial" w:cs="Arial"/>
          <w:sz w:val="24"/>
          <w:lang w:val="en-GB"/>
        </w:rPr>
        <w:t>.</w:t>
      </w:r>
    </w:p>
    <w:p w14:paraId="1228F6DE" w14:textId="60C175C6" w:rsidR="00DC3200" w:rsidRPr="00DC3200" w:rsidRDefault="008F4DB5" w:rsidP="008F4DB5">
      <w:pPr>
        <w:pStyle w:val="ListParagraph"/>
        <w:numPr>
          <w:ilvl w:val="0"/>
          <w:numId w:val="43"/>
        </w:numPr>
        <w:jc w:val="both"/>
        <w:rPr>
          <w:rFonts w:ascii="Arial" w:hAnsi="Arial" w:cs="Arial"/>
          <w:sz w:val="24"/>
          <w:lang w:val="en-GB"/>
        </w:rPr>
      </w:pPr>
      <w:r w:rsidRPr="008F4DB5">
        <w:rPr>
          <w:rFonts w:ascii="Arial" w:hAnsi="Arial" w:cs="Arial"/>
          <w:color w:val="7B7B7B" w:themeColor="accent3" w:themeShade="BF"/>
          <w:sz w:val="22"/>
          <w:szCs w:val="22"/>
          <w:u w:val="single"/>
          <w:lang w:val="en-GB"/>
        </w:rPr>
        <w:t>Consistency of treatment of stakeholders</w:t>
      </w:r>
      <w:r>
        <w:rPr>
          <w:rFonts w:ascii="Arial" w:hAnsi="Arial" w:cs="Arial"/>
          <w:color w:val="7B7B7B" w:themeColor="accent3" w:themeShade="BF"/>
          <w:sz w:val="22"/>
          <w:szCs w:val="22"/>
          <w:lang w:val="en-GB"/>
        </w:rPr>
        <w:t>: the co-operation rights granted by State A (enacting State) would enable courts and insolvency representatives of both States to communicate directly, co-ordinate the treatment of its stakeholders</w:t>
      </w:r>
      <w:r w:rsidR="00DC3200">
        <w:rPr>
          <w:rFonts w:ascii="Arial" w:hAnsi="Arial" w:cs="Arial"/>
          <w:color w:val="7B7B7B" w:themeColor="accent3" w:themeShade="BF"/>
          <w:sz w:val="22"/>
          <w:szCs w:val="22"/>
          <w:lang w:val="en-GB"/>
        </w:rPr>
        <w:t xml:space="preserve"> (including the anti-discrimination principles application to foreign creditors)</w:t>
      </w:r>
      <w:r>
        <w:rPr>
          <w:rFonts w:ascii="Arial" w:hAnsi="Arial" w:cs="Arial"/>
          <w:color w:val="7B7B7B" w:themeColor="accent3" w:themeShade="BF"/>
          <w:sz w:val="22"/>
          <w:szCs w:val="22"/>
          <w:lang w:val="en-GB"/>
        </w:rPr>
        <w:t xml:space="preserve"> to obtain the most time and cost efficient results for them.</w:t>
      </w:r>
      <w:r w:rsidR="00DC3200">
        <w:rPr>
          <w:rFonts w:ascii="Arial" w:hAnsi="Arial" w:cs="Arial"/>
          <w:color w:val="7B7B7B" w:themeColor="accent3" w:themeShade="BF"/>
          <w:sz w:val="22"/>
          <w:szCs w:val="22"/>
          <w:lang w:val="en-GB"/>
        </w:rPr>
        <w:t xml:space="preserve"> </w:t>
      </w:r>
    </w:p>
    <w:p w14:paraId="51AE5FEB" w14:textId="77777777" w:rsidR="009C2116" w:rsidRPr="009C2116" w:rsidRDefault="009C2116" w:rsidP="008F4DB5">
      <w:pPr>
        <w:pStyle w:val="ListParagraph"/>
        <w:numPr>
          <w:ilvl w:val="0"/>
          <w:numId w:val="43"/>
        </w:numPr>
        <w:jc w:val="both"/>
        <w:rPr>
          <w:rFonts w:ascii="Arial" w:hAnsi="Arial" w:cs="Arial"/>
          <w:sz w:val="24"/>
          <w:lang w:val="en-GB"/>
        </w:rPr>
      </w:pPr>
      <w:r w:rsidRPr="009C2116">
        <w:rPr>
          <w:rFonts w:ascii="Arial" w:hAnsi="Arial" w:cs="Arial"/>
          <w:color w:val="7B7B7B" w:themeColor="accent3" w:themeShade="BF"/>
          <w:sz w:val="22"/>
          <w:szCs w:val="22"/>
          <w:u w:val="single"/>
          <w:lang w:val="en-GB"/>
        </w:rPr>
        <w:t xml:space="preserve">Mandatory co-operation and </w:t>
      </w:r>
      <w:r w:rsidR="00DC3200" w:rsidRPr="009C2116">
        <w:rPr>
          <w:rFonts w:ascii="Arial" w:hAnsi="Arial" w:cs="Arial"/>
          <w:color w:val="7B7B7B" w:themeColor="accent3" w:themeShade="BF"/>
          <w:sz w:val="22"/>
          <w:szCs w:val="22"/>
          <w:u w:val="single"/>
          <w:lang w:val="en-GB"/>
        </w:rPr>
        <w:t>Direct Communication</w:t>
      </w:r>
      <w:r w:rsidR="00DC320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Article 25(1) provides that the courts (and Article 26(1) provides that the insolvency office holders) of the enacting state (i.e. State A in this case) must co-operate with the foreign courts and insolvency officers. The courts and the office holders in the enacting state are entitled to communicate directly with foreign courts and office holders. This makes the co-ordination between the two states very time and cost efficient avoiding the traditional letters rogatory and obtaining requests for consular assistance which could further delay the process unnecessarily. </w:t>
      </w:r>
    </w:p>
    <w:p w14:paraId="1F69708C" w14:textId="77777777" w:rsidR="00651C05" w:rsidRPr="00651C05" w:rsidRDefault="009C2116" w:rsidP="00651C05">
      <w:pPr>
        <w:pStyle w:val="ListParagraph"/>
        <w:numPr>
          <w:ilvl w:val="0"/>
          <w:numId w:val="43"/>
        </w:numPr>
        <w:jc w:val="both"/>
        <w:rPr>
          <w:rFonts w:ascii="Arial" w:hAnsi="Arial" w:cs="Arial"/>
          <w:sz w:val="24"/>
          <w:lang w:val="en-GB"/>
        </w:rPr>
      </w:pPr>
      <w:r w:rsidRPr="00651C05">
        <w:rPr>
          <w:rFonts w:ascii="Arial" w:hAnsi="Arial" w:cs="Arial"/>
          <w:color w:val="7B7B7B" w:themeColor="accent3" w:themeShade="BF"/>
          <w:sz w:val="22"/>
          <w:szCs w:val="22"/>
          <w:u w:val="single"/>
          <w:lang w:val="en-GB"/>
        </w:rPr>
        <w:lastRenderedPageBreak/>
        <w:t>Means of co-operation</w:t>
      </w:r>
      <w:r>
        <w:rPr>
          <w:rFonts w:ascii="Arial" w:hAnsi="Arial" w:cs="Arial"/>
          <w:color w:val="7B7B7B" w:themeColor="accent3" w:themeShade="BF"/>
          <w:sz w:val="22"/>
          <w:szCs w:val="22"/>
          <w:lang w:val="en-GB"/>
        </w:rPr>
        <w:t xml:space="preserve">: As mentioned above, article 27 provides an indicative list of types of co-operation that are authorised by the MLCBI. This non-exhaustive list includes </w:t>
      </w:r>
      <w:r w:rsidR="00651C05">
        <w:rPr>
          <w:rFonts w:ascii="Arial" w:hAnsi="Arial" w:cs="Arial"/>
          <w:color w:val="7B7B7B" w:themeColor="accent3" w:themeShade="BF"/>
          <w:sz w:val="22"/>
          <w:szCs w:val="22"/>
          <w:lang w:val="en-GB"/>
        </w:rPr>
        <w:t xml:space="preserve">flexibility in modes of communication between the 2 States (including open communication such as video-conferencing), co-ordination in relation to assets of the debtors and also concurrent proceedings in relation to the debtors etc. This is of course subject to the decision of the courts based on the circumstances. </w:t>
      </w:r>
    </w:p>
    <w:p w14:paraId="312A021C" w14:textId="77777777" w:rsidR="00651C05" w:rsidRDefault="00651C05" w:rsidP="00651C05">
      <w:pPr>
        <w:ind w:left="360"/>
        <w:jc w:val="both"/>
        <w:rPr>
          <w:rFonts w:ascii="Arial" w:hAnsi="Arial" w:cs="Arial"/>
          <w:color w:val="7B7B7B" w:themeColor="accent3" w:themeShade="BF"/>
          <w:sz w:val="22"/>
          <w:szCs w:val="22"/>
          <w:lang w:val="en-GB"/>
        </w:rPr>
      </w:pPr>
    </w:p>
    <w:p w14:paraId="6C18F827" w14:textId="3C5ED05C" w:rsidR="008F4DB5" w:rsidRPr="00651C05" w:rsidRDefault="00651C05" w:rsidP="00651C05">
      <w:pPr>
        <w:ind w:left="360"/>
        <w:jc w:val="both"/>
        <w:rPr>
          <w:rFonts w:ascii="Arial" w:hAnsi="Arial" w:cs="Arial"/>
          <w:sz w:val="24"/>
          <w:lang w:val="en-GB"/>
        </w:rPr>
      </w:pPr>
      <w:r w:rsidRPr="00651C05">
        <w:rPr>
          <w:rFonts w:ascii="Arial" w:hAnsi="Arial" w:cs="Arial"/>
          <w:color w:val="7B7B7B" w:themeColor="accent3" w:themeShade="BF"/>
          <w:sz w:val="22"/>
          <w:szCs w:val="22"/>
          <w:lang w:val="en-GB"/>
        </w:rPr>
        <w:t>It must</w:t>
      </w:r>
      <w:r>
        <w:rPr>
          <w:rFonts w:ascii="Arial" w:hAnsi="Arial" w:cs="Arial"/>
          <w:color w:val="7B7B7B" w:themeColor="accent3" w:themeShade="BF"/>
          <w:sz w:val="22"/>
          <w:szCs w:val="22"/>
          <w:lang w:val="en-GB"/>
        </w:rPr>
        <w:t xml:space="preserve"> however be noted that, co-operation is further facilitated by recognition of foreign proceedings which allow the court to provide the foreign representative with more appropriate and customised relief, as and when required.</w:t>
      </w:r>
      <w:r w:rsidRPr="00651C05">
        <w:rPr>
          <w:rFonts w:ascii="Arial" w:hAnsi="Arial" w:cs="Arial"/>
          <w:color w:val="7B7B7B" w:themeColor="accent3" w:themeShade="BF"/>
          <w:sz w:val="22"/>
          <w:szCs w:val="22"/>
          <w:lang w:val="en-GB"/>
        </w:rPr>
        <w:t xml:space="preserve"> </w:t>
      </w:r>
    </w:p>
    <w:p w14:paraId="4A637290" w14:textId="298036AB"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2929784C" w14:textId="77777777" w:rsidR="00A9757F" w:rsidRDefault="00A9757F" w:rsidP="00707FC8">
      <w:pPr>
        <w:jc w:val="both"/>
        <w:rPr>
          <w:rFonts w:ascii="Arial" w:hAnsi="Arial" w:cs="Arial"/>
          <w:color w:val="7B7B7B" w:themeColor="accent3" w:themeShade="BF"/>
          <w:sz w:val="22"/>
          <w:szCs w:val="22"/>
          <w:lang w:val="en-GB"/>
        </w:rPr>
      </w:pPr>
    </w:p>
    <w:p w14:paraId="2CFBCC36" w14:textId="50B41F81" w:rsidR="00A9757F" w:rsidRDefault="001B5CEE" w:rsidP="00707FC8">
      <w:pPr>
        <w:jc w:val="both"/>
        <w:rPr>
          <w:rFonts w:ascii="Arial" w:hAnsi="Arial" w:cs="Arial"/>
          <w:color w:val="7B7B7B" w:themeColor="accent3" w:themeShade="BF"/>
          <w:sz w:val="22"/>
          <w:szCs w:val="22"/>
          <w:lang w:val="en-GB"/>
        </w:rPr>
      </w:pPr>
      <w:r w:rsidRPr="001B5CEE">
        <w:rPr>
          <w:rFonts w:ascii="Arial" w:hAnsi="Arial" w:cs="Arial"/>
          <w:color w:val="7B7B7B" w:themeColor="accent3" w:themeShade="BF"/>
          <w:sz w:val="22"/>
          <w:szCs w:val="22"/>
          <w:u w:val="single"/>
          <w:lang w:val="en-GB"/>
        </w:rPr>
        <w:t>Evidential requirements</w:t>
      </w:r>
      <w:r>
        <w:rPr>
          <w:rFonts w:ascii="Arial" w:hAnsi="Arial" w:cs="Arial"/>
          <w:color w:val="7B7B7B" w:themeColor="accent3" w:themeShade="BF"/>
          <w:sz w:val="22"/>
          <w:szCs w:val="22"/>
          <w:lang w:val="en-GB"/>
        </w:rPr>
        <w:t xml:space="preserve"> </w:t>
      </w:r>
      <w:r w:rsidR="00C851CA">
        <w:rPr>
          <w:rFonts w:ascii="Arial" w:hAnsi="Arial" w:cs="Arial"/>
          <w:color w:val="7B7B7B" w:themeColor="accent3" w:themeShade="BF"/>
          <w:sz w:val="22"/>
          <w:szCs w:val="22"/>
          <w:lang w:val="en-GB"/>
        </w:rPr>
        <w:t xml:space="preserve">(Article 15, MLCBI): </w:t>
      </w:r>
      <w:r w:rsidR="0016795E">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or the recognition application to be successful</w:t>
      </w:r>
      <w:r w:rsidR="0016795E">
        <w:rPr>
          <w:rFonts w:ascii="Arial" w:hAnsi="Arial" w:cs="Arial"/>
          <w:color w:val="7B7B7B" w:themeColor="accent3" w:themeShade="BF"/>
          <w:sz w:val="22"/>
          <w:szCs w:val="22"/>
          <w:lang w:val="en-GB"/>
        </w:rPr>
        <w:t>, certain requirements as</w:t>
      </w:r>
      <w:r>
        <w:rPr>
          <w:rFonts w:ascii="Arial" w:hAnsi="Arial" w:cs="Arial"/>
          <w:color w:val="7B7B7B" w:themeColor="accent3" w:themeShade="BF"/>
          <w:sz w:val="22"/>
          <w:szCs w:val="22"/>
          <w:lang w:val="en-GB"/>
        </w:rPr>
        <w:t xml:space="preserve"> set out in </w:t>
      </w:r>
      <w:r w:rsidRPr="001B5CEE">
        <w:rPr>
          <w:rFonts w:ascii="Arial" w:hAnsi="Arial" w:cs="Arial"/>
          <w:color w:val="7B7B7B" w:themeColor="accent3" w:themeShade="BF"/>
          <w:sz w:val="22"/>
          <w:szCs w:val="22"/>
          <w:u w:val="single"/>
          <w:lang w:val="en-GB"/>
        </w:rPr>
        <w:t xml:space="preserve">Article 15 </w:t>
      </w:r>
      <w:r>
        <w:rPr>
          <w:rFonts w:ascii="Arial" w:hAnsi="Arial" w:cs="Arial"/>
          <w:color w:val="7B7B7B" w:themeColor="accent3" w:themeShade="BF"/>
          <w:sz w:val="22"/>
          <w:szCs w:val="22"/>
          <w:lang w:val="en-GB"/>
        </w:rPr>
        <w:t>of the MLCBI</w:t>
      </w:r>
      <w:r w:rsidR="00A9757F">
        <w:rPr>
          <w:rFonts w:ascii="Arial" w:hAnsi="Arial" w:cs="Arial"/>
          <w:color w:val="7B7B7B" w:themeColor="accent3" w:themeShade="BF"/>
          <w:sz w:val="22"/>
          <w:szCs w:val="22"/>
          <w:lang w:val="en-GB"/>
        </w:rPr>
        <w:t xml:space="preserve"> need to be </w:t>
      </w:r>
      <w:r w:rsidR="0016795E">
        <w:rPr>
          <w:rFonts w:ascii="Arial" w:hAnsi="Arial" w:cs="Arial"/>
          <w:color w:val="7B7B7B" w:themeColor="accent3" w:themeShade="BF"/>
          <w:sz w:val="22"/>
          <w:szCs w:val="22"/>
          <w:lang w:val="en-GB"/>
        </w:rPr>
        <w:t xml:space="preserve">met. This </w:t>
      </w:r>
      <w:r>
        <w:rPr>
          <w:rFonts w:ascii="Arial" w:hAnsi="Arial" w:cs="Arial"/>
          <w:color w:val="7B7B7B" w:themeColor="accent3" w:themeShade="BF"/>
          <w:sz w:val="22"/>
          <w:szCs w:val="22"/>
          <w:lang w:val="en-GB"/>
        </w:rPr>
        <w:t xml:space="preserve"> </w:t>
      </w:r>
      <w:r w:rsidRPr="001B5CEE">
        <w:rPr>
          <w:rFonts w:ascii="Arial" w:hAnsi="Arial" w:cs="Arial"/>
          <w:i/>
          <w:color w:val="7B7B7B" w:themeColor="accent3" w:themeShade="BF"/>
          <w:sz w:val="22"/>
          <w:szCs w:val="22"/>
          <w:lang w:val="en-GB"/>
        </w:rPr>
        <w:t>inter alia</w:t>
      </w:r>
      <w:r>
        <w:rPr>
          <w:rFonts w:ascii="Arial" w:hAnsi="Arial" w:cs="Arial"/>
          <w:color w:val="7B7B7B" w:themeColor="accent3" w:themeShade="BF"/>
          <w:sz w:val="22"/>
          <w:szCs w:val="22"/>
          <w:lang w:val="en-GB"/>
        </w:rPr>
        <w:t>,</w:t>
      </w:r>
      <w:r w:rsidR="00C851CA">
        <w:rPr>
          <w:rFonts w:ascii="Arial" w:hAnsi="Arial" w:cs="Arial"/>
          <w:color w:val="7B7B7B" w:themeColor="accent3" w:themeShade="BF"/>
          <w:sz w:val="22"/>
          <w:szCs w:val="22"/>
          <w:lang w:val="en-GB"/>
        </w:rPr>
        <w:t xml:space="preserve"> </w:t>
      </w:r>
      <w:r w:rsidR="0016795E">
        <w:rPr>
          <w:rFonts w:ascii="Arial" w:hAnsi="Arial" w:cs="Arial"/>
          <w:color w:val="7B7B7B" w:themeColor="accent3" w:themeShade="BF"/>
          <w:sz w:val="22"/>
          <w:szCs w:val="22"/>
          <w:lang w:val="en-GB"/>
        </w:rPr>
        <w:t xml:space="preserve">includes that </w:t>
      </w:r>
    </w:p>
    <w:p w14:paraId="3DA36DD2" w14:textId="1D27CAB8" w:rsidR="00A9757F" w:rsidRPr="00A9757F" w:rsidRDefault="0016795E" w:rsidP="00A9757F">
      <w:pPr>
        <w:pStyle w:val="ListParagraph"/>
        <w:numPr>
          <w:ilvl w:val="0"/>
          <w:numId w:val="44"/>
        </w:numPr>
        <w:jc w:val="both"/>
        <w:rPr>
          <w:rFonts w:ascii="Arial" w:hAnsi="Arial" w:cs="Arial"/>
          <w:color w:val="7B7B7B" w:themeColor="accent3" w:themeShade="BF"/>
          <w:sz w:val="22"/>
          <w:szCs w:val="22"/>
        </w:rPr>
      </w:pPr>
      <w:r w:rsidRPr="00A9757F">
        <w:rPr>
          <w:rFonts w:ascii="Arial" w:hAnsi="Arial" w:cs="Arial"/>
          <w:color w:val="7B7B7B" w:themeColor="accent3" w:themeShade="BF"/>
          <w:sz w:val="22"/>
          <w:szCs w:val="22"/>
        </w:rPr>
        <w:t>a</w:t>
      </w:r>
      <w:r w:rsidR="00A9757F" w:rsidRPr="00A9757F">
        <w:rPr>
          <w:rFonts w:ascii="Arial" w:hAnsi="Arial" w:cs="Arial"/>
          <w:color w:val="7B7B7B" w:themeColor="accent3" w:themeShade="BF"/>
          <w:sz w:val="22"/>
          <w:szCs w:val="22"/>
        </w:rPr>
        <w:t>n application may be made by a</w:t>
      </w:r>
      <w:r w:rsidR="00C851CA" w:rsidRPr="00A9757F">
        <w:rPr>
          <w:rFonts w:ascii="Arial" w:hAnsi="Arial" w:cs="Arial"/>
          <w:color w:val="7B7B7B" w:themeColor="accent3" w:themeShade="BF"/>
          <w:sz w:val="22"/>
          <w:szCs w:val="22"/>
        </w:rPr>
        <w:t xml:space="preserve"> foreign representative</w:t>
      </w:r>
      <w:r w:rsidR="009C3C61">
        <w:rPr>
          <w:rFonts w:ascii="Arial" w:hAnsi="Arial" w:cs="Arial"/>
          <w:color w:val="7B7B7B" w:themeColor="accent3" w:themeShade="BF"/>
          <w:sz w:val="22"/>
          <w:szCs w:val="22"/>
        </w:rPr>
        <w:t xml:space="preserve"> of State B</w:t>
      </w:r>
      <w:r w:rsidR="00C851CA" w:rsidRPr="00A9757F">
        <w:rPr>
          <w:rFonts w:ascii="Arial" w:hAnsi="Arial" w:cs="Arial"/>
          <w:color w:val="7B7B7B" w:themeColor="accent3" w:themeShade="BF"/>
          <w:sz w:val="22"/>
          <w:szCs w:val="22"/>
        </w:rPr>
        <w:t xml:space="preserve"> to the court</w:t>
      </w:r>
      <w:r w:rsidR="009C3C61">
        <w:rPr>
          <w:rFonts w:ascii="Arial" w:hAnsi="Arial" w:cs="Arial"/>
          <w:color w:val="7B7B7B" w:themeColor="accent3" w:themeShade="BF"/>
          <w:sz w:val="22"/>
          <w:szCs w:val="22"/>
        </w:rPr>
        <w:t xml:space="preserve"> of State A</w:t>
      </w:r>
      <w:r w:rsidR="00C851CA" w:rsidRPr="00A9757F">
        <w:rPr>
          <w:rFonts w:ascii="Arial" w:hAnsi="Arial" w:cs="Arial"/>
          <w:color w:val="7B7B7B" w:themeColor="accent3" w:themeShade="BF"/>
          <w:sz w:val="22"/>
          <w:szCs w:val="22"/>
        </w:rPr>
        <w:t xml:space="preserve"> for recognition of the foreign proceeding in which the foreign rep</w:t>
      </w:r>
      <w:r w:rsidR="00A9757F" w:rsidRPr="00A9757F">
        <w:rPr>
          <w:rFonts w:ascii="Arial" w:hAnsi="Arial" w:cs="Arial"/>
          <w:color w:val="7B7B7B" w:themeColor="accent3" w:themeShade="BF"/>
          <w:sz w:val="22"/>
          <w:szCs w:val="22"/>
        </w:rPr>
        <w:t>resentative has been appointed</w:t>
      </w:r>
      <w:r w:rsidR="009C3C61">
        <w:rPr>
          <w:rFonts w:ascii="Arial" w:hAnsi="Arial" w:cs="Arial"/>
          <w:color w:val="7B7B7B" w:themeColor="accent3" w:themeShade="BF"/>
          <w:sz w:val="22"/>
          <w:szCs w:val="22"/>
        </w:rPr>
        <w:t xml:space="preserve"> i.e. in State B</w:t>
      </w:r>
      <w:r w:rsidR="00A9757F" w:rsidRPr="00A9757F">
        <w:rPr>
          <w:rFonts w:ascii="Arial" w:hAnsi="Arial" w:cs="Arial"/>
          <w:color w:val="7B7B7B" w:themeColor="accent3" w:themeShade="BF"/>
          <w:sz w:val="22"/>
          <w:szCs w:val="22"/>
        </w:rPr>
        <w:t xml:space="preserve">, </w:t>
      </w:r>
    </w:p>
    <w:p w14:paraId="4B376BB2" w14:textId="1BC4DC1F" w:rsidR="009C3C61" w:rsidRDefault="00A9757F" w:rsidP="00A9757F">
      <w:pPr>
        <w:ind w:left="360"/>
        <w:jc w:val="both"/>
        <w:rPr>
          <w:rFonts w:ascii="Arial" w:hAnsi="Arial" w:cs="Arial"/>
          <w:color w:val="7B7B7B" w:themeColor="accent3" w:themeShade="BF"/>
          <w:sz w:val="22"/>
          <w:szCs w:val="22"/>
        </w:rPr>
      </w:pPr>
      <w:r w:rsidRPr="00A9757F">
        <w:rPr>
          <w:rFonts w:ascii="Arial" w:hAnsi="Arial" w:cs="Arial"/>
          <w:color w:val="7B7B7B" w:themeColor="accent3" w:themeShade="BF"/>
          <w:sz w:val="22"/>
          <w:szCs w:val="22"/>
        </w:rPr>
        <w:t xml:space="preserve">(2) such </w:t>
      </w:r>
      <w:r w:rsidR="00C851CA" w:rsidRPr="00A9757F">
        <w:rPr>
          <w:rFonts w:ascii="Arial" w:hAnsi="Arial" w:cs="Arial"/>
          <w:color w:val="7B7B7B" w:themeColor="accent3" w:themeShade="BF"/>
          <w:sz w:val="22"/>
          <w:szCs w:val="22"/>
        </w:rPr>
        <w:t xml:space="preserve">application for recognition shall be accompanied by: </w:t>
      </w:r>
      <w:r w:rsidR="00C851CA" w:rsidRPr="00A9757F">
        <w:rPr>
          <w:rFonts w:ascii="Arial" w:hAnsi="Arial" w:cs="Arial"/>
          <w:i/>
          <w:color w:val="7B7B7B" w:themeColor="accent3" w:themeShade="BF"/>
          <w:sz w:val="22"/>
          <w:szCs w:val="22"/>
        </w:rPr>
        <w:t>(a) A certified copy of the decision commencing the foreign proceeding and appointing the foreign representative; or (b) A certificate from the foreign court affirming the existence of the foreign proceeding and of the appointment of the foreign representative; or (c) In the absence of evidence referred to in subparagraphs (a) and (b), any other evidence acceptable to the court of the existence of the foreign proceeding and of the appointment of the foreign representative</w:t>
      </w:r>
      <w:r w:rsidR="00C851CA" w:rsidRPr="00A9757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(3)</w:t>
      </w:r>
      <w:r w:rsidR="00C851CA" w:rsidRPr="00A9757F">
        <w:rPr>
          <w:rFonts w:ascii="Arial" w:hAnsi="Arial" w:cs="Arial"/>
          <w:color w:val="7B7B7B" w:themeColor="accent3" w:themeShade="BF"/>
          <w:sz w:val="22"/>
          <w:szCs w:val="22"/>
        </w:rPr>
        <w:t xml:space="preserve"> </w:t>
      </w:r>
      <w:r w:rsidR="009C3C61">
        <w:rPr>
          <w:rFonts w:ascii="Arial" w:hAnsi="Arial" w:cs="Arial"/>
          <w:color w:val="7B7B7B" w:themeColor="accent3" w:themeShade="BF"/>
          <w:sz w:val="22"/>
          <w:szCs w:val="22"/>
        </w:rPr>
        <w:t>such</w:t>
      </w:r>
      <w:r w:rsidR="00C851CA" w:rsidRPr="00A9757F">
        <w:rPr>
          <w:rFonts w:ascii="Arial" w:hAnsi="Arial" w:cs="Arial"/>
          <w:color w:val="7B7B7B" w:themeColor="accent3" w:themeShade="BF"/>
          <w:sz w:val="22"/>
          <w:szCs w:val="22"/>
        </w:rPr>
        <w:t xml:space="preserve"> application for </w:t>
      </w:r>
      <w:r w:rsidR="009C3C61">
        <w:rPr>
          <w:rFonts w:ascii="Arial" w:hAnsi="Arial" w:cs="Arial"/>
          <w:color w:val="7B7B7B" w:themeColor="accent3" w:themeShade="BF"/>
          <w:sz w:val="22"/>
          <w:szCs w:val="22"/>
        </w:rPr>
        <w:t>sh</w:t>
      </w:r>
      <w:r w:rsidR="00C851CA" w:rsidRPr="00A9757F">
        <w:rPr>
          <w:rFonts w:ascii="Arial" w:hAnsi="Arial" w:cs="Arial"/>
          <w:color w:val="7B7B7B" w:themeColor="accent3" w:themeShade="BF"/>
          <w:sz w:val="22"/>
          <w:szCs w:val="22"/>
        </w:rPr>
        <w:t>all also be accompanied by a statement identifying all foreign proceedings in respect of the debtor known</w:t>
      </w:r>
      <w:r w:rsidR="009C3C61">
        <w:rPr>
          <w:rFonts w:ascii="Arial" w:hAnsi="Arial" w:cs="Arial"/>
          <w:color w:val="7B7B7B" w:themeColor="accent3" w:themeShade="BF"/>
          <w:sz w:val="22"/>
          <w:szCs w:val="22"/>
        </w:rPr>
        <w:t xml:space="preserve"> to the foreign representative of State B;</w:t>
      </w:r>
    </w:p>
    <w:p w14:paraId="7940D274" w14:textId="0A41547D" w:rsidR="00DF75F8" w:rsidRDefault="009C3C61" w:rsidP="00A9757F">
      <w:pPr>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(4)</w:t>
      </w:r>
      <w:r w:rsidR="00C851CA" w:rsidRPr="00A9757F">
        <w:rPr>
          <w:rFonts w:ascii="Arial" w:hAnsi="Arial" w:cs="Arial"/>
          <w:color w:val="7B7B7B" w:themeColor="accent3" w:themeShade="BF"/>
          <w:sz w:val="22"/>
          <w:szCs w:val="22"/>
        </w:rPr>
        <w:t xml:space="preserve"> The court may require a translation of documents supplied in support of the application for recognition int</w:t>
      </w:r>
      <w:r>
        <w:rPr>
          <w:rFonts w:ascii="Arial" w:hAnsi="Arial" w:cs="Arial"/>
          <w:color w:val="7B7B7B" w:themeColor="accent3" w:themeShade="BF"/>
          <w:sz w:val="22"/>
          <w:szCs w:val="22"/>
        </w:rPr>
        <w:t>o an official language of State A</w:t>
      </w:r>
      <w:r w:rsidR="00C851CA" w:rsidRPr="00A9757F">
        <w:rPr>
          <w:rFonts w:ascii="Arial" w:hAnsi="Arial" w:cs="Arial"/>
          <w:color w:val="7B7B7B" w:themeColor="accent3" w:themeShade="BF"/>
          <w:sz w:val="22"/>
          <w:szCs w:val="22"/>
        </w:rPr>
        <w:t>.</w:t>
      </w:r>
    </w:p>
    <w:p w14:paraId="19262036" w14:textId="77777777" w:rsidR="00D344A4" w:rsidRDefault="00D344A4" w:rsidP="00D344A4">
      <w:pPr>
        <w:jc w:val="both"/>
        <w:rPr>
          <w:rFonts w:ascii="Arial" w:hAnsi="Arial" w:cs="Arial"/>
          <w:color w:val="7B7B7B" w:themeColor="accent3" w:themeShade="BF"/>
          <w:sz w:val="22"/>
          <w:szCs w:val="22"/>
        </w:rPr>
      </w:pPr>
    </w:p>
    <w:p w14:paraId="690DA94A" w14:textId="796B0184" w:rsidR="009C3C61" w:rsidRPr="009C3C61" w:rsidRDefault="009C3C61" w:rsidP="00D344A4">
      <w:pPr>
        <w:jc w:val="both"/>
        <w:rPr>
          <w:rFonts w:ascii="Arial" w:hAnsi="Arial" w:cs="Arial"/>
          <w:color w:val="7B7B7B" w:themeColor="accent3" w:themeShade="BF"/>
          <w:sz w:val="22"/>
          <w:szCs w:val="22"/>
        </w:rPr>
      </w:pPr>
      <w:r w:rsidRPr="009C3C61">
        <w:rPr>
          <w:rFonts w:ascii="Arial" w:hAnsi="Arial" w:cs="Arial"/>
          <w:color w:val="7B7B7B" w:themeColor="accent3" w:themeShade="BF"/>
          <w:sz w:val="22"/>
          <w:szCs w:val="22"/>
          <w:u w:val="single"/>
        </w:rPr>
        <w:t>Presumptions</w:t>
      </w:r>
      <w:r w:rsidRPr="009C3C61">
        <w:rPr>
          <w:rFonts w:ascii="Arial" w:hAnsi="Arial" w:cs="Arial"/>
          <w:color w:val="7B7B7B" w:themeColor="accent3" w:themeShade="BF"/>
          <w:sz w:val="22"/>
          <w:szCs w:val="22"/>
        </w:rPr>
        <w:t xml:space="preserve"> (Article 16, MLCBI)</w:t>
      </w:r>
    </w:p>
    <w:p w14:paraId="199F2F58" w14:textId="77777777" w:rsidR="00F4549E" w:rsidRDefault="009C3C61" w:rsidP="00A9757F">
      <w:pPr>
        <w:ind w:left="3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above conditions are satisfied, recognition would be granted to State B under Article 17 of the MLCBI. This is however, subject to certain presumptions </w:t>
      </w:r>
      <w:r w:rsidR="00F4549E" w:rsidRPr="00F4549E">
        <w:rPr>
          <w:rFonts w:ascii="Arial" w:hAnsi="Arial" w:cs="Arial"/>
          <w:color w:val="7B7B7B" w:themeColor="accent3" w:themeShade="BF"/>
          <w:sz w:val="22"/>
          <w:szCs w:val="22"/>
        </w:rPr>
        <w:t xml:space="preserve">concerning the authenticity of documents and the content of the order commencing the foreign proceedings and appointing the foreign representative </w:t>
      </w:r>
      <w:r>
        <w:rPr>
          <w:rFonts w:ascii="Arial" w:hAnsi="Arial" w:cs="Arial"/>
          <w:color w:val="7B7B7B" w:themeColor="accent3" w:themeShade="BF"/>
          <w:sz w:val="22"/>
          <w:szCs w:val="22"/>
        </w:rPr>
        <w:t xml:space="preserve">as </w:t>
      </w:r>
      <w:r w:rsidR="00F4549E">
        <w:rPr>
          <w:rFonts w:ascii="Arial" w:hAnsi="Arial" w:cs="Arial"/>
          <w:color w:val="7B7B7B" w:themeColor="accent3" w:themeShade="BF"/>
          <w:sz w:val="22"/>
          <w:szCs w:val="22"/>
        </w:rPr>
        <w:t xml:space="preserve">further </w:t>
      </w:r>
      <w:r>
        <w:rPr>
          <w:rFonts w:ascii="Arial" w:hAnsi="Arial" w:cs="Arial"/>
          <w:color w:val="7B7B7B" w:themeColor="accent3" w:themeShade="BF"/>
          <w:sz w:val="22"/>
          <w:szCs w:val="22"/>
        </w:rPr>
        <w:t>set out below (which the courts of the enacting State would accept concerning the recognition):</w:t>
      </w:r>
      <w:r w:rsidR="00F4549E">
        <w:rPr>
          <w:rFonts w:ascii="Arial" w:hAnsi="Arial" w:cs="Arial"/>
          <w:color w:val="7B7B7B" w:themeColor="accent3" w:themeShade="BF"/>
          <w:sz w:val="22"/>
          <w:szCs w:val="22"/>
        </w:rPr>
        <w:t xml:space="preserve"> </w:t>
      </w:r>
    </w:p>
    <w:p w14:paraId="5B6B26CE" w14:textId="3BBF87C3" w:rsidR="00674998" w:rsidRPr="00674998" w:rsidRDefault="00F4549E" w:rsidP="00674998">
      <w:pPr>
        <w:pStyle w:val="ListParagraph"/>
        <w:numPr>
          <w:ilvl w:val="0"/>
          <w:numId w:val="45"/>
        </w:numPr>
        <w:jc w:val="both"/>
        <w:rPr>
          <w:rFonts w:ascii="Arial" w:hAnsi="Arial" w:cs="Arial"/>
          <w:color w:val="7B7B7B" w:themeColor="accent3" w:themeShade="BF"/>
          <w:sz w:val="22"/>
          <w:szCs w:val="22"/>
        </w:rPr>
      </w:pPr>
      <w:r w:rsidRPr="00674998">
        <w:rPr>
          <w:rFonts w:ascii="Arial" w:hAnsi="Arial" w:cs="Arial"/>
          <w:color w:val="7B7B7B" w:themeColor="accent3" w:themeShade="BF"/>
          <w:sz w:val="22"/>
          <w:szCs w:val="22"/>
        </w:rPr>
        <w:t>If the decision or certificate referred to in para</w:t>
      </w:r>
      <w:r w:rsidR="00674998" w:rsidRPr="00674998">
        <w:rPr>
          <w:rFonts w:ascii="Arial" w:hAnsi="Arial" w:cs="Arial"/>
          <w:color w:val="7B7B7B" w:themeColor="accent3" w:themeShade="BF"/>
          <w:sz w:val="22"/>
          <w:szCs w:val="22"/>
        </w:rPr>
        <w:t>graph 2 of A</w:t>
      </w:r>
      <w:r w:rsidRPr="00674998">
        <w:rPr>
          <w:rFonts w:ascii="Arial" w:hAnsi="Arial" w:cs="Arial"/>
          <w:color w:val="7B7B7B" w:themeColor="accent3" w:themeShade="BF"/>
          <w:sz w:val="22"/>
          <w:szCs w:val="22"/>
        </w:rPr>
        <w:t xml:space="preserve">rticle 15 </w:t>
      </w:r>
      <w:r w:rsidR="00674998" w:rsidRPr="00674998">
        <w:rPr>
          <w:rFonts w:ascii="Arial" w:hAnsi="Arial" w:cs="Arial"/>
          <w:color w:val="7B7B7B" w:themeColor="accent3" w:themeShade="BF"/>
          <w:sz w:val="22"/>
          <w:szCs w:val="22"/>
        </w:rPr>
        <w:t xml:space="preserve">above </w:t>
      </w:r>
      <w:r w:rsidRPr="00674998">
        <w:rPr>
          <w:rFonts w:ascii="Arial" w:hAnsi="Arial" w:cs="Arial"/>
          <w:color w:val="7B7B7B" w:themeColor="accent3" w:themeShade="BF"/>
          <w:sz w:val="22"/>
          <w:szCs w:val="22"/>
        </w:rPr>
        <w:t xml:space="preserve">indicates that the foreign proceeding is a proceeding within the meaning of </w:t>
      </w:r>
      <w:r w:rsidR="00674998" w:rsidRPr="00674998">
        <w:rPr>
          <w:rFonts w:ascii="Arial" w:hAnsi="Arial" w:cs="Arial"/>
          <w:color w:val="7B7B7B" w:themeColor="accent3" w:themeShade="BF"/>
          <w:sz w:val="22"/>
          <w:szCs w:val="22"/>
        </w:rPr>
        <w:t>A</w:t>
      </w:r>
      <w:r w:rsidRPr="00674998">
        <w:rPr>
          <w:rFonts w:ascii="Arial" w:hAnsi="Arial" w:cs="Arial"/>
          <w:color w:val="7B7B7B" w:themeColor="accent3" w:themeShade="BF"/>
          <w:sz w:val="22"/>
          <w:szCs w:val="22"/>
        </w:rPr>
        <w:t>rticle 2</w:t>
      </w:r>
      <w:r w:rsidR="00674998" w:rsidRPr="00674998">
        <w:rPr>
          <w:rFonts w:ascii="Arial" w:hAnsi="Arial" w:cs="Arial"/>
          <w:color w:val="7B7B7B" w:themeColor="accent3" w:themeShade="BF"/>
          <w:sz w:val="22"/>
          <w:szCs w:val="22"/>
        </w:rPr>
        <w:t>(a)</w:t>
      </w:r>
      <w:r w:rsidRPr="00674998">
        <w:rPr>
          <w:rFonts w:ascii="Arial" w:hAnsi="Arial" w:cs="Arial"/>
          <w:color w:val="7B7B7B" w:themeColor="accent3" w:themeShade="BF"/>
          <w:sz w:val="22"/>
          <w:szCs w:val="22"/>
        </w:rPr>
        <w:t xml:space="preserve"> and that the foreign representative is a person or body within the meaning of </w:t>
      </w:r>
      <w:r w:rsidR="00674998" w:rsidRPr="00674998">
        <w:rPr>
          <w:rFonts w:ascii="Arial" w:hAnsi="Arial" w:cs="Arial"/>
          <w:color w:val="7B7B7B" w:themeColor="accent3" w:themeShade="BF"/>
          <w:sz w:val="22"/>
          <w:szCs w:val="22"/>
        </w:rPr>
        <w:t>2</w:t>
      </w:r>
      <w:r w:rsidRPr="00674998">
        <w:rPr>
          <w:rFonts w:ascii="Arial" w:hAnsi="Arial" w:cs="Arial"/>
          <w:color w:val="7B7B7B" w:themeColor="accent3" w:themeShade="BF"/>
          <w:sz w:val="22"/>
          <w:szCs w:val="22"/>
        </w:rPr>
        <w:t xml:space="preserve">(d), the court is entitled to so presume. </w:t>
      </w:r>
      <w:r w:rsidR="00674998" w:rsidRPr="00674998">
        <w:rPr>
          <w:rFonts w:ascii="Arial" w:hAnsi="Arial" w:cs="Arial"/>
          <w:color w:val="7B7B7B" w:themeColor="accent3" w:themeShade="BF"/>
          <w:sz w:val="22"/>
          <w:szCs w:val="22"/>
        </w:rPr>
        <w:t xml:space="preserve">As this is clear from the facts stated, this should not be an issue for the representative of State B. </w:t>
      </w:r>
    </w:p>
    <w:p w14:paraId="0C090EC5" w14:textId="77777777" w:rsidR="00674998" w:rsidRDefault="00F4549E" w:rsidP="00674998">
      <w:pPr>
        <w:pStyle w:val="ListParagraph"/>
        <w:numPr>
          <w:ilvl w:val="0"/>
          <w:numId w:val="45"/>
        </w:numPr>
        <w:jc w:val="both"/>
        <w:rPr>
          <w:rFonts w:ascii="Arial" w:hAnsi="Arial" w:cs="Arial"/>
          <w:color w:val="7B7B7B" w:themeColor="accent3" w:themeShade="BF"/>
          <w:sz w:val="22"/>
          <w:szCs w:val="22"/>
        </w:rPr>
      </w:pPr>
      <w:r w:rsidRPr="00674998">
        <w:rPr>
          <w:rFonts w:ascii="Arial" w:hAnsi="Arial" w:cs="Arial"/>
          <w:color w:val="7B7B7B" w:themeColor="accent3" w:themeShade="BF"/>
          <w:sz w:val="22"/>
          <w:szCs w:val="22"/>
        </w:rPr>
        <w:t xml:space="preserve">The court is entitled to presume that documents submitted in support of the application for recognition </w:t>
      </w:r>
      <w:r w:rsidR="00674998">
        <w:rPr>
          <w:rFonts w:ascii="Arial" w:hAnsi="Arial" w:cs="Arial"/>
          <w:color w:val="7B7B7B" w:themeColor="accent3" w:themeShade="BF"/>
          <w:sz w:val="22"/>
          <w:szCs w:val="22"/>
        </w:rPr>
        <w:t xml:space="preserve">by the foreign representative of State B </w:t>
      </w:r>
      <w:r w:rsidRPr="00674998">
        <w:rPr>
          <w:rFonts w:ascii="Arial" w:hAnsi="Arial" w:cs="Arial"/>
          <w:color w:val="7B7B7B" w:themeColor="accent3" w:themeShade="BF"/>
          <w:sz w:val="22"/>
          <w:szCs w:val="22"/>
        </w:rPr>
        <w:t xml:space="preserve">are authentic, whether or not they have been legalized. </w:t>
      </w:r>
    </w:p>
    <w:p w14:paraId="48198088" w14:textId="77777777" w:rsidR="00674998" w:rsidRDefault="00F4549E" w:rsidP="00674998">
      <w:pPr>
        <w:pStyle w:val="ListParagraph"/>
        <w:numPr>
          <w:ilvl w:val="0"/>
          <w:numId w:val="45"/>
        </w:numPr>
        <w:jc w:val="both"/>
        <w:rPr>
          <w:rFonts w:ascii="Arial" w:hAnsi="Arial" w:cs="Arial"/>
          <w:color w:val="7B7B7B" w:themeColor="accent3" w:themeShade="BF"/>
          <w:sz w:val="22"/>
          <w:szCs w:val="22"/>
        </w:rPr>
      </w:pPr>
      <w:r w:rsidRPr="00674998">
        <w:rPr>
          <w:rFonts w:ascii="Arial" w:hAnsi="Arial" w:cs="Arial"/>
          <w:color w:val="7B7B7B" w:themeColor="accent3" w:themeShade="BF"/>
          <w:sz w:val="22"/>
          <w:szCs w:val="22"/>
        </w:rPr>
        <w:lastRenderedPageBreak/>
        <w:t>In the absence of proof to the contrary, the debtor’s registered office, or habitual residence in the case of an individual, is presumed to be the centre of the debtor’s main interests.</w:t>
      </w:r>
      <w:r w:rsidR="00674998">
        <w:rPr>
          <w:rFonts w:ascii="Arial" w:hAnsi="Arial" w:cs="Arial"/>
          <w:color w:val="7B7B7B" w:themeColor="accent3" w:themeShade="BF"/>
          <w:sz w:val="22"/>
          <w:szCs w:val="22"/>
        </w:rPr>
        <w:t xml:space="preserve"> </w:t>
      </w:r>
    </w:p>
    <w:p w14:paraId="0DA8E8D4" w14:textId="77777777" w:rsidR="00674998" w:rsidRDefault="00674998" w:rsidP="00674998">
      <w:pPr>
        <w:ind w:left="360"/>
        <w:jc w:val="both"/>
        <w:rPr>
          <w:rFonts w:ascii="Arial" w:hAnsi="Arial" w:cs="Arial"/>
          <w:color w:val="7B7B7B" w:themeColor="accent3" w:themeShade="BF"/>
          <w:sz w:val="22"/>
          <w:szCs w:val="22"/>
        </w:rPr>
      </w:pPr>
    </w:p>
    <w:p w14:paraId="255C7FAE" w14:textId="3F14C8D8" w:rsidR="009C3C61" w:rsidRDefault="00674998" w:rsidP="00674998">
      <w:pPr>
        <w:ind w:left="360"/>
        <w:jc w:val="both"/>
        <w:rPr>
          <w:rFonts w:ascii="Arial" w:hAnsi="Arial" w:cs="Arial"/>
          <w:color w:val="7B7B7B" w:themeColor="accent3" w:themeShade="BF"/>
          <w:sz w:val="22"/>
          <w:szCs w:val="22"/>
        </w:rPr>
      </w:pPr>
      <w:r w:rsidRPr="00674998">
        <w:rPr>
          <w:rFonts w:ascii="Arial" w:hAnsi="Arial" w:cs="Arial"/>
          <w:color w:val="7B7B7B" w:themeColor="accent3" w:themeShade="BF"/>
          <w:sz w:val="22"/>
          <w:szCs w:val="22"/>
          <w:u w:val="single"/>
        </w:rPr>
        <w:t>Disclosure Requirements</w:t>
      </w:r>
      <w:r>
        <w:rPr>
          <w:rFonts w:ascii="Arial" w:hAnsi="Arial" w:cs="Arial"/>
          <w:color w:val="7B7B7B" w:themeColor="accent3" w:themeShade="BF"/>
          <w:sz w:val="22"/>
          <w:szCs w:val="22"/>
        </w:rPr>
        <w:t xml:space="preserve">: </w:t>
      </w:r>
      <w:r w:rsidRPr="00674998">
        <w:rPr>
          <w:rFonts w:ascii="Arial" w:hAnsi="Arial" w:cs="Arial"/>
          <w:color w:val="7B7B7B" w:themeColor="accent3" w:themeShade="BF"/>
          <w:sz w:val="22"/>
          <w:szCs w:val="22"/>
        </w:rPr>
        <w:t>The foreign representative</w:t>
      </w:r>
      <w:r>
        <w:rPr>
          <w:rFonts w:ascii="Arial" w:hAnsi="Arial" w:cs="Arial"/>
          <w:color w:val="7B7B7B" w:themeColor="accent3" w:themeShade="BF"/>
          <w:sz w:val="22"/>
          <w:szCs w:val="22"/>
        </w:rPr>
        <w:t xml:space="preserve"> of State B</w:t>
      </w:r>
      <w:r w:rsidRPr="00674998">
        <w:rPr>
          <w:rFonts w:ascii="Arial" w:hAnsi="Arial" w:cs="Arial"/>
          <w:color w:val="7B7B7B" w:themeColor="accent3" w:themeShade="BF"/>
          <w:sz w:val="22"/>
          <w:szCs w:val="22"/>
        </w:rPr>
        <w:t xml:space="preserve"> has a continuing duty of disclosure</w:t>
      </w:r>
      <w:r>
        <w:rPr>
          <w:rFonts w:ascii="Arial" w:hAnsi="Arial" w:cs="Arial"/>
          <w:color w:val="7B7B7B" w:themeColor="accent3" w:themeShade="BF"/>
          <w:sz w:val="22"/>
          <w:szCs w:val="22"/>
        </w:rPr>
        <w:t xml:space="preserve"> towards the courts of State A</w:t>
      </w:r>
      <w:r w:rsidRPr="00674998">
        <w:rPr>
          <w:rFonts w:ascii="Arial" w:hAnsi="Arial" w:cs="Arial"/>
          <w:color w:val="7B7B7B" w:themeColor="accent3" w:themeShade="BF"/>
          <w:sz w:val="22"/>
          <w:szCs w:val="22"/>
        </w:rPr>
        <w:t>. He or she must inform the court promptly of any substantial change in the status of the recognized foreign proceeding or of his or her appointment and any other foreign proceeding regarding the same debtor of which the foreign representative becomes aware</w:t>
      </w:r>
      <w:r>
        <w:rPr>
          <w:rFonts w:ascii="Arial" w:hAnsi="Arial" w:cs="Arial"/>
          <w:color w:val="7B7B7B" w:themeColor="accent3" w:themeShade="BF"/>
          <w:sz w:val="22"/>
          <w:szCs w:val="22"/>
        </w:rPr>
        <w:t>. This is envisaged in Article 18 of the MLCBI.</w:t>
      </w:r>
    </w:p>
    <w:p w14:paraId="740E5A3C" w14:textId="77777777" w:rsidR="00674998" w:rsidRPr="00674998" w:rsidRDefault="00674998" w:rsidP="00674998">
      <w:pPr>
        <w:ind w:left="360"/>
        <w:jc w:val="both"/>
        <w:rPr>
          <w:rFonts w:ascii="Arial" w:hAnsi="Arial" w:cs="Arial"/>
          <w:color w:val="7B7B7B" w:themeColor="accent3" w:themeShade="BF"/>
          <w:sz w:val="22"/>
          <w:szCs w:val="22"/>
        </w:rPr>
      </w:pPr>
    </w:p>
    <w:p w14:paraId="489E580C" w14:textId="68C4F9AD" w:rsidR="00D344A4" w:rsidRDefault="00674998" w:rsidP="00A9757F">
      <w:pPr>
        <w:ind w:left="360"/>
        <w:jc w:val="both"/>
        <w:rPr>
          <w:rFonts w:ascii="Arial" w:hAnsi="Arial" w:cs="Arial"/>
          <w:color w:val="7B7B7B" w:themeColor="accent3" w:themeShade="BF"/>
          <w:sz w:val="22"/>
          <w:szCs w:val="22"/>
        </w:rPr>
      </w:pPr>
      <w:r w:rsidRPr="00674998">
        <w:rPr>
          <w:rFonts w:ascii="Arial" w:hAnsi="Arial" w:cs="Arial"/>
          <w:color w:val="7B7B7B" w:themeColor="accent3" w:themeShade="BF"/>
          <w:sz w:val="22"/>
          <w:szCs w:val="22"/>
          <w:u w:val="single"/>
        </w:rPr>
        <w:t>Public Policy</w:t>
      </w:r>
      <w:r w:rsidR="0091579A">
        <w:rPr>
          <w:rFonts w:ascii="Arial" w:hAnsi="Arial" w:cs="Arial"/>
          <w:color w:val="7B7B7B" w:themeColor="accent3" w:themeShade="BF"/>
          <w:sz w:val="22"/>
          <w:szCs w:val="22"/>
          <w:u w:val="single"/>
        </w:rPr>
        <w:t xml:space="preserve"> (Article 6, MLCBI)</w:t>
      </w:r>
      <w:r>
        <w:rPr>
          <w:rFonts w:ascii="Arial" w:hAnsi="Arial" w:cs="Arial"/>
          <w:color w:val="7B7B7B" w:themeColor="accent3" w:themeShade="BF"/>
          <w:sz w:val="22"/>
          <w:szCs w:val="22"/>
        </w:rPr>
        <w:t>: Apart from these requirements, another thing to note is the public policy requirements of State A i.e. an application may be rejected if the courts of State A under their MLCBI decide that the granting of such application would be undesirable in relation to the public policy of the State and would ultimately be destructive or derogatory to the interests of the stakeholders.</w:t>
      </w:r>
      <w:r w:rsidR="00E64FEE">
        <w:rPr>
          <w:rFonts w:ascii="Arial" w:hAnsi="Arial" w:cs="Arial"/>
          <w:color w:val="7B7B7B" w:themeColor="accent3" w:themeShade="BF"/>
          <w:sz w:val="22"/>
          <w:szCs w:val="22"/>
        </w:rPr>
        <w:t xml:space="preserve"> This is however in exceptional circumstances (Article 17, MLCBI).</w:t>
      </w:r>
    </w:p>
    <w:p w14:paraId="259F722C" w14:textId="77777777" w:rsidR="009C3C61" w:rsidRPr="00A9757F" w:rsidRDefault="009C3C61" w:rsidP="00A9757F">
      <w:pPr>
        <w:ind w:left="360"/>
        <w:jc w:val="both"/>
        <w:rPr>
          <w:rFonts w:ascii="Arial" w:hAnsi="Arial" w:cs="Arial"/>
          <w:sz w:val="22"/>
          <w:szCs w:val="22"/>
          <w:lang w:val="en-GB"/>
        </w:rPr>
      </w:pP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39E26746" w:rsidR="00DF75F8" w:rsidRDefault="0091579A" w:rsidP="00707FC8">
      <w:pPr>
        <w:jc w:val="both"/>
        <w:rPr>
          <w:rFonts w:ascii="Arial" w:hAnsi="Arial" w:cs="Arial"/>
          <w:color w:val="7B7B7B" w:themeColor="accent3" w:themeShade="BF"/>
          <w:sz w:val="22"/>
          <w:szCs w:val="22"/>
          <w:lang w:val="en-GB"/>
        </w:rPr>
      </w:pPr>
      <w:r w:rsidRPr="0091579A">
        <w:rPr>
          <w:rFonts w:ascii="Arial" w:hAnsi="Arial" w:cs="Arial"/>
          <w:color w:val="7B7B7B" w:themeColor="accent3" w:themeShade="BF"/>
          <w:sz w:val="22"/>
          <w:szCs w:val="22"/>
          <w:u w:val="single"/>
          <w:lang w:val="en-GB"/>
        </w:rPr>
        <w:t>Pre-recognition relief</w:t>
      </w:r>
      <w:r>
        <w:rPr>
          <w:rFonts w:ascii="Arial" w:hAnsi="Arial" w:cs="Arial"/>
          <w:color w:val="7B7B7B" w:themeColor="accent3" w:themeShade="BF"/>
          <w:sz w:val="22"/>
          <w:szCs w:val="22"/>
          <w:lang w:val="en-GB"/>
        </w:rPr>
        <w:t xml:space="preserve">: Article 19 of the MLCBI allows for the grant of relief to a foreign representative even prior to its recognition. These reliefs are interim in nature and granted </w:t>
      </w:r>
      <w:r w:rsidR="00AF5155">
        <w:rPr>
          <w:rFonts w:ascii="Arial" w:hAnsi="Arial" w:cs="Arial"/>
          <w:color w:val="7B7B7B" w:themeColor="accent3" w:themeShade="BF"/>
          <w:sz w:val="22"/>
          <w:szCs w:val="22"/>
          <w:lang w:val="en-GB"/>
        </w:rPr>
        <w:t xml:space="preserve">to the foreign representative at the time of filing of the recognition application </w:t>
      </w:r>
      <w:r>
        <w:rPr>
          <w:rFonts w:ascii="Arial" w:hAnsi="Arial" w:cs="Arial"/>
          <w:color w:val="7B7B7B" w:themeColor="accent3" w:themeShade="BF"/>
          <w:sz w:val="22"/>
          <w:szCs w:val="22"/>
          <w:lang w:val="en-GB"/>
        </w:rPr>
        <w:t>where urgent measures are required usually to protect the assets of the debtor</w:t>
      </w:r>
      <w:r w:rsidR="00AF5155">
        <w:rPr>
          <w:rFonts w:ascii="Arial" w:hAnsi="Arial" w:cs="Arial"/>
          <w:color w:val="7B7B7B" w:themeColor="accent3" w:themeShade="BF"/>
          <w:sz w:val="22"/>
          <w:szCs w:val="22"/>
          <w:lang w:val="en-GB"/>
        </w:rPr>
        <w:t xml:space="preserve">. This applies to both foreign main and non-main proceedings. The reliefs are usually in the form of, among others, (1) a stay of execution against the debtors’ assets, </w:t>
      </w:r>
      <w:r w:rsidR="009A53E5">
        <w:rPr>
          <w:rFonts w:ascii="Arial" w:hAnsi="Arial" w:cs="Arial"/>
          <w:color w:val="7B7B7B" w:themeColor="accent3" w:themeShade="BF"/>
          <w:sz w:val="22"/>
          <w:szCs w:val="22"/>
          <w:lang w:val="en-GB"/>
        </w:rPr>
        <w:t xml:space="preserve">(2) entrusting the administration of a part of or all debtors assets in the enacting State (i.e. State A in this case), to the foreign representative (of State B in this case) if it absolutely necessary to protect the value of assets or otherwise, (3) some of post recognition relief like suspension of rights to transfer or encumber any of the debtors’ assets, obtaining information, evidence or examination of witnesses or any other related relief available to the domestic insolvency office holder under the laws of the enacting State A could be granted.  Article 19(2) </w:t>
      </w:r>
      <w:r w:rsidR="00691914">
        <w:rPr>
          <w:rFonts w:ascii="Arial" w:hAnsi="Arial" w:cs="Arial"/>
          <w:color w:val="7B7B7B" w:themeColor="accent3" w:themeShade="BF"/>
          <w:sz w:val="22"/>
          <w:szCs w:val="22"/>
          <w:lang w:val="en-GB"/>
        </w:rPr>
        <w:t xml:space="preserve">allows the enacting State A to implement an appropriate notice of the interim relief granted. However, it must be noted that pursuant to Article 19(4), the courts of the enacting State may refuse to grant any interim relief if it interferes with the administration of foreign main proceedings. </w:t>
      </w:r>
    </w:p>
    <w:p w14:paraId="3DA0B9A7" w14:textId="3352317A" w:rsidR="00691914" w:rsidRDefault="0069191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Usually, the provisional relief</w:t>
      </w:r>
      <w:r w:rsidR="005B0EDF">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5B0EDF">
        <w:rPr>
          <w:rFonts w:ascii="Arial" w:hAnsi="Arial" w:cs="Arial"/>
          <w:color w:val="7B7B7B" w:themeColor="accent3" w:themeShade="BF"/>
          <w:sz w:val="22"/>
          <w:szCs w:val="22"/>
          <w:lang w:val="en-GB"/>
        </w:rPr>
        <w:t xml:space="preserve">are </w:t>
      </w:r>
      <w:r>
        <w:rPr>
          <w:rFonts w:ascii="Arial" w:hAnsi="Arial" w:cs="Arial"/>
          <w:color w:val="7B7B7B" w:themeColor="accent3" w:themeShade="BF"/>
          <w:sz w:val="22"/>
          <w:szCs w:val="22"/>
          <w:lang w:val="en-GB"/>
        </w:rPr>
        <w:t xml:space="preserve">terminated upon the determination of the recognition application unless expressly extended by the courts as post recognition relief. </w:t>
      </w:r>
    </w:p>
    <w:p w14:paraId="7340D1C9" w14:textId="74D6F5E1" w:rsidR="005B0EDF" w:rsidRDefault="005B0EDF" w:rsidP="00707FC8">
      <w:pPr>
        <w:jc w:val="both"/>
        <w:rPr>
          <w:rFonts w:ascii="Arial" w:hAnsi="Arial" w:cs="Arial"/>
          <w:color w:val="7B7B7B" w:themeColor="accent3" w:themeShade="BF"/>
          <w:sz w:val="22"/>
          <w:szCs w:val="22"/>
          <w:lang w:val="en-GB"/>
        </w:rPr>
      </w:pPr>
    </w:p>
    <w:p w14:paraId="75A3B052" w14:textId="0053ADC2" w:rsidR="005B0EDF" w:rsidRDefault="005B0EDF" w:rsidP="00707FC8">
      <w:pPr>
        <w:jc w:val="both"/>
        <w:rPr>
          <w:rFonts w:ascii="Arial" w:hAnsi="Arial" w:cs="Arial"/>
          <w:color w:val="7B7B7B" w:themeColor="accent3" w:themeShade="BF"/>
          <w:sz w:val="22"/>
          <w:szCs w:val="22"/>
          <w:lang w:val="en-GB"/>
        </w:rPr>
      </w:pPr>
      <w:r w:rsidRPr="0056102C">
        <w:rPr>
          <w:rFonts w:ascii="Arial" w:hAnsi="Arial" w:cs="Arial"/>
          <w:color w:val="7B7B7B" w:themeColor="accent3" w:themeShade="BF"/>
          <w:sz w:val="22"/>
          <w:szCs w:val="22"/>
          <w:u w:val="single"/>
          <w:lang w:val="en-GB"/>
        </w:rPr>
        <w:t>Automatic mandatory relief</w:t>
      </w:r>
      <w:r>
        <w:rPr>
          <w:rFonts w:ascii="Arial" w:hAnsi="Arial" w:cs="Arial"/>
          <w:color w:val="7B7B7B" w:themeColor="accent3" w:themeShade="BF"/>
          <w:sz w:val="22"/>
          <w:szCs w:val="22"/>
          <w:lang w:val="en-GB"/>
        </w:rPr>
        <w:t xml:space="preserve">: Article 20 provides automatic </w:t>
      </w:r>
      <w:r w:rsidR="0056102C">
        <w:rPr>
          <w:rFonts w:ascii="Arial" w:hAnsi="Arial" w:cs="Arial"/>
          <w:color w:val="7B7B7B" w:themeColor="accent3" w:themeShade="BF"/>
          <w:sz w:val="22"/>
          <w:szCs w:val="22"/>
          <w:lang w:val="en-GB"/>
        </w:rPr>
        <w:t>reliefs for recognised foreign main proceedings (i.e. where the COMI of the debtor is located). This includes 3 major reliefs</w:t>
      </w:r>
      <w:r w:rsidR="00DF7FB2">
        <w:rPr>
          <w:rFonts w:ascii="Arial" w:hAnsi="Arial" w:cs="Arial"/>
          <w:color w:val="7B7B7B" w:themeColor="accent3" w:themeShade="BF"/>
          <w:sz w:val="22"/>
          <w:szCs w:val="22"/>
          <w:lang w:val="en-GB"/>
        </w:rPr>
        <w:t xml:space="preserve"> as envisaged in Article 20(1)- (a</w:t>
      </w:r>
      <w:r w:rsidR="0056102C">
        <w:rPr>
          <w:rFonts w:ascii="Arial" w:hAnsi="Arial" w:cs="Arial"/>
          <w:color w:val="7B7B7B" w:themeColor="accent3" w:themeShade="BF"/>
          <w:sz w:val="22"/>
          <w:szCs w:val="22"/>
          <w:lang w:val="en-GB"/>
        </w:rPr>
        <w:t>) Stay of commencement or continuation of individual actions against the debtor (this includes arbitration actions)</w:t>
      </w:r>
      <w:r w:rsidR="00DF7FB2">
        <w:rPr>
          <w:rFonts w:ascii="Arial" w:hAnsi="Arial" w:cs="Arial"/>
          <w:color w:val="7B7B7B" w:themeColor="accent3" w:themeShade="BF"/>
          <w:sz w:val="22"/>
          <w:szCs w:val="22"/>
          <w:lang w:val="en-GB"/>
        </w:rPr>
        <w:t>, (b</w:t>
      </w:r>
      <w:r w:rsidR="0056102C">
        <w:rPr>
          <w:rFonts w:ascii="Arial" w:hAnsi="Arial" w:cs="Arial"/>
          <w:color w:val="7B7B7B" w:themeColor="accent3" w:themeShade="BF"/>
          <w:sz w:val="22"/>
          <w:szCs w:val="22"/>
          <w:lang w:val="en-GB"/>
        </w:rPr>
        <w:t xml:space="preserve">) stay of execution against the debtors’ assets and </w:t>
      </w:r>
      <w:r w:rsidR="00DF7FB2">
        <w:rPr>
          <w:rFonts w:ascii="Arial" w:hAnsi="Arial" w:cs="Arial"/>
          <w:color w:val="7B7B7B" w:themeColor="accent3" w:themeShade="BF"/>
          <w:sz w:val="22"/>
          <w:szCs w:val="22"/>
          <w:lang w:val="en-GB"/>
        </w:rPr>
        <w:t>(c</w:t>
      </w:r>
      <w:r w:rsidR="0056102C">
        <w:rPr>
          <w:rFonts w:ascii="Arial" w:hAnsi="Arial" w:cs="Arial"/>
          <w:color w:val="7B7B7B" w:themeColor="accent3" w:themeShade="BF"/>
          <w:sz w:val="22"/>
          <w:szCs w:val="22"/>
          <w:lang w:val="en-GB"/>
        </w:rPr>
        <w:t xml:space="preserve">) suspension of rights to transfer, encumber or dispose assets of the debtor. Article 20(2) allows the enacting State to include the appropriate protections in the law of the enacting State and grants its courts the power to determine whether these aforesaid automatic stay protections should be terminated if contrary to the legitimate interests of the parties. </w:t>
      </w:r>
    </w:p>
    <w:p w14:paraId="46A1105E" w14:textId="2F6A6A95" w:rsidR="0056102C" w:rsidRDefault="0056102C" w:rsidP="00707FC8">
      <w:pPr>
        <w:jc w:val="both"/>
        <w:rPr>
          <w:rFonts w:ascii="Arial" w:hAnsi="Arial" w:cs="Arial"/>
          <w:color w:val="7B7B7B" w:themeColor="accent3" w:themeShade="BF"/>
          <w:sz w:val="22"/>
          <w:szCs w:val="22"/>
          <w:lang w:val="en-GB"/>
        </w:rPr>
      </w:pPr>
    </w:p>
    <w:p w14:paraId="47187021" w14:textId="77777777" w:rsidR="0032328C" w:rsidRDefault="0056102C" w:rsidP="00707FC8">
      <w:pPr>
        <w:jc w:val="both"/>
        <w:rPr>
          <w:rFonts w:ascii="Arial" w:hAnsi="Arial" w:cs="Arial"/>
          <w:color w:val="7B7B7B" w:themeColor="accent3" w:themeShade="BF"/>
          <w:sz w:val="22"/>
          <w:szCs w:val="22"/>
        </w:rPr>
      </w:pPr>
      <w:r w:rsidRPr="0056102C">
        <w:rPr>
          <w:rFonts w:ascii="Arial" w:hAnsi="Arial" w:cs="Arial"/>
          <w:color w:val="7B7B7B" w:themeColor="accent3" w:themeShade="BF"/>
          <w:sz w:val="22"/>
          <w:szCs w:val="22"/>
          <w:u w:val="single"/>
          <w:lang w:val="en-GB"/>
        </w:rPr>
        <w:t>Post recognition relief</w:t>
      </w:r>
      <w:r>
        <w:rPr>
          <w:rFonts w:ascii="Arial" w:hAnsi="Arial" w:cs="Arial"/>
          <w:color w:val="7B7B7B" w:themeColor="accent3" w:themeShade="BF"/>
          <w:sz w:val="22"/>
          <w:szCs w:val="22"/>
          <w:lang w:val="en-GB"/>
        </w:rPr>
        <w:t xml:space="preserve">: Article 21(1) of the MLCBI grants the courts of the enacting State the discretionary power to allow </w:t>
      </w:r>
      <w:r w:rsidR="0032328C">
        <w:rPr>
          <w:rFonts w:ascii="Arial" w:hAnsi="Arial" w:cs="Arial"/>
          <w:color w:val="7B7B7B" w:themeColor="accent3" w:themeShade="BF"/>
          <w:sz w:val="22"/>
          <w:szCs w:val="22"/>
          <w:lang w:val="en-GB"/>
        </w:rPr>
        <w:t xml:space="preserve">appropriate </w:t>
      </w:r>
      <w:r>
        <w:rPr>
          <w:rFonts w:ascii="Arial" w:hAnsi="Arial" w:cs="Arial"/>
          <w:color w:val="7B7B7B" w:themeColor="accent3" w:themeShade="BF"/>
          <w:sz w:val="22"/>
          <w:szCs w:val="22"/>
          <w:lang w:val="en-GB"/>
        </w:rPr>
        <w:t xml:space="preserve">reliefs requested by the foreign representatives of </w:t>
      </w:r>
      <w:r>
        <w:rPr>
          <w:rFonts w:ascii="Arial" w:hAnsi="Arial" w:cs="Arial"/>
          <w:color w:val="7B7B7B" w:themeColor="accent3" w:themeShade="BF"/>
          <w:sz w:val="22"/>
          <w:szCs w:val="22"/>
          <w:lang w:val="en-GB"/>
        </w:rPr>
        <w:lastRenderedPageBreak/>
        <w:t>both foreign</w:t>
      </w:r>
      <w:r w:rsidR="0032328C">
        <w:rPr>
          <w:rFonts w:ascii="Arial" w:hAnsi="Arial" w:cs="Arial"/>
          <w:color w:val="7B7B7B" w:themeColor="accent3" w:themeShade="BF"/>
          <w:sz w:val="22"/>
          <w:szCs w:val="22"/>
          <w:lang w:val="en-GB"/>
        </w:rPr>
        <w:t xml:space="preserve"> main and non-main proceedings </w:t>
      </w:r>
      <w:r w:rsidR="0032328C" w:rsidRPr="0032328C">
        <w:rPr>
          <w:rFonts w:ascii="Arial" w:hAnsi="Arial" w:cs="Arial"/>
          <w:color w:val="7B7B7B" w:themeColor="accent3" w:themeShade="BF"/>
          <w:sz w:val="22"/>
          <w:szCs w:val="22"/>
        </w:rPr>
        <w:t xml:space="preserve">where </w:t>
      </w:r>
      <w:r w:rsidR="0032328C">
        <w:rPr>
          <w:rFonts w:ascii="Arial" w:hAnsi="Arial" w:cs="Arial"/>
          <w:color w:val="7B7B7B" w:themeColor="accent3" w:themeShade="BF"/>
          <w:sz w:val="22"/>
          <w:szCs w:val="22"/>
        </w:rPr>
        <w:t xml:space="preserve">it is </w:t>
      </w:r>
      <w:r w:rsidR="0032328C" w:rsidRPr="0032328C">
        <w:rPr>
          <w:rFonts w:ascii="Arial" w:hAnsi="Arial" w:cs="Arial"/>
          <w:color w:val="7B7B7B" w:themeColor="accent3" w:themeShade="BF"/>
          <w:sz w:val="22"/>
          <w:szCs w:val="22"/>
        </w:rPr>
        <w:t>necessary to protect the assets of the debtor or t</w:t>
      </w:r>
      <w:r w:rsidR="0032328C">
        <w:rPr>
          <w:rFonts w:ascii="Arial" w:hAnsi="Arial" w:cs="Arial"/>
          <w:color w:val="7B7B7B" w:themeColor="accent3" w:themeShade="BF"/>
          <w:sz w:val="22"/>
          <w:szCs w:val="22"/>
        </w:rPr>
        <w:t>he interests of the creditors.</w:t>
      </w:r>
      <w:r w:rsidR="0032328C" w:rsidRPr="0032328C">
        <w:rPr>
          <w:rFonts w:ascii="Arial" w:hAnsi="Arial" w:cs="Arial"/>
          <w:color w:val="7B7B7B" w:themeColor="accent3" w:themeShade="BF"/>
          <w:sz w:val="22"/>
          <w:szCs w:val="22"/>
        </w:rPr>
        <w:t xml:space="preserve"> </w:t>
      </w:r>
      <w:r w:rsidR="0032328C">
        <w:rPr>
          <w:rFonts w:ascii="Arial" w:hAnsi="Arial" w:cs="Arial"/>
          <w:color w:val="7B7B7B" w:themeColor="accent3" w:themeShade="BF"/>
          <w:sz w:val="22"/>
          <w:szCs w:val="22"/>
        </w:rPr>
        <w:t>This includes</w:t>
      </w:r>
    </w:p>
    <w:p w14:paraId="7DB69E4F" w14:textId="50FF7F29" w:rsidR="00DF7FB2" w:rsidRDefault="00DF7FB2" w:rsidP="00707FC8">
      <w:pPr>
        <w:jc w:val="both"/>
        <w:rPr>
          <w:rFonts w:ascii="Arial" w:hAnsi="Arial" w:cs="Arial"/>
          <w:color w:val="7B7B7B" w:themeColor="accent3" w:themeShade="BF"/>
          <w:sz w:val="22"/>
          <w:szCs w:val="22"/>
        </w:rPr>
      </w:pPr>
      <w:r>
        <w:rPr>
          <w:rFonts w:ascii="Arial" w:hAnsi="Arial" w:cs="Arial"/>
          <w:i/>
          <w:color w:val="7B7B7B" w:themeColor="accent3" w:themeShade="BF"/>
          <w:sz w:val="22"/>
          <w:szCs w:val="22"/>
        </w:rPr>
        <w:t>“</w:t>
      </w:r>
      <w:r w:rsidR="0032328C" w:rsidRPr="00DF7FB2">
        <w:rPr>
          <w:rFonts w:ascii="Arial" w:hAnsi="Arial" w:cs="Arial"/>
          <w:i/>
          <w:color w:val="7B7B7B" w:themeColor="accent3" w:themeShade="BF"/>
          <w:sz w:val="22"/>
          <w:szCs w:val="22"/>
        </w:rPr>
        <w:t xml:space="preserve"> (a) Staying the commencement or continuation of individual actions or individual proceedings concerning the debtor's assets, rights, obligations or liabilities, to the extent they have not been stayed under paragraph 1 (a) of article 20; (b) Staying execution against the debtor's assets to the extent it has not been stayed under paragraph 1 (b) of article 20; (c) Suspending the right to transfer, encumber or otherwise dispose of any assets of the debtor to the extent this right has not been suspended under paragraph 1 (c) of article 20; (d) Providing for the examination of witnesses, the taking of evidence or the delivery of information concerning the debtor's assets, affairs, rights, obligations or liabilities; (e) Entrusting the administration or realization of all or part of the debtor's assets located in this State to the foreign representative or another person designated by the court; (f) Extending relie</w:t>
      </w:r>
      <w:r w:rsidRPr="00DF7FB2">
        <w:rPr>
          <w:rFonts w:ascii="Arial" w:hAnsi="Arial" w:cs="Arial"/>
          <w:i/>
          <w:color w:val="7B7B7B" w:themeColor="accent3" w:themeShade="BF"/>
          <w:sz w:val="22"/>
          <w:szCs w:val="22"/>
        </w:rPr>
        <w:t>f granted under paragraph 1 of A</w:t>
      </w:r>
      <w:r w:rsidR="0032328C" w:rsidRPr="00DF7FB2">
        <w:rPr>
          <w:rFonts w:ascii="Arial" w:hAnsi="Arial" w:cs="Arial"/>
          <w:i/>
          <w:color w:val="7B7B7B" w:themeColor="accent3" w:themeShade="BF"/>
          <w:sz w:val="22"/>
          <w:szCs w:val="22"/>
        </w:rPr>
        <w:t>rticle 19; (g) Granting any additional relief that may be available to</w:t>
      </w:r>
      <w:r w:rsidR="0032328C" w:rsidRPr="0032328C">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[the relevant</w:t>
      </w:r>
      <w:r w:rsidR="0032328C" w:rsidRPr="0032328C">
        <w:rPr>
          <w:rFonts w:ascii="Arial" w:hAnsi="Arial" w:cs="Arial"/>
          <w:color w:val="7B7B7B" w:themeColor="accent3" w:themeShade="BF"/>
          <w:sz w:val="22"/>
          <w:szCs w:val="22"/>
        </w:rPr>
        <w:t xml:space="preserve"> person or body administering a reorganization or liquidation under the law of the enacting State</w:t>
      </w:r>
      <w:r>
        <w:rPr>
          <w:rFonts w:ascii="Arial" w:hAnsi="Arial" w:cs="Arial"/>
          <w:color w:val="7B7B7B" w:themeColor="accent3" w:themeShade="BF"/>
          <w:sz w:val="22"/>
          <w:szCs w:val="22"/>
        </w:rPr>
        <w:t xml:space="preserve">] </w:t>
      </w:r>
      <w:r>
        <w:rPr>
          <w:rFonts w:ascii="Arial" w:hAnsi="Arial" w:cs="Arial"/>
          <w:i/>
          <w:color w:val="7B7B7B" w:themeColor="accent3" w:themeShade="BF"/>
          <w:sz w:val="22"/>
          <w:szCs w:val="22"/>
        </w:rPr>
        <w:t>under the laws of this State.”</w:t>
      </w:r>
    </w:p>
    <w:p w14:paraId="3FAD81B0" w14:textId="77777777" w:rsidR="00DF7FB2" w:rsidRDefault="00DF7FB2" w:rsidP="00707FC8">
      <w:pPr>
        <w:jc w:val="both"/>
        <w:rPr>
          <w:rFonts w:ascii="Arial" w:hAnsi="Arial" w:cs="Arial"/>
          <w:color w:val="7B7B7B" w:themeColor="accent3" w:themeShade="BF"/>
          <w:sz w:val="22"/>
          <w:szCs w:val="22"/>
        </w:rPr>
      </w:pPr>
    </w:p>
    <w:p w14:paraId="20878FE7" w14:textId="1F8DF75F" w:rsidR="0056102C" w:rsidRDefault="00DF7FB2"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0032328C" w:rsidRPr="0032328C">
        <w:rPr>
          <w:rFonts w:ascii="Arial" w:hAnsi="Arial" w:cs="Arial"/>
          <w:color w:val="7B7B7B" w:themeColor="accent3" w:themeShade="BF"/>
          <w:sz w:val="22"/>
          <w:szCs w:val="22"/>
        </w:rPr>
        <w:t>he court may</w:t>
      </w:r>
      <w:r>
        <w:rPr>
          <w:rFonts w:ascii="Arial" w:hAnsi="Arial" w:cs="Arial"/>
          <w:color w:val="7B7B7B" w:themeColor="accent3" w:themeShade="BF"/>
          <w:sz w:val="22"/>
          <w:szCs w:val="22"/>
        </w:rPr>
        <w:t xml:space="preserve"> also</w:t>
      </w:r>
      <w:r w:rsidR="0032328C" w:rsidRPr="0032328C">
        <w:rPr>
          <w:rFonts w:ascii="Arial" w:hAnsi="Arial" w:cs="Arial"/>
          <w:color w:val="7B7B7B" w:themeColor="accent3" w:themeShade="BF"/>
          <w:sz w:val="22"/>
          <w:szCs w:val="22"/>
        </w:rPr>
        <w:t>, at the request of the foreign representative, entrust the distribution of all or part of the</w:t>
      </w:r>
      <w:r>
        <w:rPr>
          <w:rFonts w:ascii="Arial" w:hAnsi="Arial" w:cs="Arial"/>
          <w:color w:val="7B7B7B" w:themeColor="accent3" w:themeShade="BF"/>
          <w:sz w:val="22"/>
          <w:szCs w:val="22"/>
        </w:rPr>
        <w:t xml:space="preserve"> debtor's assets located in the enacting</w:t>
      </w:r>
      <w:r w:rsidR="0032328C" w:rsidRPr="0032328C">
        <w:rPr>
          <w:rFonts w:ascii="Arial" w:hAnsi="Arial" w:cs="Arial"/>
          <w:color w:val="7B7B7B" w:themeColor="accent3" w:themeShade="BF"/>
          <w:sz w:val="22"/>
          <w:szCs w:val="22"/>
        </w:rPr>
        <w:t xml:space="preserve"> State to the foreign representative or another person designated by the court, provided that the court is satisfied that the interests of creditors in this Sta</w:t>
      </w:r>
      <w:r>
        <w:rPr>
          <w:rFonts w:ascii="Arial" w:hAnsi="Arial" w:cs="Arial"/>
          <w:color w:val="7B7B7B" w:themeColor="accent3" w:themeShade="BF"/>
          <w:sz w:val="22"/>
          <w:szCs w:val="22"/>
        </w:rPr>
        <w:t>te are adequately protected (Article 21(2)). It must also be noted that i</w:t>
      </w:r>
      <w:r w:rsidR="0032328C" w:rsidRPr="0032328C">
        <w:rPr>
          <w:rFonts w:ascii="Arial" w:hAnsi="Arial" w:cs="Arial"/>
          <w:color w:val="7B7B7B" w:themeColor="accent3" w:themeShade="BF"/>
          <w:sz w:val="22"/>
          <w:szCs w:val="22"/>
        </w:rPr>
        <w:t>n granting relief under this article to a representative of a foreign non-main proceeding, the court must be satisfied that the relief relates to as</w:t>
      </w:r>
      <w:r>
        <w:rPr>
          <w:rFonts w:ascii="Arial" w:hAnsi="Arial" w:cs="Arial"/>
          <w:color w:val="7B7B7B" w:themeColor="accent3" w:themeShade="BF"/>
          <w:sz w:val="22"/>
          <w:szCs w:val="22"/>
        </w:rPr>
        <w:t>sets that, under the law of the enacting</w:t>
      </w:r>
      <w:r w:rsidR="0032328C" w:rsidRPr="0032328C">
        <w:rPr>
          <w:rFonts w:ascii="Arial" w:hAnsi="Arial" w:cs="Arial"/>
          <w:color w:val="7B7B7B" w:themeColor="accent3" w:themeShade="BF"/>
          <w:sz w:val="22"/>
          <w:szCs w:val="22"/>
        </w:rPr>
        <w:t xml:space="preserve"> Stat</w:t>
      </w:r>
      <w:r>
        <w:rPr>
          <w:rFonts w:ascii="Arial" w:hAnsi="Arial" w:cs="Arial"/>
          <w:color w:val="7B7B7B" w:themeColor="accent3" w:themeShade="BF"/>
          <w:sz w:val="22"/>
          <w:szCs w:val="22"/>
        </w:rPr>
        <w:t>e, should be administered in such proceedings or concerns information required in such proceedings (Article 21(3).</w:t>
      </w:r>
    </w:p>
    <w:p w14:paraId="2457ADB0" w14:textId="0772EB92" w:rsidR="00EF5C49" w:rsidRDefault="00EF5C49" w:rsidP="00707FC8">
      <w:pPr>
        <w:jc w:val="both"/>
        <w:rPr>
          <w:rFonts w:ascii="Arial" w:hAnsi="Arial" w:cs="Arial"/>
          <w:color w:val="7B7B7B" w:themeColor="accent3" w:themeShade="BF"/>
          <w:sz w:val="22"/>
          <w:szCs w:val="22"/>
        </w:rPr>
      </w:pPr>
    </w:p>
    <w:p w14:paraId="5EC3F3D0" w14:textId="7A572290" w:rsidR="00EF5C49" w:rsidRPr="009B5832" w:rsidRDefault="00EF5C49" w:rsidP="00707FC8">
      <w:pPr>
        <w:jc w:val="both"/>
        <w:rPr>
          <w:rFonts w:ascii="Arial" w:hAnsi="Arial" w:cs="Arial"/>
          <w:sz w:val="22"/>
          <w:szCs w:val="22"/>
          <w:lang w:val="en-GB"/>
        </w:rPr>
      </w:pPr>
      <w:r>
        <w:rPr>
          <w:rFonts w:ascii="Arial" w:hAnsi="Arial" w:cs="Arial"/>
          <w:color w:val="7B7B7B" w:themeColor="accent3" w:themeShade="BF"/>
          <w:sz w:val="22"/>
          <w:szCs w:val="22"/>
        </w:rPr>
        <w:t xml:space="preserve">While the above provisions indicate that the courts of the enacting State have broad powers to grant reliefs to the foreign representative, the powers are not unlimited. While how a court may exercise such powers depend on several factors, circumstances in the cases, jurisdictions in question, the domestic laws of the enacting State, here have been several instances where the courts have refused to grant reliefs to foreign representatives. A few instances include, (1) where the courts found an </w:t>
      </w:r>
      <w:r w:rsidRPr="00EF5C49">
        <w:rPr>
          <w:rFonts w:ascii="Arial" w:hAnsi="Arial" w:cs="Arial"/>
          <w:i/>
          <w:color w:val="7B7B7B" w:themeColor="accent3" w:themeShade="BF"/>
          <w:sz w:val="22"/>
          <w:szCs w:val="22"/>
        </w:rPr>
        <w:t>in personam</w:t>
      </w:r>
      <w:r>
        <w:rPr>
          <w:rFonts w:ascii="Arial" w:hAnsi="Arial" w:cs="Arial"/>
          <w:color w:val="7B7B7B" w:themeColor="accent3" w:themeShade="BF"/>
          <w:sz w:val="22"/>
          <w:szCs w:val="22"/>
        </w:rPr>
        <w:t xml:space="preserve"> insolvency related default judgement beyond the scope of MLCBI and refused to grant recognition (</w:t>
      </w:r>
      <w:r w:rsidRPr="00EF5C49">
        <w:rPr>
          <w:rFonts w:ascii="Arial" w:hAnsi="Arial" w:cs="Arial"/>
          <w:i/>
          <w:color w:val="7B7B7B" w:themeColor="accent3" w:themeShade="BF"/>
          <w:sz w:val="22"/>
          <w:szCs w:val="22"/>
        </w:rPr>
        <w:t>Rubin v Eurofinance</w:t>
      </w:r>
      <w:r>
        <w:rPr>
          <w:rFonts w:ascii="Arial" w:hAnsi="Arial" w:cs="Arial"/>
          <w:i/>
          <w:color w:val="7B7B7B" w:themeColor="accent3" w:themeShade="BF"/>
          <w:sz w:val="22"/>
          <w:szCs w:val="22"/>
        </w:rPr>
        <w:t xml:space="preserve"> SA</w:t>
      </w:r>
      <w:r w:rsidR="003C48B0">
        <w:rPr>
          <w:rStyle w:val="FootnoteReference"/>
          <w:rFonts w:ascii="Arial" w:hAnsi="Arial" w:cs="Arial"/>
          <w:i/>
          <w:color w:val="7B7B7B" w:themeColor="accent3" w:themeShade="BF"/>
          <w:sz w:val="22"/>
          <w:szCs w:val="22"/>
        </w:rPr>
        <w:footnoteReference w:id="2"/>
      </w:r>
      <w:r>
        <w:rPr>
          <w:rFonts w:ascii="Arial" w:hAnsi="Arial" w:cs="Arial"/>
          <w:color w:val="7B7B7B" w:themeColor="accent3" w:themeShade="BF"/>
          <w:sz w:val="22"/>
          <w:szCs w:val="22"/>
        </w:rPr>
        <w:t>), (2) Through the “</w:t>
      </w:r>
      <w:r w:rsidRPr="00EF5C49">
        <w:rPr>
          <w:rFonts w:ascii="Arial" w:hAnsi="Arial" w:cs="Arial"/>
          <w:i/>
          <w:color w:val="7B7B7B" w:themeColor="accent3" w:themeShade="BF"/>
          <w:sz w:val="22"/>
          <w:szCs w:val="22"/>
        </w:rPr>
        <w:t>Gibbs Rule</w:t>
      </w:r>
      <w:r>
        <w:rPr>
          <w:rFonts w:ascii="Arial" w:hAnsi="Arial" w:cs="Arial"/>
          <w:color w:val="7B7B7B" w:themeColor="accent3" w:themeShade="BF"/>
          <w:sz w:val="22"/>
          <w:szCs w:val="22"/>
        </w:rPr>
        <w:t>”, the English court found that an English law governed debt cannot be extinguished by foreign proceedings (this if of course a principle in evolution and discussions are made around this rule being interpreted in the context of modified universalism), (3) In the Pan Ocean case, the English court, among others, rejected a claim that the termination of a contract (which was allowed under the domestic law of the state) would fall under the suspension of any commencement or continuation of acti</w:t>
      </w:r>
      <w:r w:rsidR="00032F48">
        <w:rPr>
          <w:rFonts w:ascii="Arial" w:hAnsi="Arial" w:cs="Arial"/>
          <w:color w:val="7B7B7B" w:themeColor="accent3" w:themeShade="BF"/>
          <w:sz w:val="22"/>
          <w:szCs w:val="22"/>
        </w:rPr>
        <w:t xml:space="preserve">ons as envisaged in Article 21. The court also held that the intention of seeking appropriate relief in this matter would not include allowing the recognizing English courts to go beyond the relief it would grant under the domestic insolvency law. </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5299ADC8" w:rsidR="00980314" w:rsidRPr="009B5832" w:rsidRDefault="00CF042A"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A worldwide freezing order is essentially an interim relief granted to prevent fraud </w:t>
      </w:r>
      <w:r>
        <w:rPr>
          <w:rFonts w:ascii="Arial" w:hAnsi="Arial" w:cs="Arial"/>
          <w:color w:val="7B7B7B" w:themeColor="accent3" w:themeShade="BF"/>
          <w:sz w:val="22"/>
          <w:szCs w:val="22"/>
        </w:rPr>
        <w:t>and</w:t>
      </w:r>
      <w:r w:rsidRPr="00CF042A">
        <w:rPr>
          <w:rFonts w:ascii="Arial" w:hAnsi="Arial" w:cs="Arial"/>
          <w:color w:val="7B7B7B" w:themeColor="accent3" w:themeShade="BF"/>
          <w:sz w:val="22"/>
          <w:szCs w:val="22"/>
        </w:rPr>
        <w:t xml:space="preserve"> to protect the legitimate interests of the parties involved until the court has an opportunity to </w:t>
      </w:r>
      <w:r>
        <w:rPr>
          <w:rFonts w:ascii="Arial" w:hAnsi="Arial" w:cs="Arial"/>
          <w:color w:val="7B7B7B" w:themeColor="accent3" w:themeShade="BF"/>
          <w:sz w:val="22"/>
          <w:szCs w:val="22"/>
        </w:rPr>
        <w:t xml:space="preserve">make a proper assessment of the matter and </w:t>
      </w:r>
      <w:r w:rsidRPr="00CF042A">
        <w:rPr>
          <w:rFonts w:ascii="Arial" w:hAnsi="Arial" w:cs="Arial"/>
          <w:color w:val="7B7B7B" w:themeColor="accent3" w:themeShade="BF"/>
          <w:sz w:val="22"/>
          <w:szCs w:val="22"/>
        </w:rPr>
        <w:t xml:space="preserve">notify all concerned </w:t>
      </w:r>
      <w:r>
        <w:rPr>
          <w:rFonts w:ascii="Arial" w:hAnsi="Arial" w:cs="Arial"/>
          <w:color w:val="7B7B7B" w:themeColor="accent3" w:themeShade="BF"/>
          <w:sz w:val="22"/>
          <w:szCs w:val="22"/>
        </w:rPr>
        <w:t xml:space="preserve">parties. It is a draconian measure and taken usually as an interim step to avoid an irreparable harm to the interests of the parties and assets of the debtor. </w:t>
      </w:r>
      <w:r w:rsidR="00BD61A0">
        <w:rPr>
          <w:rFonts w:ascii="Arial" w:hAnsi="Arial" w:cs="Arial"/>
          <w:color w:val="7B7B7B" w:themeColor="accent3" w:themeShade="BF"/>
          <w:sz w:val="22"/>
          <w:szCs w:val="22"/>
        </w:rPr>
        <w:t xml:space="preserve">Once the matter has been assessed and reasonable protections are </w:t>
      </w:r>
      <w:r w:rsidR="00BD61A0">
        <w:rPr>
          <w:rFonts w:ascii="Arial" w:hAnsi="Arial" w:cs="Arial"/>
          <w:color w:val="7B7B7B" w:themeColor="accent3" w:themeShade="BF"/>
          <w:sz w:val="22"/>
          <w:szCs w:val="22"/>
        </w:rPr>
        <w:lastRenderedPageBreak/>
        <w:t>in place, the courts are unlikely to continue such extreme measures which would ultimately note benefit the administration of the debtor</w:t>
      </w:r>
      <w:r w:rsidR="004F381C">
        <w:rPr>
          <w:rFonts w:ascii="Arial" w:hAnsi="Arial" w:cs="Arial"/>
          <w:color w:val="7B7B7B" w:themeColor="accent3" w:themeShade="BF"/>
          <w:sz w:val="22"/>
          <w:szCs w:val="22"/>
        </w:rPr>
        <w:t>’</w:t>
      </w:r>
      <w:r w:rsidR="00BD61A0">
        <w:rPr>
          <w:rFonts w:ascii="Arial" w:hAnsi="Arial" w:cs="Arial"/>
          <w:color w:val="7B7B7B" w:themeColor="accent3" w:themeShade="BF"/>
          <w:sz w:val="22"/>
          <w:szCs w:val="22"/>
        </w:rPr>
        <w:t>s estate or interests of the stakeholders involved.</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2" w:name="para24"/>
      <w:bookmarkEnd w:id="11"/>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3"/>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4"/>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5"/>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6"/>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7" w:name="para29"/>
      <w:r w:rsidRPr="009B5832">
        <w:rPr>
          <w:rFonts w:ascii="Arial" w:hAnsi="Arial" w:cs="Arial"/>
          <w:color w:val="000000"/>
          <w:sz w:val="22"/>
          <w:szCs w:val="22"/>
          <w:lang w:val="en-GB" w:eastAsia="en-GB"/>
        </w:rPr>
        <w:lastRenderedPageBreak/>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7"/>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1" w:name="para33"/>
      <w:bookmarkEnd w:id="20"/>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3" w:name="para35"/>
      <w:bookmarkEnd w:id="22"/>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7"/>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8"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25510771" w14:textId="3C0AFAED" w:rsidR="00215497" w:rsidRDefault="0021549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the Bank is not excluded from the scope of MLCBI (or CBIR), we would treat it as an entity being governed by the MLCBI</w:t>
      </w:r>
      <w:r w:rsidR="00CF01F1">
        <w:rPr>
          <w:rFonts w:ascii="Arial" w:hAnsi="Arial" w:cs="Arial"/>
          <w:color w:val="7B7B7B" w:themeColor="accent3" w:themeShade="BF"/>
          <w:sz w:val="22"/>
          <w:szCs w:val="22"/>
          <w:lang w:val="en-GB"/>
        </w:rPr>
        <w:t xml:space="preserve"> and not subject to any regulatory requirement</w:t>
      </w:r>
      <w:r>
        <w:rPr>
          <w:rFonts w:ascii="Arial" w:hAnsi="Arial" w:cs="Arial"/>
          <w:color w:val="7B7B7B" w:themeColor="accent3" w:themeShade="BF"/>
          <w:sz w:val="22"/>
          <w:szCs w:val="22"/>
          <w:lang w:val="en-GB"/>
        </w:rPr>
        <w:t xml:space="preserve">. For the purposes of this answer, all references </w:t>
      </w:r>
      <w:r w:rsidR="009335E2">
        <w:rPr>
          <w:rFonts w:ascii="Arial" w:hAnsi="Arial" w:cs="Arial"/>
          <w:color w:val="7B7B7B" w:themeColor="accent3" w:themeShade="BF"/>
          <w:sz w:val="22"/>
          <w:szCs w:val="22"/>
          <w:lang w:val="en-GB"/>
        </w:rPr>
        <w:t>of Articles are from the</w:t>
      </w:r>
      <w:r>
        <w:rPr>
          <w:rFonts w:ascii="Arial" w:hAnsi="Arial" w:cs="Arial"/>
          <w:color w:val="7B7B7B" w:themeColor="accent3" w:themeShade="BF"/>
          <w:sz w:val="22"/>
          <w:szCs w:val="22"/>
          <w:lang w:val="en-GB"/>
        </w:rPr>
        <w:t xml:space="preserve"> MLCBI as if made to CBIR (enacting legislation of MLCBI in UK</w:t>
      </w:r>
      <w:r w:rsidR="009335E2">
        <w:rPr>
          <w:rFonts w:ascii="Arial" w:hAnsi="Arial" w:cs="Arial"/>
          <w:color w:val="7B7B7B" w:themeColor="accent3" w:themeShade="BF"/>
          <w:sz w:val="22"/>
          <w:szCs w:val="22"/>
          <w:lang w:val="en-GB"/>
        </w:rPr>
        <w:t>), unless otherwise specified.</w:t>
      </w:r>
    </w:p>
    <w:p w14:paraId="759DE66E" w14:textId="77777777" w:rsidR="00215497" w:rsidRDefault="00215497" w:rsidP="00707FC8">
      <w:pPr>
        <w:jc w:val="both"/>
        <w:rPr>
          <w:rFonts w:ascii="Arial" w:hAnsi="Arial" w:cs="Arial"/>
          <w:color w:val="7B7B7B" w:themeColor="accent3" w:themeShade="BF"/>
          <w:sz w:val="22"/>
          <w:szCs w:val="22"/>
          <w:lang w:val="en-GB"/>
        </w:rPr>
      </w:pPr>
    </w:p>
    <w:p w14:paraId="1BCA32D2" w14:textId="77777777" w:rsidR="00CF01F1" w:rsidRDefault="0021549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4.1.1</w:t>
      </w:r>
      <w:r w:rsidR="009335E2">
        <w:rPr>
          <w:rFonts w:ascii="Arial" w:hAnsi="Arial" w:cs="Arial"/>
          <w:color w:val="7B7B7B" w:themeColor="accent3" w:themeShade="BF"/>
          <w:sz w:val="22"/>
          <w:szCs w:val="22"/>
          <w:lang w:val="en-GB"/>
        </w:rPr>
        <w:t xml:space="preserve"> </w:t>
      </w:r>
    </w:p>
    <w:p w14:paraId="6DF36811" w14:textId="77777777" w:rsidR="00CF01F1" w:rsidRDefault="00CF01F1" w:rsidP="00707FC8">
      <w:pPr>
        <w:jc w:val="both"/>
        <w:rPr>
          <w:rFonts w:ascii="Arial" w:hAnsi="Arial" w:cs="Arial"/>
          <w:color w:val="7B7B7B" w:themeColor="accent3" w:themeShade="BF"/>
          <w:sz w:val="22"/>
          <w:szCs w:val="22"/>
          <w:lang w:val="en-GB"/>
        </w:rPr>
      </w:pPr>
    </w:p>
    <w:p w14:paraId="7412CD40" w14:textId="7729528F" w:rsidR="009335E2" w:rsidRDefault="009335E2"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Article 2(a) provides </w:t>
      </w:r>
      <w:r>
        <w:rPr>
          <w:rFonts w:ascii="Arial" w:hAnsi="Arial" w:cs="Arial"/>
          <w:color w:val="7B7B7B" w:themeColor="accent3" w:themeShade="BF"/>
          <w:sz w:val="22"/>
          <w:szCs w:val="22"/>
        </w:rPr>
        <w:t>“Foreign proceeding”</w:t>
      </w:r>
      <w:r w:rsidRPr="009335E2">
        <w:rPr>
          <w:rFonts w:ascii="Arial" w:hAnsi="Arial" w:cs="Arial"/>
          <w:color w:val="7B7B7B" w:themeColor="accent3" w:themeShade="BF"/>
          <w:sz w:val="22"/>
          <w:szCs w:val="22"/>
        </w:rPr>
        <w:t xml:space="preserve"> means </w:t>
      </w:r>
      <w:r w:rsidR="00D231B8">
        <w:rPr>
          <w:rFonts w:ascii="Arial" w:hAnsi="Arial" w:cs="Arial"/>
          <w:color w:val="7B7B7B" w:themeColor="accent3" w:themeShade="BF"/>
          <w:sz w:val="22"/>
          <w:szCs w:val="22"/>
        </w:rPr>
        <w:t>“</w:t>
      </w:r>
      <w:r w:rsidRPr="00CF01F1">
        <w:rPr>
          <w:rFonts w:ascii="Arial" w:hAnsi="Arial" w:cs="Arial"/>
          <w:i/>
          <w:color w:val="7B7B7B" w:themeColor="accent3" w:themeShade="BF"/>
          <w:sz w:val="22"/>
          <w:szCs w:val="22"/>
        </w:rPr>
        <w:t>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00D231B8">
        <w:rPr>
          <w:rFonts w:ascii="Arial" w:hAnsi="Arial" w:cs="Arial"/>
          <w:color w:val="7B7B7B" w:themeColor="accent3" w:themeShade="BF"/>
          <w:sz w:val="22"/>
          <w:szCs w:val="22"/>
        </w:rPr>
        <w:t>”</w:t>
      </w:r>
      <w:r w:rsidR="00CF01F1">
        <w:rPr>
          <w:rFonts w:ascii="Arial" w:hAnsi="Arial" w:cs="Arial"/>
          <w:color w:val="7B7B7B" w:themeColor="accent3" w:themeShade="BF"/>
          <w:sz w:val="22"/>
          <w:szCs w:val="22"/>
        </w:rPr>
        <w:t>.</w:t>
      </w:r>
    </w:p>
    <w:p w14:paraId="07511CCE" w14:textId="6E93F059" w:rsidR="00CF01F1" w:rsidRDefault="00CF01F1" w:rsidP="00707FC8">
      <w:pPr>
        <w:jc w:val="both"/>
        <w:rPr>
          <w:rFonts w:ascii="Arial" w:hAnsi="Arial" w:cs="Arial"/>
          <w:color w:val="7B7B7B" w:themeColor="accent3" w:themeShade="BF"/>
          <w:sz w:val="22"/>
          <w:szCs w:val="22"/>
        </w:rPr>
      </w:pPr>
    </w:p>
    <w:p w14:paraId="3C787CF2" w14:textId="1757D327" w:rsidR="00CF01F1" w:rsidRDefault="00CF01F1"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order to ascertain whether the Bank liquidation qualifies as a foreign proceedings under the MLCBI, it would be important to prove that each of the elements in the above definition are satisfied as below:</w:t>
      </w:r>
    </w:p>
    <w:p w14:paraId="1F4C350B" w14:textId="54135921" w:rsidR="00CF01F1" w:rsidRDefault="00CF01F1" w:rsidP="00707FC8">
      <w:pPr>
        <w:jc w:val="both"/>
        <w:rPr>
          <w:rFonts w:ascii="Arial" w:hAnsi="Arial" w:cs="Arial"/>
          <w:color w:val="7B7B7B" w:themeColor="accent3" w:themeShade="BF"/>
          <w:sz w:val="22"/>
          <w:szCs w:val="22"/>
        </w:rPr>
      </w:pPr>
    </w:p>
    <w:p w14:paraId="2CBC49E0" w14:textId="0EF3EF04" w:rsidR="00B2197B" w:rsidRDefault="00B2197B" w:rsidP="00CF01F1">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P</w:t>
      </w:r>
      <w:r w:rsidR="00CF01F1" w:rsidRPr="00B2197B">
        <w:rPr>
          <w:rFonts w:ascii="Arial" w:hAnsi="Arial" w:cs="Arial"/>
          <w:color w:val="7B7B7B" w:themeColor="accent3" w:themeShade="BF"/>
          <w:sz w:val="22"/>
          <w:szCs w:val="22"/>
          <w:u w:val="single"/>
          <w:lang w:val="en-GB"/>
        </w:rPr>
        <w:t>roceeding</w:t>
      </w:r>
      <w:r w:rsidR="0055789A">
        <w:rPr>
          <w:rFonts w:ascii="Arial" w:hAnsi="Arial" w:cs="Arial"/>
          <w:color w:val="7B7B7B" w:themeColor="accent3" w:themeShade="BF"/>
          <w:sz w:val="22"/>
          <w:szCs w:val="22"/>
          <w:u w:val="single"/>
          <w:lang w:val="en-GB"/>
        </w:rPr>
        <w:t xml:space="preserve"> and judicial/ administrative in nature</w:t>
      </w:r>
      <w:r w:rsidR="00CF01F1">
        <w:rPr>
          <w:rFonts w:ascii="Arial" w:hAnsi="Arial" w:cs="Arial"/>
          <w:color w:val="7B7B7B" w:themeColor="accent3" w:themeShade="BF"/>
          <w:sz w:val="22"/>
          <w:szCs w:val="22"/>
          <w:lang w:val="en-GB"/>
        </w:rPr>
        <w:t xml:space="preserve">: </w:t>
      </w:r>
    </w:p>
    <w:p w14:paraId="0711BB00" w14:textId="6FA624FD" w:rsidR="00CF01F1" w:rsidRDefault="00165A7E" w:rsidP="00B2197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there is no elaborate definition </w:t>
      </w:r>
      <w:r w:rsidR="00B2197B">
        <w:rPr>
          <w:rFonts w:ascii="Arial" w:hAnsi="Arial" w:cs="Arial"/>
          <w:color w:val="7B7B7B" w:themeColor="accent3" w:themeShade="BF"/>
          <w:sz w:val="22"/>
          <w:szCs w:val="22"/>
          <w:lang w:val="en-GB"/>
        </w:rPr>
        <w:t>or explanation of what constitutes a</w:t>
      </w:r>
      <w:r>
        <w:rPr>
          <w:rFonts w:ascii="Arial" w:hAnsi="Arial" w:cs="Arial"/>
          <w:color w:val="7B7B7B" w:themeColor="accent3" w:themeShade="BF"/>
          <w:sz w:val="22"/>
          <w:szCs w:val="22"/>
          <w:lang w:val="en-GB"/>
        </w:rPr>
        <w:t xml:space="preserve"> proceeding in the MLCBI</w:t>
      </w:r>
      <w:r w:rsidR="00B2197B">
        <w:rPr>
          <w:rFonts w:ascii="Arial" w:hAnsi="Arial" w:cs="Arial"/>
          <w:color w:val="7B7B7B" w:themeColor="accent3" w:themeShade="BF"/>
          <w:sz w:val="22"/>
          <w:szCs w:val="22"/>
          <w:lang w:val="en-GB"/>
        </w:rPr>
        <w:t xml:space="preserve">, in the </w:t>
      </w:r>
      <w:r w:rsidR="00B2197B" w:rsidRPr="00DE14EA">
        <w:rPr>
          <w:rFonts w:ascii="Arial" w:hAnsi="Arial" w:cs="Arial"/>
          <w:i/>
          <w:color w:val="7B7B7B" w:themeColor="accent3" w:themeShade="BF"/>
          <w:sz w:val="22"/>
          <w:szCs w:val="22"/>
          <w:lang w:val="en-GB"/>
        </w:rPr>
        <w:t>Agrokar</w:t>
      </w:r>
      <w:r w:rsidR="00DE14EA">
        <w:rPr>
          <w:rStyle w:val="FootnoteReference"/>
          <w:rFonts w:ascii="Arial" w:hAnsi="Arial" w:cs="Arial"/>
          <w:i/>
          <w:color w:val="7B7B7B" w:themeColor="accent3" w:themeShade="BF"/>
          <w:sz w:val="22"/>
          <w:szCs w:val="22"/>
          <w:lang w:val="en-GB"/>
        </w:rPr>
        <w:footnoteReference w:id="3"/>
      </w:r>
      <w:r w:rsidR="00B2197B" w:rsidRPr="00DE14EA">
        <w:rPr>
          <w:rFonts w:ascii="Arial" w:hAnsi="Arial" w:cs="Arial"/>
          <w:color w:val="7B7B7B" w:themeColor="accent3" w:themeShade="BF"/>
          <w:sz w:val="22"/>
          <w:szCs w:val="22"/>
          <w:lang w:val="en-GB"/>
        </w:rPr>
        <w:t xml:space="preserve"> case, the English court suggested that </w:t>
      </w:r>
      <w:r w:rsidR="0055789A" w:rsidRPr="00DE14EA">
        <w:rPr>
          <w:rFonts w:ascii="Arial" w:hAnsi="Arial" w:cs="Arial"/>
          <w:color w:val="7B7B7B" w:themeColor="accent3" w:themeShade="BF"/>
          <w:sz w:val="22"/>
          <w:szCs w:val="22"/>
          <w:lang w:val="en-GB"/>
        </w:rPr>
        <w:t>proceedings</w:t>
      </w:r>
      <w:r w:rsidR="00B2197B" w:rsidRPr="00DE14EA">
        <w:rPr>
          <w:rFonts w:ascii="Arial" w:hAnsi="Arial" w:cs="Arial"/>
          <w:color w:val="7B7B7B" w:themeColor="accent3" w:themeShade="BF"/>
          <w:sz w:val="22"/>
          <w:szCs w:val="22"/>
          <w:lang w:val="en-GB"/>
        </w:rPr>
        <w:t xml:space="preserve"> in relation to corporate insolvencies</w:t>
      </w:r>
      <w:r w:rsidR="00B2197B">
        <w:rPr>
          <w:rFonts w:ascii="Arial" w:hAnsi="Arial" w:cs="Arial"/>
          <w:color w:val="7B7B7B" w:themeColor="accent3" w:themeShade="BF"/>
          <w:sz w:val="22"/>
          <w:szCs w:val="22"/>
          <w:lang w:val="en-GB"/>
        </w:rPr>
        <w:t xml:space="preserve"> would include a statutory framework that imposes constraints on a company’s actions and regulates final distribution of a company’s assets. In this case, the NB has clearly set down a criteria under the LBBA (i.e. Legislation in Country A) for the classification of a bank as troubled, insolvent and the consequences and actions taken thereon, including the appointment of the liquidator and “constraining” the bank’s activities to the extent of even shutting down operations in order to preserve the assets of the bank and sell them for the benefit of the creditors. </w:t>
      </w:r>
    </w:p>
    <w:p w14:paraId="678B83A6" w14:textId="743FF0DD" w:rsidR="00B2197B" w:rsidRDefault="00B2197B" w:rsidP="00B2197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proceeding includes interim proceedings, both the “provisional administration” and the “liquidation” under LBBA </w:t>
      </w:r>
      <w:r w:rsidR="0055789A">
        <w:rPr>
          <w:rFonts w:ascii="Arial" w:hAnsi="Arial" w:cs="Arial"/>
          <w:color w:val="7B7B7B" w:themeColor="accent3" w:themeShade="BF"/>
          <w:sz w:val="22"/>
          <w:szCs w:val="22"/>
          <w:lang w:val="en-GB"/>
        </w:rPr>
        <w:t>should</w:t>
      </w:r>
      <w:r>
        <w:rPr>
          <w:rFonts w:ascii="Arial" w:hAnsi="Arial" w:cs="Arial"/>
          <w:color w:val="7B7B7B" w:themeColor="accent3" w:themeShade="BF"/>
          <w:sz w:val="22"/>
          <w:szCs w:val="22"/>
          <w:lang w:val="en-GB"/>
        </w:rPr>
        <w:t xml:space="preserve"> qualify as </w:t>
      </w:r>
      <w:r w:rsidR="0055789A">
        <w:rPr>
          <w:rFonts w:ascii="Arial" w:hAnsi="Arial" w:cs="Arial"/>
          <w:color w:val="7B7B7B" w:themeColor="accent3" w:themeShade="BF"/>
          <w:sz w:val="22"/>
          <w:szCs w:val="22"/>
          <w:lang w:val="en-GB"/>
        </w:rPr>
        <w:t>proceedings under MLCBI. In addition to this, the Affidavit provided in relation to Country A’s above LBBA, confirms the processes involved and satisfy the requirement of it being a proceedings under the MLCBI (as an expert opinion which would be relied upon by the recognising English courts).</w:t>
      </w:r>
    </w:p>
    <w:p w14:paraId="11F1242F" w14:textId="77777777" w:rsidR="00B2197B" w:rsidRDefault="00B2197B" w:rsidP="00B2197B">
      <w:pPr>
        <w:pStyle w:val="ListParagraph"/>
        <w:jc w:val="both"/>
        <w:rPr>
          <w:rFonts w:ascii="Arial" w:hAnsi="Arial" w:cs="Arial"/>
          <w:color w:val="7B7B7B" w:themeColor="accent3" w:themeShade="BF"/>
          <w:sz w:val="22"/>
          <w:szCs w:val="22"/>
          <w:lang w:val="en-GB"/>
        </w:rPr>
      </w:pPr>
    </w:p>
    <w:p w14:paraId="6E3C5885" w14:textId="399A6169" w:rsidR="00561EEE" w:rsidRDefault="00CF01F1" w:rsidP="00CF01F1">
      <w:pPr>
        <w:pStyle w:val="ListParagraph"/>
        <w:numPr>
          <w:ilvl w:val="0"/>
          <w:numId w:val="46"/>
        </w:numPr>
        <w:jc w:val="both"/>
        <w:rPr>
          <w:rFonts w:ascii="Arial" w:hAnsi="Arial" w:cs="Arial"/>
          <w:color w:val="7B7B7B" w:themeColor="accent3" w:themeShade="BF"/>
          <w:sz w:val="22"/>
          <w:szCs w:val="22"/>
          <w:lang w:val="en-GB"/>
        </w:rPr>
      </w:pPr>
      <w:r w:rsidRPr="0055789A">
        <w:rPr>
          <w:rFonts w:ascii="Arial" w:hAnsi="Arial" w:cs="Arial"/>
          <w:color w:val="7B7B7B" w:themeColor="accent3" w:themeShade="BF"/>
          <w:sz w:val="22"/>
          <w:szCs w:val="22"/>
          <w:u w:val="single"/>
          <w:lang w:val="en-GB"/>
        </w:rPr>
        <w:t xml:space="preserve">Collective </w:t>
      </w:r>
      <w:r w:rsidR="00561EEE">
        <w:rPr>
          <w:rFonts w:ascii="Arial" w:hAnsi="Arial" w:cs="Arial"/>
          <w:color w:val="7B7B7B" w:themeColor="accent3" w:themeShade="BF"/>
          <w:sz w:val="22"/>
          <w:szCs w:val="22"/>
          <w:u w:val="single"/>
          <w:lang w:val="en-GB"/>
        </w:rPr>
        <w:t>proceedings</w:t>
      </w:r>
      <w:r>
        <w:rPr>
          <w:rFonts w:ascii="Arial" w:hAnsi="Arial" w:cs="Arial"/>
          <w:color w:val="7B7B7B" w:themeColor="accent3" w:themeShade="BF"/>
          <w:sz w:val="22"/>
          <w:szCs w:val="22"/>
          <w:lang w:val="en-GB"/>
        </w:rPr>
        <w:t>:</w:t>
      </w:r>
      <w:r w:rsidR="00561EEE">
        <w:rPr>
          <w:rFonts w:ascii="Arial" w:hAnsi="Arial" w:cs="Arial"/>
          <w:color w:val="7B7B7B" w:themeColor="accent3" w:themeShade="BF"/>
          <w:sz w:val="22"/>
          <w:szCs w:val="22"/>
          <w:lang w:val="en-GB"/>
        </w:rPr>
        <w:t xml:space="preserve"> The Guide to Enactment and Interpretation of the MLCBI (</w:t>
      </w:r>
      <w:r w:rsidR="00561EEE" w:rsidRPr="00561EEE">
        <w:rPr>
          <w:rFonts w:ascii="Arial" w:hAnsi="Arial" w:cs="Arial"/>
          <w:b/>
          <w:i/>
          <w:color w:val="7B7B7B" w:themeColor="accent3" w:themeShade="BF"/>
          <w:sz w:val="22"/>
          <w:szCs w:val="22"/>
          <w:lang w:val="en-GB"/>
        </w:rPr>
        <w:t>GEI</w:t>
      </w:r>
      <w:r w:rsidR="00561EEE">
        <w:rPr>
          <w:rFonts w:ascii="Arial" w:hAnsi="Arial" w:cs="Arial"/>
          <w:color w:val="7B7B7B" w:themeColor="accent3" w:themeShade="BF"/>
          <w:sz w:val="22"/>
          <w:szCs w:val="22"/>
          <w:lang w:val="en-GB"/>
        </w:rPr>
        <w:t xml:space="preserve">) </w:t>
      </w:r>
      <w:r w:rsidR="00A1514A">
        <w:rPr>
          <w:rFonts w:ascii="Arial" w:hAnsi="Arial" w:cs="Arial"/>
          <w:color w:val="7B7B7B" w:themeColor="accent3" w:themeShade="BF"/>
          <w:sz w:val="22"/>
          <w:szCs w:val="22"/>
          <w:lang w:val="en-GB"/>
        </w:rPr>
        <w:t>and the Judicial Perspective in relation to MLCBI adopted in 2011 helpfully discuss the meaning of collective proceedings. The GEI indicates that a “co-ordinated global solution for all stakeholders” should be envisaged in such proceedings. Moreover, a key consideration as stated in paragraph 70 of GEI is whether substantially all assets of the debtor are being dealt with in such proceedings. In addition to this various courts have identified factors to determine the colle</w:t>
      </w:r>
      <w:r w:rsidR="00D559A7">
        <w:rPr>
          <w:rFonts w:ascii="Arial" w:hAnsi="Arial" w:cs="Arial"/>
          <w:color w:val="7B7B7B" w:themeColor="accent3" w:themeShade="BF"/>
          <w:sz w:val="22"/>
          <w:szCs w:val="22"/>
          <w:lang w:val="en-GB"/>
        </w:rPr>
        <w:t xml:space="preserve">ctive nature of the proceedings, which include (1) imposition of an orderly regime that affects all creditors and all assets of </w:t>
      </w:r>
      <w:r w:rsidR="00D559A7">
        <w:rPr>
          <w:rFonts w:ascii="Arial" w:hAnsi="Arial" w:cs="Arial"/>
          <w:color w:val="7B7B7B" w:themeColor="accent3" w:themeShade="BF"/>
          <w:sz w:val="22"/>
          <w:szCs w:val="22"/>
          <w:lang w:val="en-GB"/>
        </w:rPr>
        <w:lastRenderedPageBreak/>
        <w:t>the debtor (</w:t>
      </w:r>
      <w:r w:rsidR="00D559A7" w:rsidRPr="0053606D">
        <w:rPr>
          <w:rFonts w:ascii="Arial" w:hAnsi="Arial" w:cs="Arial"/>
          <w:i/>
          <w:color w:val="7B7B7B" w:themeColor="accent3" w:themeShade="BF"/>
          <w:sz w:val="22"/>
          <w:szCs w:val="22"/>
          <w:lang w:val="en-GB"/>
        </w:rPr>
        <w:t>Katyanama v Japan Airlines Corporation</w:t>
      </w:r>
      <w:r w:rsidR="0053606D">
        <w:rPr>
          <w:rStyle w:val="FootnoteReference"/>
          <w:rFonts w:ascii="Arial" w:hAnsi="Arial" w:cs="Arial"/>
          <w:i/>
          <w:color w:val="7B7B7B" w:themeColor="accent3" w:themeShade="BF"/>
          <w:sz w:val="22"/>
          <w:szCs w:val="22"/>
          <w:lang w:val="en-GB"/>
        </w:rPr>
        <w:footnoteReference w:id="4"/>
      </w:r>
      <w:r w:rsidR="00D559A7">
        <w:rPr>
          <w:rFonts w:ascii="Arial" w:hAnsi="Arial" w:cs="Arial"/>
          <w:color w:val="7B7B7B" w:themeColor="accent3" w:themeShade="BF"/>
          <w:sz w:val="22"/>
          <w:szCs w:val="22"/>
          <w:lang w:val="en-GB"/>
        </w:rPr>
        <w:t>)</w:t>
      </w:r>
      <w:r w:rsidR="00F37475">
        <w:rPr>
          <w:rFonts w:ascii="Arial" w:hAnsi="Arial" w:cs="Arial"/>
          <w:color w:val="7B7B7B" w:themeColor="accent3" w:themeShade="BF"/>
          <w:sz w:val="22"/>
          <w:szCs w:val="22"/>
          <w:lang w:val="en-GB"/>
        </w:rPr>
        <w:t xml:space="preserve">, individual parties may not be able to enhance their </w:t>
      </w:r>
      <w:r w:rsidR="004F381C">
        <w:rPr>
          <w:rFonts w:ascii="Arial" w:hAnsi="Arial" w:cs="Arial"/>
          <w:color w:val="7B7B7B" w:themeColor="accent3" w:themeShade="BF"/>
          <w:sz w:val="22"/>
          <w:szCs w:val="22"/>
          <w:lang w:val="en-GB"/>
        </w:rPr>
        <w:t xml:space="preserve">own interests unilaterally and </w:t>
      </w:r>
      <w:r w:rsidR="00F37475">
        <w:rPr>
          <w:rFonts w:ascii="Arial" w:hAnsi="Arial" w:cs="Arial"/>
          <w:color w:val="7B7B7B" w:themeColor="accent3" w:themeShade="BF"/>
          <w:sz w:val="22"/>
          <w:szCs w:val="22"/>
          <w:lang w:val="en-GB"/>
        </w:rPr>
        <w:t>creditor participation is a reality (Stanford International Bank Limited</w:t>
      </w:r>
      <w:r w:rsidR="0053606D">
        <w:rPr>
          <w:rStyle w:val="FootnoteReference"/>
          <w:rFonts w:ascii="Arial" w:hAnsi="Arial" w:cs="Arial"/>
          <w:color w:val="7B7B7B" w:themeColor="accent3" w:themeShade="BF"/>
          <w:sz w:val="22"/>
          <w:szCs w:val="22"/>
          <w:lang w:val="en-GB"/>
        </w:rPr>
        <w:footnoteReference w:id="5"/>
      </w:r>
      <w:r w:rsidR="0053606D">
        <w:rPr>
          <w:rFonts w:ascii="Arial" w:hAnsi="Arial" w:cs="Arial"/>
          <w:color w:val="7B7B7B" w:themeColor="accent3" w:themeShade="BF"/>
          <w:sz w:val="22"/>
          <w:szCs w:val="22"/>
          <w:lang w:val="en-GB"/>
        </w:rPr>
        <w:t>)</w:t>
      </w:r>
      <w:r w:rsidR="00F37475">
        <w:rPr>
          <w:rFonts w:ascii="Arial" w:hAnsi="Arial" w:cs="Arial"/>
          <w:color w:val="7B7B7B" w:themeColor="accent3" w:themeShade="BF"/>
          <w:sz w:val="22"/>
          <w:szCs w:val="22"/>
          <w:lang w:val="en-GB"/>
        </w:rPr>
        <w:t xml:space="preserve">. From the Affidavit, it is clear that there is a statutory framework </w:t>
      </w:r>
      <w:r w:rsidR="00FF0FCA">
        <w:rPr>
          <w:rFonts w:ascii="Arial" w:hAnsi="Arial" w:cs="Arial"/>
          <w:color w:val="7B7B7B" w:themeColor="accent3" w:themeShade="BF"/>
          <w:sz w:val="22"/>
          <w:szCs w:val="22"/>
          <w:lang w:val="en-GB"/>
        </w:rPr>
        <w:t>i.e. LBBA governs</w:t>
      </w:r>
      <w:r w:rsidR="00F37475">
        <w:rPr>
          <w:rFonts w:ascii="Arial" w:hAnsi="Arial" w:cs="Arial"/>
          <w:color w:val="7B7B7B" w:themeColor="accent3" w:themeShade="BF"/>
          <w:sz w:val="22"/>
          <w:szCs w:val="22"/>
          <w:lang w:val="en-GB"/>
        </w:rPr>
        <w:t xml:space="preserve"> </w:t>
      </w:r>
      <w:r w:rsidR="00FF0FCA">
        <w:rPr>
          <w:rFonts w:ascii="Arial" w:hAnsi="Arial" w:cs="Arial"/>
          <w:color w:val="7B7B7B" w:themeColor="accent3" w:themeShade="BF"/>
          <w:sz w:val="22"/>
          <w:szCs w:val="22"/>
          <w:lang w:val="en-GB"/>
        </w:rPr>
        <w:t>all of the assets of the bank</w:t>
      </w:r>
      <w:r w:rsidR="00F37475">
        <w:rPr>
          <w:rFonts w:ascii="Arial" w:hAnsi="Arial" w:cs="Arial"/>
          <w:color w:val="7B7B7B" w:themeColor="accent3" w:themeShade="BF"/>
          <w:sz w:val="22"/>
          <w:szCs w:val="22"/>
          <w:lang w:val="en-GB"/>
        </w:rPr>
        <w:t xml:space="preserve"> as well as the creditors claims</w:t>
      </w:r>
      <w:r w:rsidR="00FF0FCA">
        <w:rPr>
          <w:rFonts w:ascii="Arial" w:hAnsi="Arial" w:cs="Arial"/>
          <w:color w:val="7B7B7B" w:themeColor="accent3" w:themeShade="BF"/>
          <w:sz w:val="22"/>
          <w:szCs w:val="22"/>
          <w:lang w:val="en-GB"/>
        </w:rPr>
        <w:t xml:space="preserve"> as provided in the powers of the liquidators (page 10 of the fact sheet). The DGF (as liquidator) are entrusted with very broad powers including the disposal of assets, preparing lists of creditor claims and satisfying the claims etc. </w:t>
      </w:r>
      <w:r w:rsidR="00B02189">
        <w:rPr>
          <w:rFonts w:ascii="Arial" w:hAnsi="Arial" w:cs="Arial"/>
          <w:color w:val="7B7B7B" w:themeColor="accent3" w:themeShade="BF"/>
          <w:sz w:val="22"/>
          <w:szCs w:val="22"/>
          <w:lang w:val="en-GB"/>
        </w:rPr>
        <w:t xml:space="preserve">Even Article 36(5) of the DGF Law provides a Moratorium to be established to avoid the claims of all stakeholders for better administration of the estate of the debtor bank. </w:t>
      </w:r>
      <w:r w:rsidR="00FF0FCA">
        <w:rPr>
          <w:rFonts w:ascii="Arial" w:hAnsi="Arial" w:cs="Arial"/>
          <w:color w:val="7B7B7B" w:themeColor="accent3" w:themeShade="BF"/>
          <w:sz w:val="22"/>
          <w:szCs w:val="22"/>
          <w:lang w:val="en-GB"/>
        </w:rPr>
        <w:t>This all proves that the proceedings under LBBA are infact collective and intend to provide a global resolution for the debtor bank. Having said that, it is not very clear if the creditors are involved in the process and if there are any specific priorities under the laws of Country A. But largely, from a general overview of the LBBA, it seems that the proceedings may be interpreted as collective in nature given the administration of all of the assets and liabilities of the bank by the DGF.</w:t>
      </w:r>
    </w:p>
    <w:p w14:paraId="1EABD469" w14:textId="77777777" w:rsidR="00F2712C" w:rsidRDefault="00F2712C" w:rsidP="00F2712C">
      <w:pPr>
        <w:pStyle w:val="ListParagraph"/>
        <w:jc w:val="both"/>
        <w:rPr>
          <w:rFonts w:ascii="Arial" w:hAnsi="Arial" w:cs="Arial"/>
          <w:color w:val="7B7B7B" w:themeColor="accent3" w:themeShade="BF"/>
          <w:sz w:val="22"/>
          <w:szCs w:val="22"/>
          <w:lang w:val="en-GB"/>
        </w:rPr>
      </w:pPr>
    </w:p>
    <w:p w14:paraId="7DE4CDD4" w14:textId="3698BB07" w:rsidR="00F2712C" w:rsidRPr="00F2712C" w:rsidRDefault="00FF0FCA" w:rsidP="00F2712C">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Country A is a </w:t>
      </w:r>
      <w:r w:rsidRPr="00FF0FCA">
        <w:rPr>
          <w:rFonts w:ascii="Arial" w:hAnsi="Arial" w:cs="Arial"/>
          <w:color w:val="7B7B7B" w:themeColor="accent3" w:themeShade="BF"/>
          <w:sz w:val="22"/>
          <w:szCs w:val="22"/>
          <w:u w:val="single"/>
          <w:lang w:val="en-GB"/>
        </w:rPr>
        <w:t>foreign state</w:t>
      </w:r>
      <w:r>
        <w:rPr>
          <w:rFonts w:ascii="Arial" w:hAnsi="Arial" w:cs="Arial"/>
          <w:color w:val="7B7B7B" w:themeColor="accent3" w:themeShade="BF"/>
          <w:sz w:val="22"/>
          <w:szCs w:val="22"/>
          <w:lang w:val="en-GB"/>
        </w:rPr>
        <w:t xml:space="preserve"> for the purposes of recognition before the English courts.</w:t>
      </w:r>
    </w:p>
    <w:p w14:paraId="00BB68A2" w14:textId="77777777" w:rsidR="00F2712C" w:rsidRDefault="00F2712C" w:rsidP="00F2712C">
      <w:pPr>
        <w:pStyle w:val="ListParagraph"/>
        <w:jc w:val="both"/>
        <w:rPr>
          <w:rFonts w:ascii="Arial" w:hAnsi="Arial" w:cs="Arial"/>
          <w:color w:val="7B7B7B" w:themeColor="accent3" w:themeShade="BF"/>
          <w:sz w:val="22"/>
          <w:szCs w:val="22"/>
          <w:lang w:val="en-GB"/>
        </w:rPr>
      </w:pPr>
    </w:p>
    <w:p w14:paraId="087839B9" w14:textId="48086109" w:rsidR="00F2712C" w:rsidRPr="00F2712C" w:rsidRDefault="00FF0FCA" w:rsidP="00F2712C">
      <w:pPr>
        <w:pStyle w:val="ListParagraph"/>
        <w:numPr>
          <w:ilvl w:val="0"/>
          <w:numId w:val="46"/>
        </w:numPr>
        <w:jc w:val="both"/>
        <w:rPr>
          <w:rFonts w:ascii="Arial" w:hAnsi="Arial" w:cs="Arial"/>
          <w:color w:val="7B7B7B" w:themeColor="accent3" w:themeShade="BF"/>
          <w:sz w:val="22"/>
          <w:szCs w:val="22"/>
          <w:lang w:val="en-GB"/>
        </w:rPr>
      </w:pPr>
      <w:r w:rsidRPr="00FF0FCA">
        <w:rPr>
          <w:rFonts w:ascii="Arial" w:hAnsi="Arial" w:cs="Arial"/>
          <w:color w:val="7B7B7B" w:themeColor="accent3" w:themeShade="BF"/>
          <w:sz w:val="22"/>
          <w:szCs w:val="22"/>
          <w:u w:val="single"/>
          <w:lang w:val="en-GB"/>
        </w:rPr>
        <w:t>Law relating to insolvency</w:t>
      </w:r>
      <w:r>
        <w:rPr>
          <w:rFonts w:ascii="Arial" w:hAnsi="Arial" w:cs="Arial"/>
          <w:color w:val="7B7B7B" w:themeColor="accent3" w:themeShade="BF"/>
          <w:sz w:val="22"/>
          <w:szCs w:val="22"/>
          <w:lang w:val="en-GB"/>
        </w:rPr>
        <w:t xml:space="preserve">: </w:t>
      </w:r>
      <w:r w:rsidR="00EF033B">
        <w:rPr>
          <w:rFonts w:ascii="Arial" w:hAnsi="Arial" w:cs="Arial"/>
          <w:color w:val="7B7B7B" w:themeColor="accent3" w:themeShade="BF"/>
          <w:sz w:val="22"/>
          <w:szCs w:val="22"/>
          <w:lang w:val="en-GB"/>
        </w:rPr>
        <w:t>The GEI (paragraph 73) explains that the fact that liquidation or reorganisation might be conducted under such law would be a law relating to insolvency. It need not be labelled as insolvency law and its not relevant what type of statute or rules it is under, as long as it addresses insolvency and financial distress. The LBBA clearly addresses situations relating to insolvency – it in fact defines a situation of financial stress under Article 75 of the LBBA classifying the bank as “troubled” or recognising it as insolvent if the bank meets the criteria under Article 76. Thus, LBBA as per the Affidavit should be adjudged as an insolvency law.</w:t>
      </w:r>
    </w:p>
    <w:p w14:paraId="2E2E6830" w14:textId="77777777" w:rsidR="00F2712C" w:rsidRDefault="00F2712C" w:rsidP="00F2712C">
      <w:pPr>
        <w:pStyle w:val="ListParagraph"/>
        <w:jc w:val="both"/>
        <w:rPr>
          <w:rFonts w:ascii="Arial" w:hAnsi="Arial" w:cs="Arial"/>
          <w:color w:val="7B7B7B" w:themeColor="accent3" w:themeShade="BF"/>
          <w:sz w:val="22"/>
          <w:szCs w:val="22"/>
          <w:lang w:val="en-GB"/>
        </w:rPr>
      </w:pPr>
    </w:p>
    <w:p w14:paraId="2082EFC7" w14:textId="4DA6A2BB" w:rsidR="00EF033B" w:rsidRDefault="00EF033B" w:rsidP="00CF01F1">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Control/supervision by foreign court</w:t>
      </w:r>
      <w:r w:rsidRPr="00EF033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F2712C">
        <w:rPr>
          <w:rFonts w:ascii="Arial" w:hAnsi="Arial" w:cs="Arial"/>
          <w:color w:val="7B7B7B" w:themeColor="accent3" w:themeShade="BF"/>
          <w:sz w:val="22"/>
          <w:szCs w:val="22"/>
          <w:lang w:val="en-GB"/>
        </w:rPr>
        <w:t>A conjoint reading of the GEI (Paragraph</w:t>
      </w:r>
      <w:r w:rsidR="0053606D">
        <w:rPr>
          <w:rFonts w:ascii="Arial" w:hAnsi="Arial" w:cs="Arial"/>
          <w:color w:val="7B7B7B" w:themeColor="accent3" w:themeShade="BF"/>
          <w:sz w:val="22"/>
          <w:szCs w:val="22"/>
          <w:lang w:val="en-GB"/>
        </w:rPr>
        <w:t>s</w:t>
      </w:r>
      <w:r w:rsidR="00F2712C">
        <w:rPr>
          <w:rFonts w:ascii="Arial" w:hAnsi="Arial" w:cs="Arial"/>
          <w:color w:val="7B7B7B" w:themeColor="accent3" w:themeShade="BF"/>
          <w:sz w:val="22"/>
          <w:szCs w:val="22"/>
          <w:lang w:val="en-GB"/>
        </w:rPr>
        <w:t xml:space="preserve"> 74-76) and the </w:t>
      </w:r>
      <w:r w:rsidR="00F2712C" w:rsidRPr="00F2712C">
        <w:rPr>
          <w:rFonts w:ascii="Arial" w:hAnsi="Arial" w:cs="Arial"/>
          <w:i/>
          <w:color w:val="7B7B7B" w:themeColor="accent3" w:themeShade="BF"/>
          <w:sz w:val="22"/>
          <w:szCs w:val="22"/>
          <w:lang w:val="en-GB"/>
        </w:rPr>
        <w:t>Agrokar</w:t>
      </w:r>
      <w:r w:rsidR="00F2712C">
        <w:rPr>
          <w:rFonts w:ascii="Arial" w:hAnsi="Arial" w:cs="Arial"/>
          <w:color w:val="7B7B7B" w:themeColor="accent3" w:themeShade="BF"/>
          <w:sz w:val="22"/>
          <w:szCs w:val="22"/>
          <w:lang w:val="en-GB"/>
        </w:rPr>
        <w:t xml:space="preserve"> case indicate that the level of court supervision under the MLCBI is relatively low. It can also be potential rather than actual. In </w:t>
      </w:r>
      <w:r w:rsidR="00F2712C" w:rsidRPr="0053606D">
        <w:rPr>
          <w:rFonts w:ascii="Arial" w:hAnsi="Arial" w:cs="Arial"/>
          <w:i/>
          <w:color w:val="7B7B7B" w:themeColor="accent3" w:themeShade="BF"/>
          <w:sz w:val="22"/>
          <w:szCs w:val="22"/>
          <w:lang w:val="en-GB"/>
        </w:rPr>
        <w:t>Agrokar</w:t>
      </w:r>
      <w:r w:rsidR="00F2712C">
        <w:rPr>
          <w:rFonts w:ascii="Arial" w:hAnsi="Arial" w:cs="Arial"/>
          <w:color w:val="7B7B7B" w:themeColor="accent3" w:themeShade="BF"/>
          <w:sz w:val="22"/>
          <w:szCs w:val="22"/>
          <w:lang w:val="en-GB"/>
        </w:rPr>
        <w:t>, control was also given to the Croatian government in relation to the insolvency entity, however, that did not negate the supervision of the court. GEI in paragraph 74 also indicates that the control could be indirect by an insolvency representative</w:t>
      </w:r>
      <w:r w:rsidR="00CB7CC0">
        <w:rPr>
          <w:rFonts w:ascii="Arial" w:hAnsi="Arial" w:cs="Arial"/>
          <w:color w:val="7B7B7B" w:themeColor="accent3" w:themeShade="BF"/>
          <w:sz w:val="22"/>
          <w:szCs w:val="22"/>
          <w:lang w:val="en-GB"/>
        </w:rPr>
        <w:t>, who is</w:t>
      </w:r>
      <w:r w:rsidR="00F2712C">
        <w:rPr>
          <w:rFonts w:ascii="Arial" w:hAnsi="Arial" w:cs="Arial"/>
          <w:color w:val="7B7B7B" w:themeColor="accent3" w:themeShade="BF"/>
          <w:sz w:val="22"/>
          <w:szCs w:val="22"/>
          <w:lang w:val="en-GB"/>
        </w:rPr>
        <w:t xml:space="preserve"> subject to the supervision</w:t>
      </w:r>
      <w:r w:rsidR="00CB7CC0">
        <w:rPr>
          <w:rFonts w:ascii="Arial" w:hAnsi="Arial" w:cs="Arial"/>
          <w:color w:val="7B7B7B" w:themeColor="accent3" w:themeShade="BF"/>
          <w:sz w:val="22"/>
          <w:szCs w:val="22"/>
          <w:lang w:val="en-GB"/>
        </w:rPr>
        <w:t xml:space="preserve"> by the court or a regulatory authority (</w:t>
      </w:r>
      <w:r w:rsidR="00CB7CC0" w:rsidRPr="0053606D">
        <w:rPr>
          <w:rFonts w:ascii="Arial" w:hAnsi="Arial" w:cs="Arial"/>
          <w:i/>
          <w:color w:val="7B7B7B" w:themeColor="accent3" w:themeShade="BF"/>
          <w:sz w:val="22"/>
          <w:szCs w:val="22"/>
          <w:lang w:val="en-GB"/>
        </w:rPr>
        <w:t>Betcorp L</w:t>
      </w:r>
      <w:r w:rsidR="00BB2AD5" w:rsidRPr="0053606D">
        <w:rPr>
          <w:rFonts w:ascii="Arial" w:hAnsi="Arial" w:cs="Arial"/>
          <w:i/>
          <w:color w:val="7B7B7B" w:themeColor="accent3" w:themeShade="BF"/>
          <w:sz w:val="22"/>
          <w:szCs w:val="22"/>
          <w:lang w:val="en-GB"/>
        </w:rPr>
        <w:t>imited</w:t>
      </w:r>
      <w:r w:rsidR="0053606D">
        <w:rPr>
          <w:rStyle w:val="FootnoteReference"/>
          <w:rFonts w:ascii="Arial" w:hAnsi="Arial" w:cs="Arial"/>
          <w:i/>
          <w:color w:val="7B7B7B" w:themeColor="accent3" w:themeShade="BF"/>
          <w:sz w:val="22"/>
          <w:szCs w:val="22"/>
          <w:lang w:val="en-GB"/>
        </w:rPr>
        <w:footnoteReference w:id="6"/>
      </w:r>
      <w:r w:rsidR="00812AC7">
        <w:rPr>
          <w:rFonts w:ascii="Arial" w:hAnsi="Arial" w:cs="Arial"/>
          <w:color w:val="7B7B7B" w:themeColor="accent3" w:themeShade="BF"/>
          <w:sz w:val="22"/>
          <w:szCs w:val="22"/>
          <w:lang w:val="en-GB"/>
        </w:rPr>
        <w:t xml:space="preserve">). </w:t>
      </w:r>
      <w:r w:rsidR="00723131">
        <w:rPr>
          <w:rFonts w:ascii="Arial" w:hAnsi="Arial" w:cs="Arial"/>
          <w:color w:val="7B7B7B" w:themeColor="accent3" w:themeShade="BF"/>
          <w:sz w:val="22"/>
          <w:szCs w:val="22"/>
          <w:lang w:val="en-GB"/>
        </w:rPr>
        <w:t xml:space="preserve">In further support of this, guidance can be placed on the United States bankruptcy case of </w:t>
      </w:r>
      <w:r w:rsidR="00723131" w:rsidRPr="00BB2AD5">
        <w:rPr>
          <w:rFonts w:ascii="Arial" w:hAnsi="Arial" w:cs="Arial"/>
          <w:i/>
          <w:color w:val="7B7B7B" w:themeColor="accent3" w:themeShade="BF"/>
          <w:sz w:val="22"/>
          <w:szCs w:val="22"/>
          <w:lang w:val="en-GB"/>
        </w:rPr>
        <w:t xml:space="preserve">ENNIA Caribe Holdings </w:t>
      </w:r>
      <w:r w:rsidR="00723131">
        <w:rPr>
          <w:rFonts w:ascii="Arial" w:hAnsi="Arial" w:cs="Arial"/>
          <w:color w:val="7B7B7B" w:themeColor="accent3" w:themeShade="BF"/>
          <w:sz w:val="22"/>
          <w:szCs w:val="22"/>
          <w:lang w:val="en-GB"/>
        </w:rPr>
        <w:t>N.V.</w:t>
      </w:r>
      <w:r w:rsidR="0053606D">
        <w:rPr>
          <w:rStyle w:val="FootnoteReference"/>
          <w:rFonts w:ascii="Arial" w:hAnsi="Arial" w:cs="Arial"/>
          <w:color w:val="7B7B7B" w:themeColor="accent3" w:themeShade="BF"/>
          <w:sz w:val="22"/>
          <w:szCs w:val="22"/>
          <w:lang w:val="en-GB"/>
        </w:rPr>
        <w:footnoteReference w:id="7"/>
      </w:r>
      <w:r w:rsidR="00723131">
        <w:rPr>
          <w:rFonts w:ascii="Arial" w:hAnsi="Arial" w:cs="Arial"/>
          <w:color w:val="7B7B7B" w:themeColor="accent3" w:themeShade="BF"/>
          <w:sz w:val="22"/>
          <w:szCs w:val="22"/>
          <w:lang w:val="en-GB"/>
        </w:rPr>
        <w:t xml:space="preserve">, in which an insurance body with oversight of insurance industry was a body competent to control or supervise the assets and affairs of the debtor. </w:t>
      </w:r>
      <w:r w:rsidR="000771CD">
        <w:rPr>
          <w:rFonts w:ascii="Arial" w:hAnsi="Arial" w:cs="Arial"/>
          <w:color w:val="7B7B7B" w:themeColor="accent3" w:themeShade="BF"/>
          <w:sz w:val="22"/>
          <w:szCs w:val="22"/>
          <w:lang w:val="en-GB"/>
        </w:rPr>
        <w:t xml:space="preserve">Further, the MLCBI in Article 2(e) defines a foreign court as a judicial or “other authority” competent to control or supervise foreign proceedings. </w:t>
      </w:r>
      <w:r w:rsidR="00812AC7">
        <w:rPr>
          <w:rFonts w:ascii="Arial" w:hAnsi="Arial" w:cs="Arial"/>
          <w:color w:val="7B7B7B" w:themeColor="accent3" w:themeShade="BF"/>
          <w:sz w:val="22"/>
          <w:szCs w:val="22"/>
          <w:lang w:val="en-GB"/>
        </w:rPr>
        <w:t xml:space="preserve">As the LBBA grants the supervisory powers to the DGF which </w:t>
      </w:r>
      <w:r w:rsidR="00BB2AD5">
        <w:rPr>
          <w:rFonts w:ascii="Arial" w:hAnsi="Arial" w:cs="Arial"/>
          <w:color w:val="7B7B7B" w:themeColor="accent3" w:themeShade="BF"/>
          <w:sz w:val="22"/>
          <w:szCs w:val="22"/>
          <w:lang w:val="en-GB"/>
        </w:rPr>
        <w:t xml:space="preserve">is </w:t>
      </w:r>
      <w:r w:rsidR="00812AC7">
        <w:rPr>
          <w:rFonts w:ascii="Arial" w:hAnsi="Arial" w:cs="Arial"/>
          <w:color w:val="7B7B7B" w:themeColor="accent3" w:themeShade="BF"/>
          <w:sz w:val="22"/>
          <w:szCs w:val="22"/>
          <w:lang w:val="en-GB"/>
        </w:rPr>
        <w:t xml:space="preserve">a governmental body of Country </w:t>
      </w:r>
      <w:r w:rsidR="00723131">
        <w:rPr>
          <w:rFonts w:ascii="Arial" w:hAnsi="Arial" w:cs="Arial"/>
          <w:color w:val="7B7B7B" w:themeColor="accent3" w:themeShade="BF"/>
          <w:sz w:val="22"/>
          <w:szCs w:val="22"/>
          <w:lang w:val="en-GB"/>
        </w:rPr>
        <w:t xml:space="preserve">A and is responsible for providing deposit insurance to bank depositors and also for the process of withdrawing insolvent banks and winding down their operations, it may be accepted as a competent authority. Moreover, it </w:t>
      </w:r>
      <w:r w:rsidR="00812AC7">
        <w:rPr>
          <w:rFonts w:ascii="Arial" w:hAnsi="Arial" w:cs="Arial"/>
          <w:color w:val="7B7B7B" w:themeColor="accent3" w:themeShade="BF"/>
          <w:sz w:val="22"/>
          <w:szCs w:val="22"/>
          <w:lang w:val="en-GB"/>
        </w:rPr>
        <w:t>(</w:t>
      </w:r>
      <w:r w:rsidR="00723131">
        <w:rPr>
          <w:rFonts w:ascii="Arial" w:hAnsi="Arial" w:cs="Arial"/>
          <w:color w:val="7B7B7B" w:themeColor="accent3" w:themeShade="BF"/>
          <w:sz w:val="22"/>
          <w:szCs w:val="22"/>
          <w:lang w:val="en-GB"/>
        </w:rPr>
        <w:t>acting</w:t>
      </w:r>
      <w:r w:rsidR="00812AC7">
        <w:rPr>
          <w:rFonts w:ascii="Arial" w:hAnsi="Arial" w:cs="Arial"/>
          <w:color w:val="7B7B7B" w:themeColor="accent3" w:themeShade="BF"/>
          <w:sz w:val="22"/>
          <w:szCs w:val="22"/>
          <w:lang w:val="en-GB"/>
        </w:rPr>
        <w:t xml:space="preserve"> through an authorised officer) has the wide powers of provisional administration and liquidation as provided in, inter alia, Article 34 and </w:t>
      </w:r>
      <w:r w:rsidR="00723131">
        <w:rPr>
          <w:rFonts w:ascii="Arial" w:hAnsi="Arial" w:cs="Arial"/>
          <w:color w:val="7B7B7B" w:themeColor="accent3" w:themeShade="BF"/>
          <w:sz w:val="22"/>
          <w:szCs w:val="22"/>
          <w:lang w:val="en-GB"/>
        </w:rPr>
        <w:t xml:space="preserve">77 of the LBBA. These factors are indicative that the DGF </w:t>
      </w:r>
      <w:r w:rsidR="00BB2AD5">
        <w:rPr>
          <w:rFonts w:ascii="Arial" w:hAnsi="Arial" w:cs="Arial"/>
          <w:color w:val="7B7B7B" w:themeColor="accent3" w:themeShade="BF"/>
          <w:sz w:val="22"/>
          <w:szCs w:val="22"/>
          <w:lang w:val="en-GB"/>
        </w:rPr>
        <w:t>may construed to be under the supervisio</w:t>
      </w:r>
      <w:r w:rsidR="00723131">
        <w:rPr>
          <w:rFonts w:ascii="Arial" w:hAnsi="Arial" w:cs="Arial"/>
          <w:color w:val="7B7B7B" w:themeColor="accent3" w:themeShade="BF"/>
          <w:sz w:val="22"/>
          <w:szCs w:val="22"/>
          <w:lang w:val="en-GB"/>
        </w:rPr>
        <w:t>n of a foreign regulatory body for the purposes of MLCBI.</w:t>
      </w:r>
    </w:p>
    <w:p w14:paraId="0FB14996" w14:textId="77777777" w:rsidR="00723131" w:rsidRDefault="00723131" w:rsidP="00723131">
      <w:pPr>
        <w:pStyle w:val="ListParagraph"/>
        <w:jc w:val="both"/>
        <w:rPr>
          <w:rFonts w:ascii="Arial" w:hAnsi="Arial" w:cs="Arial"/>
          <w:color w:val="7B7B7B" w:themeColor="accent3" w:themeShade="BF"/>
          <w:sz w:val="22"/>
          <w:szCs w:val="22"/>
          <w:lang w:val="en-GB"/>
        </w:rPr>
      </w:pPr>
    </w:p>
    <w:p w14:paraId="45BEC91A" w14:textId="0C749C1B" w:rsidR="00723131" w:rsidRDefault="00723131" w:rsidP="00CF01F1">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For the purpose of liquidation or reorganisation</w:t>
      </w:r>
      <w:r w:rsidRPr="0072313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Several provisions of LBBA as set out above clearly indicate that this law of Country A deals with the “liquidation” of the banks once recognised as insolvent. </w:t>
      </w:r>
      <w:r w:rsidR="00AD2B40">
        <w:rPr>
          <w:rFonts w:ascii="Arial" w:hAnsi="Arial" w:cs="Arial"/>
          <w:color w:val="7B7B7B" w:themeColor="accent3" w:themeShade="BF"/>
          <w:sz w:val="22"/>
          <w:szCs w:val="22"/>
          <w:lang w:val="en-GB"/>
        </w:rPr>
        <w:t xml:space="preserve">One of the responsibilities of the DGF is to act as </w:t>
      </w:r>
      <w:r w:rsidR="00AD2B40">
        <w:rPr>
          <w:rFonts w:ascii="Arial" w:hAnsi="Arial" w:cs="Arial"/>
          <w:color w:val="7B7B7B" w:themeColor="accent3" w:themeShade="BF"/>
          <w:sz w:val="22"/>
          <w:szCs w:val="22"/>
          <w:lang w:val="en-GB"/>
        </w:rPr>
        <w:lastRenderedPageBreak/>
        <w:t xml:space="preserve">provisional as well as ultimate liquidator (Page 9 of factsheet). This would describe as the DGF proceedings within the ambit of the purpose of liquidation under the MLCBI. </w:t>
      </w:r>
    </w:p>
    <w:p w14:paraId="58D4A7A3" w14:textId="77777777" w:rsidR="00B0274E" w:rsidRPr="00B0274E" w:rsidRDefault="00B0274E" w:rsidP="00B0274E">
      <w:pPr>
        <w:pStyle w:val="ListParagraph"/>
        <w:rPr>
          <w:rFonts w:ascii="Arial" w:hAnsi="Arial" w:cs="Arial"/>
          <w:color w:val="7B7B7B" w:themeColor="accent3" w:themeShade="BF"/>
          <w:sz w:val="22"/>
          <w:szCs w:val="22"/>
          <w:lang w:val="en-GB"/>
        </w:rPr>
      </w:pPr>
    </w:p>
    <w:p w14:paraId="709569B5" w14:textId="6B979CCC" w:rsidR="00B0274E" w:rsidRPr="00CF01F1" w:rsidRDefault="00B0274E" w:rsidP="00CF01F1">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Generally, as set out in the digest of case law for MLCBI, the inquiry to be made under Article 2(a) </w:t>
      </w:r>
      <w:r w:rsidR="004314E2">
        <w:rPr>
          <w:rFonts w:ascii="Arial" w:hAnsi="Arial" w:cs="Arial"/>
          <w:color w:val="7B7B7B" w:themeColor="accent3" w:themeShade="BF"/>
          <w:sz w:val="22"/>
          <w:szCs w:val="22"/>
          <w:lang w:val="en-GB"/>
        </w:rPr>
        <w:t>is factual in nature and the elements should be interpreted and applied in light of their international origins. Considering the details of the LBBA and the expert evidence in the Affidavit indicates and as explained above, the proceedings in Country A may be classified as foreign proceedings for the purposes of the MLCBI.</w:t>
      </w:r>
    </w:p>
    <w:p w14:paraId="154393B4" w14:textId="2840E889" w:rsidR="00215497" w:rsidRDefault="00215497" w:rsidP="00707FC8">
      <w:pPr>
        <w:jc w:val="both"/>
        <w:rPr>
          <w:rFonts w:ascii="Arial" w:hAnsi="Arial" w:cs="Arial"/>
          <w:color w:val="7B7B7B" w:themeColor="accent3" w:themeShade="BF"/>
          <w:sz w:val="22"/>
          <w:szCs w:val="22"/>
          <w:lang w:val="en-GB"/>
        </w:rPr>
      </w:pPr>
    </w:p>
    <w:p w14:paraId="024B394B" w14:textId="77777777" w:rsidR="007648C5" w:rsidRDefault="0093178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4.1.2</w:t>
      </w:r>
      <w:r w:rsidR="007648C5">
        <w:rPr>
          <w:rFonts w:ascii="Arial" w:hAnsi="Arial" w:cs="Arial"/>
          <w:color w:val="7B7B7B" w:themeColor="accent3" w:themeShade="BF"/>
          <w:sz w:val="22"/>
          <w:szCs w:val="22"/>
          <w:lang w:val="en-GB"/>
        </w:rPr>
        <w:t xml:space="preserve"> </w:t>
      </w:r>
    </w:p>
    <w:p w14:paraId="20179281" w14:textId="77777777" w:rsidR="007648C5" w:rsidRDefault="007648C5" w:rsidP="00707FC8">
      <w:pPr>
        <w:jc w:val="both"/>
        <w:rPr>
          <w:rFonts w:ascii="Arial" w:hAnsi="Arial" w:cs="Arial"/>
          <w:color w:val="7B7B7B" w:themeColor="accent3" w:themeShade="BF"/>
          <w:sz w:val="22"/>
          <w:szCs w:val="22"/>
          <w:lang w:val="en-GB"/>
        </w:rPr>
      </w:pPr>
    </w:p>
    <w:p w14:paraId="5D2589B0" w14:textId="19FA2785" w:rsidR="0093178F" w:rsidRDefault="007648C5" w:rsidP="00707FC8">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A </w:t>
      </w:r>
      <w:r w:rsidR="000771CD">
        <w:rPr>
          <w:rFonts w:ascii="Arial" w:hAnsi="Arial" w:cs="Arial"/>
          <w:color w:val="7B7B7B" w:themeColor="accent3" w:themeShade="BF"/>
          <w:sz w:val="22"/>
          <w:szCs w:val="22"/>
        </w:rPr>
        <w:t>“</w:t>
      </w:r>
      <w:r w:rsidRPr="007648C5">
        <w:rPr>
          <w:rFonts w:ascii="Arial" w:hAnsi="Arial" w:cs="Arial"/>
          <w:color w:val="7B7B7B" w:themeColor="accent3" w:themeShade="BF"/>
          <w:sz w:val="22"/>
          <w:szCs w:val="22"/>
        </w:rPr>
        <w:t>Foreign represen</w:t>
      </w:r>
      <w:r>
        <w:rPr>
          <w:rFonts w:ascii="Arial" w:hAnsi="Arial" w:cs="Arial"/>
          <w:color w:val="7B7B7B" w:themeColor="accent3" w:themeShade="BF"/>
          <w:sz w:val="22"/>
          <w:szCs w:val="22"/>
        </w:rPr>
        <w:t>tative”</w:t>
      </w:r>
      <w:r w:rsidRPr="007648C5">
        <w:rPr>
          <w:rFonts w:ascii="Arial" w:hAnsi="Arial" w:cs="Arial"/>
          <w:color w:val="7B7B7B" w:themeColor="accent3" w:themeShade="BF"/>
          <w:sz w:val="22"/>
          <w:szCs w:val="22"/>
        </w:rPr>
        <w:t xml:space="preserve"> means </w:t>
      </w:r>
      <w:r>
        <w:rPr>
          <w:rFonts w:ascii="Arial" w:hAnsi="Arial" w:cs="Arial"/>
          <w:color w:val="7B7B7B" w:themeColor="accent3" w:themeShade="BF"/>
          <w:sz w:val="22"/>
          <w:szCs w:val="22"/>
        </w:rPr>
        <w:t>“</w:t>
      </w:r>
      <w:r w:rsidRPr="000771CD">
        <w:rPr>
          <w:rFonts w:ascii="Arial" w:hAnsi="Arial" w:cs="Arial"/>
          <w:i/>
          <w:color w:val="7B7B7B" w:themeColor="accent3" w:themeShade="BF"/>
          <w:sz w:val="22"/>
          <w:szCs w:val="22"/>
        </w:rPr>
        <w:t>a person or body, including one appointed on an interim basis, authorized in a foreign proceeding to administer the reorganization or the liquidation of the debtor's assets or affairs or to act as a representative of the foreign proceeding</w:t>
      </w:r>
      <w:r>
        <w:rPr>
          <w:rFonts w:ascii="Arial" w:hAnsi="Arial" w:cs="Arial"/>
          <w:color w:val="7B7B7B" w:themeColor="accent3" w:themeShade="BF"/>
          <w:sz w:val="22"/>
          <w:szCs w:val="22"/>
        </w:rPr>
        <w:t>”.</w:t>
      </w:r>
    </w:p>
    <w:p w14:paraId="2CCAE1D9" w14:textId="77777777" w:rsidR="000771CD" w:rsidRDefault="000771CD" w:rsidP="00707FC8">
      <w:pPr>
        <w:jc w:val="both"/>
        <w:rPr>
          <w:rFonts w:ascii="Arial" w:hAnsi="Arial" w:cs="Arial"/>
          <w:color w:val="7B7B7B" w:themeColor="accent3" w:themeShade="BF"/>
          <w:sz w:val="22"/>
          <w:szCs w:val="22"/>
          <w:lang w:val="en-GB"/>
        </w:rPr>
      </w:pPr>
    </w:p>
    <w:p w14:paraId="37956937" w14:textId="14E528CD" w:rsidR="0093178F" w:rsidRDefault="000771C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Just like in foreign proceedings, in order to ascertain whether DGF is a foreign representative under the MLCBI, the following elements should be considered</w:t>
      </w:r>
      <w:r w:rsidR="00393FF8">
        <w:rPr>
          <w:rFonts w:ascii="Arial" w:hAnsi="Arial" w:cs="Arial"/>
          <w:color w:val="7B7B7B" w:themeColor="accent3" w:themeShade="BF"/>
          <w:sz w:val="22"/>
          <w:szCs w:val="22"/>
          <w:lang w:val="en-GB"/>
        </w:rPr>
        <w:t>. However, at the outset it must be noted that unlike the foreign proceedings,</w:t>
      </w:r>
      <w:r w:rsidR="00230976">
        <w:rPr>
          <w:rFonts w:ascii="Arial" w:hAnsi="Arial" w:cs="Arial"/>
          <w:color w:val="7B7B7B" w:themeColor="accent3" w:themeShade="BF"/>
          <w:sz w:val="22"/>
          <w:szCs w:val="22"/>
          <w:lang w:val="en-GB"/>
        </w:rPr>
        <w:t xml:space="preserve"> the MLCBI does not specify that the appointing authority should be a foreign court </w:t>
      </w:r>
      <w:r w:rsidR="00230976" w:rsidRPr="00230976">
        <w:rPr>
          <w:rFonts w:ascii="Arial" w:hAnsi="Arial" w:cs="Arial"/>
          <w:i/>
          <w:color w:val="7B7B7B" w:themeColor="accent3" w:themeShade="BF"/>
          <w:sz w:val="22"/>
          <w:szCs w:val="22"/>
          <w:lang w:val="en-GB"/>
        </w:rPr>
        <w:t>per se</w:t>
      </w:r>
      <w:r w:rsidR="00230976">
        <w:rPr>
          <w:rFonts w:ascii="Arial" w:hAnsi="Arial" w:cs="Arial"/>
          <w:color w:val="7B7B7B" w:themeColor="accent3" w:themeShade="BF"/>
          <w:sz w:val="22"/>
          <w:szCs w:val="22"/>
          <w:lang w:val="en-GB"/>
        </w:rPr>
        <w:t>. While this may not directly relevant as the DGF is appointed by the State A.</w:t>
      </w:r>
    </w:p>
    <w:p w14:paraId="78FDEAC9" w14:textId="49B46724" w:rsidR="000771CD" w:rsidRDefault="000771CD" w:rsidP="00707FC8">
      <w:pPr>
        <w:jc w:val="both"/>
        <w:rPr>
          <w:rFonts w:ascii="Arial" w:hAnsi="Arial" w:cs="Arial"/>
          <w:color w:val="7B7B7B" w:themeColor="accent3" w:themeShade="BF"/>
          <w:sz w:val="22"/>
          <w:szCs w:val="22"/>
          <w:lang w:val="en-GB"/>
        </w:rPr>
      </w:pPr>
    </w:p>
    <w:p w14:paraId="28E59B15" w14:textId="027AE9B5" w:rsidR="000771CD" w:rsidRDefault="000771CD" w:rsidP="000771CD">
      <w:pPr>
        <w:pStyle w:val="ListParagraph"/>
        <w:numPr>
          <w:ilvl w:val="0"/>
          <w:numId w:val="47"/>
        </w:numPr>
        <w:jc w:val="both"/>
        <w:rPr>
          <w:rFonts w:ascii="Arial" w:hAnsi="Arial" w:cs="Arial"/>
          <w:color w:val="7B7B7B" w:themeColor="accent3" w:themeShade="BF"/>
          <w:sz w:val="22"/>
          <w:szCs w:val="22"/>
          <w:lang w:val="en-GB"/>
        </w:rPr>
      </w:pPr>
      <w:r w:rsidRPr="00B02189">
        <w:rPr>
          <w:rFonts w:ascii="Arial" w:hAnsi="Arial" w:cs="Arial"/>
          <w:color w:val="7B7B7B" w:themeColor="accent3" w:themeShade="BF"/>
          <w:sz w:val="22"/>
          <w:szCs w:val="22"/>
          <w:u w:val="single"/>
          <w:lang w:val="en-GB"/>
        </w:rPr>
        <w:t>Person/Body</w:t>
      </w:r>
      <w:r>
        <w:rPr>
          <w:rFonts w:ascii="Arial" w:hAnsi="Arial" w:cs="Arial"/>
          <w:color w:val="7B7B7B" w:themeColor="accent3" w:themeShade="BF"/>
          <w:sz w:val="22"/>
          <w:szCs w:val="22"/>
          <w:lang w:val="en-GB"/>
        </w:rPr>
        <w:t xml:space="preserve">: </w:t>
      </w:r>
      <w:r w:rsidR="00546206">
        <w:rPr>
          <w:rFonts w:ascii="Arial" w:hAnsi="Arial" w:cs="Arial"/>
          <w:color w:val="7B7B7B" w:themeColor="accent3" w:themeShade="BF"/>
          <w:sz w:val="22"/>
          <w:szCs w:val="22"/>
          <w:lang w:val="en-GB"/>
        </w:rPr>
        <w:t xml:space="preserve">As defined in Black’s Law Dictionary, a body is an “artificial person created by a legal authority”. </w:t>
      </w:r>
      <w:r w:rsidR="00230976">
        <w:rPr>
          <w:rFonts w:ascii="Arial" w:hAnsi="Arial" w:cs="Arial"/>
          <w:color w:val="7B7B7B" w:themeColor="accent3" w:themeShade="BF"/>
          <w:sz w:val="22"/>
          <w:szCs w:val="22"/>
          <w:lang w:val="en-GB"/>
        </w:rPr>
        <w:t xml:space="preserve">DGF is a </w:t>
      </w:r>
      <w:r w:rsidR="00546206">
        <w:rPr>
          <w:rFonts w:ascii="Arial" w:hAnsi="Arial" w:cs="Arial"/>
          <w:color w:val="7B7B7B" w:themeColor="accent3" w:themeShade="BF"/>
          <w:sz w:val="22"/>
          <w:szCs w:val="22"/>
          <w:lang w:val="en-GB"/>
        </w:rPr>
        <w:t xml:space="preserve">government </w:t>
      </w:r>
      <w:r w:rsidR="00230976">
        <w:rPr>
          <w:rFonts w:ascii="Arial" w:hAnsi="Arial" w:cs="Arial"/>
          <w:color w:val="7B7B7B" w:themeColor="accent3" w:themeShade="BF"/>
          <w:sz w:val="22"/>
          <w:szCs w:val="22"/>
          <w:lang w:val="en-GB"/>
        </w:rPr>
        <w:t xml:space="preserve">body </w:t>
      </w:r>
      <w:r w:rsidR="00546206">
        <w:rPr>
          <w:rFonts w:ascii="Arial" w:hAnsi="Arial" w:cs="Arial"/>
          <w:color w:val="7B7B7B" w:themeColor="accent3" w:themeShade="BF"/>
          <w:sz w:val="22"/>
          <w:szCs w:val="22"/>
          <w:lang w:val="en-GB"/>
        </w:rPr>
        <w:t xml:space="preserve">created under the laws of Country A (as mentioned in the Affidavit – Page 9). </w:t>
      </w:r>
      <w:r w:rsidR="00B02189">
        <w:rPr>
          <w:rFonts w:ascii="Arial" w:hAnsi="Arial" w:cs="Arial"/>
          <w:color w:val="7B7B7B" w:themeColor="accent3" w:themeShade="BF"/>
          <w:sz w:val="22"/>
          <w:szCs w:val="22"/>
          <w:lang w:val="en-GB"/>
        </w:rPr>
        <w:t xml:space="preserve">Article 2(1)(17) read with Article 48(3) </w:t>
      </w:r>
      <w:r w:rsidR="00546206">
        <w:rPr>
          <w:rFonts w:ascii="Arial" w:hAnsi="Arial" w:cs="Arial"/>
          <w:color w:val="7B7B7B" w:themeColor="accent3" w:themeShade="BF"/>
          <w:sz w:val="22"/>
          <w:szCs w:val="22"/>
          <w:lang w:val="en-GB"/>
        </w:rPr>
        <w:t>of the DGF Law</w:t>
      </w:r>
      <w:r w:rsidR="00B02189">
        <w:rPr>
          <w:rFonts w:ascii="Arial" w:hAnsi="Arial" w:cs="Arial"/>
          <w:color w:val="7B7B7B" w:themeColor="accent3" w:themeShade="BF"/>
          <w:sz w:val="22"/>
          <w:szCs w:val="22"/>
          <w:lang w:val="en-GB"/>
        </w:rPr>
        <w:t>, respectively</w:t>
      </w:r>
      <w:r w:rsidR="00546206">
        <w:rPr>
          <w:rFonts w:ascii="Arial" w:hAnsi="Arial" w:cs="Arial"/>
          <w:color w:val="7B7B7B" w:themeColor="accent3" w:themeShade="BF"/>
          <w:sz w:val="22"/>
          <w:szCs w:val="22"/>
          <w:lang w:val="en-GB"/>
        </w:rPr>
        <w:t xml:space="preserve"> </w:t>
      </w:r>
      <w:r w:rsidR="00B02189">
        <w:rPr>
          <w:rFonts w:ascii="Arial" w:hAnsi="Arial" w:cs="Arial"/>
          <w:color w:val="7B7B7B" w:themeColor="accent3" w:themeShade="BF"/>
          <w:sz w:val="22"/>
          <w:szCs w:val="22"/>
          <w:lang w:val="en-GB"/>
        </w:rPr>
        <w:t xml:space="preserve">defines an authorised officer and </w:t>
      </w:r>
      <w:r w:rsidR="00546206">
        <w:rPr>
          <w:rFonts w:ascii="Arial" w:hAnsi="Arial" w:cs="Arial"/>
          <w:color w:val="7B7B7B" w:themeColor="accent3" w:themeShade="BF"/>
          <w:sz w:val="22"/>
          <w:szCs w:val="22"/>
          <w:lang w:val="en-GB"/>
        </w:rPr>
        <w:t>empowers the DGF to delegate its powers to an authorised officer or person. So, such authorised person may also considered as a foreign representative (i.e. Ms. G in this case) for the purposes of the MLCBI.</w:t>
      </w:r>
      <w:r w:rsidR="00AE2274">
        <w:rPr>
          <w:rFonts w:ascii="Arial" w:hAnsi="Arial" w:cs="Arial"/>
          <w:color w:val="7B7B7B" w:themeColor="accent3" w:themeShade="BF"/>
          <w:sz w:val="22"/>
          <w:szCs w:val="22"/>
          <w:lang w:val="en-GB"/>
        </w:rPr>
        <w:t xml:space="preserve"> The key qualifications of the foreign representative requiring to possess were also laid down in the DGF Law and Ms. G’s credentials are also provided in the Affidavit which confirms Ms. G’s competence to act as the liquidator and the foreign representative of the </w:t>
      </w:r>
      <w:r w:rsidR="008632AF">
        <w:rPr>
          <w:rFonts w:ascii="Arial" w:hAnsi="Arial" w:cs="Arial"/>
          <w:color w:val="7B7B7B" w:themeColor="accent3" w:themeShade="BF"/>
          <w:sz w:val="22"/>
          <w:szCs w:val="22"/>
          <w:lang w:val="en-GB"/>
        </w:rPr>
        <w:t xml:space="preserve">debtor Bank. </w:t>
      </w:r>
    </w:p>
    <w:p w14:paraId="0484296A" w14:textId="2232DD8E" w:rsidR="00393FF8" w:rsidRDefault="00393FF8" w:rsidP="000771CD">
      <w:pPr>
        <w:pStyle w:val="ListParagraph"/>
        <w:numPr>
          <w:ilvl w:val="0"/>
          <w:numId w:val="47"/>
        </w:numPr>
        <w:jc w:val="both"/>
        <w:rPr>
          <w:rFonts w:ascii="Arial" w:hAnsi="Arial" w:cs="Arial"/>
          <w:color w:val="7B7B7B" w:themeColor="accent3" w:themeShade="BF"/>
          <w:sz w:val="22"/>
          <w:szCs w:val="22"/>
          <w:lang w:val="en-GB"/>
        </w:rPr>
      </w:pPr>
      <w:r w:rsidRPr="00B02189">
        <w:rPr>
          <w:rFonts w:ascii="Arial" w:hAnsi="Arial" w:cs="Arial"/>
          <w:color w:val="7B7B7B" w:themeColor="accent3" w:themeShade="BF"/>
          <w:sz w:val="22"/>
          <w:szCs w:val="22"/>
          <w:u w:val="single"/>
          <w:lang w:val="en-GB"/>
        </w:rPr>
        <w:t>Authorised in a foreign proceeding</w:t>
      </w:r>
      <w:r w:rsidR="00230976">
        <w:rPr>
          <w:rFonts w:ascii="Arial" w:hAnsi="Arial" w:cs="Arial"/>
          <w:color w:val="7B7B7B" w:themeColor="accent3" w:themeShade="BF"/>
          <w:sz w:val="22"/>
          <w:szCs w:val="22"/>
          <w:lang w:val="en-GB"/>
        </w:rPr>
        <w:t xml:space="preserve">: </w:t>
      </w:r>
      <w:r w:rsidR="00546206">
        <w:rPr>
          <w:rFonts w:ascii="Arial" w:hAnsi="Arial" w:cs="Arial"/>
          <w:color w:val="7B7B7B" w:themeColor="accent3" w:themeShade="BF"/>
          <w:sz w:val="22"/>
          <w:szCs w:val="22"/>
          <w:lang w:val="en-GB"/>
        </w:rPr>
        <w:t>As mentioned in the case law digest of the MLCBI (paragraph 38, Chapter 1), the courts have emphasised that the focus should be on the determination that the appointment of a foreign liquidator or insolvency officer has been “in the context” or in rela</w:t>
      </w:r>
      <w:r w:rsidR="00D81363">
        <w:rPr>
          <w:rFonts w:ascii="Arial" w:hAnsi="Arial" w:cs="Arial"/>
          <w:color w:val="7B7B7B" w:themeColor="accent3" w:themeShade="BF"/>
          <w:sz w:val="22"/>
          <w:szCs w:val="22"/>
          <w:lang w:val="en-GB"/>
        </w:rPr>
        <w:t>tion to the foreign proceedings. This includes foreign representatives appointed on an interim basis.</w:t>
      </w:r>
      <w:r w:rsidR="00B02189">
        <w:rPr>
          <w:rFonts w:ascii="Arial" w:hAnsi="Arial" w:cs="Arial"/>
          <w:color w:val="7B7B7B" w:themeColor="accent3" w:themeShade="BF"/>
          <w:sz w:val="22"/>
          <w:szCs w:val="22"/>
          <w:lang w:val="en-GB"/>
        </w:rPr>
        <w:t xml:space="preserve"> It is clear from Article 77 of the LBBA and several provisions of the DGF Law that the DGF (and its authorised representative) have extensive powers (under Article 37 of the DGF Law) in relation to the management and administration of the affairs of the debtor bank in the insolvency proceedings. The authority of Ms. G can further be confirmed by the board resolutions passed by DGF in favour of Ms. G authorising her of all liquidation and related powers (as set out on Page 11).</w:t>
      </w:r>
    </w:p>
    <w:p w14:paraId="2B9ECE8A" w14:textId="2BCB6548" w:rsidR="00DD417E" w:rsidRPr="00DD417E" w:rsidRDefault="00393FF8" w:rsidP="00DD417E">
      <w:pPr>
        <w:pStyle w:val="ListParagraph"/>
        <w:numPr>
          <w:ilvl w:val="0"/>
          <w:numId w:val="47"/>
        </w:numPr>
        <w:jc w:val="both"/>
        <w:rPr>
          <w:rFonts w:ascii="Arial" w:hAnsi="Arial" w:cs="Arial"/>
          <w:color w:val="7B7B7B" w:themeColor="accent3" w:themeShade="BF"/>
          <w:sz w:val="22"/>
          <w:szCs w:val="22"/>
          <w:lang w:val="en-GB"/>
        </w:rPr>
      </w:pPr>
      <w:r w:rsidRPr="0053606D">
        <w:rPr>
          <w:rFonts w:ascii="Arial" w:hAnsi="Arial" w:cs="Arial"/>
          <w:color w:val="7B7B7B" w:themeColor="accent3" w:themeShade="BF"/>
          <w:sz w:val="22"/>
          <w:szCs w:val="22"/>
          <w:u w:val="single"/>
          <w:lang w:val="en-GB"/>
        </w:rPr>
        <w:t>To administer the liquidation or reorganisation</w:t>
      </w:r>
      <w:r>
        <w:rPr>
          <w:rFonts w:ascii="Arial" w:hAnsi="Arial" w:cs="Arial"/>
          <w:color w:val="7B7B7B" w:themeColor="accent3" w:themeShade="BF"/>
          <w:sz w:val="22"/>
          <w:szCs w:val="22"/>
          <w:lang w:val="en-GB"/>
        </w:rPr>
        <w:t xml:space="preserve"> of the debtors’ estate and affairs or act as </w:t>
      </w:r>
      <w:r w:rsidR="00546206">
        <w:rPr>
          <w:rFonts w:ascii="Arial" w:hAnsi="Arial" w:cs="Arial"/>
          <w:color w:val="7B7B7B" w:themeColor="accent3" w:themeShade="BF"/>
          <w:sz w:val="22"/>
          <w:szCs w:val="22"/>
          <w:lang w:val="en-GB"/>
        </w:rPr>
        <w:t>representative</w:t>
      </w:r>
      <w:r w:rsidR="00DD417E">
        <w:rPr>
          <w:rFonts w:ascii="Arial" w:hAnsi="Arial" w:cs="Arial"/>
          <w:color w:val="7B7B7B" w:themeColor="accent3" w:themeShade="BF"/>
          <w:sz w:val="22"/>
          <w:szCs w:val="22"/>
          <w:lang w:val="en-GB"/>
        </w:rPr>
        <w:t xml:space="preserve"> of the foreign proceeding: The power to administer </w:t>
      </w:r>
      <w:r w:rsidR="0080137E">
        <w:rPr>
          <w:rFonts w:ascii="Arial" w:hAnsi="Arial" w:cs="Arial"/>
          <w:color w:val="7B7B7B" w:themeColor="accent3" w:themeShade="BF"/>
          <w:sz w:val="22"/>
          <w:szCs w:val="22"/>
          <w:lang w:val="en-GB"/>
        </w:rPr>
        <w:t>t</w:t>
      </w:r>
      <w:r w:rsidR="00DD417E">
        <w:rPr>
          <w:rFonts w:ascii="Arial" w:hAnsi="Arial" w:cs="Arial"/>
          <w:color w:val="7B7B7B" w:themeColor="accent3" w:themeShade="BF"/>
          <w:sz w:val="22"/>
          <w:szCs w:val="22"/>
          <w:lang w:val="en-GB"/>
        </w:rPr>
        <w:t>he liquidation should be granted to the foreign representative and such representative should hold these powers at the time of making an application for recognition (</w:t>
      </w:r>
      <w:r w:rsidR="00DD417E" w:rsidRPr="0053606D">
        <w:rPr>
          <w:rFonts w:ascii="Arial" w:hAnsi="Arial" w:cs="Arial"/>
          <w:i/>
          <w:color w:val="7B7B7B" w:themeColor="accent3" w:themeShade="BF"/>
          <w:sz w:val="22"/>
          <w:szCs w:val="22"/>
          <w:lang w:val="en-GB"/>
        </w:rPr>
        <w:t>Oversight &amp; Control Commission of Avanzit</w:t>
      </w:r>
      <w:r w:rsidR="0053606D">
        <w:rPr>
          <w:rStyle w:val="FootnoteReference"/>
          <w:rFonts w:ascii="Arial" w:hAnsi="Arial" w:cs="Arial"/>
          <w:i/>
          <w:color w:val="7B7B7B" w:themeColor="accent3" w:themeShade="BF"/>
          <w:sz w:val="22"/>
          <w:szCs w:val="22"/>
          <w:lang w:val="en-GB"/>
        </w:rPr>
        <w:footnoteReference w:id="8"/>
      </w:r>
      <w:r w:rsidR="00DD417E">
        <w:rPr>
          <w:rFonts w:ascii="Arial" w:hAnsi="Arial" w:cs="Arial"/>
          <w:color w:val="7B7B7B" w:themeColor="accent3" w:themeShade="BF"/>
          <w:sz w:val="22"/>
          <w:szCs w:val="22"/>
          <w:lang w:val="en-GB"/>
        </w:rPr>
        <w:t xml:space="preserve">) before the courts of the enacting State. </w:t>
      </w:r>
      <w:r w:rsidR="0080137E">
        <w:rPr>
          <w:rFonts w:ascii="Arial" w:hAnsi="Arial" w:cs="Arial"/>
          <w:color w:val="7B7B7B" w:themeColor="accent3" w:themeShade="BF"/>
          <w:sz w:val="22"/>
          <w:szCs w:val="22"/>
          <w:lang w:val="en-GB"/>
        </w:rPr>
        <w:t xml:space="preserve">The application by DGF and MS. G would probably be made on or after the proceedings initiated in the High Court of England and Wales on 11 February 2021. On 17 December 2015, the NB classified the Bank as insolvent under Article 76 of the LBBA, which means that DGF was forthwith entrusted with the liquidation of the Bank, and was thus authorised much before the commencement of the English proceedings. As far as Ms. G is concerned, even was officially appointed as the liquidator with the requisite resolutions </w:t>
      </w:r>
      <w:r w:rsidR="0080137E">
        <w:rPr>
          <w:rFonts w:ascii="Arial" w:hAnsi="Arial" w:cs="Arial"/>
          <w:color w:val="7B7B7B" w:themeColor="accent3" w:themeShade="BF"/>
          <w:sz w:val="22"/>
          <w:szCs w:val="22"/>
          <w:lang w:val="en-GB"/>
        </w:rPr>
        <w:lastRenderedPageBreak/>
        <w:t xml:space="preserve">replacing Ms. C on 17 August 2020. Thus, the Applicants would likely be construed as foreign representatives for the purposes of the </w:t>
      </w:r>
      <w:r w:rsidR="00F15B70">
        <w:rPr>
          <w:rFonts w:ascii="Arial" w:hAnsi="Arial" w:cs="Arial"/>
          <w:color w:val="7B7B7B" w:themeColor="accent3" w:themeShade="BF"/>
          <w:sz w:val="22"/>
          <w:szCs w:val="22"/>
          <w:lang w:val="en-GB"/>
        </w:rPr>
        <w:t xml:space="preserve">MLCBI as they were appointed prior to the potential making of the recognition application before the English courts. </w:t>
      </w:r>
      <w:r w:rsidR="0080137E">
        <w:rPr>
          <w:rFonts w:ascii="Arial" w:hAnsi="Arial" w:cs="Arial"/>
          <w:color w:val="7B7B7B" w:themeColor="accent3" w:themeShade="BF"/>
          <w:sz w:val="22"/>
          <w:szCs w:val="22"/>
          <w:lang w:val="en-GB"/>
        </w:rPr>
        <w:t xml:space="preserve"> </w:t>
      </w:r>
    </w:p>
    <w:p w14:paraId="37164C20" w14:textId="7A810DE5" w:rsidR="00215497" w:rsidRDefault="0021549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62442549" w14:textId="5EFDF9C0" w:rsidR="00215497" w:rsidRDefault="00215497" w:rsidP="00707FC8">
      <w:pPr>
        <w:jc w:val="both"/>
        <w:rPr>
          <w:rFonts w:ascii="Arial" w:hAnsi="Arial" w:cs="Arial"/>
          <w:color w:val="7B7B7B" w:themeColor="accent3" w:themeShade="BF"/>
          <w:sz w:val="22"/>
          <w:szCs w:val="22"/>
          <w:lang w:val="en-GB"/>
        </w:rPr>
      </w:pPr>
    </w:p>
    <w:p w14:paraId="50632B24" w14:textId="0C16B18D" w:rsidR="00215497" w:rsidRPr="009B5832" w:rsidRDefault="00215497" w:rsidP="00707FC8">
      <w:pPr>
        <w:jc w:val="both"/>
        <w:rPr>
          <w:rFonts w:ascii="Arial" w:hAnsi="Arial" w:cs="Arial"/>
          <w:sz w:val="22"/>
          <w:szCs w:val="22"/>
          <w:lang w:val="en-GB"/>
        </w:rPr>
      </w:pP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9494" w14:textId="77777777" w:rsidR="00561EEE" w:rsidRDefault="00561EEE" w:rsidP="00241B44">
      <w:r>
        <w:separator/>
      </w:r>
    </w:p>
  </w:endnote>
  <w:endnote w:type="continuationSeparator" w:id="0">
    <w:p w14:paraId="53C7A7B1" w14:textId="77777777" w:rsidR="00561EEE" w:rsidRDefault="00561EE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561EEE" w:rsidRPr="00FC7B47" w:rsidRDefault="00561EEE"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561EEE" w:rsidRPr="00FC7B47" w:rsidRDefault="00561EEE"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64E9B0AC" w:rsidR="00561EEE" w:rsidRPr="00784B4B" w:rsidRDefault="00561EEE"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4F381C">
          <w:rPr>
            <w:rStyle w:val="PageNumber"/>
            <w:rFonts w:ascii="Arial" w:hAnsi="Arial" w:cs="Arial"/>
            <w:noProof/>
            <w:sz w:val="18"/>
            <w:szCs w:val="18"/>
          </w:rPr>
          <w:t>19</w:t>
        </w:r>
        <w:r w:rsidRPr="00784B4B">
          <w:rPr>
            <w:rStyle w:val="PageNumber"/>
            <w:rFonts w:ascii="Arial" w:hAnsi="Arial" w:cs="Arial"/>
            <w:sz w:val="18"/>
            <w:szCs w:val="18"/>
          </w:rPr>
          <w:fldChar w:fldCharType="end"/>
        </w:r>
      </w:p>
    </w:sdtContent>
  </w:sdt>
  <w:p w14:paraId="7E7C1A9B" w14:textId="0E4D7E84" w:rsidR="00561EEE" w:rsidRPr="00784B4B" w:rsidRDefault="00DE14EA" w:rsidP="0036760B">
    <w:pPr>
      <w:pStyle w:val="Footer"/>
      <w:ind w:right="360" w:firstLine="360"/>
      <w:rPr>
        <w:rFonts w:ascii="Arial" w:hAnsi="Arial" w:cs="Arial"/>
        <w:sz w:val="18"/>
        <w:szCs w:val="18"/>
      </w:rPr>
    </w:pPr>
    <w:r>
      <w:rPr>
        <w:rFonts w:ascii="Arial" w:hAnsi="Arial" w:cs="Arial"/>
        <w:sz w:val="18"/>
        <w:szCs w:val="18"/>
      </w:rPr>
      <w:t>202122-627</w:t>
    </w:r>
    <w:r w:rsidR="00561EEE"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561EEE" w:rsidRPr="00784B4B" w:rsidRDefault="00561EEE"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D3B2" w14:textId="77777777" w:rsidR="00561EEE" w:rsidRDefault="00561EEE" w:rsidP="00241B44">
      <w:r>
        <w:separator/>
      </w:r>
    </w:p>
  </w:footnote>
  <w:footnote w:type="continuationSeparator" w:id="0">
    <w:p w14:paraId="2FE98E22" w14:textId="77777777" w:rsidR="00561EEE" w:rsidRDefault="00561EEE" w:rsidP="00241B44">
      <w:r>
        <w:continuationSeparator/>
      </w:r>
    </w:p>
  </w:footnote>
  <w:footnote w:id="1">
    <w:p w14:paraId="03362B91" w14:textId="081B248D" w:rsidR="003C48B0" w:rsidRDefault="003C48B0">
      <w:pPr>
        <w:pStyle w:val="FootnoteText"/>
      </w:pPr>
      <w:r>
        <w:rPr>
          <w:rStyle w:val="FootnoteReference"/>
        </w:rPr>
        <w:footnoteRef/>
      </w:r>
      <w:r>
        <w:t xml:space="preserve"> Antony Gibbs and sons</w:t>
      </w:r>
      <w:r w:rsidR="004F381C">
        <w:t xml:space="preserve"> v La Societe Industrielle et Co</w:t>
      </w:r>
      <w:r>
        <w:t>mmerciale des Metaux (1890) LR 25 QBD 399 (</w:t>
      </w:r>
      <w:r w:rsidRPr="003C48B0">
        <w:rPr>
          <w:b/>
          <w:i/>
        </w:rPr>
        <w:t>Gibbs Rule</w:t>
      </w:r>
      <w:r>
        <w:t>)</w:t>
      </w:r>
    </w:p>
  </w:footnote>
  <w:footnote w:id="2">
    <w:p w14:paraId="7BD5E752" w14:textId="445153EC" w:rsidR="003C48B0" w:rsidRDefault="003C48B0">
      <w:pPr>
        <w:pStyle w:val="FootnoteText"/>
      </w:pPr>
      <w:r>
        <w:rPr>
          <w:rStyle w:val="FootnoteReference"/>
        </w:rPr>
        <w:footnoteRef/>
      </w:r>
      <w:r>
        <w:t xml:space="preserve"> </w:t>
      </w:r>
      <w:r w:rsidR="000F699F">
        <w:t>[2010] UKSC 46</w:t>
      </w:r>
    </w:p>
  </w:footnote>
  <w:footnote w:id="3">
    <w:p w14:paraId="53E5FCB0" w14:textId="60BE4820" w:rsidR="00DE14EA" w:rsidRDefault="00DE14EA">
      <w:pPr>
        <w:pStyle w:val="FootnoteText"/>
      </w:pPr>
      <w:r>
        <w:rPr>
          <w:rStyle w:val="FootnoteReference"/>
        </w:rPr>
        <w:footnoteRef/>
      </w:r>
      <w:r>
        <w:t xml:space="preserve"> </w:t>
      </w:r>
      <w:r w:rsidR="0053606D">
        <w:t xml:space="preserve">In the matter of </w:t>
      </w:r>
      <w:r w:rsidR="0053606D" w:rsidRPr="0053606D">
        <w:rPr>
          <w:i/>
        </w:rPr>
        <w:t>Agrokar DD</w:t>
      </w:r>
      <w:r w:rsidR="0053606D">
        <w:t xml:space="preserve"> [2017] EWHC 2781 (Ch) (</w:t>
      </w:r>
      <w:r w:rsidR="0053606D" w:rsidRPr="0053606D">
        <w:rPr>
          <w:b/>
          <w:i/>
        </w:rPr>
        <w:t>Agrokar</w:t>
      </w:r>
      <w:r w:rsidR="0053606D">
        <w:t>)</w:t>
      </w:r>
    </w:p>
  </w:footnote>
  <w:footnote w:id="4">
    <w:p w14:paraId="1F0EC3CD" w14:textId="04E92A6D" w:rsidR="0053606D" w:rsidRDefault="0053606D">
      <w:pPr>
        <w:pStyle w:val="FootnoteText"/>
      </w:pPr>
      <w:r>
        <w:rPr>
          <w:rStyle w:val="FootnoteReference"/>
        </w:rPr>
        <w:footnoteRef/>
      </w:r>
      <w:r>
        <w:t xml:space="preserve"> </w:t>
      </w:r>
      <w:r w:rsidRPr="0053606D">
        <w:rPr>
          <w:lang w:val="en-GB"/>
        </w:rPr>
        <w:t>2010 FCA 794 (para 24)</w:t>
      </w:r>
    </w:p>
  </w:footnote>
  <w:footnote w:id="5">
    <w:p w14:paraId="74F9A6D8" w14:textId="2ED93EA7" w:rsidR="0053606D" w:rsidRDefault="0053606D">
      <w:pPr>
        <w:pStyle w:val="FootnoteText"/>
      </w:pPr>
      <w:r>
        <w:rPr>
          <w:rStyle w:val="FootnoteReference"/>
        </w:rPr>
        <w:footnoteRef/>
      </w:r>
      <w:r>
        <w:t xml:space="preserve"> </w:t>
      </w:r>
      <w:r w:rsidRPr="0053606D">
        <w:rPr>
          <w:lang w:val="en-GB"/>
        </w:rPr>
        <w:t>[2010] EWCA 137 (Civ)</w:t>
      </w:r>
    </w:p>
  </w:footnote>
  <w:footnote w:id="6">
    <w:p w14:paraId="4EC6B330" w14:textId="57E6C45E" w:rsidR="0053606D" w:rsidRDefault="0053606D">
      <w:pPr>
        <w:pStyle w:val="FootnoteText"/>
      </w:pPr>
      <w:r>
        <w:rPr>
          <w:rStyle w:val="FootnoteReference"/>
        </w:rPr>
        <w:footnoteRef/>
      </w:r>
      <w:r>
        <w:t xml:space="preserve"> </w:t>
      </w:r>
      <w:r w:rsidRPr="0053606D">
        <w:rPr>
          <w:lang w:val="en-GB"/>
        </w:rPr>
        <w:t>400 B.R. 266 US</w:t>
      </w:r>
    </w:p>
  </w:footnote>
  <w:footnote w:id="7">
    <w:p w14:paraId="0CBDB774" w14:textId="139D251C" w:rsidR="0053606D" w:rsidRDefault="0053606D">
      <w:pPr>
        <w:pStyle w:val="FootnoteText"/>
      </w:pPr>
      <w:r>
        <w:rPr>
          <w:rStyle w:val="FootnoteReference"/>
        </w:rPr>
        <w:footnoteRef/>
      </w:r>
      <w:r>
        <w:t xml:space="preserve"> </w:t>
      </w:r>
      <w:r w:rsidRPr="0053606D">
        <w:rPr>
          <w:lang w:val="en-GB"/>
        </w:rPr>
        <w:t>599 B</w:t>
      </w:r>
      <w:r>
        <w:rPr>
          <w:lang w:val="en-GB"/>
        </w:rPr>
        <w:t>.</w:t>
      </w:r>
      <w:r w:rsidRPr="0053606D">
        <w:rPr>
          <w:lang w:val="en-GB"/>
        </w:rPr>
        <w:t>R</w:t>
      </w:r>
      <w:r>
        <w:rPr>
          <w:lang w:val="en-GB"/>
        </w:rPr>
        <w:t>.</w:t>
      </w:r>
      <w:r w:rsidRPr="0053606D">
        <w:rPr>
          <w:lang w:val="en-GB"/>
        </w:rPr>
        <w:t xml:space="preserve"> 631</w:t>
      </w:r>
    </w:p>
  </w:footnote>
  <w:footnote w:id="8">
    <w:p w14:paraId="34F93DC5" w14:textId="00564DF5" w:rsidR="0053606D" w:rsidRDefault="0053606D">
      <w:pPr>
        <w:pStyle w:val="FootnoteText"/>
      </w:pPr>
      <w:r>
        <w:rPr>
          <w:rStyle w:val="FootnoteReference"/>
        </w:rPr>
        <w:footnoteRef/>
      </w:r>
      <w:r>
        <w:t xml:space="preserve"> </w:t>
      </w:r>
      <w:r w:rsidRPr="0053606D">
        <w:rPr>
          <w:lang w:val="en-GB"/>
        </w:rPr>
        <w:t>SA 385 B.R. 525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5513E"/>
    <w:multiLevelType w:val="hybridMultilevel"/>
    <w:tmpl w:val="8C2E5B54"/>
    <w:lvl w:ilvl="0" w:tplc="734232F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05060F"/>
    <w:multiLevelType w:val="hybridMultilevel"/>
    <w:tmpl w:val="44560304"/>
    <w:lvl w:ilvl="0" w:tplc="4EDCCD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C73E83"/>
    <w:multiLevelType w:val="hybridMultilevel"/>
    <w:tmpl w:val="B77ED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BC488B"/>
    <w:multiLevelType w:val="hybridMultilevel"/>
    <w:tmpl w:val="64F69D5A"/>
    <w:lvl w:ilvl="0" w:tplc="87567B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C46982"/>
    <w:multiLevelType w:val="hybridMultilevel"/>
    <w:tmpl w:val="D73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9516B8"/>
    <w:multiLevelType w:val="hybridMultilevel"/>
    <w:tmpl w:val="27B47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62615"/>
    <w:multiLevelType w:val="hybridMultilevel"/>
    <w:tmpl w:val="771CF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6"/>
  </w:num>
  <w:num w:numId="3">
    <w:abstractNumId w:val="31"/>
  </w:num>
  <w:num w:numId="4">
    <w:abstractNumId w:val="40"/>
  </w:num>
  <w:num w:numId="5">
    <w:abstractNumId w:val="6"/>
  </w:num>
  <w:num w:numId="6">
    <w:abstractNumId w:val="38"/>
  </w:num>
  <w:num w:numId="7">
    <w:abstractNumId w:val="15"/>
  </w:num>
  <w:num w:numId="8">
    <w:abstractNumId w:val="33"/>
  </w:num>
  <w:num w:numId="9">
    <w:abstractNumId w:val="18"/>
  </w:num>
  <w:num w:numId="10">
    <w:abstractNumId w:val="11"/>
  </w:num>
  <w:num w:numId="11">
    <w:abstractNumId w:val="20"/>
  </w:num>
  <w:num w:numId="12">
    <w:abstractNumId w:val="37"/>
  </w:num>
  <w:num w:numId="13">
    <w:abstractNumId w:val="4"/>
  </w:num>
  <w:num w:numId="14">
    <w:abstractNumId w:val="29"/>
  </w:num>
  <w:num w:numId="15">
    <w:abstractNumId w:val="12"/>
  </w:num>
  <w:num w:numId="16">
    <w:abstractNumId w:val="13"/>
  </w:num>
  <w:num w:numId="17">
    <w:abstractNumId w:val="24"/>
  </w:num>
  <w:num w:numId="18">
    <w:abstractNumId w:val="5"/>
  </w:num>
  <w:num w:numId="19">
    <w:abstractNumId w:val="22"/>
  </w:num>
  <w:num w:numId="20">
    <w:abstractNumId w:val="45"/>
  </w:num>
  <w:num w:numId="21">
    <w:abstractNumId w:val="14"/>
  </w:num>
  <w:num w:numId="22">
    <w:abstractNumId w:val="36"/>
  </w:num>
  <w:num w:numId="23">
    <w:abstractNumId w:val="41"/>
  </w:num>
  <w:num w:numId="24">
    <w:abstractNumId w:val="35"/>
  </w:num>
  <w:num w:numId="25">
    <w:abstractNumId w:val="27"/>
  </w:num>
  <w:num w:numId="26">
    <w:abstractNumId w:val="44"/>
  </w:num>
  <w:num w:numId="27">
    <w:abstractNumId w:val="39"/>
  </w:num>
  <w:num w:numId="28">
    <w:abstractNumId w:val="8"/>
  </w:num>
  <w:num w:numId="29">
    <w:abstractNumId w:val="9"/>
  </w:num>
  <w:num w:numId="30">
    <w:abstractNumId w:val="25"/>
  </w:num>
  <w:num w:numId="31">
    <w:abstractNumId w:val="2"/>
  </w:num>
  <w:num w:numId="32">
    <w:abstractNumId w:val="26"/>
  </w:num>
  <w:num w:numId="33">
    <w:abstractNumId w:val="0"/>
  </w:num>
  <w:num w:numId="34">
    <w:abstractNumId w:val="32"/>
  </w:num>
  <w:num w:numId="35">
    <w:abstractNumId w:val="17"/>
  </w:num>
  <w:num w:numId="36">
    <w:abstractNumId w:val="34"/>
  </w:num>
  <w:num w:numId="37">
    <w:abstractNumId w:val="19"/>
  </w:num>
  <w:num w:numId="38">
    <w:abstractNumId w:val="30"/>
  </w:num>
  <w:num w:numId="39">
    <w:abstractNumId w:val="3"/>
  </w:num>
  <w:num w:numId="40">
    <w:abstractNumId w:val="16"/>
  </w:num>
  <w:num w:numId="41">
    <w:abstractNumId w:val="7"/>
  </w:num>
  <w:num w:numId="42">
    <w:abstractNumId w:val="23"/>
  </w:num>
  <w:num w:numId="43">
    <w:abstractNumId w:val="28"/>
  </w:num>
  <w:num w:numId="44">
    <w:abstractNumId w:val="10"/>
  </w:num>
  <w:num w:numId="45">
    <w:abstractNumId w:val="21"/>
  </w:num>
  <w:num w:numId="46">
    <w:abstractNumId w:val="43"/>
  </w:num>
  <w:num w:numId="47">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5062"/>
    <w:rsid w:val="000077DD"/>
    <w:rsid w:val="00010BA0"/>
    <w:rsid w:val="00011778"/>
    <w:rsid w:val="00020557"/>
    <w:rsid w:val="000232A1"/>
    <w:rsid w:val="000250C7"/>
    <w:rsid w:val="00025CCF"/>
    <w:rsid w:val="0003114A"/>
    <w:rsid w:val="00032E63"/>
    <w:rsid w:val="00032F48"/>
    <w:rsid w:val="0003619C"/>
    <w:rsid w:val="00037621"/>
    <w:rsid w:val="00044D46"/>
    <w:rsid w:val="00045088"/>
    <w:rsid w:val="00045904"/>
    <w:rsid w:val="000464F7"/>
    <w:rsid w:val="0005141D"/>
    <w:rsid w:val="00065166"/>
    <w:rsid w:val="00067A88"/>
    <w:rsid w:val="00073474"/>
    <w:rsid w:val="000771CD"/>
    <w:rsid w:val="00077D49"/>
    <w:rsid w:val="00082609"/>
    <w:rsid w:val="000851CC"/>
    <w:rsid w:val="00093BE8"/>
    <w:rsid w:val="000953F4"/>
    <w:rsid w:val="00097196"/>
    <w:rsid w:val="000A68ED"/>
    <w:rsid w:val="000B4FEB"/>
    <w:rsid w:val="000B5FF1"/>
    <w:rsid w:val="000B609F"/>
    <w:rsid w:val="000C147F"/>
    <w:rsid w:val="000C6BB9"/>
    <w:rsid w:val="000D55A8"/>
    <w:rsid w:val="000E4841"/>
    <w:rsid w:val="000E6325"/>
    <w:rsid w:val="000F1677"/>
    <w:rsid w:val="000F3D6C"/>
    <w:rsid w:val="000F579C"/>
    <w:rsid w:val="000F699F"/>
    <w:rsid w:val="00101707"/>
    <w:rsid w:val="001052CF"/>
    <w:rsid w:val="00114082"/>
    <w:rsid w:val="0011473D"/>
    <w:rsid w:val="00115C85"/>
    <w:rsid w:val="00123855"/>
    <w:rsid w:val="00126A4D"/>
    <w:rsid w:val="00140E0A"/>
    <w:rsid w:val="0014171F"/>
    <w:rsid w:val="0014622C"/>
    <w:rsid w:val="00146941"/>
    <w:rsid w:val="00151F58"/>
    <w:rsid w:val="00152348"/>
    <w:rsid w:val="0015456D"/>
    <w:rsid w:val="00155FA2"/>
    <w:rsid w:val="00156541"/>
    <w:rsid w:val="001578CB"/>
    <w:rsid w:val="00161F1B"/>
    <w:rsid w:val="00162829"/>
    <w:rsid w:val="00165A7E"/>
    <w:rsid w:val="0016795E"/>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B5CEE"/>
    <w:rsid w:val="001C45FC"/>
    <w:rsid w:val="001D02C5"/>
    <w:rsid w:val="001D4862"/>
    <w:rsid w:val="001E25B9"/>
    <w:rsid w:val="001E49E0"/>
    <w:rsid w:val="001E7B5A"/>
    <w:rsid w:val="001F6DF3"/>
    <w:rsid w:val="001F7412"/>
    <w:rsid w:val="00201874"/>
    <w:rsid w:val="00202133"/>
    <w:rsid w:val="0020264E"/>
    <w:rsid w:val="0020725B"/>
    <w:rsid w:val="00215497"/>
    <w:rsid w:val="002175BA"/>
    <w:rsid w:val="0022599E"/>
    <w:rsid w:val="002305E8"/>
    <w:rsid w:val="00230976"/>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5B7"/>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328C"/>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3FF8"/>
    <w:rsid w:val="003948D5"/>
    <w:rsid w:val="00396821"/>
    <w:rsid w:val="00397D3A"/>
    <w:rsid w:val="003A051E"/>
    <w:rsid w:val="003A2FEE"/>
    <w:rsid w:val="003B1310"/>
    <w:rsid w:val="003B170F"/>
    <w:rsid w:val="003B3C5F"/>
    <w:rsid w:val="003C1B43"/>
    <w:rsid w:val="003C4471"/>
    <w:rsid w:val="003C48B0"/>
    <w:rsid w:val="003C66B1"/>
    <w:rsid w:val="003D0A6D"/>
    <w:rsid w:val="003E0B16"/>
    <w:rsid w:val="003E67D1"/>
    <w:rsid w:val="00405DC1"/>
    <w:rsid w:val="0040710D"/>
    <w:rsid w:val="0041139B"/>
    <w:rsid w:val="00413D3A"/>
    <w:rsid w:val="00415F1F"/>
    <w:rsid w:val="0042108F"/>
    <w:rsid w:val="00422242"/>
    <w:rsid w:val="00424D07"/>
    <w:rsid w:val="00430FED"/>
    <w:rsid w:val="004314E2"/>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B4249"/>
    <w:rsid w:val="004D1A5A"/>
    <w:rsid w:val="004D2FFF"/>
    <w:rsid w:val="004D3721"/>
    <w:rsid w:val="004D64F9"/>
    <w:rsid w:val="004E0549"/>
    <w:rsid w:val="004E082D"/>
    <w:rsid w:val="004E2E92"/>
    <w:rsid w:val="004E30B0"/>
    <w:rsid w:val="004E622C"/>
    <w:rsid w:val="004F2492"/>
    <w:rsid w:val="004F381C"/>
    <w:rsid w:val="004F5FDF"/>
    <w:rsid w:val="0050157D"/>
    <w:rsid w:val="00506803"/>
    <w:rsid w:val="0050682B"/>
    <w:rsid w:val="00507AAC"/>
    <w:rsid w:val="00512F41"/>
    <w:rsid w:val="005177FE"/>
    <w:rsid w:val="0052263B"/>
    <w:rsid w:val="00524728"/>
    <w:rsid w:val="00530003"/>
    <w:rsid w:val="005331CA"/>
    <w:rsid w:val="0053353F"/>
    <w:rsid w:val="0053606D"/>
    <w:rsid w:val="00537970"/>
    <w:rsid w:val="00540B44"/>
    <w:rsid w:val="00540E3A"/>
    <w:rsid w:val="00544127"/>
    <w:rsid w:val="00544273"/>
    <w:rsid w:val="00546206"/>
    <w:rsid w:val="005463A9"/>
    <w:rsid w:val="00553EB2"/>
    <w:rsid w:val="00556777"/>
    <w:rsid w:val="0055789A"/>
    <w:rsid w:val="00560534"/>
    <w:rsid w:val="0056102C"/>
    <w:rsid w:val="00561EEE"/>
    <w:rsid w:val="0056391B"/>
    <w:rsid w:val="005650E2"/>
    <w:rsid w:val="00565292"/>
    <w:rsid w:val="0056535A"/>
    <w:rsid w:val="00565DEE"/>
    <w:rsid w:val="00567AD7"/>
    <w:rsid w:val="00573E73"/>
    <w:rsid w:val="00575B2D"/>
    <w:rsid w:val="005833D0"/>
    <w:rsid w:val="005846F3"/>
    <w:rsid w:val="0058622F"/>
    <w:rsid w:val="00587461"/>
    <w:rsid w:val="00592F82"/>
    <w:rsid w:val="0059700D"/>
    <w:rsid w:val="005A0CCA"/>
    <w:rsid w:val="005A726D"/>
    <w:rsid w:val="005B0EDF"/>
    <w:rsid w:val="005B67AC"/>
    <w:rsid w:val="005C2C94"/>
    <w:rsid w:val="005C415F"/>
    <w:rsid w:val="005C4865"/>
    <w:rsid w:val="005D1D69"/>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1C05"/>
    <w:rsid w:val="00654C2F"/>
    <w:rsid w:val="00657087"/>
    <w:rsid w:val="0066252C"/>
    <w:rsid w:val="006661EF"/>
    <w:rsid w:val="0067294B"/>
    <w:rsid w:val="00674998"/>
    <w:rsid w:val="00677736"/>
    <w:rsid w:val="0067785F"/>
    <w:rsid w:val="00677AEB"/>
    <w:rsid w:val="00680EF2"/>
    <w:rsid w:val="006839C2"/>
    <w:rsid w:val="0068760E"/>
    <w:rsid w:val="00687A1D"/>
    <w:rsid w:val="00691914"/>
    <w:rsid w:val="006920CC"/>
    <w:rsid w:val="00697EA1"/>
    <w:rsid w:val="006A1850"/>
    <w:rsid w:val="006A2646"/>
    <w:rsid w:val="006A3DF0"/>
    <w:rsid w:val="006A6530"/>
    <w:rsid w:val="006B435A"/>
    <w:rsid w:val="006B4C64"/>
    <w:rsid w:val="006B4FFC"/>
    <w:rsid w:val="006D2232"/>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3131"/>
    <w:rsid w:val="0072554C"/>
    <w:rsid w:val="00725911"/>
    <w:rsid w:val="00731DBD"/>
    <w:rsid w:val="007333CC"/>
    <w:rsid w:val="0073399A"/>
    <w:rsid w:val="007603F5"/>
    <w:rsid w:val="007648C5"/>
    <w:rsid w:val="00764DB0"/>
    <w:rsid w:val="0076764D"/>
    <w:rsid w:val="0077498C"/>
    <w:rsid w:val="00784128"/>
    <w:rsid w:val="00784B4B"/>
    <w:rsid w:val="007854ED"/>
    <w:rsid w:val="00792ECE"/>
    <w:rsid w:val="00793173"/>
    <w:rsid w:val="007A693E"/>
    <w:rsid w:val="007B3AC7"/>
    <w:rsid w:val="007C1FCC"/>
    <w:rsid w:val="007C32A8"/>
    <w:rsid w:val="007C3FE5"/>
    <w:rsid w:val="007C6201"/>
    <w:rsid w:val="007C6988"/>
    <w:rsid w:val="007D28A1"/>
    <w:rsid w:val="007D7C92"/>
    <w:rsid w:val="007E1154"/>
    <w:rsid w:val="007E6BA4"/>
    <w:rsid w:val="007E7678"/>
    <w:rsid w:val="007F41F8"/>
    <w:rsid w:val="007F60D0"/>
    <w:rsid w:val="0080137E"/>
    <w:rsid w:val="0080454E"/>
    <w:rsid w:val="00804C32"/>
    <w:rsid w:val="00806302"/>
    <w:rsid w:val="00807119"/>
    <w:rsid w:val="00812AC7"/>
    <w:rsid w:val="00817D57"/>
    <w:rsid w:val="00822764"/>
    <w:rsid w:val="0082483F"/>
    <w:rsid w:val="008264CB"/>
    <w:rsid w:val="008279C0"/>
    <w:rsid w:val="00835FD1"/>
    <w:rsid w:val="0084683C"/>
    <w:rsid w:val="00853A74"/>
    <w:rsid w:val="00860E61"/>
    <w:rsid w:val="008632AF"/>
    <w:rsid w:val="00867346"/>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4DB5"/>
    <w:rsid w:val="008F5FFE"/>
    <w:rsid w:val="0090421A"/>
    <w:rsid w:val="00905A43"/>
    <w:rsid w:val="00912C79"/>
    <w:rsid w:val="0091579A"/>
    <w:rsid w:val="009260A2"/>
    <w:rsid w:val="0093178F"/>
    <w:rsid w:val="009323ED"/>
    <w:rsid w:val="009335E2"/>
    <w:rsid w:val="00940F74"/>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2EF0"/>
    <w:rsid w:val="009A4880"/>
    <w:rsid w:val="009A53E5"/>
    <w:rsid w:val="009A7865"/>
    <w:rsid w:val="009B0723"/>
    <w:rsid w:val="009B07AD"/>
    <w:rsid w:val="009B0883"/>
    <w:rsid w:val="009B15E2"/>
    <w:rsid w:val="009B5832"/>
    <w:rsid w:val="009B6312"/>
    <w:rsid w:val="009C0850"/>
    <w:rsid w:val="009C0B8E"/>
    <w:rsid w:val="009C1BC8"/>
    <w:rsid w:val="009C2116"/>
    <w:rsid w:val="009C2442"/>
    <w:rsid w:val="009C3C61"/>
    <w:rsid w:val="009D0811"/>
    <w:rsid w:val="009D0EE1"/>
    <w:rsid w:val="009D30BB"/>
    <w:rsid w:val="009E2AEB"/>
    <w:rsid w:val="009E2E27"/>
    <w:rsid w:val="009E4DE3"/>
    <w:rsid w:val="00A047EE"/>
    <w:rsid w:val="00A114EA"/>
    <w:rsid w:val="00A1514A"/>
    <w:rsid w:val="00A153F7"/>
    <w:rsid w:val="00A2274A"/>
    <w:rsid w:val="00A235B7"/>
    <w:rsid w:val="00A27A7A"/>
    <w:rsid w:val="00A407EF"/>
    <w:rsid w:val="00A46B4C"/>
    <w:rsid w:val="00A5117B"/>
    <w:rsid w:val="00A54689"/>
    <w:rsid w:val="00A60074"/>
    <w:rsid w:val="00A6627C"/>
    <w:rsid w:val="00A71019"/>
    <w:rsid w:val="00A80008"/>
    <w:rsid w:val="00A81029"/>
    <w:rsid w:val="00A83CB5"/>
    <w:rsid w:val="00A8474E"/>
    <w:rsid w:val="00A96489"/>
    <w:rsid w:val="00A9757F"/>
    <w:rsid w:val="00AA3A42"/>
    <w:rsid w:val="00AA5311"/>
    <w:rsid w:val="00AB685C"/>
    <w:rsid w:val="00AB6C2D"/>
    <w:rsid w:val="00AC08F7"/>
    <w:rsid w:val="00AC3839"/>
    <w:rsid w:val="00AC7082"/>
    <w:rsid w:val="00AD2B40"/>
    <w:rsid w:val="00AD3FEA"/>
    <w:rsid w:val="00AD7BBD"/>
    <w:rsid w:val="00AE2274"/>
    <w:rsid w:val="00AF228E"/>
    <w:rsid w:val="00AF5155"/>
    <w:rsid w:val="00B02189"/>
    <w:rsid w:val="00B0274E"/>
    <w:rsid w:val="00B04137"/>
    <w:rsid w:val="00B11D19"/>
    <w:rsid w:val="00B12936"/>
    <w:rsid w:val="00B14819"/>
    <w:rsid w:val="00B17AA9"/>
    <w:rsid w:val="00B2197B"/>
    <w:rsid w:val="00B2675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B2AD5"/>
    <w:rsid w:val="00BC1AD7"/>
    <w:rsid w:val="00BD61A0"/>
    <w:rsid w:val="00BE1A50"/>
    <w:rsid w:val="00BF50F7"/>
    <w:rsid w:val="00C02F29"/>
    <w:rsid w:val="00C04D81"/>
    <w:rsid w:val="00C105FE"/>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1CA"/>
    <w:rsid w:val="00C85F17"/>
    <w:rsid w:val="00C8712A"/>
    <w:rsid w:val="00C91324"/>
    <w:rsid w:val="00C963D3"/>
    <w:rsid w:val="00CA6E0D"/>
    <w:rsid w:val="00CB2CBB"/>
    <w:rsid w:val="00CB7CAC"/>
    <w:rsid w:val="00CB7CC0"/>
    <w:rsid w:val="00CC0EA0"/>
    <w:rsid w:val="00CC5335"/>
    <w:rsid w:val="00CC5BA4"/>
    <w:rsid w:val="00CC70BB"/>
    <w:rsid w:val="00CD4998"/>
    <w:rsid w:val="00CE1035"/>
    <w:rsid w:val="00CF01F1"/>
    <w:rsid w:val="00CF042A"/>
    <w:rsid w:val="00CF2819"/>
    <w:rsid w:val="00CF4F9D"/>
    <w:rsid w:val="00CF70DC"/>
    <w:rsid w:val="00D148DC"/>
    <w:rsid w:val="00D1579C"/>
    <w:rsid w:val="00D17FDC"/>
    <w:rsid w:val="00D231B8"/>
    <w:rsid w:val="00D344A4"/>
    <w:rsid w:val="00D444C5"/>
    <w:rsid w:val="00D45AEA"/>
    <w:rsid w:val="00D559A7"/>
    <w:rsid w:val="00D56A37"/>
    <w:rsid w:val="00D57202"/>
    <w:rsid w:val="00D63EFD"/>
    <w:rsid w:val="00D64826"/>
    <w:rsid w:val="00D80DF2"/>
    <w:rsid w:val="00D81363"/>
    <w:rsid w:val="00D84752"/>
    <w:rsid w:val="00D85AB0"/>
    <w:rsid w:val="00D86B3B"/>
    <w:rsid w:val="00D8748A"/>
    <w:rsid w:val="00D93196"/>
    <w:rsid w:val="00D97A93"/>
    <w:rsid w:val="00DA1083"/>
    <w:rsid w:val="00DA26C8"/>
    <w:rsid w:val="00DB243C"/>
    <w:rsid w:val="00DB482A"/>
    <w:rsid w:val="00DB56F2"/>
    <w:rsid w:val="00DB6EF5"/>
    <w:rsid w:val="00DC3089"/>
    <w:rsid w:val="00DC3200"/>
    <w:rsid w:val="00DC4420"/>
    <w:rsid w:val="00DC45F4"/>
    <w:rsid w:val="00DD0802"/>
    <w:rsid w:val="00DD0A50"/>
    <w:rsid w:val="00DD2E11"/>
    <w:rsid w:val="00DD417E"/>
    <w:rsid w:val="00DE03AF"/>
    <w:rsid w:val="00DE121C"/>
    <w:rsid w:val="00DE14EA"/>
    <w:rsid w:val="00DE2A27"/>
    <w:rsid w:val="00DE3705"/>
    <w:rsid w:val="00DE6633"/>
    <w:rsid w:val="00DF75F8"/>
    <w:rsid w:val="00DF7A3A"/>
    <w:rsid w:val="00DF7FB2"/>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4FEE"/>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38A7"/>
    <w:rsid w:val="00ED6A32"/>
    <w:rsid w:val="00EE4971"/>
    <w:rsid w:val="00EF033B"/>
    <w:rsid w:val="00EF090E"/>
    <w:rsid w:val="00EF5C49"/>
    <w:rsid w:val="00F033DA"/>
    <w:rsid w:val="00F11AAB"/>
    <w:rsid w:val="00F13FB1"/>
    <w:rsid w:val="00F15B70"/>
    <w:rsid w:val="00F17C87"/>
    <w:rsid w:val="00F223E7"/>
    <w:rsid w:val="00F2288D"/>
    <w:rsid w:val="00F25779"/>
    <w:rsid w:val="00F2712C"/>
    <w:rsid w:val="00F2750A"/>
    <w:rsid w:val="00F27CD8"/>
    <w:rsid w:val="00F30351"/>
    <w:rsid w:val="00F3323E"/>
    <w:rsid w:val="00F341F4"/>
    <w:rsid w:val="00F34F9D"/>
    <w:rsid w:val="00F35CCE"/>
    <w:rsid w:val="00F37475"/>
    <w:rsid w:val="00F40AC4"/>
    <w:rsid w:val="00F4549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0FC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Date">
    <w:name w:val="Date"/>
    <w:basedOn w:val="Normal"/>
    <w:next w:val="Normal"/>
    <w:link w:val="DateChar"/>
    <w:uiPriority w:val="99"/>
    <w:semiHidden/>
    <w:unhideWhenUsed/>
    <w:rsid w:val="00215497"/>
  </w:style>
  <w:style w:type="character" w:customStyle="1" w:styleId="DateChar">
    <w:name w:val="Date Char"/>
    <w:basedOn w:val="DefaultParagraphFont"/>
    <w:link w:val="Date"/>
    <w:uiPriority w:val="99"/>
    <w:semiHidden/>
    <w:rsid w:val="0021549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48EE-05C2-4496-B8F6-6966296B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19</Pages>
  <Words>8012</Words>
  <Characters>45670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Urvashi</cp:lastModifiedBy>
  <cp:revision>79</cp:revision>
  <cp:lastPrinted>2019-08-27T05:42:00Z</cp:lastPrinted>
  <dcterms:created xsi:type="dcterms:W3CDTF">2021-08-31T13:05:00Z</dcterms:created>
  <dcterms:modified xsi:type="dcterms:W3CDTF">2022-02-28T15:16:00Z</dcterms:modified>
</cp:coreProperties>
</file>