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BD3591" w:rsidRDefault="00AE5B6F" w:rsidP="00B04033">
      <w:pPr>
        <w:pStyle w:val="ListParagraph"/>
        <w:numPr>
          <w:ilvl w:val="0"/>
          <w:numId w:val="1"/>
        </w:numPr>
        <w:ind w:left="426"/>
        <w:jc w:val="both"/>
        <w:rPr>
          <w:rFonts w:ascii="Arial" w:hAnsi="Arial" w:cs="Arial"/>
          <w:sz w:val="22"/>
          <w:szCs w:val="22"/>
          <w:highlight w:val="yellow"/>
          <w:lang w:val="en-GB"/>
        </w:rPr>
      </w:pPr>
      <w:r w:rsidRPr="00BD3591">
        <w:rPr>
          <w:rFonts w:ascii="Arial" w:hAnsi="Arial" w:cs="Arial"/>
          <w:sz w:val="22"/>
          <w:szCs w:val="22"/>
          <w:highlight w:val="yellow"/>
          <w:lang w:val="en-GB"/>
        </w:rPr>
        <w:t>w</w:t>
      </w:r>
      <w:r w:rsidR="00C91062" w:rsidRPr="00BD3591">
        <w:rPr>
          <w:rFonts w:ascii="Arial" w:hAnsi="Arial" w:cs="Arial"/>
          <w:sz w:val="22"/>
          <w:szCs w:val="22"/>
          <w:highlight w:val="yellow"/>
          <w:lang w:val="en-GB"/>
        </w:rPr>
        <w:t>ithin 8 weeks of the commencement of the administration</w:t>
      </w:r>
      <w:r w:rsidR="00763348" w:rsidRPr="00BD3591">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BD3591" w:rsidRDefault="00E443D7" w:rsidP="00B04033">
      <w:pPr>
        <w:pStyle w:val="ListParagraph"/>
        <w:numPr>
          <w:ilvl w:val="0"/>
          <w:numId w:val="2"/>
        </w:numPr>
        <w:ind w:left="426"/>
        <w:jc w:val="both"/>
        <w:rPr>
          <w:rFonts w:ascii="Arial" w:hAnsi="Arial" w:cs="Arial"/>
          <w:sz w:val="22"/>
          <w:szCs w:val="22"/>
          <w:highlight w:val="yellow"/>
          <w:lang w:val="en-GB"/>
        </w:rPr>
      </w:pPr>
      <w:r w:rsidRPr="00BD3591">
        <w:rPr>
          <w:rFonts w:ascii="Arial" w:hAnsi="Arial" w:cs="Arial"/>
          <w:sz w:val="22"/>
          <w:szCs w:val="22"/>
          <w:highlight w:val="yellow"/>
          <w:lang w:val="en-GB"/>
        </w:rPr>
        <w:t>One year</w:t>
      </w:r>
      <w:r w:rsidR="00763348" w:rsidRPr="00BD3591">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0722CC" w:rsidRDefault="00AE5B6F" w:rsidP="00B04033">
      <w:pPr>
        <w:pStyle w:val="ListParagraph"/>
        <w:numPr>
          <w:ilvl w:val="0"/>
          <w:numId w:val="3"/>
        </w:numPr>
        <w:ind w:left="426"/>
        <w:jc w:val="both"/>
        <w:rPr>
          <w:rFonts w:ascii="Arial" w:hAnsi="Arial" w:cs="Arial"/>
          <w:sz w:val="22"/>
          <w:szCs w:val="22"/>
          <w:highlight w:val="yellow"/>
          <w:lang w:val="en-GB"/>
        </w:rPr>
      </w:pPr>
      <w:r w:rsidRPr="000722CC">
        <w:rPr>
          <w:rFonts w:ascii="Arial" w:hAnsi="Arial" w:cs="Arial"/>
          <w:sz w:val="22"/>
          <w:szCs w:val="22"/>
          <w:highlight w:val="yellow"/>
          <w:lang w:val="en-GB"/>
        </w:rPr>
        <w:t>T</w:t>
      </w:r>
      <w:r w:rsidR="008D1616" w:rsidRPr="000722CC">
        <w:rPr>
          <w:rFonts w:ascii="Arial" w:hAnsi="Arial" w:cs="Arial"/>
          <w:sz w:val="22"/>
          <w:szCs w:val="22"/>
          <w:highlight w:val="yellow"/>
          <w:lang w:val="en-GB"/>
        </w:rPr>
        <w:t>he company is, or is likely to become, unable to pay their debts, as defined under s</w:t>
      </w:r>
      <w:r w:rsidR="00E833F4" w:rsidRPr="000722CC">
        <w:rPr>
          <w:rFonts w:ascii="Arial" w:hAnsi="Arial" w:cs="Arial"/>
          <w:sz w:val="22"/>
          <w:szCs w:val="22"/>
          <w:highlight w:val="yellow"/>
          <w:lang w:val="en-GB"/>
        </w:rPr>
        <w:t>ection</w:t>
      </w:r>
      <w:r w:rsidR="008D1616" w:rsidRPr="000722CC">
        <w:rPr>
          <w:rFonts w:ascii="Arial" w:hAnsi="Arial" w:cs="Arial"/>
          <w:sz w:val="22"/>
          <w:szCs w:val="22"/>
          <w:highlight w:val="yellow"/>
          <w:lang w:val="en-GB"/>
        </w:rPr>
        <w:t xml:space="preserve"> 123 of the Insolvency Act 1986</w:t>
      </w:r>
      <w:r w:rsidR="00763348" w:rsidRPr="000722CC">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CA65C2" w:rsidRDefault="00C91062" w:rsidP="00B04033">
      <w:pPr>
        <w:pStyle w:val="ListParagraph"/>
        <w:numPr>
          <w:ilvl w:val="0"/>
          <w:numId w:val="4"/>
        </w:numPr>
        <w:ind w:left="426"/>
        <w:jc w:val="both"/>
        <w:rPr>
          <w:rFonts w:ascii="Arial" w:hAnsi="Arial" w:cs="Arial"/>
          <w:sz w:val="22"/>
          <w:szCs w:val="22"/>
          <w:highlight w:val="yellow"/>
          <w:lang w:val="en-GB"/>
        </w:rPr>
      </w:pPr>
      <w:r w:rsidRPr="00CA65C2">
        <w:rPr>
          <w:rFonts w:ascii="Arial" w:hAnsi="Arial" w:cs="Arial"/>
          <w:sz w:val="22"/>
          <w:szCs w:val="22"/>
          <w:highlight w:val="yellow"/>
          <w:lang w:val="en-GB"/>
        </w:rPr>
        <w:t>The purchaser</w:t>
      </w:r>
      <w:r w:rsidR="00763348" w:rsidRPr="00CA65C2">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CA65C2" w:rsidRDefault="00BA1CFD" w:rsidP="00B04033">
      <w:pPr>
        <w:pStyle w:val="ListParagraph"/>
        <w:numPr>
          <w:ilvl w:val="0"/>
          <w:numId w:val="5"/>
        </w:numPr>
        <w:ind w:left="426"/>
        <w:jc w:val="both"/>
        <w:rPr>
          <w:rFonts w:ascii="Arial" w:hAnsi="Arial" w:cs="Arial"/>
          <w:sz w:val="22"/>
          <w:szCs w:val="22"/>
          <w:highlight w:val="yellow"/>
          <w:lang w:val="en-GB"/>
        </w:rPr>
      </w:pPr>
      <w:r w:rsidRPr="00CA65C2">
        <w:rPr>
          <w:rFonts w:ascii="Arial" w:hAnsi="Arial" w:cs="Arial"/>
          <w:sz w:val="22"/>
          <w:szCs w:val="22"/>
          <w:highlight w:val="yellow"/>
          <w:lang w:val="en-GB"/>
        </w:rPr>
        <w:t>Administration</w:t>
      </w:r>
      <w:r w:rsidR="00763348" w:rsidRPr="00CA65C2">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FA0761" w:rsidRDefault="00BA1CFD" w:rsidP="00B04033">
      <w:pPr>
        <w:pStyle w:val="ListParagraph"/>
        <w:numPr>
          <w:ilvl w:val="0"/>
          <w:numId w:val="6"/>
        </w:numPr>
        <w:ind w:left="426"/>
        <w:jc w:val="both"/>
        <w:rPr>
          <w:rFonts w:ascii="Arial" w:hAnsi="Arial" w:cs="Arial"/>
          <w:sz w:val="22"/>
          <w:szCs w:val="22"/>
          <w:highlight w:val="yellow"/>
          <w:lang w:val="en-GB"/>
        </w:rPr>
      </w:pPr>
      <w:r w:rsidRPr="00FA0761">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F5137E" w:rsidRDefault="00BA1CFD" w:rsidP="00B04033">
      <w:pPr>
        <w:pStyle w:val="ListParagraph"/>
        <w:numPr>
          <w:ilvl w:val="0"/>
          <w:numId w:val="7"/>
        </w:numPr>
        <w:ind w:left="426"/>
        <w:jc w:val="both"/>
        <w:rPr>
          <w:rFonts w:ascii="Arial" w:hAnsi="Arial" w:cs="Arial"/>
          <w:sz w:val="22"/>
          <w:szCs w:val="22"/>
          <w:lang w:val="en-GB"/>
        </w:rPr>
      </w:pPr>
      <w:r w:rsidRPr="00F5137E">
        <w:rPr>
          <w:rFonts w:ascii="Arial" w:hAnsi="Arial" w:cs="Arial"/>
          <w:sz w:val="22"/>
          <w:szCs w:val="22"/>
          <w:lang w:val="en-GB"/>
        </w:rPr>
        <w:t>Wrongful trading</w:t>
      </w:r>
      <w:r w:rsidR="00763348" w:rsidRPr="00F5137E">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5137E" w:rsidRDefault="00BA1CFD" w:rsidP="00B04033">
      <w:pPr>
        <w:pStyle w:val="ListParagraph"/>
        <w:numPr>
          <w:ilvl w:val="0"/>
          <w:numId w:val="7"/>
        </w:numPr>
        <w:ind w:left="426"/>
        <w:jc w:val="both"/>
        <w:rPr>
          <w:rFonts w:ascii="Arial" w:hAnsi="Arial" w:cs="Arial"/>
          <w:sz w:val="22"/>
          <w:szCs w:val="22"/>
          <w:highlight w:val="yellow"/>
          <w:lang w:val="en-GB"/>
        </w:rPr>
      </w:pPr>
      <w:r w:rsidRPr="00F5137E">
        <w:rPr>
          <w:rFonts w:ascii="Arial" w:hAnsi="Arial" w:cs="Arial"/>
          <w:sz w:val="22"/>
          <w:szCs w:val="22"/>
          <w:highlight w:val="yellow"/>
          <w:lang w:val="en-GB"/>
        </w:rPr>
        <w:t>Breach of fiduciary duty</w:t>
      </w:r>
      <w:r w:rsidR="00763348" w:rsidRPr="00F5137E">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5137E" w:rsidRDefault="00876F56" w:rsidP="00B04033">
      <w:pPr>
        <w:pStyle w:val="ListParagraph"/>
        <w:numPr>
          <w:ilvl w:val="0"/>
          <w:numId w:val="8"/>
        </w:numPr>
        <w:ind w:left="426"/>
        <w:jc w:val="both"/>
        <w:rPr>
          <w:rFonts w:ascii="Arial" w:hAnsi="Arial" w:cs="Arial"/>
          <w:sz w:val="22"/>
          <w:szCs w:val="22"/>
          <w:highlight w:val="yellow"/>
          <w:lang w:val="en-GB"/>
        </w:rPr>
      </w:pPr>
      <w:r w:rsidRPr="00F5137E">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5137E" w:rsidRDefault="00E833F4" w:rsidP="00B04033">
      <w:pPr>
        <w:pStyle w:val="ListParagraph"/>
        <w:numPr>
          <w:ilvl w:val="0"/>
          <w:numId w:val="9"/>
        </w:numPr>
        <w:ind w:left="426"/>
        <w:jc w:val="both"/>
        <w:rPr>
          <w:rFonts w:ascii="Arial" w:hAnsi="Arial" w:cs="Arial"/>
          <w:sz w:val="22"/>
          <w:szCs w:val="22"/>
          <w:highlight w:val="yellow"/>
          <w:lang w:val="en-GB"/>
        </w:rPr>
      </w:pPr>
      <w:r w:rsidRPr="00F5137E">
        <w:rPr>
          <w:rFonts w:ascii="Arial" w:hAnsi="Arial" w:cs="Arial"/>
          <w:sz w:val="22"/>
          <w:szCs w:val="22"/>
          <w:highlight w:val="yellow"/>
          <w:lang w:val="en-GB"/>
        </w:rPr>
        <w:t>A</w:t>
      </w:r>
      <w:r w:rsidR="000D10C6" w:rsidRPr="00F5137E">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A630B8" w:rsidRDefault="0020204E" w:rsidP="00B04033">
      <w:pPr>
        <w:pStyle w:val="ListParagraph"/>
        <w:numPr>
          <w:ilvl w:val="0"/>
          <w:numId w:val="10"/>
        </w:numPr>
        <w:ind w:left="426"/>
        <w:jc w:val="both"/>
        <w:rPr>
          <w:rFonts w:ascii="Arial" w:hAnsi="Arial" w:cs="Arial"/>
          <w:sz w:val="22"/>
          <w:szCs w:val="22"/>
          <w:highlight w:val="yellow"/>
          <w:lang w:val="en-GB"/>
        </w:rPr>
      </w:pPr>
      <w:r w:rsidRPr="00A630B8">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0FF43260" w:rsidR="00AE5B6F" w:rsidRDefault="00507126"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423 of the Insolvency Act 1986 (</w:t>
      </w:r>
      <w:r>
        <w:rPr>
          <w:rFonts w:ascii="Arial" w:hAnsi="Arial" w:cs="Arial"/>
          <w:b/>
          <w:bCs/>
          <w:color w:val="7B7B7B" w:themeColor="accent3" w:themeShade="BF"/>
          <w:sz w:val="22"/>
          <w:szCs w:val="22"/>
          <w:lang w:val="en-GB"/>
        </w:rPr>
        <w:t>“S423”</w:t>
      </w:r>
      <w:r>
        <w:rPr>
          <w:rFonts w:ascii="Arial" w:hAnsi="Arial" w:cs="Arial"/>
          <w:color w:val="7B7B7B" w:themeColor="accent3" w:themeShade="BF"/>
          <w:sz w:val="22"/>
          <w:szCs w:val="22"/>
          <w:lang w:val="en-GB"/>
        </w:rPr>
        <w:t>) relates to transactions defrauding creditors.  In the following three situations, the parties listed below each situation can bring an action under S423:</w:t>
      </w:r>
    </w:p>
    <w:p w14:paraId="17C9A655" w14:textId="77777777" w:rsidR="00507126" w:rsidRDefault="00507126" w:rsidP="006624AB">
      <w:pPr>
        <w:jc w:val="both"/>
        <w:rPr>
          <w:rFonts w:ascii="Arial" w:hAnsi="Arial" w:cs="Arial"/>
          <w:color w:val="7B7B7B" w:themeColor="accent3" w:themeShade="BF"/>
          <w:sz w:val="22"/>
          <w:szCs w:val="22"/>
          <w:lang w:val="en-GB"/>
        </w:rPr>
      </w:pPr>
    </w:p>
    <w:p w14:paraId="3BD089C0" w14:textId="6A9FDF51" w:rsidR="00507126" w:rsidRDefault="00507126" w:rsidP="0050712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Company being wound up or in administration:</w:t>
      </w:r>
    </w:p>
    <w:p w14:paraId="271C7D79" w14:textId="36ABD3F2" w:rsidR="00507126" w:rsidRDefault="00507126" w:rsidP="00507126">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receiver</w:t>
      </w:r>
    </w:p>
    <w:p w14:paraId="78EEC7D2" w14:textId="401EF1E8" w:rsidR="00507126" w:rsidRDefault="00507126" w:rsidP="00507126">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w:t>
      </w:r>
    </w:p>
    <w:p w14:paraId="7E331862" w14:textId="5814ADD6" w:rsidR="00507126" w:rsidRDefault="00507126" w:rsidP="00507126">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w:t>
      </w:r>
    </w:p>
    <w:p w14:paraId="2C5DD285" w14:textId="4D326DA3" w:rsidR="00507126" w:rsidRDefault="00507126" w:rsidP="00507126">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victim of the transaction defrauding creditors, such as a creditor itself.  It should be noted that the victim would require leave of the court to bring an action.</w:t>
      </w:r>
    </w:p>
    <w:p w14:paraId="22A4D784" w14:textId="77777777" w:rsidR="00507126" w:rsidRDefault="00507126" w:rsidP="00507126">
      <w:pPr>
        <w:pStyle w:val="ListParagraph"/>
        <w:ind w:left="1440"/>
        <w:jc w:val="both"/>
        <w:rPr>
          <w:rFonts w:ascii="Arial" w:hAnsi="Arial" w:cs="Arial"/>
          <w:color w:val="7B7B7B" w:themeColor="accent3" w:themeShade="BF"/>
          <w:sz w:val="22"/>
          <w:szCs w:val="22"/>
          <w:lang w:val="en-GB"/>
        </w:rPr>
      </w:pPr>
    </w:p>
    <w:p w14:paraId="105ECEC9" w14:textId="7B682141" w:rsidR="00507126" w:rsidRDefault="00507126" w:rsidP="0050712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Company bound by a Company Voluntary Arrangement (</w:t>
      </w:r>
      <w:r>
        <w:rPr>
          <w:rFonts w:ascii="Arial" w:hAnsi="Arial" w:cs="Arial"/>
          <w:b/>
          <w:bCs/>
          <w:color w:val="7B7B7B" w:themeColor="accent3" w:themeShade="BF"/>
          <w:sz w:val="22"/>
          <w:szCs w:val="22"/>
          <w:lang w:val="en-GB"/>
        </w:rPr>
        <w:t>“CVA”</w:t>
      </w:r>
      <w:r>
        <w:rPr>
          <w:rFonts w:ascii="Arial" w:hAnsi="Arial" w:cs="Arial"/>
          <w:color w:val="7B7B7B" w:themeColor="accent3" w:themeShade="BF"/>
          <w:sz w:val="22"/>
          <w:szCs w:val="22"/>
          <w:lang w:val="en-GB"/>
        </w:rPr>
        <w:t>):</w:t>
      </w:r>
    </w:p>
    <w:p w14:paraId="527D4E07" w14:textId="64D0B412" w:rsidR="00507126" w:rsidRDefault="00507126" w:rsidP="00507126">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supervisor of the CVA</w:t>
      </w:r>
    </w:p>
    <w:p w14:paraId="35990150" w14:textId="3080CB06" w:rsidR="00507126" w:rsidRDefault="00507126" w:rsidP="00507126">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victim of the transaction defrauding creditors, such as a creditor itself.  It should be noted that this is irrespective of whether the creditor is bound by the CVA.</w:t>
      </w:r>
    </w:p>
    <w:p w14:paraId="39CB9CA4" w14:textId="77777777" w:rsidR="00507126" w:rsidRDefault="00507126" w:rsidP="00507126">
      <w:pPr>
        <w:pStyle w:val="ListParagraph"/>
        <w:jc w:val="both"/>
        <w:rPr>
          <w:rFonts w:ascii="Arial" w:hAnsi="Arial" w:cs="Arial"/>
          <w:color w:val="7B7B7B" w:themeColor="accent3" w:themeShade="BF"/>
          <w:sz w:val="22"/>
          <w:szCs w:val="22"/>
          <w:lang w:val="en-GB"/>
        </w:rPr>
      </w:pPr>
    </w:p>
    <w:p w14:paraId="57F977E6" w14:textId="534521CF" w:rsidR="00507126" w:rsidRDefault="00507126" w:rsidP="0050712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case:</w:t>
      </w:r>
    </w:p>
    <w:p w14:paraId="1E2EE110" w14:textId="263D436D" w:rsidR="00507126" w:rsidRDefault="00507126" w:rsidP="00507126">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victim of the transaction defrauding creditors, such as a creditor itself.</w:t>
      </w:r>
    </w:p>
    <w:p w14:paraId="17506911" w14:textId="3EC5E925" w:rsidR="00507126" w:rsidRDefault="00507126" w:rsidP="00507126">
      <w:pPr>
        <w:jc w:val="both"/>
        <w:rPr>
          <w:rFonts w:ascii="Arial" w:hAnsi="Arial" w:cs="Arial"/>
          <w:color w:val="7B7B7B" w:themeColor="accent3" w:themeShade="BF"/>
          <w:sz w:val="22"/>
          <w:szCs w:val="22"/>
          <w:lang w:val="en-GB"/>
        </w:rPr>
      </w:pPr>
    </w:p>
    <w:p w14:paraId="498E08DB" w14:textId="4AB9E07A" w:rsidR="00507126" w:rsidRDefault="00507126" w:rsidP="005071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6 of the Company Directors Disqualification Act 1986 </w:t>
      </w:r>
      <w:r w:rsidR="008A4C2C">
        <w:rPr>
          <w:rFonts w:ascii="Arial" w:hAnsi="Arial" w:cs="Arial"/>
          <w:color w:val="7B7B7B" w:themeColor="accent3" w:themeShade="BF"/>
          <w:sz w:val="22"/>
          <w:szCs w:val="22"/>
          <w:lang w:val="en-GB"/>
        </w:rPr>
        <w:t>(</w:t>
      </w:r>
      <w:r w:rsidR="008A4C2C">
        <w:rPr>
          <w:rFonts w:ascii="Arial" w:hAnsi="Arial" w:cs="Arial"/>
          <w:b/>
          <w:bCs/>
          <w:color w:val="7B7B7B" w:themeColor="accent3" w:themeShade="BF"/>
          <w:sz w:val="22"/>
          <w:szCs w:val="22"/>
          <w:lang w:val="en-GB"/>
        </w:rPr>
        <w:t>“S6”</w:t>
      </w:r>
      <w:r w:rsidR="008A4C2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relates to </w:t>
      </w:r>
      <w:r w:rsidR="00B83868">
        <w:rPr>
          <w:rFonts w:ascii="Arial" w:hAnsi="Arial" w:cs="Arial"/>
          <w:color w:val="7B7B7B" w:themeColor="accent3" w:themeShade="BF"/>
          <w:sz w:val="22"/>
          <w:szCs w:val="22"/>
          <w:lang w:val="en-GB"/>
        </w:rPr>
        <w:t xml:space="preserve">the disqualification of directors of insolvent companies for the reason of being found unfit.  </w:t>
      </w:r>
      <w:r w:rsidR="008A4C2C">
        <w:rPr>
          <w:rFonts w:ascii="Arial" w:hAnsi="Arial" w:cs="Arial"/>
          <w:color w:val="7B7B7B" w:themeColor="accent3" w:themeShade="BF"/>
          <w:sz w:val="22"/>
          <w:szCs w:val="22"/>
          <w:lang w:val="en-GB"/>
        </w:rPr>
        <w:t>The following parties can bring an action under S6:</w:t>
      </w:r>
    </w:p>
    <w:p w14:paraId="57E587B4" w14:textId="77777777" w:rsidR="008A4C2C" w:rsidRDefault="008A4C2C" w:rsidP="00507126">
      <w:pPr>
        <w:jc w:val="both"/>
        <w:rPr>
          <w:rFonts w:ascii="Arial" w:hAnsi="Arial" w:cs="Arial"/>
          <w:color w:val="7B7B7B" w:themeColor="accent3" w:themeShade="BF"/>
          <w:sz w:val="22"/>
          <w:szCs w:val="22"/>
          <w:lang w:val="en-GB"/>
        </w:rPr>
      </w:pPr>
    </w:p>
    <w:p w14:paraId="7DF0B912" w14:textId="6A7FC4E3" w:rsidR="008A4C2C" w:rsidRDefault="008A4C2C" w:rsidP="008A4C2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w:t>
      </w:r>
    </w:p>
    <w:p w14:paraId="3CCDCA8B" w14:textId="7ED342AA" w:rsidR="008A4C2C" w:rsidRDefault="008A4C2C" w:rsidP="008A4C2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w:t>
      </w:r>
    </w:p>
    <w:p w14:paraId="68F3A59D" w14:textId="79582F6D" w:rsidR="00FF5098" w:rsidRDefault="008A4C2C" w:rsidP="002A37BB">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Secretary of State</w:t>
      </w:r>
    </w:p>
    <w:p w14:paraId="47205EC2" w14:textId="1D2E828D" w:rsidR="004D503C" w:rsidRDefault="004D503C" w:rsidP="004D503C">
      <w:pPr>
        <w:jc w:val="both"/>
        <w:rPr>
          <w:rFonts w:ascii="Arial" w:hAnsi="Arial" w:cs="Arial"/>
          <w:color w:val="7B7B7B" w:themeColor="accent3" w:themeShade="BF"/>
          <w:sz w:val="22"/>
          <w:szCs w:val="22"/>
          <w:lang w:val="en-GB"/>
        </w:rPr>
      </w:pPr>
    </w:p>
    <w:p w14:paraId="2B9CD0F6" w14:textId="006ADAC4" w:rsidR="004D503C" w:rsidRDefault="004D503C" w:rsidP="004D50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246ZB of the Insolvency Act 1986 (</w:t>
      </w:r>
      <w:r>
        <w:rPr>
          <w:rFonts w:ascii="Arial" w:hAnsi="Arial" w:cs="Arial"/>
          <w:b/>
          <w:bCs/>
          <w:color w:val="7B7B7B" w:themeColor="accent3" w:themeShade="BF"/>
          <w:sz w:val="22"/>
          <w:szCs w:val="22"/>
          <w:lang w:val="en-GB"/>
        </w:rPr>
        <w:t>“S246ZB”</w:t>
      </w:r>
      <w:r>
        <w:rPr>
          <w:rFonts w:ascii="Arial" w:hAnsi="Arial" w:cs="Arial"/>
          <w:color w:val="7B7B7B" w:themeColor="accent3" w:themeShade="BF"/>
          <w:sz w:val="22"/>
          <w:szCs w:val="22"/>
          <w:lang w:val="en-GB"/>
        </w:rPr>
        <w:t>) relates to the making of directors liable for wrongful trading.  The following parties can bring an action under S246ZB:</w:t>
      </w:r>
    </w:p>
    <w:p w14:paraId="1E5733E6" w14:textId="126EB5DB" w:rsidR="004D503C" w:rsidRDefault="004D503C" w:rsidP="004D503C">
      <w:pPr>
        <w:jc w:val="both"/>
        <w:rPr>
          <w:rFonts w:ascii="Arial" w:hAnsi="Arial" w:cs="Arial"/>
          <w:color w:val="7B7B7B" w:themeColor="accent3" w:themeShade="BF"/>
          <w:sz w:val="22"/>
          <w:szCs w:val="22"/>
          <w:lang w:val="en-GB"/>
        </w:rPr>
      </w:pPr>
    </w:p>
    <w:p w14:paraId="3C43537C" w14:textId="7862EC47" w:rsidR="004D503C" w:rsidRDefault="004D503C" w:rsidP="004D503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w:t>
      </w:r>
    </w:p>
    <w:p w14:paraId="060F574F" w14:textId="56FA54D9" w:rsidR="004D503C" w:rsidRPr="004D503C" w:rsidRDefault="004D503C" w:rsidP="004D503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w:t>
      </w:r>
    </w:p>
    <w:p w14:paraId="38E3CB2D" w14:textId="77777777" w:rsidR="004D503C" w:rsidRPr="002A37BB" w:rsidRDefault="004D503C"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2B1B1BBE" w:rsidR="00FF5098" w:rsidRDefault="004D503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five qualifying decision procedures </w:t>
      </w:r>
      <w:r w:rsidR="00D0395B">
        <w:rPr>
          <w:rFonts w:ascii="Arial" w:hAnsi="Arial" w:cs="Arial"/>
          <w:color w:val="7B7B7B" w:themeColor="accent3" w:themeShade="BF"/>
          <w:sz w:val="22"/>
          <w:szCs w:val="22"/>
          <w:lang w:val="en-GB"/>
        </w:rPr>
        <w:t>listed in the Insolvency Rules 2016, rule 15.3, are as follows:</w:t>
      </w:r>
    </w:p>
    <w:p w14:paraId="4A041679" w14:textId="77777777" w:rsidR="0036725A" w:rsidRDefault="0036725A" w:rsidP="00FF5098">
      <w:pPr>
        <w:jc w:val="both"/>
        <w:rPr>
          <w:rFonts w:ascii="Arial" w:hAnsi="Arial" w:cs="Arial"/>
          <w:color w:val="7B7B7B" w:themeColor="accent3" w:themeShade="BF"/>
          <w:sz w:val="22"/>
          <w:szCs w:val="22"/>
          <w:lang w:val="en-GB"/>
        </w:rPr>
      </w:pPr>
    </w:p>
    <w:p w14:paraId="12136D7F" w14:textId="608DC697" w:rsidR="00D0395B" w:rsidRDefault="00D0395B" w:rsidP="00D0395B">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3A086746" w14:textId="5662084C" w:rsidR="00D0395B" w:rsidRDefault="00D0395B" w:rsidP="00D0395B">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09E53BEE" w14:textId="71EF307A" w:rsidR="00D0395B" w:rsidRDefault="00D0395B" w:rsidP="00D0395B">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0023A4BF" w14:textId="2782B4AD" w:rsidR="00D0395B" w:rsidRDefault="00D0395B" w:rsidP="00D0395B">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w:t>
      </w:r>
    </w:p>
    <w:p w14:paraId="5C5A193A" w14:textId="747FCE5E" w:rsidR="00D0395B" w:rsidRDefault="00D0395B" w:rsidP="00D0395B">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Any other decision procedure that allows equal access and participation to creditors when making decisions</w:t>
      </w:r>
    </w:p>
    <w:p w14:paraId="661CF02C" w14:textId="3241F4E5" w:rsidR="00D0395B" w:rsidRDefault="00D0395B" w:rsidP="00D0395B">
      <w:pPr>
        <w:jc w:val="both"/>
        <w:rPr>
          <w:rFonts w:ascii="Arial" w:hAnsi="Arial" w:cs="Arial"/>
          <w:color w:val="7B7B7B" w:themeColor="accent3" w:themeShade="BF"/>
          <w:sz w:val="22"/>
          <w:szCs w:val="22"/>
          <w:lang w:val="en-GB"/>
        </w:rPr>
      </w:pPr>
    </w:p>
    <w:p w14:paraId="275CB329" w14:textId="449B79C6" w:rsidR="00D0395B" w:rsidRPr="00D0395B" w:rsidRDefault="00D0395B" w:rsidP="00D0395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be noted that creditors must receive at least 14 days’ notice of any qualifying decision procedure.</w:t>
      </w: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3491B716" w:rsidR="00FF5098" w:rsidRDefault="00AB7CB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233 of the Insolvency Act 1986 (</w:t>
      </w:r>
      <w:r>
        <w:rPr>
          <w:rFonts w:ascii="Arial" w:hAnsi="Arial" w:cs="Arial"/>
          <w:b/>
          <w:bCs/>
          <w:color w:val="7B7B7B" w:themeColor="accent3" w:themeShade="BF"/>
          <w:sz w:val="22"/>
          <w:szCs w:val="22"/>
          <w:lang w:val="en-GB"/>
        </w:rPr>
        <w:t>“the Act”</w:t>
      </w:r>
      <w:r>
        <w:rPr>
          <w:rFonts w:ascii="Arial" w:hAnsi="Arial" w:cs="Arial"/>
          <w:color w:val="7B7B7B" w:themeColor="accent3" w:themeShade="BF"/>
          <w:sz w:val="22"/>
          <w:szCs w:val="22"/>
          <w:lang w:val="en-GB"/>
        </w:rPr>
        <w:t>) (</w:t>
      </w:r>
      <w:r>
        <w:rPr>
          <w:rFonts w:ascii="Arial" w:hAnsi="Arial" w:cs="Arial"/>
          <w:b/>
          <w:bCs/>
          <w:color w:val="7B7B7B" w:themeColor="accent3" w:themeShade="BF"/>
          <w:sz w:val="22"/>
          <w:szCs w:val="22"/>
          <w:lang w:val="en-GB"/>
        </w:rPr>
        <w:t>“S233”</w:t>
      </w:r>
      <w:r>
        <w:rPr>
          <w:rFonts w:ascii="Arial" w:hAnsi="Arial" w:cs="Arial"/>
          <w:color w:val="7B7B7B" w:themeColor="accent3" w:themeShade="BF"/>
          <w:sz w:val="22"/>
          <w:szCs w:val="22"/>
          <w:lang w:val="en-GB"/>
        </w:rPr>
        <w:t xml:space="preserve">) applies to a supply of </w:t>
      </w:r>
      <w:r w:rsidR="00140E4D">
        <w:rPr>
          <w:rFonts w:ascii="Arial" w:hAnsi="Arial" w:cs="Arial"/>
          <w:color w:val="7B7B7B" w:themeColor="accent3" w:themeShade="BF"/>
          <w:sz w:val="22"/>
          <w:szCs w:val="22"/>
          <w:lang w:val="en-GB"/>
        </w:rPr>
        <w:t xml:space="preserve">essential </w:t>
      </w:r>
      <w:r>
        <w:rPr>
          <w:rFonts w:ascii="Arial" w:hAnsi="Arial" w:cs="Arial"/>
          <w:color w:val="7B7B7B" w:themeColor="accent3" w:themeShade="BF"/>
          <w:sz w:val="22"/>
          <w:szCs w:val="22"/>
          <w:lang w:val="en-GB"/>
        </w:rPr>
        <w:t xml:space="preserve">goods and services during an administration.  </w:t>
      </w:r>
      <w:r w:rsidR="00140E4D">
        <w:rPr>
          <w:rFonts w:ascii="Arial" w:hAnsi="Arial" w:cs="Arial"/>
          <w:color w:val="7B7B7B" w:themeColor="accent3" w:themeShade="BF"/>
          <w:sz w:val="22"/>
          <w:szCs w:val="22"/>
          <w:lang w:val="en-GB"/>
        </w:rPr>
        <w:t xml:space="preserve">Essential goods and services include gas, electricity, water, and communication services.  </w:t>
      </w:r>
      <w:r>
        <w:rPr>
          <w:rFonts w:ascii="Arial" w:hAnsi="Arial" w:cs="Arial"/>
          <w:color w:val="7B7B7B" w:themeColor="accent3" w:themeShade="BF"/>
          <w:sz w:val="22"/>
          <w:szCs w:val="22"/>
          <w:lang w:val="en-GB"/>
        </w:rPr>
        <w:t>S233 prevents the supplier</w:t>
      </w:r>
      <w:r w:rsidR="00140E4D">
        <w:rPr>
          <w:rFonts w:ascii="Arial" w:hAnsi="Arial" w:cs="Arial"/>
          <w:color w:val="7B7B7B" w:themeColor="accent3" w:themeShade="BF"/>
          <w:sz w:val="22"/>
          <w:szCs w:val="22"/>
          <w:lang w:val="en-GB"/>
        </w:rPr>
        <w:t>s of such essential goods and services</w:t>
      </w:r>
      <w:r>
        <w:rPr>
          <w:rFonts w:ascii="Arial" w:hAnsi="Arial" w:cs="Arial"/>
          <w:color w:val="7B7B7B" w:themeColor="accent3" w:themeShade="BF"/>
          <w:sz w:val="22"/>
          <w:szCs w:val="22"/>
          <w:lang w:val="en-GB"/>
        </w:rPr>
        <w:t xml:space="preserve"> from requiring payment of outstanding bills for the continuation of </w:t>
      </w:r>
      <w:r w:rsidR="00140E4D">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supply.  However, S233 does permit the </w:t>
      </w:r>
      <w:r w:rsidR="00E17B26">
        <w:rPr>
          <w:rFonts w:ascii="Arial" w:hAnsi="Arial" w:cs="Arial"/>
          <w:color w:val="7B7B7B" w:themeColor="accent3" w:themeShade="BF"/>
          <w:sz w:val="22"/>
          <w:szCs w:val="22"/>
          <w:lang w:val="en-GB"/>
        </w:rPr>
        <w:t xml:space="preserve">essential </w:t>
      </w:r>
      <w:r>
        <w:rPr>
          <w:rFonts w:ascii="Arial" w:hAnsi="Arial" w:cs="Arial"/>
          <w:color w:val="7B7B7B" w:themeColor="accent3" w:themeShade="BF"/>
          <w:sz w:val="22"/>
          <w:szCs w:val="22"/>
          <w:lang w:val="en-GB"/>
        </w:rPr>
        <w:t xml:space="preserve">supplier to require the administrator </w:t>
      </w:r>
      <w:r w:rsidR="00140E4D">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personally guarantee payment of the requested goods or services.</w:t>
      </w:r>
    </w:p>
    <w:p w14:paraId="1D1DB0FA" w14:textId="171B216B" w:rsidR="00AB7CB3" w:rsidRDefault="00AB7CB3" w:rsidP="00FF5098">
      <w:pPr>
        <w:jc w:val="both"/>
        <w:rPr>
          <w:rFonts w:ascii="Arial" w:hAnsi="Arial" w:cs="Arial"/>
          <w:color w:val="7B7B7B" w:themeColor="accent3" w:themeShade="BF"/>
          <w:sz w:val="22"/>
          <w:szCs w:val="22"/>
          <w:lang w:val="en-GB"/>
        </w:rPr>
      </w:pPr>
    </w:p>
    <w:p w14:paraId="0C7C7491" w14:textId="31CCCC50" w:rsidR="002C118E" w:rsidRDefault="00140E4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c</w:t>
      </w:r>
      <w:r w:rsidR="002C118E">
        <w:rPr>
          <w:rFonts w:ascii="Arial" w:hAnsi="Arial" w:cs="Arial"/>
          <w:color w:val="7B7B7B" w:themeColor="accent3" w:themeShade="BF"/>
          <w:sz w:val="22"/>
          <w:szCs w:val="22"/>
          <w:lang w:val="en-GB"/>
        </w:rPr>
        <w:t xml:space="preserve">ontracts </w:t>
      </w:r>
      <w:r>
        <w:rPr>
          <w:rFonts w:ascii="Arial" w:hAnsi="Arial" w:cs="Arial"/>
          <w:color w:val="7B7B7B" w:themeColor="accent3" w:themeShade="BF"/>
          <w:sz w:val="22"/>
          <w:szCs w:val="22"/>
          <w:lang w:val="en-GB"/>
        </w:rPr>
        <w:t xml:space="preserve">of such essential supplier </w:t>
      </w:r>
      <w:r w:rsidR="002C118E">
        <w:rPr>
          <w:rFonts w:ascii="Arial" w:hAnsi="Arial" w:cs="Arial"/>
          <w:color w:val="7B7B7B" w:themeColor="accent3" w:themeShade="BF"/>
          <w:sz w:val="22"/>
          <w:szCs w:val="22"/>
          <w:lang w:val="en-GB"/>
        </w:rPr>
        <w:t xml:space="preserve">may include terms that relate to the insolvency of a company which, upon the company entering into an insolvency procedure, would enable </w:t>
      </w:r>
      <w:r>
        <w:rPr>
          <w:rFonts w:ascii="Arial" w:hAnsi="Arial" w:cs="Arial"/>
          <w:color w:val="7B7B7B" w:themeColor="accent3" w:themeShade="BF"/>
          <w:sz w:val="22"/>
          <w:szCs w:val="22"/>
          <w:lang w:val="en-GB"/>
        </w:rPr>
        <w:t xml:space="preserve">these </w:t>
      </w:r>
      <w:r w:rsidR="002C118E">
        <w:rPr>
          <w:rFonts w:ascii="Arial" w:hAnsi="Arial" w:cs="Arial"/>
          <w:color w:val="7B7B7B" w:themeColor="accent3" w:themeShade="BF"/>
          <w:sz w:val="22"/>
          <w:szCs w:val="22"/>
          <w:lang w:val="en-GB"/>
        </w:rPr>
        <w:t>supplier</w:t>
      </w:r>
      <w:r>
        <w:rPr>
          <w:rFonts w:ascii="Arial" w:hAnsi="Arial" w:cs="Arial"/>
          <w:color w:val="7B7B7B" w:themeColor="accent3" w:themeShade="BF"/>
          <w:sz w:val="22"/>
          <w:szCs w:val="22"/>
          <w:lang w:val="en-GB"/>
        </w:rPr>
        <w:t>s</w:t>
      </w:r>
      <w:r w:rsidR="002C118E">
        <w:rPr>
          <w:rFonts w:ascii="Arial" w:hAnsi="Arial" w:cs="Arial"/>
          <w:color w:val="7B7B7B" w:themeColor="accent3" w:themeShade="BF"/>
          <w:sz w:val="22"/>
          <w:szCs w:val="22"/>
          <w:lang w:val="en-GB"/>
        </w:rPr>
        <w:t xml:space="preserve"> to terminate the contract, alter the supply terms, or compel higher payments for the continuation of the contract.  </w:t>
      </w:r>
      <w:r w:rsidR="00AB7CB3">
        <w:rPr>
          <w:rFonts w:ascii="Arial" w:hAnsi="Arial" w:cs="Arial"/>
          <w:color w:val="7B7B7B" w:themeColor="accent3" w:themeShade="BF"/>
          <w:sz w:val="22"/>
          <w:szCs w:val="22"/>
          <w:lang w:val="en-GB"/>
        </w:rPr>
        <w:t>Section 233A of the Act (</w:t>
      </w:r>
      <w:r w:rsidR="00AB7CB3">
        <w:rPr>
          <w:rFonts w:ascii="Arial" w:hAnsi="Arial" w:cs="Arial"/>
          <w:b/>
          <w:bCs/>
          <w:color w:val="7B7B7B" w:themeColor="accent3" w:themeShade="BF"/>
          <w:sz w:val="22"/>
          <w:szCs w:val="22"/>
          <w:lang w:val="en-GB"/>
        </w:rPr>
        <w:t>“S</w:t>
      </w:r>
      <w:r w:rsidR="00A226BE">
        <w:rPr>
          <w:rFonts w:ascii="Arial" w:hAnsi="Arial" w:cs="Arial"/>
          <w:b/>
          <w:bCs/>
          <w:color w:val="7B7B7B" w:themeColor="accent3" w:themeShade="BF"/>
          <w:sz w:val="22"/>
          <w:szCs w:val="22"/>
          <w:lang w:val="en-GB"/>
        </w:rPr>
        <w:t>2</w:t>
      </w:r>
      <w:r w:rsidR="00AB7CB3">
        <w:rPr>
          <w:rFonts w:ascii="Arial" w:hAnsi="Arial" w:cs="Arial"/>
          <w:b/>
          <w:bCs/>
          <w:color w:val="7B7B7B" w:themeColor="accent3" w:themeShade="BF"/>
          <w:sz w:val="22"/>
          <w:szCs w:val="22"/>
          <w:lang w:val="en-GB"/>
        </w:rPr>
        <w:t>33A”</w:t>
      </w:r>
      <w:r w:rsidR="00AB7CB3">
        <w:rPr>
          <w:rFonts w:ascii="Arial" w:hAnsi="Arial" w:cs="Arial"/>
          <w:color w:val="7B7B7B" w:themeColor="accent3" w:themeShade="BF"/>
          <w:sz w:val="22"/>
          <w:szCs w:val="22"/>
          <w:lang w:val="en-GB"/>
        </w:rPr>
        <w:t xml:space="preserve">) </w:t>
      </w:r>
      <w:r w:rsidR="002C118E">
        <w:rPr>
          <w:rFonts w:ascii="Arial" w:hAnsi="Arial" w:cs="Arial"/>
          <w:color w:val="7B7B7B" w:themeColor="accent3" w:themeShade="BF"/>
          <w:sz w:val="22"/>
          <w:szCs w:val="22"/>
          <w:lang w:val="en-GB"/>
        </w:rPr>
        <w:t>prevents a</w:t>
      </w:r>
      <w:r>
        <w:rPr>
          <w:rFonts w:ascii="Arial" w:hAnsi="Arial" w:cs="Arial"/>
          <w:color w:val="7B7B7B" w:themeColor="accent3" w:themeShade="BF"/>
          <w:sz w:val="22"/>
          <w:szCs w:val="22"/>
          <w:lang w:val="en-GB"/>
        </w:rPr>
        <w:t>n essential</w:t>
      </w:r>
      <w:r w:rsidR="002C118E">
        <w:rPr>
          <w:rFonts w:ascii="Arial" w:hAnsi="Arial" w:cs="Arial"/>
          <w:color w:val="7B7B7B" w:themeColor="accent3" w:themeShade="BF"/>
          <w:sz w:val="22"/>
          <w:szCs w:val="22"/>
          <w:lang w:val="en-GB"/>
        </w:rPr>
        <w:t xml:space="preserve"> supplier from enforcing such terms when a company enters into administration.  Therefore, an administrator, in reliance to S</w:t>
      </w:r>
      <w:r w:rsidR="00A226BE">
        <w:rPr>
          <w:rFonts w:ascii="Arial" w:hAnsi="Arial" w:cs="Arial"/>
          <w:color w:val="7B7B7B" w:themeColor="accent3" w:themeShade="BF"/>
          <w:sz w:val="22"/>
          <w:szCs w:val="22"/>
          <w:lang w:val="en-GB"/>
        </w:rPr>
        <w:t>2</w:t>
      </w:r>
      <w:r w:rsidR="002C118E">
        <w:rPr>
          <w:rFonts w:ascii="Arial" w:hAnsi="Arial" w:cs="Arial"/>
          <w:color w:val="7B7B7B" w:themeColor="accent3" w:themeShade="BF"/>
          <w:sz w:val="22"/>
          <w:szCs w:val="22"/>
          <w:lang w:val="en-GB"/>
        </w:rPr>
        <w:t xml:space="preserve">33A, would not have to worry about </w:t>
      </w:r>
      <w:r>
        <w:rPr>
          <w:rFonts w:ascii="Arial" w:hAnsi="Arial" w:cs="Arial"/>
          <w:color w:val="7B7B7B" w:themeColor="accent3" w:themeShade="BF"/>
          <w:sz w:val="22"/>
          <w:szCs w:val="22"/>
          <w:lang w:val="en-GB"/>
        </w:rPr>
        <w:t xml:space="preserve">essential </w:t>
      </w:r>
      <w:r w:rsidR="002C118E">
        <w:rPr>
          <w:rFonts w:ascii="Arial" w:hAnsi="Arial" w:cs="Arial"/>
          <w:color w:val="7B7B7B" w:themeColor="accent3" w:themeShade="BF"/>
          <w:sz w:val="22"/>
          <w:szCs w:val="22"/>
          <w:lang w:val="en-GB"/>
        </w:rPr>
        <w:t>suppliers relying on such contract terms to prevent the continuation of supply of goods and services.</w:t>
      </w:r>
    </w:p>
    <w:p w14:paraId="4B8DC815" w14:textId="1941B64E" w:rsidR="002C118E" w:rsidRDefault="002C118E" w:rsidP="00FF5098">
      <w:pPr>
        <w:jc w:val="both"/>
        <w:rPr>
          <w:rFonts w:ascii="Arial" w:hAnsi="Arial" w:cs="Arial"/>
          <w:color w:val="7B7B7B" w:themeColor="accent3" w:themeShade="BF"/>
          <w:sz w:val="22"/>
          <w:szCs w:val="22"/>
          <w:lang w:val="en-GB"/>
        </w:rPr>
      </w:pPr>
    </w:p>
    <w:p w14:paraId="3BD20392" w14:textId="330C7B3B" w:rsidR="001D5FFC" w:rsidRDefault="00A226B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S233A </w:t>
      </w:r>
      <w:r w:rsidR="00E17B26">
        <w:rPr>
          <w:rFonts w:ascii="Arial" w:hAnsi="Arial" w:cs="Arial"/>
          <w:color w:val="7B7B7B" w:themeColor="accent3" w:themeShade="BF"/>
          <w:sz w:val="22"/>
          <w:szCs w:val="22"/>
          <w:lang w:val="en-GB"/>
        </w:rPr>
        <w:t xml:space="preserve">therefore </w:t>
      </w:r>
      <w:r>
        <w:rPr>
          <w:rFonts w:ascii="Arial" w:hAnsi="Arial" w:cs="Arial"/>
          <w:color w:val="7B7B7B" w:themeColor="accent3" w:themeShade="BF"/>
          <w:sz w:val="22"/>
          <w:szCs w:val="22"/>
          <w:lang w:val="en-GB"/>
        </w:rPr>
        <w:t xml:space="preserve">added </w:t>
      </w:r>
      <w:r w:rsidR="001D5FFC">
        <w:rPr>
          <w:rFonts w:ascii="Arial" w:hAnsi="Arial" w:cs="Arial"/>
          <w:color w:val="7B7B7B" w:themeColor="accent3" w:themeShade="BF"/>
          <w:sz w:val="22"/>
          <w:szCs w:val="22"/>
          <w:lang w:val="en-GB"/>
        </w:rPr>
        <w:t xml:space="preserve">additional protection to administrators as it relates to essential suppliers on top of those provided for by S233.  However, there were still some missing protections including that both sections only relate to essential suppliers and S233A permits the essential supplier to terminate the contract if payment of the continued supply was not made within 28 days of </w:t>
      </w:r>
      <w:r w:rsidR="006E2AC2">
        <w:rPr>
          <w:rFonts w:ascii="Arial" w:hAnsi="Arial" w:cs="Arial"/>
          <w:color w:val="7B7B7B" w:themeColor="accent3" w:themeShade="BF"/>
          <w:sz w:val="22"/>
          <w:szCs w:val="22"/>
          <w:lang w:val="en-GB"/>
        </w:rPr>
        <w:t>falling due</w:t>
      </w:r>
      <w:r w:rsidR="001D5FFC">
        <w:rPr>
          <w:rFonts w:ascii="Arial" w:hAnsi="Arial" w:cs="Arial"/>
          <w:color w:val="7B7B7B" w:themeColor="accent3" w:themeShade="BF"/>
          <w:sz w:val="22"/>
          <w:szCs w:val="22"/>
          <w:lang w:val="en-GB"/>
        </w:rPr>
        <w:t>.</w:t>
      </w:r>
      <w:r w:rsidR="001D5FFC">
        <w:rPr>
          <w:rStyle w:val="FootnoteReference"/>
          <w:rFonts w:ascii="Arial" w:hAnsi="Arial" w:cs="Arial"/>
          <w:color w:val="7B7B7B" w:themeColor="accent3" w:themeShade="BF"/>
          <w:sz w:val="22"/>
          <w:szCs w:val="22"/>
          <w:lang w:val="en-GB"/>
        </w:rPr>
        <w:footnoteReference w:id="1"/>
      </w:r>
      <w:r w:rsidR="001D5FFC">
        <w:rPr>
          <w:rFonts w:ascii="Arial" w:hAnsi="Arial" w:cs="Arial"/>
          <w:color w:val="7B7B7B" w:themeColor="accent3" w:themeShade="BF"/>
          <w:sz w:val="22"/>
          <w:szCs w:val="22"/>
          <w:lang w:val="en-GB"/>
        </w:rPr>
        <w:t xml:space="preserve">  </w:t>
      </w:r>
    </w:p>
    <w:p w14:paraId="5C83F8F0" w14:textId="77777777" w:rsidR="001D5FFC" w:rsidRDefault="001D5FFC" w:rsidP="00FF5098">
      <w:pPr>
        <w:jc w:val="both"/>
        <w:rPr>
          <w:rFonts w:ascii="Arial" w:hAnsi="Arial" w:cs="Arial"/>
          <w:color w:val="7B7B7B" w:themeColor="accent3" w:themeShade="BF"/>
          <w:sz w:val="22"/>
          <w:szCs w:val="22"/>
          <w:lang w:val="en-GB"/>
        </w:rPr>
      </w:pPr>
    </w:p>
    <w:p w14:paraId="06DDBB00" w14:textId="54CBB725" w:rsidR="00AB7CB3" w:rsidRDefault="002C118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233B of the Act (</w:t>
      </w:r>
      <w:r>
        <w:rPr>
          <w:rFonts w:ascii="Arial" w:hAnsi="Arial" w:cs="Arial"/>
          <w:b/>
          <w:bCs/>
          <w:color w:val="7B7B7B" w:themeColor="accent3" w:themeShade="BF"/>
          <w:sz w:val="22"/>
          <w:szCs w:val="22"/>
          <w:lang w:val="en-GB"/>
        </w:rPr>
        <w:t>“S</w:t>
      </w:r>
      <w:r w:rsidR="001D5FFC">
        <w:rPr>
          <w:rFonts w:ascii="Arial" w:hAnsi="Arial" w:cs="Arial"/>
          <w:b/>
          <w:bCs/>
          <w:color w:val="7B7B7B" w:themeColor="accent3" w:themeShade="BF"/>
          <w:sz w:val="22"/>
          <w:szCs w:val="22"/>
          <w:lang w:val="en-GB"/>
        </w:rPr>
        <w:t>2</w:t>
      </w:r>
      <w:r>
        <w:rPr>
          <w:rFonts w:ascii="Arial" w:hAnsi="Arial" w:cs="Arial"/>
          <w:b/>
          <w:bCs/>
          <w:color w:val="7B7B7B" w:themeColor="accent3" w:themeShade="BF"/>
          <w:sz w:val="22"/>
          <w:szCs w:val="22"/>
          <w:lang w:val="en-GB"/>
        </w:rPr>
        <w:t>33B”</w:t>
      </w:r>
      <w:r>
        <w:rPr>
          <w:rFonts w:ascii="Arial" w:hAnsi="Arial" w:cs="Arial"/>
          <w:color w:val="7B7B7B" w:themeColor="accent3" w:themeShade="BF"/>
          <w:sz w:val="22"/>
          <w:szCs w:val="22"/>
          <w:lang w:val="en-GB"/>
        </w:rPr>
        <w:t>)</w:t>
      </w:r>
      <w:r w:rsidR="001D5FFC">
        <w:rPr>
          <w:rFonts w:ascii="Arial" w:hAnsi="Arial" w:cs="Arial"/>
          <w:color w:val="7B7B7B" w:themeColor="accent3" w:themeShade="BF"/>
          <w:sz w:val="22"/>
          <w:szCs w:val="22"/>
          <w:lang w:val="en-GB"/>
        </w:rPr>
        <w:t xml:space="preserve"> fills the gaps in S233 and S233A by extending the protections provided under S233 and S233A </w:t>
      </w:r>
      <w:r w:rsidR="00A27D25">
        <w:rPr>
          <w:rFonts w:ascii="Arial" w:hAnsi="Arial" w:cs="Arial"/>
          <w:color w:val="7B7B7B" w:themeColor="accent3" w:themeShade="BF"/>
          <w:sz w:val="22"/>
          <w:szCs w:val="22"/>
          <w:lang w:val="en-GB"/>
        </w:rPr>
        <w:t>as it relates to administrators</w:t>
      </w:r>
      <w:r w:rsidR="00E17B26">
        <w:rPr>
          <w:rFonts w:ascii="Arial" w:hAnsi="Arial" w:cs="Arial"/>
          <w:color w:val="7B7B7B" w:themeColor="accent3" w:themeShade="BF"/>
          <w:sz w:val="22"/>
          <w:szCs w:val="22"/>
          <w:lang w:val="en-GB"/>
        </w:rPr>
        <w:t>, and other office-holders,</w:t>
      </w:r>
      <w:r w:rsidR="00A27D25">
        <w:rPr>
          <w:rFonts w:ascii="Arial" w:hAnsi="Arial" w:cs="Arial"/>
          <w:color w:val="7B7B7B" w:themeColor="accent3" w:themeShade="BF"/>
          <w:sz w:val="22"/>
          <w:szCs w:val="22"/>
          <w:lang w:val="en-GB"/>
        </w:rPr>
        <w:t xml:space="preserve"> </w:t>
      </w:r>
      <w:r w:rsidR="001D5FFC">
        <w:rPr>
          <w:rFonts w:ascii="Arial" w:hAnsi="Arial" w:cs="Arial"/>
          <w:color w:val="7B7B7B" w:themeColor="accent3" w:themeShade="BF"/>
          <w:sz w:val="22"/>
          <w:szCs w:val="22"/>
          <w:lang w:val="en-GB"/>
        </w:rPr>
        <w:t>to all suppliers (with limited exceptions for certain financial services)</w:t>
      </w:r>
      <w:r w:rsidR="00A27D25">
        <w:rPr>
          <w:rFonts w:ascii="Arial" w:hAnsi="Arial" w:cs="Arial"/>
          <w:color w:val="7B7B7B" w:themeColor="accent3" w:themeShade="BF"/>
          <w:sz w:val="22"/>
          <w:szCs w:val="22"/>
          <w:lang w:val="en-GB"/>
        </w:rPr>
        <w:t>, not just essential suppliers.  A unique provision of S233B is that a supplier will not be able to enforce a contract term based on a pre-insolvency event after the company has entered into</w:t>
      </w:r>
      <w:r w:rsidR="00E17B26">
        <w:rPr>
          <w:rFonts w:ascii="Arial" w:hAnsi="Arial" w:cs="Arial"/>
          <w:color w:val="7B7B7B" w:themeColor="accent3" w:themeShade="BF"/>
          <w:sz w:val="22"/>
          <w:szCs w:val="22"/>
          <w:lang w:val="en-GB"/>
        </w:rPr>
        <w:t xml:space="preserve"> administration</w:t>
      </w:r>
      <w:r w:rsidR="00A27D25">
        <w:rPr>
          <w:rFonts w:ascii="Arial" w:hAnsi="Arial" w:cs="Arial"/>
          <w:color w:val="7B7B7B" w:themeColor="accent3" w:themeShade="BF"/>
          <w:sz w:val="22"/>
          <w:szCs w:val="22"/>
          <w:lang w:val="en-GB"/>
        </w:rPr>
        <w:t>.</w:t>
      </w:r>
      <w:r w:rsidR="00A27D25">
        <w:rPr>
          <w:rStyle w:val="FootnoteReference"/>
          <w:rFonts w:ascii="Arial" w:hAnsi="Arial" w:cs="Arial"/>
          <w:color w:val="7B7B7B" w:themeColor="accent3" w:themeShade="BF"/>
          <w:sz w:val="22"/>
          <w:szCs w:val="22"/>
          <w:lang w:val="en-GB"/>
        </w:rPr>
        <w:footnoteReference w:id="2"/>
      </w:r>
      <w:r w:rsidR="00A27D25">
        <w:rPr>
          <w:rFonts w:ascii="Arial" w:hAnsi="Arial" w:cs="Arial"/>
          <w:color w:val="7B7B7B" w:themeColor="accent3" w:themeShade="BF"/>
          <w:sz w:val="22"/>
          <w:szCs w:val="22"/>
          <w:lang w:val="en-GB"/>
        </w:rPr>
        <w:t xml:space="preserve">  </w:t>
      </w:r>
    </w:p>
    <w:p w14:paraId="7313CCAC" w14:textId="26E2995C" w:rsidR="00A27D25" w:rsidRDefault="00A27D25" w:rsidP="00FF5098">
      <w:pPr>
        <w:jc w:val="both"/>
        <w:rPr>
          <w:rFonts w:ascii="Arial" w:hAnsi="Arial" w:cs="Arial"/>
          <w:color w:val="7B7B7B" w:themeColor="accent3" w:themeShade="BF"/>
          <w:sz w:val="22"/>
          <w:szCs w:val="22"/>
          <w:lang w:val="en-GB"/>
        </w:rPr>
      </w:pPr>
    </w:p>
    <w:p w14:paraId="7C73ED69" w14:textId="529EBC42" w:rsidR="00A27D25" w:rsidRDefault="00A27D25" w:rsidP="006E2AC2">
      <w:pPr>
        <w:jc w:val="both"/>
        <w:rPr>
          <w:rFonts w:ascii="Arial" w:hAnsi="Arial" w:cs="Arial"/>
          <w:sz w:val="22"/>
          <w:szCs w:val="22"/>
        </w:rPr>
      </w:pPr>
      <w:r>
        <w:rPr>
          <w:rFonts w:ascii="Arial" w:hAnsi="Arial" w:cs="Arial"/>
          <w:color w:val="7B7B7B" w:themeColor="accent3" w:themeShade="BF"/>
          <w:sz w:val="22"/>
          <w:szCs w:val="22"/>
          <w:lang w:val="en-GB"/>
        </w:rPr>
        <w:t>It should be noted</w:t>
      </w:r>
      <w:r w:rsidR="006E2AC2">
        <w:rPr>
          <w:rFonts w:ascii="Arial" w:hAnsi="Arial" w:cs="Arial"/>
          <w:color w:val="7B7B7B" w:themeColor="accent3" w:themeShade="BF"/>
          <w:sz w:val="22"/>
          <w:szCs w:val="22"/>
          <w:lang w:val="en-GB"/>
        </w:rPr>
        <w:t xml:space="preserve"> that under S233B, an administrator will not be required to provide a personal guarantee for payment of outstanding bills as permitted in S233 and a supplier cannot terminate the supply of goods or services if such supplies are not paid within 28 days of falling due as permitted in S233A.</w:t>
      </w:r>
      <w:r w:rsidR="006E2AC2">
        <w:rPr>
          <w:rStyle w:val="FootnoteReference"/>
          <w:rFonts w:ascii="Arial" w:hAnsi="Arial" w:cs="Arial"/>
          <w:color w:val="7B7B7B" w:themeColor="accent3" w:themeShade="BF"/>
          <w:sz w:val="22"/>
          <w:szCs w:val="22"/>
          <w:lang w:val="en-GB"/>
        </w:rPr>
        <w:footnoteReference w:id="3"/>
      </w:r>
    </w:p>
    <w:p w14:paraId="5503D099" w14:textId="77777777" w:rsidR="00A27D25" w:rsidRPr="00FF5098" w:rsidRDefault="00A27D25" w:rsidP="002A37BB">
      <w:pPr>
        <w:ind w:left="720" w:hanging="720"/>
        <w:jc w:val="both"/>
        <w:rPr>
          <w:rFonts w:ascii="Arial" w:hAnsi="Arial" w:cs="Arial"/>
          <w:sz w:val="22"/>
          <w:szCs w:val="22"/>
        </w:rPr>
      </w:pPr>
    </w:p>
    <w:p w14:paraId="7AEE6EF2" w14:textId="77777777" w:rsidR="00FA0909" w:rsidRDefault="00FA0909">
      <w:pPr>
        <w:rPr>
          <w:rFonts w:ascii="Arial" w:hAnsi="Arial" w:cs="Arial"/>
          <w:b/>
          <w:bCs/>
          <w:sz w:val="22"/>
          <w:szCs w:val="22"/>
        </w:rPr>
      </w:pPr>
      <w:r>
        <w:rPr>
          <w:rFonts w:ascii="Arial" w:hAnsi="Arial" w:cs="Arial"/>
          <w:b/>
          <w:bCs/>
          <w:sz w:val="22"/>
          <w:szCs w:val="22"/>
        </w:rPr>
        <w:br w:type="page"/>
      </w:r>
    </w:p>
    <w:p w14:paraId="755D6AFF" w14:textId="6731C20E"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lastRenderedPageBreak/>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644D6B97" w14:textId="19DF009E" w:rsidR="00A841E6" w:rsidRDefault="00A841E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order of priority of payments in a liquidation are as follows:</w:t>
      </w:r>
    </w:p>
    <w:p w14:paraId="1B276D04" w14:textId="77777777" w:rsidR="0036725A" w:rsidRDefault="0036725A" w:rsidP="00FF5098">
      <w:pPr>
        <w:jc w:val="both"/>
        <w:rPr>
          <w:rFonts w:ascii="Arial" w:hAnsi="Arial" w:cs="Arial"/>
          <w:color w:val="7B7B7B" w:themeColor="accent3" w:themeShade="BF"/>
          <w:sz w:val="22"/>
          <w:szCs w:val="22"/>
          <w:lang w:val="en-GB"/>
        </w:rPr>
      </w:pPr>
    </w:p>
    <w:p w14:paraId="0206D973" w14:textId="29DF2FF1" w:rsidR="00A841E6" w:rsidRDefault="00A841E6" w:rsidP="00A841E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Fixed charge holders</w:t>
      </w:r>
    </w:p>
    <w:p w14:paraId="5ECDE5BA" w14:textId="5C1DE5D4" w:rsidR="00A841E6" w:rsidRDefault="00A841E6" w:rsidP="00A841E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of winding up, including the liquidator’s remuneration</w:t>
      </w:r>
    </w:p>
    <w:p w14:paraId="0A17A2E9" w14:textId="6FB88D95" w:rsidR="00A841E6" w:rsidRDefault="00192991" w:rsidP="00A841E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Ordinary p</w:t>
      </w:r>
      <w:r w:rsidR="00A841E6">
        <w:rPr>
          <w:rFonts w:ascii="Arial" w:hAnsi="Arial" w:cs="Arial"/>
          <w:color w:val="7B7B7B" w:themeColor="accent3" w:themeShade="BF"/>
          <w:sz w:val="22"/>
          <w:szCs w:val="22"/>
          <w:lang w:val="en-GB"/>
        </w:rPr>
        <w:t>referential creditors</w:t>
      </w:r>
    </w:p>
    <w:p w14:paraId="5DEB8448" w14:textId="4815F443" w:rsidR="00192991" w:rsidRDefault="00192991" w:rsidP="00A841E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Secondary preferential creditors</w:t>
      </w:r>
    </w:p>
    <w:p w14:paraId="42B204FC" w14:textId="161C7CC6" w:rsidR="00A841E6" w:rsidRDefault="00A841E6" w:rsidP="00A841E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Floating charge holders</w:t>
      </w:r>
    </w:p>
    <w:p w14:paraId="06E7B8F8" w14:textId="723EF7A8" w:rsidR="00A841E6" w:rsidRDefault="00A841E6" w:rsidP="00A841E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w:t>
      </w:r>
    </w:p>
    <w:p w14:paraId="4DC80111" w14:textId="71A3CDF4" w:rsidR="00A841E6" w:rsidRPr="00A841E6" w:rsidRDefault="00A841E6" w:rsidP="00A841E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Shareholders</w:t>
      </w:r>
    </w:p>
    <w:p w14:paraId="79816CBD" w14:textId="15746167" w:rsidR="00A841E6" w:rsidRDefault="00A841E6" w:rsidP="00FF5098">
      <w:pPr>
        <w:jc w:val="both"/>
        <w:rPr>
          <w:rFonts w:ascii="Arial" w:hAnsi="Arial" w:cs="Arial"/>
          <w:color w:val="7B7B7B" w:themeColor="accent3" w:themeShade="BF"/>
          <w:sz w:val="22"/>
          <w:szCs w:val="22"/>
          <w:lang w:val="en-GB"/>
        </w:rPr>
      </w:pPr>
    </w:p>
    <w:p w14:paraId="2CC95DA6" w14:textId="5F4E2598" w:rsidR="00AE60BA" w:rsidRDefault="00AE60B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discuss each of these classes below.</w:t>
      </w:r>
    </w:p>
    <w:p w14:paraId="44577FF4" w14:textId="77777777" w:rsidR="00AE60BA" w:rsidRDefault="00AE60BA" w:rsidP="00FF5098">
      <w:pPr>
        <w:jc w:val="both"/>
        <w:rPr>
          <w:rFonts w:ascii="Arial" w:hAnsi="Arial" w:cs="Arial"/>
          <w:color w:val="7B7B7B" w:themeColor="accent3" w:themeShade="BF"/>
          <w:sz w:val="22"/>
          <w:szCs w:val="22"/>
          <w:lang w:val="en-GB"/>
        </w:rPr>
      </w:pPr>
    </w:p>
    <w:p w14:paraId="4D5581D3" w14:textId="7321ADEC" w:rsidR="00E704FF" w:rsidRDefault="00E704FF" w:rsidP="00FF5098">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Fixed Charge Holders</w:t>
      </w:r>
    </w:p>
    <w:p w14:paraId="6E1A2494" w14:textId="4B8B2A43" w:rsidR="00E704FF" w:rsidRPr="00E704FF" w:rsidRDefault="00E704FF" w:rsidP="00AE60B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cannot deal with any assets subject to a fixed charge without the consent of the fixed charge holder.  </w:t>
      </w:r>
      <w:r w:rsidR="00AE60BA">
        <w:rPr>
          <w:rFonts w:ascii="Arial" w:hAnsi="Arial" w:cs="Arial"/>
          <w:color w:val="7B7B7B" w:themeColor="accent3" w:themeShade="BF"/>
          <w:sz w:val="22"/>
          <w:szCs w:val="22"/>
          <w:lang w:val="en-GB"/>
        </w:rPr>
        <w:t>The fixed charge holder has the authority to sell the asset or permit the liquidator to sell the asset on its behalf.  The Fixed charge holder will receive all proceeds up to the outstanding amount due to it.</w:t>
      </w:r>
      <w:r w:rsidR="00EE7225">
        <w:rPr>
          <w:rFonts w:ascii="Arial" w:hAnsi="Arial" w:cs="Arial"/>
          <w:color w:val="7B7B7B" w:themeColor="accent3" w:themeShade="BF"/>
          <w:sz w:val="22"/>
          <w:szCs w:val="22"/>
          <w:lang w:val="en-GB"/>
        </w:rPr>
        <w:t xml:space="preserve">  Any shortfall due to the fixed charge holders will rank as unsecured </w:t>
      </w:r>
      <w:r w:rsidR="00AE60BA">
        <w:rPr>
          <w:rFonts w:ascii="Arial" w:hAnsi="Arial" w:cs="Arial"/>
          <w:color w:val="7B7B7B" w:themeColor="accent3" w:themeShade="BF"/>
          <w:sz w:val="22"/>
          <w:szCs w:val="22"/>
          <w:lang w:val="en-GB"/>
        </w:rPr>
        <w:t>if there are funds remaining after payment of the ordinary unsecured creditors.</w:t>
      </w:r>
    </w:p>
    <w:p w14:paraId="29C767D9" w14:textId="77777777" w:rsidR="00E704FF" w:rsidRDefault="00E704FF" w:rsidP="00FF5098">
      <w:pPr>
        <w:jc w:val="both"/>
        <w:rPr>
          <w:rFonts w:ascii="Arial" w:hAnsi="Arial" w:cs="Arial"/>
          <w:b/>
          <w:bCs/>
          <w:color w:val="7B7B7B" w:themeColor="accent3" w:themeShade="BF"/>
          <w:sz w:val="22"/>
          <w:szCs w:val="22"/>
          <w:lang w:val="en-GB"/>
        </w:rPr>
      </w:pPr>
    </w:p>
    <w:p w14:paraId="0A89349D" w14:textId="64624A40" w:rsidR="00FA0909" w:rsidRPr="00FA0909" w:rsidRDefault="00FA0909" w:rsidP="00FF5098">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Expenses of Winding Up</w:t>
      </w:r>
    </w:p>
    <w:p w14:paraId="416B3334" w14:textId="528DEE18" w:rsidR="00FF5098" w:rsidRDefault="002A6F5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115 of the Insolvency Act 1986</w:t>
      </w:r>
      <w:r w:rsidR="00A841E6">
        <w:rPr>
          <w:rFonts w:ascii="Arial" w:hAnsi="Arial" w:cs="Arial"/>
          <w:color w:val="7B7B7B" w:themeColor="accent3" w:themeShade="BF"/>
          <w:sz w:val="22"/>
          <w:szCs w:val="22"/>
          <w:lang w:val="en-GB"/>
        </w:rPr>
        <w:t xml:space="preserve"> (</w:t>
      </w:r>
      <w:r w:rsidR="00A841E6">
        <w:rPr>
          <w:rFonts w:ascii="Arial" w:hAnsi="Arial" w:cs="Arial"/>
          <w:b/>
          <w:bCs/>
          <w:color w:val="7B7B7B" w:themeColor="accent3" w:themeShade="BF"/>
          <w:sz w:val="22"/>
          <w:szCs w:val="22"/>
          <w:lang w:val="en-GB"/>
        </w:rPr>
        <w:t>“the Act”</w:t>
      </w:r>
      <w:r w:rsidR="00A841E6">
        <w:rPr>
          <w:rFonts w:ascii="Arial" w:hAnsi="Arial" w:cs="Arial"/>
          <w:color w:val="7B7B7B" w:themeColor="accent3" w:themeShade="BF"/>
          <w:sz w:val="22"/>
          <w:szCs w:val="22"/>
          <w:lang w:val="en-GB"/>
        </w:rPr>
        <w:t>) covers point 2 above</w:t>
      </w:r>
      <w:r w:rsidR="00192991">
        <w:rPr>
          <w:rFonts w:ascii="Arial" w:hAnsi="Arial" w:cs="Arial"/>
          <w:color w:val="7B7B7B" w:themeColor="accent3" w:themeShade="BF"/>
          <w:sz w:val="22"/>
          <w:szCs w:val="22"/>
          <w:lang w:val="en-GB"/>
        </w:rPr>
        <w:t xml:space="preserve"> (i.e. expenses of winding up)</w:t>
      </w:r>
      <w:r w:rsidR="00A841E6">
        <w:rPr>
          <w:rFonts w:ascii="Arial" w:hAnsi="Arial" w:cs="Arial"/>
          <w:color w:val="7B7B7B" w:themeColor="accent3" w:themeShade="BF"/>
          <w:sz w:val="22"/>
          <w:szCs w:val="22"/>
          <w:lang w:val="en-GB"/>
        </w:rPr>
        <w:t xml:space="preserve">.  </w:t>
      </w:r>
      <w:r w:rsidR="009678FD">
        <w:rPr>
          <w:rFonts w:ascii="Arial" w:hAnsi="Arial" w:cs="Arial"/>
          <w:color w:val="7B7B7B" w:themeColor="accent3" w:themeShade="BF"/>
          <w:sz w:val="22"/>
          <w:szCs w:val="22"/>
          <w:lang w:val="en-GB"/>
        </w:rPr>
        <w:t>According to Rule 6.42</w:t>
      </w:r>
      <w:r w:rsidR="001A1815">
        <w:rPr>
          <w:rFonts w:ascii="Arial" w:hAnsi="Arial" w:cs="Arial"/>
          <w:color w:val="7B7B7B" w:themeColor="accent3" w:themeShade="BF"/>
          <w:sz w:val="22"/>
          <w:szCs w:val="22"/>
          <w:lang w:val="en-GB"/>
        </w:rPr>
        <w:t xml:space="preserve">(4) </w:t>
      </w:r>
      <w:r w:rsidR="009678FD">
        <w:rPr>
          <w:rFonts w:ascii="Arial" w:hAnsi="Arial" w:cs="Arial"/>
          <w:color w:val="7B7B7B" w:themeColor="accent3" w:themeShade="BF"/>
          <w:sz w:val="22"/>
          <w:szCs w:val="22"/>
          <w:lang w:val="en-GB"/>
        </w:rPr>
        <w:t>of the Insolvency Rules 2016 (</w:t>
      </w:r>
      <w:r w:rsidR="009678FD">
        <w:rPr>
          <w:rFonts w:ascii="Arial" w:hAnsi="Arial" w:cs="Arial"/>
          <w:b/>
          <w:bCs/>
          <w:color w:val="7B7B7B" w:themeColor="accent3" w:themeShade="BF"/>
          <w:sz w:val="22"/>
          <w:szCs w:val="22"/>
          <w:lang w:val="en-GB"/>
        </w:rPr>
        <w:t>“the Rules”</w:t>
      </w:r>
      <w:r w:rsidR="009678FD">
        <w:rPr>
          <w:rFonts w:ascii="Arial" w:hAnsi="Arial" w:cs="Arial"/>
          <w:color w:val="7B7B7B" w:themeColor="accent3" w:themeShade="BF"/>
          <w:sz w:val="22"/>
          <w:szCs w:val="22"/>
          <w:lang w:val="en-GB"/>
        </w:rPr>
        <w:t xml:space="preserve">), the order of priority of </w:t>
      </w:r>
      <w:r w:rsidR="003B5D8B">
        <w:rPr>
          <w:rFonts w:ascii="Arial" w:hAnsi="Arial" w:cs="Arial"/>
          <w:color w:val="7B7B7B" w:themeColor="accent3" w:themeShade="BF"/>
          <w:sz w:val="22"/>
          <w:szCs w:val="22"/>
          <w:lang w:val="en-GB"/>
        </w:rPr>
        <w:t xml:space="preserve">the main </w:t>
      </w:r>
      <w:r w:rsidR="009678FD">
        <w:rPr>
          <w:rFonts w:ascii="Arial" w:hAnsi="Arial" w:cs="Arial"/>
          <w:color w:val="7B7B7B" w:themeColor="accent3" w:themeShade="BF"/>
          <w:sz w:val="22"/>
          <w:szCs w:val="22"/>
          <w:lang w:val="en-GB"/>
        </w:rPr>
        <w:t>expenses of a winding up are as follows</w:t>
      </w:r>
      <w:r w:rsidR="003B5D8B">
        <w:rPr>
          <w:rStyle w:val="FootnoteReference"/>
          <w:rFonts w:ascii="Arial" w:hAnsi="Arial" w:cs="Arial"/>
          <w:color w:val="7B7B7B" w:themeColor="accent3" w:themeShade="BF"/>
          <w:sz w:val="22"/>
          <w:szCs w:val="22"/>
          <w:lang w:val="en-GB"/>
        </w:rPr>
        <w:footnoteReference w:id="4"/>
      </w:r>
      <w:r w:rsidR="003B5D8B">
        <w:rPr>
          <w:rFonts w:ascii="Arial" w:hAnsi="Arial" w:cs="Arial"/>
          <w:color w:val="7B7B7B" w:themeColor="accent3" w:themeShade="BF"/>
          <w:sz w:val="22"/>
          <w:szCs w:val="22"/>
          <w:lang w:val="en-GB"/>
        </w:rPr>
        <w:t xml:space="preserve"> – it should be noted that Rule 7.108 of the Rules also includes other expenses as it relates to that of the provisional liquidator and official receiver:</w:t>
      </w:r>
      <w:r w:rsidR="003B5D8B">
        <w:rPr>
          <w:rStyle w:val="FootnoteReference"/>
          <w:rFonts w:ascii="Arial" w:hAnsi="Arial" w:cs="Arial"/>
          <w:color w:val="7B7B7B" w:themeColor="accent3" w:themeShade="BF"/>
          <w:sz w:val="22"/>
          <w:szCs w:val="22"/>
          <w:lang w:val="en-GB"/>
        </w:rPr>
        <w:footnoteReference w:id="5"/>
      </w:r>
    </w:p>
    <w:p w14:paraId="29F3FF0A" w14:textId="77777777" w:rsidR="0036725A" w:rsidRDefault="0036725A" w:rsidP="00FF5098">
      <w:pPr>
        <w:jc w:val="both"/>
        <w:rPr>
          <w:rFonts w:ascii="Arial" w:hAnsi="Arial" w:cs="Arial"/>
          <w:color w:val="7B7B7B" w:themeColor="accent3" w:themeShade="BF"/>
          <w:sz w:val="22"/>
          <w:szCs w:val="22"/>
          <w:lang w:val="en-GB"/>
        </w:rPr>
      </w:pPr>
    </w:p>
    <w:p w14:paraId="22CCC7F9" w14:textId="26BF1865" w:rsidR="009678FD" w:rsidRDefault="009678FD" w:rsidP="009678F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which are properly chargeable or incurred by the liquidator in preserving, realising or getting in any of the assets or otherwise in the preparation, conduct or assignment of any legal proceedings.</w:t>
      </w:r>
    </w:p>
    <w:p w14:paraId="1F8FF28F" w14:textId="3C3A8E7F" w:rsidR="009678FD" w:rsidRDefault="009678FD" w:rsidP="009678F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cost of any security provided by the liquidator.</w:t>
      </w:r>
    </w:p>
    <w:p w14:paraId="2D797CC6" w14:textId="3CD5A022" w:rsidR="009678FD" w:rsidRDefault="009678FD" w:rsidP="009678F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remuneration of the special manager, if any.</w:t>
      </w:r>
    </w:p>
    <w:p w14:paraId="6A6D182F" w14:textId="2D3F7823" w:rsidR="009678FD" w:rsidRDefault="009678FD" w:rsidP="009678F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amount payable to a person employed or authorised to assist in the preparation of a statement of affairs or of accounts.</w:t>
      </w:r>
    </w:p>
    <w:p w14:paraId="76F09175" w14:textId="0F614AE3" w:rsidR="009678FD" w:rsidRDefault="009678FD" w:rsidP="009678F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cost of employing a shorthand writer on the application of the liquidator.</w:t>
      </w:r>
    </w:p>
    <w:p w14:paraId="228297C5" w14:textId="2C6DBA45" w:rsidR="009678FD" w:rsidRDefault="009678FD" w:rsidP="009678F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necessary disbursements by the liquidator in the course of the administration of the winding up including any expenses incurred by members of the liquidation committee.</w:t>
      </w:r>
    </w:p>
    <w:p w14:paraId="088FC5AE" w14:textId="04A13C47" w:rsidR="009678FD" w:rsidRDefault="009678FD" w:rsidP="009678F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remuneration of any person who has been employed by the liquidator to perform any services.</w:t>
      </w:r>
    </w:p>
    <w:p w14:paraId="389212B6" w14:textId="4FA03A25" w:rsidR="009678FD" w:rsidRDefault="009678FD" w:rsidP="009678F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remuneration of the liquidator</w:t>
      </w:r>
      <w:r w:rsidR="001A1815">
        <w:rPr>
          <w:rFonts w:ascii="Arial" w:hAnsi="Arial" w:cs="Arial"/>
          <w:color w:val="7B7B7B" w:themeColor="accent3" w:themeShade="BF"/>
          <w:sz w:val="22"/>
          <w:szCs w:val="22"/>
          <w:lang w:val="en-GB"/>
        </w:rPr>
        <w:t>, up to an amount not exceeding that which is payable under Schedule 11 of the Rules.</w:t>
      </w:r>
    </w:p>
    <w:p w14:paraId="4EF7611A" w14:textId="4267CA8F" w:rsidR="009678FD" w:rsidRDefault="009678FD" w:rsidP="009678F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amount of any corporation tax on chargeable gains accruing on the realisation of any asset.</w:t>
      </w:r>
    </w:p>
    <w:p w14:paraId="22D2A25F" w14:textId="237168F1" w:rsidR="009678FD" w:rsidRDefault="009678FD" w:rsidP="009678F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balance</w:t>
      </w:r>
      <w:r w:rsidR="001A1815">
        <w:rPr>
          <w:rFonts w:ascii="Arial" w:hAnsi="Arial" w:cs="Arial"/>
          <w:color w:val="7B7B7B" w:themeColor="accent3" w:themeShade="BF"/>
          <w:sz w:val="22"/>
          <w:szCs w:val="22"/>
          <w:lang w:val="en-GB"/>
        </w:rPr>
        <w:t xml:space="preserve"> of any remuneration due to the liquidator.</w:t>
      </w:r>
    </w:p>
    <w:p w14:paraId="50D3AED4" w14:textId="17876D00" w:rsidR="001A1815" w:rsidRDefault="001A1815" w:rsidP="009678F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Any other expenses properly chargeable by he liquidator in carrying out the liquidator’s functions.</w:t>
      </w:r>
    </w:p>
    <w:p w14:paraId="416D6547" w14:textId="6752977D" w:rsidR="003B5D8B" w:rsidRDefault="003B5D8B" w:rsidP="003B5D8B">
      <w:pPr>
        <w:jc w:val="both"/>
        <w:rPr>
          <w:rFonts w:ascii="Arial" w:hAnsi="Arial" w:cs="Arial"/>
          <w:color w:val="7B7B7B" w:themeColor="accent3" w:themeShade="BF"/>
          <w:sz w:val="22"/>
          <w:szCs w:val="22"/>
          <w:lang w:val="en-GB"/>
        </w:rPr>
      </w:pPr>
    </w:p>
    <w:p w14:paraId="668A739E" w14:textId="59257B14" w:rsidR="00941F8D" w:rsidRDefault="00941F8D" w:rsidP="003B5D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the expenses of winding up, it should be noted that the expenses are paid in order of priority.  </w:t>
      </w:r>
      <w:r w:rsidR="00AE60BA">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or example, </w:t>
      </w:r>
      <w:r w:rsidR="00572AAB">
        <w:rPr>
          <w:rFonts w:ascii="Arial" w:hAnsi="Arial" w:cs="Arial"/>
          <w:color w:val="7B7B7B" w:themeColor="accent3" w:themeShade="BF"/>
          <w:sz w:val="22"/>
          <w:szCs w:val="22"/>
          <w:lang w:val="en-GB"/>
        </w:rPr>
        <w:t xml:space="preserve">if there are sufficient funds to only cover the expenses detailed in points a to g above, the remuneration of the liquidator </w:t>
      </w:r>
      <w:r w:rsidR="00AE60BA">
        <w:rPr>
          <w:rFonts w:ascii="Arial" w:hAnsi="Arial" w:cs="Arial"/>
          <w:color w:val="7B7B7B" w:themeColor="accent3" w:themeShade="BF"/>
          <w:sz w:val="22"/>
          <w:szCs w:val="22"/>
          <w:lang w:val="en-GB"/>
        </w:rPr>
        <w:t xml:space="preserve">(i.e. point h) </w:t>
      </w:r>
      <w:r w:rsidR="00572AAB">
        <w:rPr>
          <w:rFonts w:ascii="Arial" w:hAnsi="Arial" w:cs="Arial"/>
          <w:color w:val="7B7B7B" w:themeColor="accent3" w:themeShade="BF"/>
          <w:sz w:val="22"/>
          <w:szCs w:val="22"/>
          <w:lang w:val="en-GB"/>
        </w:rPr>
        <w:t>would not be satisfied.</w:t>
      </w:r>
    </w:p>
    <w:p w14:paraId="52ADC799" w14:textId="451EF350" w:rsidR="00572AAB" w:rsidRDefault="00572AAB">
      <w:pPr>
        <w:rPr>
          <w:rFonts w:ascii="Arial" w:hAnsi="Arial" w:cs="Arial"/>
          <w:color w:val="7B7B7B" w:themeColor="accent3" w:themeShade="BF"/>
          <w:sz w:val="22"/>
          <w:szCs w:val="22"/>
          <w:lang w:val="en-GB"/>
        </w:rPr>
      </w:pPr>
    </w:p>
    <w:p w14:paraId="190E511A" w14:textId="0086ED9B" w:rsidR="00FA0909" w:rsidRPr="00FA0909" w:rsidRDefault="00FA0909" w:rsidP="003B5D8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Ordinary Preferential Creditors</w:t>
      </w:r>
    </w:p>
    <w:p w14:paraId="0DC581BE" w14:textId="108BE0D4" w:rsidR="00192991" w:rsidRDefault="00192991" w:rsidP="003B5D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386 of the Act covers point 3 above (i.e. ordinary preferential creditors)</w:t>
      </w:r>
      <w:r w:rsidR="001E5E5D">
        <w:rPr>
          <w:rFonts w:ascii="Arial" w:hAnsi="Arial" w:cs="Arial"/>
          <w:color w:val="7B7B7B" w:themeColor="accent3" w:themeShade="BF"/>
          <w:sz w:val="22"/>
          <w:szCs w:val="22"/>
          <w:lang w:val="en-GB"/>
        </w:rPr>
        <w:t xml:space="preserve"> and states that the following preferential creditors, as listed under Schedule 6 of the Act, are ordinary preferential creditors</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6"/>
      </w:r>
    </w:p>
    <w:p w14:paraId="613CCF59" w14:textId="77777777" w:rsidR="0036725A" w:rsidRDefault="0036725A" w:rsidP="003B5D8B">
      <w:pPr>
        <w:jc w:val="both"/>
        <w:rPr>
          <w:rFonts w:ascii="Arial" w:hAnsi="Arial" w:cs="Arial"/>
          <w:color w:val="7B7B7B" w:themeColor="accent3" w:themeShade="BF"/>
          <w:sz w:val="22"/>
          <w:szCs w:val="22"/>
          <w:lang w:val="en-GB"/>
        </w:rPr>
      </w:pPr>
    </w:p>
    <w:p w14:paraId="6FF09360" w14:textId="4E949056" w:rsidR="001E5E5D" w:rsidRDefault="00683080" w:rsidP="001E5E5D">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sum owed on account of an employee’s contribution to an occupational pension scheme within the period of four months immediately preceding the date of commencement of </w:t>
      </w:r>
      <w:r w:rsidR="005E78E0">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liquidation.</w:t>
      </w:r>
      <w:r>
        <w:rPr>
          <w:rStyle w:val="FootnoteReference"/>
          <w:rFonts w:ascii="Arial" w:hAnsi="Arial" w:cs="Arial"/>
          <w:color w:val="7B7B7B" w:themeColor="accent3" w:themeShade="BF"/>
          <w:sz w:val="22"/>
          <w:szCs w:val="22"/>
          <w:lang w:val="en-GB"/>
        </w:rPr>
        <w:footnoteReference w:id="7"/>
      </w:r>
    </w:p>
    <w:p w14:paraId="2DC99D75" w14:textId="3A56510F" w:rsidR="001E5E5D" w:rsidRDefault="00683080" w:rsidP="001E5E5D">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sum owed on account of an employer’s contribution to an occupational pension scheme within the period of 12 months immediately preceding the date of commencement of </w:t>
      </w:r>
      <w:r w:rsidR="005E78E0">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liquidation.</w:t>
      </w:r>
      <w:r>
        <w:rPr>
          <w:rStyle w:val="FootnoteReference"/>
          <w:rFonts w:ascii="Arial" w:hAnsi="Arial" w:cs="Arial"/>
          <w:color w:val="7B7B7B" w:themeColor="accent3" w:themeShade="BF"/>
          <w:sz w:val="22"/>
          <w:szCs w:val="22"/>
          <w:lang w:val="en-GB"/>
        </w:rPr>
        <w:footnoteReference w:id="8"/>
      </w:r>
    </w:p>
    <w:p w14:paraId="2E130EC8" w14:textId="533365A1" w:rsidR="00683080" w:rsidRDefault="00683080" w:rsidP="001E5E5D">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outstanding remuneration due to an employee in respect of the period of four months immediately preceding the date of commencement of the liquidation.</w:t>
      </w:r>
    </w:p>
    <w:p w14:paraId="75CEB6F0" w14:textId="6F7B275E" w:rsidR="00683080" w:rsidRDefault="00683080" w:rsidP="001E5E5D">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amount owed by way of accrued holiday remuneration in respect of any period of employment before the date of commencement of the liquidation. </w:t>
      </w:r>
    </w:p>
    <w:p w14:paraId="62A24000" w14:textId="1D618849" w:rsidR="00683080" w:rsidRDefault="005E2B57" w:rsidP="001E5E5D">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outstanding amount owed to a lender in respect of money advanced for the purpose of satisfying point c or d directly above.</w:t>
      </w:r>
    </w:p>
    <w:p w14:paraId="41B62146" w14:textId="67122F40" w:rsidR="005E2B57" w:rsidRDefault="005E2B57" w:rsidP="001E5E5D">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sums due as at the date of commencement of the liquidation in respect of levies on the production of coal and steel or any surcharge for delay.</w:t>
      </w:r>
    </w:p>
    <w:p w14:paraId="3FABA9B4" w14:textId="0E7066BB" w:rsidR="005E2B57" w:rsidRDefault="005E2B57" w:rsidP="001E5E5D">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debt owed to the scheme manager of the Financial Services Compensation.</w:t>
      </w:r>
    </w:p>
    <w:p w14:paraId="0921C577" w14:textId="4DAE02EC" w:rsidR="005E2B57" w:rsidRPr="001E5E5D" w:rsidRDefault="005E2B57" w:rsidP="001E5E5D">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 much of any amount owed as at the date of commencement of the liquidation in respect of an eligible deposit as does not exceed the compensation that would be payable in respect of the deposit under the Financial Services Compensation Scheme.</w:t>
      </w:r>
    </w:p>
    <w:p w14:paraId="4EB620AB" w14:textId="47934BDF" w:rsidR="00192991" w:rsidRDefault="00192991" w:rsidP="00192991">
      <w:pPr>
        <w:jc w:val="both"/>
        <w:rPr>
          <w:rFonts w:ascii="Arial" w:hAnsi="Arial" w:cs="Arial"/>
          <w:color w:val="7B7B7B" w:themeColor="accent3" w:themeShade="BF"/>
          <w:sz w:val="22"/>
          <w:szCs w:val="22"/>
          <w:lang w:val="en-GB"/>
        </w:rPr>
      </w:pPr>
    </w:p>
    <w:p w14:paraId="78D27B3B" w14:textId="5F6C36A2" w:rsidR="00FA0909" w:rsidRPr="00FA0909" w:rsidRDefault="00FA0909" w:rsidP="001929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in respect of ordinary preferential creditors, each creditor ranking as such ranks equally and receives a </w:t>
      </w:r>
      <w:r>
        <w:rPr>
          <w:rFonts w:ascii="Arial" w:hAnsi="Arial" w:cs="Arial"/>
          <w:i/>
          <w:iCs/>
          <w:color w:val="7B7B7B" w:themeColor="accent3" w:themeShade="BF"/>
          <w:sz w:val="22"/>
          <w:szCs w:val="22"/>
          <w:lang w:val="en-GB"/>
        </w:rPr>
        <w:t xml:space="preserve">pari passu </w:t>
      </w:r>
      <w:r>
        <w:rPr>
          <w:rFonts w:ascii="Arial" w:hAnsi="Arial" w:cs="Arial"/>
          <w:color w:val="7B7B7B" w:themeColor="accent3" w:themeShade="BF"/>
          <w:sz w:val="22"/>
          <w:szCs w:val="22"/>
          <w:lang w:val="en-GB"/>
        </w:rPr>
        <w:t>distribution from the assets available after the payment of the expenses of winding up.</w:t>
      </w:r>
    </w:p>
    <w:p w14:paraId="367A73B0" w14:textId="77777777" w:rsidR="00FA0909" w:rsidRDefault="00FA0909" w:rsidP="00192991">
      <w:pPr>
        <w:jc w:val="both"/>
        <w:rPr>
          <w:rFonts w:ascii="Arial" w:hAnsi="Arial" w:cs="Arial"/>
          <w:color w:val="7B7B7B" w:themeColor="accent3" w:themeShade="BF"/>
          <w:sz w:val="22"/>
          <w:szCs w:val="22"/>
          <w:lang w:val="en-GB"/>
        </w:rPr>
      </w:pPr>
    </w:p>
    <w:p w14:paraId="2543CAB9" w14:textId="2B28640F" w:rsidR="00FA0909" w:rsidRPr="00FA0909" w:rsidRDefault="00FA0909" w:rsidP="00192991">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Secondary Preferential Creditors</w:t>
      </w:r>
    </w:p>
    <w:p w14:paraId="774F5A84" w14:textId="74EB7B38" w:rsidR="00192991" w:rsidRDefault="00192991" w:rsidP="001929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386 of the Act also covers point 4 above (i.e. secondary preferential creditors)</w:t>
      </w:r>
      <w:r w:rsidR="005E78E0">
        <w:rPr>
          <w:rFonts w:ascii="Arial" w:hAnsi="Arial" w:cs="Arial"/>
          <w:color w:val="7B7B7B" w:themeColor="accent3" w:themeShade="BF"/>
          <w:sz w:val="22"/>
          <w:szCs w:val="22"/>
          <w:lang w:val="en-GB"/>
        </w:rPr>
        <w:t xml:space="preserve"> and states that the following preferential creditors, as listed under Schedule 6 of the Act, </w:t>
      </w:r>
      <w:r w:rsidR="005E78E0">
        <w:rPr>
          <w:rFonts w:ascii="Arial" w:hAnsi="Arial" w:cs="Arial"/>
          <w:color w:val="7B7B7B" w:themeColor="accent3" w:themeShade="BF"/>
          <w:sz w:val="22"/>
          <w:szCs w:val="22"/>
          <w:lang w:val="en-GB"/>
        </w:rPr>
        <w:t>are ordinary preferential creditors:</w:t>
      </w:r>
      <w:r w:rsidR="005E78E0">
        <w:rPr>
          <w:rStyle w:val="FootnoteReference"/>
          <w:rFonts w:ascii="Arial" w:hAnsi="Arial" w:cs="Arial"/>
          <w:color w:val="7B7B7B" w:themeColor="accent3" w:themeShade="BF"/>
          <w:sz w:val="22"/>
          <w:szCs w:val="22"/>
          <w:lang w:val="en-GB"/>
        </w:rPr>
        <w:footnoteReference w:id="9"/>
      </w:r>
    </w:p>
    <w:p w14:paraId="08E31725" w14:textId="77777777" w:rsidR="0036725A" w:rsidRDefault="0036725A" w:rsidP="00192991">
      <w:pPr>
        <w:jc w:val="both"/>
        <w:rPr>
          <w:rFonts w:ascii="Arial" w:hAnsi="Arial" w:cs="Arial"/>
          <w:color w:val="7B7B7B" w:themeColor="accent3" w:themeShade="BF"/>
          <w:sz w:val="22"/>
          <w:szCs w:val="22"/>
          <w:lang w:val="en-GB"/>
        </w:rPr>
      </w:pPr>
    </w:p>
    <w:p w14:paraId="7CF08743" w14:textId="7699A18F" w:rsidR="005E78E0" w:rsidRDefault="00941F8D" w:rsidP="005E78E0">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 much of any amount owed at the date of commencement of the liquidation to one or more eligible persons in respect of an eligible deposit as exceeds any compensation that would be payable in respect of the deposit under the Financial Services Compensation Scheme.</w:t>
      </w:r>
    </w:p>
    <w:p w14:paraId="7ED7DEEF" w14:textId="25AA2BD0" w:rsidR="00941F8D" w:rsidRDefault="00941F8D" w:rsidP="005E78E0">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amount owed at the date of commencement of the liquidation to one or more eligible persons in respect of a deposit that was made through a non-UK branch of a credit institution authorised by the competent authority of the UK and would have been an eligible deposit if it had been made through a UK branch of that credit institution.</w:t>
      </w:r>
    </w:p>
    <w:p w14:paraId="3DAA6780" w14:textId="4AE07EA2" w:rsidR="00962045" w:rsidRDefault="00941F8D" w:rsidP="002A37BB">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amount owed at the date of commencement of the liquidation to the HMRC in respect of valued added tax or a relevant deduction.</w:t>
      </w:r>
    </w:p>
    <w:p w14:paraId="2166FCDF" w14:textId="40428D40" w:rsidR="00572AAB" w:rsidRDefault="00572AAB" w:rsidP="00572AAB">
      <w:pPr>
        <w:jc w:val="both"/>
        <w:rPr>
          <w:rFonts w:ascii="Arial" w:hAnsi="Arial" w:cs="Arial"/>
          <w:color w:val="7B7B7B" w:themeColor="accent3" w:themeShade="BF"/>
          <w:sz w:val="22"/>
          <w:szCs w:val="22"/>
          <w:lang w:val="en-GB"/>
        </w:rPr>
      </w:pPr>
    </w:p>
    <w:p w14:paraId="68B33714" w14:textId="0ED536C8" w:rsidR="00FA0909" w:rsidRDefault="00572AAB" w:rsidP="00FA09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be noted that</w:t>
      </w:r>
      <w:r w:rsidR="00FA0909">
        <w:rPr>
          <w:rFonts w:ascii="Arial" w:hAnsi="Arial" w:cs="Arial"/>
          <w:color w:val="7B7B7B" w:themeColor="accent3" w:themeShade="BF"/>
          <w:sz w:val="22"/>
          <w:szCs w:val="22"/>
          <w:lang w:val="en-GB"/>
        </w:rPr>
        <w:t xml:space="preserve">, as with ordinary preferential creditors, each secondary preferential creditors ranks equally and receives a </w:t>
      </w:r>
      <w:r w:rsidR="00FA0909">
        <w:rPr>
          <w:rFonts w:ascii="Arial" w:hAnsi="Arial" w:cs="Arial"/>
          <w:i/>
          <w:iCs/>
          <w:color w:val="7B7B7B" w:themeColor="accent3" w:themeShade="BF"/>
          <w:sz w:val="22"/>
          <w:szCs w:val="22"/>
          <w:lang w:val="en-GB"/>
        </w:rPr>
        <w:t xml:space="preserve">pari passu </w:t>
      </w:r>
      <w:r w:rsidR="00FA0909">
        <w:rPr>
          <w:rFonts w:ascii="Arial" w:hAnsi="Arial" w:cs="Arial"/>
          <w:color w:val="7B7B7B" w:themeColor="accent3" w:themeShade="BF"/>
          <w:sz w:val="22"/>
          <w:szCs w:val="22"/>
          <w:lang w:val="en-GB"/>
        </w:rPr>
        <w:t>distribution from assets available after payment of the ordinary preferential debts.</w:t>
      </w:r>
      <w:r>
        <w:rPr>
          <w:rFonts w:ascii="Arial" w:hAnsi="Arial" w:cs="Arial"/>
          <w:color w:val="7B7B7B" w:themeColor="accent3" w:themeShade="BF"/>
          <w:sz w:val="22"/>
          <w:szCs w:val="22"/>
          <w:lang w:val="en-GB"/>
        </w:rPr>
        <w:t xml:space="preserve">  It should also be noted that the secondary preferential debts due to the HMRC </w:t>
      </w:r>
      <w:r w:rsidR="00FA0909">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only treated as such for liquidations commencing on or after 1 December 2020.</w:t>
      </w:r>
      <w:r>
        <w:rPr>
          <w:rStyle w:val="FootnoteReference"/>
          <w:rFonts w:ascii="Arial" w:hAnsi="Arial" w:cs="Arial"/>
          <w:color w:val="7B7B7B" w:themeColor="accent3" w:themeShade="BF"/>
          <w:sz w:val="22"/>
          <w:szCs w:val="22"/>
          <w:lang w:val="en-GB"/>
        </w:rPr>
        <w:footnoteReference w:id="10"/>
      </w:r>
    </w:p>
    <w:p w14:paraId="24A35CB7" w14:textId="77777777" w:rsidR="00EE7225" w:rsidRDefault="00EE7225" w:rsidP="00FA0909">
      <w:pPr>
        <w:jc w:val="both"/>
        <w:rPr>
          <w:rFonts w:ascii="Arial" w:hAnsi="Arial" w:cs="Arial"/>
          <w:color w:val="7B7B7B" w:themeColor="accent3" w:themeShade="BF"/>
          <w:sz w:val="22"/>
          <w:szCs w:val="22"/>
          <w:lang w:val="en-GB"/>
        </w:rPr>
      </w:pPr>
    </w:p>
    <w:p w14:paraId="5323C994" w14:textId="3DEBA898" w:rsidR="00FA0909" w:rsidRPr="00FA0909" w:rsidRDefault="00FA0909" w:rsidP="00572AA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Floating Charge Holders</w:t>
      </w:r>
    </w:p>
    <w:p w14:paraId="0677E960" w14:textId="49525811" w:rsidR="00FA0909" w:rsidRDefault="00F32AE7" w:rsidP="00572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there are assets </w:t>
      </w:r>
      <w:r w:rsidR="00D67B89">
        <w:rPr>
          <w:rFonts w:ascii="Arial" w:hAnsi="Arial" w:cs="Arial"/>
          <w:color w:val="7B7B7B" w:themeColor="accent3" w:themeShade="BF"/>
          <w:sz w:val="22"/>
          <w:szCs w:val="22"/>
          <w:lang w:val="en-GB"/>
        </w:rPr>
        <w:t xml:space="preserve">subject to a floating charge </w:t>
      </w:r>
      <w:r w:rsidR="001A5EE0">
        <w:rPr>
          <w:rFonts w:ascii="Arial" w:hAnsi="Arial" w:cs="Arial"/>
          <w:color w:val="7B7B7B" w:themeColor="accent3" w:themeShade="BF"/>
          <w:sz w:val="22"/>
          <w:szCs w:val="22"/>
          <w:lang w:val="en-GB"/>
        </w:rPr>
        <w:t xml:space="preserve">as at the date of commencement of the liquidation, the floating charge holders automatically have authority over such assets.  As with fixed charge holders, the liquidator cannot deal with the floating charge assets (i.e. sell them) without the consent of the floating charge holders.  </w:t>
      </w:r>
      <w:r>
        <w:rPr>
          <w:rFonts w:ascii="Arial" w:hAnsi="Arial" w:cs="Arial"/>
          <w:color w:val="7B7B7B" w:themeColor="accent3" w:themeShade="BF"/>
          <w:sz w:val="22"/>
          <w:szCs w:val="22"/>
          <w:lang w:val="en-GB"/>
        </w:rPr>
        <w:t xml:space="preserve">In the event that there </w:t>
      </w:r>
      <w:r w:rsidR="00FA0909">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more than one floating charge holder, the priority of payment is usually dictated by the date of creation of the floating charges.  </w:t>
      </w:r>
    </w:p>
    <w:p w14:paraId="6CFE2ABE" w14:textId="77777777" w:rsidR="00FA0909" w:rsidRDefault="00FA0909" w:rsidP="00572AAB">
      <w:pPr>
        <w:jc w:val="both"/>
        <w:rPr>
          <w:rFonts w:ascii="Arial" w:hAnsi="Arial" w:cs="Arial"/>
          <w:color w:val="7B7B7B" w:themeColor="accent3" w:themeShade="BF"/>
          <w:sz w:val="22"/>
          <w:szCs w:val="22"/>
          <w:lang w:val="en-GB"/>
        </w:rPr>
      </w:pPr>
    </w:p>
    <w:p w14:paraId="61AC6841" w14:textId="0AFBAD67" w:rsidR="00572AAB" w:rsidRDefault="00F32AE7" w:rsidP="00572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calculating funds available for payment to the floating charge holders, the liquidator must refer to Section 176A of the Act</w:t>
      </w:r>
      <w:r w:rsidR="00FA0909">
        <w:rPr>
          <w:rFonts w:ascii="Arial" w:hAnsi="Arial" w:cs="Arial"/>
          <w:color w:val="7B7B7B" w:themeColor="accent3" w:themeShade="BF"/>
          <w:sz w:val="22"/>
          <w:szCs w:val="22"/>
          <w:lang w:val="en-GB"/>
        </w:rPr>
        <w:t xml:space="preserve"> which states that:</w:t>
      </w:r>
      <w:r w:rsidR="00FA0909">
        <w:rPr>
          <w:rStyle w:val="FootnoteReference"/>
          <w:rFonts w:ascii="Arial" w:hAnsi="Arial" w:cs="Arial"/>
          <w:color w:val="7B7B7B" w:themeColor="accent3" w:themeShade="BF"/>
          <w:sz w:val="22"/>
          <w:szCs w:val="22"/>
          <w:lang w:val="en-GB"/>
        </w:rPr>
        <w:footnoteReference w:id="11"/>
      </w:r>
    </w:p>
    <w:p w14:paraId="7437FC6A" w14:textId="77777777" w:rsidR="0036725A" w:rsidRDefault="0036725A" w:rsidP="00572AAB">
      <w:pPr>
        <w:jc w:val="both"/>
        <w:rPr>
          <w:rFonts w:ascii="Arial" w:hAnsi="Arial" w:cs="Arial"/>
          <w:color w:val="7B7B7B" w:themeColor="accent3" w:themeShade="BF"/>
          <w:sz w:val="22"/>
          <w:szCs w:val="22"/>
          <w:lang w:val="en-GB"/>
        </w:rPr>
      </w:pPr>
    </w:p>
    <w:p w14:paraId="6428D1FB" w14:textId="77777777" w:rsidR="00FA0909" w:rsidRDefault="00FA0909" w:rsidP="00FA0909">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shall make a prescribed part of the company’s net property available for the satisfaction of unsecured creditors.  </w:t>
      </w:r>
    </w:p>
    <w:p w14:paraId="5768B698" w14:textId="217E2636" w:rsidR="00FA0909" w:rsidRDefault="00FA0909" w:rsidP="00FA0909">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shortfall due to the floating charge holder as a result of the prescribed part will not be satisfied until unsecured creditors are satisfied in full.</w:t>
      </w:r>
    </w:p>
    <w:p w14:paraId="5B94E895" w14:textId="4F8BDC76" w:rsidR="00FA0909" w:rsidRDefault="00FA0909" w:rsidP="00FA0909">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company’s net property is the amount of assets </w:t>
      </w:r>
      <w:r w:rsidR="00D67B89">
        <w:rPr>
          <w:rFonts w:ascii="Arial" w:hAnsi="Arial" w:cs="Arial"/>
          <w:color w:val="7B7B7B" w:themeColor="accent3" w:themeShade="BF"/>
          <w:sz w:val="22"/>
          <w:szCs w:val="22"/>
          <w:lang w:val="en-GB"/>
        </w:rPr>
        <w:t>subject to a floating charge.</w:t>
      </w:r>
    </w:p>
    <w:p w14:paraId="2CEA51A2" w14:textId="7F8CB650" w:rsidR="00FA0909" w:rsidRDefault="00FA0909" w:rsidP="00FA0909">
      <w:pPr>
        <w:jc w:val="both"/>
        <w:rPr>
          <w:rFonts w:ascii="Arial" w:hAnsi="Arial" w:cs="Arial"/>
          <w:color w:val="7B7B7B" w:themeColor="accent3" w:themeShade="BF"/>
          <w:sz w:val="22"/>
          <w:szCs w:val="22"/>
          <w:lang w:val="en-GB"/>
        </w:rPr>
      </w:pPr>
    </w:p>
    <w:p w14:paraId="543B0CF4" w14:textId="3B6F6B18" w:rsidR="00FA0909" w:rsidRDefault="00FA0909" w:rsidP="00FA09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prescribed part only relates to floating charges created on or after 15 September 2003.  Therefore, floating charge holders in respect of a floating charge created before 15 September 2003 </w:t>
      </w:r>
      <w:r w:rsidR="00561F25">
        <w:rPr>
          <w:rFonts w:ascii="Arial" w:hAnsi="Arial" w:cs="Arial"/>
          <w:color w:val="7B7B7B" w:themeColor="accent3" w:themeShade="BF"/>
          <w:sz w:val="22"/>
          <w:szCs w:val="22"/>
          <w:lang w:val="en-GB"/>
        </w:rPr>
        <w:t>would receive no deduction relating to the prescribed part when calculating the distribution amount due.</w:t>
      </w:r>
      <w:r w:rsidR="00561F25">
        <w:rPr>
          <w:rStyle w:val="FootnoteReference"/>
          <w:rFonts w:ascii="Arial" w:hAnsi="Arial" w:cs="Arial"/>
          <w:color w:val="7B7B7B" w:themeColor="accent3" w:themeShade="BF"/>
          <w:sz w:val="22"/>
          <w:szCs w:val="22"/>
          <w:lang w:val="en-GB"/>
        </w:rPr>
        <w:footnoteReference w:id="12"/>
      </w:r>
    </w:p>
    <w:p w14:paraId="70AA45C3" w14:textId="77777777" w:rsidR="00FA0909" w:rsidRPr="00FA0909" w:rsidRDefault="00FA0909" w:rsidP="00FA0909">
      <w:pPr>
        <w:jc w:val="both"/>
        <w:rPr>
          <w:rFonts w:ascii="Arial" w:hAnsi="Arial" w:cs="Arial"/>
          <w:color w:val="7B7B7B" w:themeColor="accent3" w:themeShade="BF"/>
          <w:sz w:val="22"/>
          <w:szCs w:val="22"/>
          <w:lang w:val="en-GB"/>
        </w:rPr>
      </w:pPr>
    </w:p>
    <w:p w14:paraId="6F01B9FB" w14:textId="49E78813" w:rsidR="00572AAB" w:rsidRDefault="00561F25" w:rsidP="00572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prescribed part is calculated as:</w:t>
      </w:r>
      <w:r>
        <w:rPr>
          <w:rStyle w:val="FootnoteReference"/>
          <w:rFonts w:ascii="Arial" w:hAnsi="Arial" w:cs="Arial"/>
          <w:color w:val="7B7B7B" w:themeColor="accent3" w:themeShade="BF"/>
          <w:sz w:val="22"/>
          <w:szCs w:val="22"/>
          <w:lang w:val="en-GB"/>
        </w:rPr>
        <w:footnoteReference w:id="13"/>
      </w:r>
    </w:p>
    <w:p w14:paraId="1C18CFEF" w14:textId="12D04383" w:rsidR="00561F25" w:rsidRDefault="00561F25" w:rsidP="00561F25">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50% of the first £10,000 of the company’s net property.</w:t>
      </w:r>
    </w:p>
    <w:p w14:paraId="5ABAC3C7" w14:textId="23DE1A89" w:rsidR="00561F25" w:rsidRPr="00561F25" w:rsidRDefault="00561F25" w:rsidP="00561F25">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net property exceeds </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10,000, 20% of such amount up to a maximum amount of </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800,000.</w:t>
      </w:r>
      <w:r>
        <w:rPr>
          <w:rStyle w:val="FootnoteReference"/>
          <w:rFonts w:ascii="Arial" w:hAnsi="Arial" w:cs="Arial"/>
          <w:color w:val="7B7B7B" w:themeColor="accent3" w:themeShade="BF"/>
          <w:sz w:val="22"/>
          <w:szCs w:val="22"/>
          <w:lang w:val="en-GB"/>
        </w:rPr>
        <w:footnoteReference w:id="14"/>
      </w:r>
    </w:p>
    <w:p w14:paraId="74741504" w14:textId="1AACB8DD" w:rsidR="00572AAB" w:rsidRDefault="00572AAB" w:rsidP="00572AAB">
      <w:pPr>
        <w:jc w:val="both"/>
        <w:rPr>
          <w:rFonts w:ascii="Arial" w:hAnsi="Arial" w:cs="Arial"/>
          <w:color w:val="7B7B7B" w:themeColor="accent3" w:themeShade="BF"/>
          <w:sz w:val="22"/>
          <w:szCs w:val="22"/>
          <w:lang w:val="en-GB"/>
        </w:rPr>
      </w:pPr>
    </w:p>
    <w:p w14:paraId="6F3CA783" w14:textId="1E7272BA" w:rsidR="00561F25" w:rsidRDefault="00561F25" w:rsidP="00572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pursuant to Subsection 3 of Section 176A of the Act, if the net property does not exceed </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10,000 and the liquidator thinks that the cost of making a distribution to unsecured creditors would be disproportionate to the benefits, the prescribed part does not apply.</w:t>
      </w:r>
      <w:r>
        <w:rPr>
          <w:rStyle w:val="FootnoteReference"/>
          <w:rFonts w:ascii="Arial" w:hAnsi="Arial" w:cs="Arial"/>
          <w:color w:val="7B7B7B" w:themeColor="accent3" w:themeShade="BF"/>
          <w:sz w:val="22"/>
          <w:szCs w:val="22"/>
          <w:lang w:val="en-GB"/>
        </w:rPr>
        <w:footnoteReference w:id="15"/>
      </w:r>
    </w:p>
    <w:p w14:paraId="0F33593E" w14:textId="6C70BC5D" w:rsidR="00561F25" w:rsidRDefault="00561F25" w:rsidP="00572AA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lastRenderedPageBreak/>
        <w:t>Unsecured Creditors</w:t>
      </w:r>
    </w:p>
    <w:p w14:paraId="3BF7359F" w14:textId="7B6E775A" w:rsidR="00561F25" w:rsidRDefault="008E610E" w:rsidP="00572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with no security or those who do not rank as preferential creditors receive a distribution if there are funds remaining after payment of winding up expenses, preferential debts, </w:t>
      </w:r>
      <w:r w:rsidR="00D67B89">
        <w:rPr>
          <w:rFonts w:ascii="Arial" w:hAnsi="Arial" w:cs="Arial"/>
          <w:color w:val="7B7B7B" w:themeColor="accent3" w:themeShade="BF"/>
          <w:sz w:val="22"/>
          <w:szCs w:val="22"/>
          <w:lang w:val="en-GB"/>
        </w:rPr>
        <w:t>and/or in respect of the prescribed part.</w:t>
      </w:r>
    </w:p>
    <w:p w14:paraId="0ECBD4D3" w14:textId="0B9EF812" w:rsidR="008E610E" w:rsidRDefault="008E610E" w:rsidP="00572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if there are funds remaining after payment of the unsecured debts, payment will be made in partial or full satisfaction of the shortfall due to the </w:t>
      </w:r>
      <w:r w:rsidR="00D67B89">
        <w:rPr>
          <w:rFonts w:ascii="Arial" w:hAnsi="Arial" w:cs="Arial"/>
          <w:color w:val="7B7B7B" w:themeColor="accent3" w:themeShade="BF"/>
          <w:sz w:val="22"/>
          <w:szCs w:val="22"/>
          <w:lang w:val="en-GB"/>
        </w:rPr>
        <w:t xml:space="preserve">fixed and </w:t>
      </w:r>
      <w:r>
        <w:rPr>
          <w:rFonts w:ascii="Arial" w:hAnsi="Arial" w:cs="Arial"/>
          <w:color w:val="7B7B7B" w:themeColor="accent3" w:themeShade="BF"/>
          <w:sz w:val="22"/>
          <w:szCs w:val="22"/>
          <w:lang w:val="en-GB"/>
        </w:rPr>
        <w:t>floating charge holders.  Any admissible interest due on the unsecured debts would then be satisfied.</w:t>
      </w:r>
    </w:p>
    <w:p w14:paraId="17958CC3" w14:textId="6943F5E9" w:rsidR="008E610E" w:rsidRDefault="008E610E" w:rsidP="00572AAB">
      <w:pPr>
        <w:jc w:val="both"/>
        <w:rPr>
          <w:rFonts w:ascii="Arial" w:hAnsi="Arial" w:cs="Arial"/>
          <w:color w:val="7B7B7B" w:themeColor="accent3" w:themeShade="BF"/>
          <w:sz w:val="22"/>
          <w:szCs w:val="22"/>
          <w:lang w:val="en-GB"/>
        </w:rPr>
      </w:pPr>
    </w:p>
    <w:p w14:paraId="6F3DDF1B" w14:textId="38848095" w:rsidR="008E610E" w:rsidRDefault="008E610E" w:rsidP="00572AA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Shareholders</w:t>
      </w:r>
    </w:p>
    <w:p w14:paraId="4E45B144" w14:textId="0322C25D" w:rsidR="008E610E" w:rsidRDefault="008E610E" w:rsidP="00572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payment of unsecured creditors, if there are any funds remaining, the shareholder</w:t>
      </w:r>
      <w:r w:rsidR="00D67B8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the company would receive payment</w:t>
      </w:r>
      <w:r w:rsidR="00675821">
        <w:rPr>
          <w:rFonts w:ascii="Arial" w:hAnsi="Arial" w:cs="Arial"/>
          <w:color w:val="7B7B7B" w:themeColor="accent3" w:themeShade="BF"/>
          <w:sz w:val="22"/>
          <w:szCs w:val="22"/>
          <w:lang w:val="en-GB"/>
        </w:rPr>
        <w:t xml:space="preserve"> usually in proportion to the shareholders’ </w:t>
      </w:r>
      <w:r w:rsidR="00D67B89">
        <w:rPr>
          <w:rFonts w:ascii="Arial" w:hAnsi="Arial" w:cs="Arial"/>
          <w:color w:val="7B7B7B" w:themeColor="accent3" w:themeShade="BF"/>
          <w:sz w:val="22"/>
          <w:szCs w:val="22"/>
          <w:lang w:val="en-GB"/>
        </w:rPr>
        <w:t xml:space="preserve">percentage </w:t>
      </w:r>
      <w:r w:rsidR="00675821">
        <w:rPr>
          <w:rFonts w:ascii="Arial" w:hAnsi="Arial" w:cs="Arial"/>
          <w:color w:val="7B7B7B" w:themeColor="accent3" w:themeShade="BF"/>
          <w:sz w:val="22"/>
          <w:szCs w:val="22"/>
          <w:lang w:val="en-GB"/>
        </w:rPr>
        <w:t>interest</w:t>
      </w:r>
      <w:r w:rsidR="00D67B89">
        <w:rPr>
          <w:rFonts w:ascii="Arial" w:hAnsi="Arial" w:cs="Arial"/>
          <w:color w:val="7B7B7B" w:themeColor="accent3" w:themeShade="BF"/>
          <w:sz w:val="22"/>
          <w:szCs w:val="22"/>
          <w:lang w:val="en-GB"/>
        </w:rPr>
        <w:t xml:space="preserve"> in the company.</w:t>
      </w:r>
    </w:p>
    <w:p w14:paraId="75597073" w14:textId="77777777" w:rsidR="00EE7225" w:rsidRPr="008E610E" w:rsidRDefault="00EE7225" w:rsidP="00572AAB">
      <w:pPr>
        <w:jc w:val="both"/>
        <w:rPr>
          <w:rFonts w:ascii="Arial" w:hAnsi="Arial" w:cs="Arial"/>
          <w:i/>
          <w:iCs/>
          <w:color w:val="7B7B7B" w:themeColor="accent3" w:themeShade="BF"/>
          <w:sz w:val="22"/>
          <w:szCs w:val="22"/>
          <w:lang w:val="en-GB"/>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1BC6A302"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Co</w:t>
      </w:r>
      <w:r w:rsidR="00CA60F1">
        <w:rPr>
          <w:rFonts w:ascii="Arial" w:hAnsi="Arial" w:cs="Arial"/>
        </w:rPr>
        <w:t>f</w:t>
      </w:r>
      <w:r w:rsidR="00891690">
        <w:rPr>
          <w:rFonts w:ascii="Arial" w:hAnsi="Arial" w:cs="Arial"/>
        </w:rPr>
        <w:t xml:space="preserve">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78D3BBB4"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2039FD2D" w14:textId="02ABF626" w:rsidR="00470176" w:rsidRPr="00470176" w:rsidRDefault="00C67867" w:rsidP="00C6786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should refer to Section </w:t>
      </w:r>
      <w:r w:rsidR="00470176">
        <w:rPr>
          <w:rFonts w:ascii="Arial" w:hAnsi="Arial" w:cs="Arial"/>
          <w:color w:val="7B7B7B" w:themeColor="accent3" w:themeShade="BF"/>
          <w:sz w:val="22"/>
          <w:szCs w:val="22"/>
          <w:lang w:val="en-GB"/>
        </w:rPr>
        <w:t>245 of the Insolvency Act 1986 (</w:t>
      </w:r>
      <w:r w:rsidR="00470176">
        <w:rPr>
          <w:rFonts w:ascii="Arial" w:hAnsi="Arial" w:cs="Arial"/>
          <w:b/>
          <w:bCs/>
          <w:color w:val="7B7B7B" w:themeColor="accent3" w:themeShade="BF"/>
          <w:sz w:val="22"/>
          <w:szCs w:val="22"/>
          <w:lang w:val="en-GB"/>
        </w:rPr>
        <w:t>“S245”</w:t>
      </w:r>
      <w:r w:rsidR="00470176">
        <w:rPr>
          <w:rFonts w:ascii="Arial" w:hAnsi="Arial" w:cs="Arial"/>
          <w:color w:val="7B7B7B" w:themeColor="accent3" w:themeShade="BF"/>
          <w:sz w:val="22"/>
          <w:szCs w:val="22"/>
          <w:lang w:val="en-GB"/>
        </w:rPr>
        <w:t xml:space="preserve">) which relates to the avoidance of certain floating charges in the context of liquidations and provides that any </w:t>
      </w:r>
      <w:r w:rsidR="00470176">
        <w:rPr>
          <w:rFonts w:ascii="Arial" w:hAnsi="Arial" w:cs="Arial"/>
          <w:color w:val="7B7B7B" w:themeColor="accent3" w:themeShade="BF"/>
          <w:sz w:val="22"/>
          <w:szCs w:val="22"/>
          <w:lang w:val="en-GB"/>
        </w:rPr>
        <w:lastRenderedPageBreak/>
        <w:t xml:space="preserve">floating charge created within a specified period of the onset of insolvency is void </w:t>
      </w:r>
      <w:r w:rsidR="00032EEA">
        <w:rPr>
          <w:rFonts w:ascii="Arial" w:hAnsi="Arial" w:cs="Arial"/>
          <w:color w:val="7B7B7B" w:themeColor="accent3" w:themeShade="BF"/>
          <w:sz w:val="22"/>
          <w:szCs w:val="22"/>
          <w:lang w:val="en-GB"/>
        </w:rPr>
        <w:t>except to the extent that value is provided to the company at the same time as, or after, the creation of the charge</w:t>
      </w:r>
      <w:r w:rsidR="00470176">
        <w:rPr>
          <w:rFonts w:ascii="Arial" w:hAnsi="Arial" w:cs="Arial"/>
          <w:color w:val="7B7B7B" w:themeColor="accent3" w:themeShade="BF"/>
          <w:sz w:val="22"/>
          <w:szCs w:val="22"/>
          <w:lang w:val="en-GB"/>
        </w:rPr>
        <w:t>.</w:t>
      </w:r>
      <w:r w:rsidR="00470176">
        <w:rPr>
          <w:rStyle w:val="FootnoteReference"/>
          <w:rFonts w:ascii="Arial" w:hAnsi="Arial" w:cs="Arial"/>
          <w:color w:val="7B7B7B" w:themeColor="accent3" w:themeShade="BF"/>
          <w:sz w:val="22"/>
          <w:szCs w:val="22"/>
          <w:lang w:val="en-GB"/>
        </w:rPr>
        <w:footnoteReference w:id="16"/>
      </w:r>
    </w:p>
    <w:p w14:paraId="3879428A" w14:textId="49363C29" w:rsidR="00470176" w:rsidRDefault="00470176" w:rsidP="00C67867">
      <w:pPr>
        <w:autoSpaceDE w:val="0"/>
        <w:autoSpaceDN w:val="0"/>
        <w:adjustRightInd w:val="0"/>
        <w:jc w:val="both"/>
        <w:rPr>
          <w:rFonts w:ascii="Arial" w:hAnsi="Arial" w:cs="Arial"/>
          <w:color w:val="7B7B7B" w:themeColor="accent3" w:themeShade="BF"/>
          <w:sz w:val="22"/>
          <w:szCs w:val="22"/>
          <w:lang w:val="en-GB"/>
        </w:rPr>
      </w:pPr>
    </w:p>
    <w:p w14:paraId="40AEBEAC" w14:textId="3DCEDE8B" w:rsidR="00032EEA" w:rsidRDefault="00032EEA" w:rsidP="00C6786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S245(3) defines the specified period as being within 2 years of the onset of insolvency where charges are granted in favour of a connected person or within 12 months of the onset of insolvency where charges are granted in favour of any other person.  In the instance of a person who is not connected to the company, there is an additional requirement pursuant to S245(4) that the company be unable to pay its debts or becomes unable to pay its debts in consequence of the transaction under which the charge was granted.</w:t>
      </w:r>
      <w:r w:rsidR="004D6E31">
        <w:rPr>
          <w:rFonts w:ascii="Arial" w:hAnsi="Arial" w:cs="Arial"/>
          <w:color w:val="7B7B7B" w:themeColor="accent3" w:themeShade="BF"/>
          <w:sz w:val="22"/>
          <w:szCs w:val="22"/>
          <w:lang w:val="en-GB"/>
        </w:rPr>
        <w:t xml:space="preserve">  In the context of liquidations, the onset of insolvency is defined as the date of commencement of the liquidation.</w:t>
      </w:r>
      <w:r>
        <w:rPr>
          <w:rStyle w:val="FootnoteReference"/>
          <w:rFonts w:ascii="Arial" w:hAnsi="Arial" w:cs="Arial"/>
          <w:color w:val="7B7B7B" w:themeColor="accent3" w:themeShade="BF"/>
          <w:sz w:val="22"/>
          <w:szCs w:val="22"/>
          <w:lang w:val="en-GB"/>
        </w:rPr>
        <w:footnoteReference w:id="17"/>
      </w:r>
    </w:p>
    <w:p w14:paraId="21AC75A4" w14:textId="0FC8125F" w:rsidR="00032EEA" w:rsidRDefault="00032EEA" w:rsidP="00C67867">
      <w:pPr>
        <w:autoSpaceDE w:val="0"/>
        <w:autoSpaceDN w:val="0"/>
        <w:adjustRightInd w:val="0"/>
        <w:jc w:val="both"/>
        <w:rPr>
          <w:rFonts w:ascii="Arial" w:hAnsi="Arial" w:cs="Arial"/>
          <w:color w:val="7B7B7B" w:themeColor="accent3" w:themeShade="BF"/>
          <w:sz w:val="22"/>
          <w:szCs w:val="22"/>
          <w:lang w:val="en-GB"/>
        </w:rPr>
      </w:pPr>
    </w:p>
    <w:p w14:paraId="09759198" w14:textId="1EDEBBE4" w:rsidR="00676551" w:rsidRDefault="00676551" w:rsidP="006765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249 of the Act states that a person is connected with a company if, amongst other things, he (or she) is a director of the company.</w:t>
      </w:r>
      <w:r>
        <w:rPr>
          <w:rStyle w:val="FootnoteReference"/>
          <w:rFonts w:ascii="Arial" w:hAnsi="Arial" w:cs="Arial"/>
          <w:color w:val="7B7B7B" w:themeColor="accent3" w:themeShade="BF"/>
          <w:sz w:val="22"/>
          <w:szCs w:val="22"/>
          <w:lang w:val="en-GB"/>
        </w:rPr>
        <w:footnoteReference w:id="18"/>
      </w:r>
      <w:r>
        <w:rPr>
          <w:rFonts w:ascii="Arial" w:hAnsi="Arial" w:cs="Arial"/>
          <w:color w:val="7B7B7B" w:themeColor="accent3" w:themeShade="BF"/>
          <w:sz w:val="22"/>
          <w:szCs w:val="22"/>
          <w:lang w:val="en-GB"/>
        </w:rPr>
        <w:t xml:space="preserve">  In this case, </w:t>
      </w:r>
      <w:r>
        <w:rPr>
          <w:rFonts w:ascii="Arial" w:hAnsi="Arial" w:cs="Arial"/>
          <w:color w:val="7B7B7B" w:themeColor="accent3" w:themeShade="BF"/>
          <w:sz w:val="22"/>
          <w:szCs w:val="22"/>
          <w:lang w:val="en-GB"/>
        </w:rPr>
        <w:t>Stercus Bank plc (</w:t>
      </w:r>
      <w:r>
        <w:rPr>
          <w:rFonts w:ascii="Arial" w:hAnsi="Arial" w:cs="Arial"/>
          <w:b/>
          <w:bCs/>
          <w:color w:val="7B7B7B" w:themeColor="accent3" w:themeShade="BF"/>
          <w:sz w:val="22"/>
          <w:szCs w:val="22"/>
          <w:lang w:val="en-GB"/>
        </w:rPr>
        <w:t>“Stercus”</w:t>
      </w:r>
      <w:r>
        <w:rPr>
          <w:rFonts w:ascii="Arial" w:hAnsi="Arial" w:cs="Arial"/>
          <w:color w:val="7B7B7B" w:themeColor="accent3" w:themeShade="BF"/>
          <w:sz w:val="22"/>
          <w:szCs w:val="22"/>
          <w:lang w:val="en-GB"/>
        </w:rPr>
        <w:t>) would not be considered a connected party.</w:t>
      </w:r>
    </w:p>
    <w:p w14:paraId="23886914" w14:textId="77777777" w:rsidR="00676551" w:rsidRDefault="00676551" w:rsidP="00C67867">
      <w:pPr>
        <w:autoSpaceDE w:val="0"/>
        <w:autoSpaceDN w:val="0"/>
        <w:adjustRightInd w:val="0"/>
        <w:jc w:val="both"/>
        <w:rPr>
          <w:rFonts w:ascii="Arial" w:hAnsi="Arial" w:cs="Arial"/>
          <w:color w:val="7B7B7B" w:themeColor="accent3" w:themeShade="BF"/>
          <w:sz w:val="22"/>
          <w:szCs w:val="22"/>
          <w:lang w:val="en-GB"/>
        </w:rPr>
      </w:pPr>
    </w:p>
    <w:p w14:paraId="2F50DC9F" w14:textId="70386945" w:rsidR="00FF5098" w:rsidRDefault="00032EEA" w:rsidP="004D6E3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main scenarios </w:t>
      </w:r>
      <w:r w:rsidR="004D6E31">
        <w:rPr>
          <w:rFonts w:ascii="Arial" w:hAnsi="Arial" w:cs="Arial"/>
          <w:color w:val="7B7B7B" w:themeColor="accent3" w:themeShade="BF"/>
          <w:sz w:val="22"/>
          <w:szCs w:val="22"/>
          <w:lang w:val="en-GB"/>
        </w:rPr>
        <w:t xml:space="preserve">which would be considered as the new provision of value in exchange for the charge pursuant to </w:t>
      </w:r>
      <w:r>
        <w:rPr>
          <w:rFonts w:ascii="Arial" w:hAnsi="Arial" w:cs="Arial"/>
          <w:color w:val="7B7B7B" w:themeColor="accent3" w:themeShade="BF"/>
          <w:sz w:val="22"/>
          <w:szCs w:val="22"/>
          <w:lang w:val="en-GB"/>
        </w:rPr>
        <w:t xml:space="preserve">S245(2) </w:t>
      </w:r>
      <w:r w:rsidR="004D6E31">
        <w:rPr>
          <w:rFonts w:ascii="Arial" w:hAnsi="Arial" w:cs="Arial"/>
          <w:color w:val="7B7B7B" w:themeColor="accent3" w:themeShade="BF"/>
          <w:sz w:val="22"/>
          <w:szCs w:val="22"/>
          <w:lang w:val="en-GB"/>
        </w:rPr>
        <w:t>are:</w:t>
      </w:r>
      <w:r w:rsidR="004D6E31">
        <w:rPr>
          <w:rStyle w:val="FootnoteReference"/>
          <w:rFonts w:ascii="Arial" w:hAnsi="Arial" w:cs="Arial"/>
          <w:color w:val="7B7B7B" w:themeColor="accent3" w:themeShade="BF"/>
          <w:sz w:val="22"/>
          <w:szCs w:val="22"/>
          <w:lang w:val="en-GB"/>
        </w:rPr>
        <w:footnoteReference w:id="19"/>
      </w:r>
    </w:p>
    <w:p w14:paraId="3422D3D9" w14:textId="78868114" w:rsidR="004D6E31" w:rsidRPr="004D6E31" w:rsidRDefault="004D6E31" w:rsidP="004D6E31">
      <w:pPr>
        <w:pStyle w:val="ListParagraph"/>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value of so much of </w:t>
      </w:r>
      <w:r w:rsidRPr="004D6E31">
        <w:rPr>
          <w:rFonts w:ascii="Arial" w:hAnsi="Arial" w:cs="Arial"/>
          <w:color w:val="7B7B7B" w:themeColor="accent3" w:themeShade="BF"/>
          <w:sz w:val="22"/>
          <w:szCs w:val="22"/>
          <w:lang w:val="en-GB"/>
        </w:rPr>
        <w:t>the consideration for the creation of the charge as consists of money paid, or goods or services supplied, to the company at the same time as, or after, the creation of the charge</w:t>
      </w:r>
      <w:r>
        <w:rPr>
          <w:rFonts w:ascii="Arial" w:hAnsi="Arial" w:cs="Arial"/>
          <w:color w:val="7B7B7B" w:themeColor="accent3" w:themeShade="BF"/>
          <w:sz w:val="22"/>
          <w:szCs w:val="22"/>
          <w:lang w:val="en-GB"/>
        </w:rPr>
        <w:t>; and,</w:t>
      </w:r>
    </w:p>
    <w:p w14:paraId="3880D47B" w14:textId="77777777" w:rsidR="004D6E31" w:rsidRDefault="004D6E31" w:rsidP="004D6E31">
      <w:pPr>
        <w:pStyle w:val="ListParagraph"/>
        <w:autoSpaceDE w:val="0"/>
        <w:autoSpaceDN w:val="0"/>
        <w:adjustRightInd w:val="0"/>
        <w:jc w:val="both"/>
        <w:rPr>
          <w:rFonts w:ascii="Arial" w:hAnsi="Arial" w:cs="Arial"/>
          <w:color w:val="7B7B7B" w:themeColor="accent3" w:themeShade="BF"/>
          <w:sz w:val="22"/>
          <w:szCs w:val="22"/>
          <w:lang w:val="en-GB"/>
        </w:rPr>
      </w:pPr>
    </w:p>
    <w:p w14:paraId="3F2B7321" w14:textId="5819670E" w:rsidR="004D6E31" w:rsidRDefault="004D6E31" w:rsidP="004D6E31">
      <w:pPr>
        <w:pStyle w:val="ListParagraph"/>
        <w:numPr>
          <w:ilvl w:val="0"/>
          <w:numId w:val="32"/>
        </w:numPr>
        <w:autoSpaceDE w:val="0"/>
        <w:autoSpaceDN w:val="0"/>
        <w:adjustRightInd w:val="0"/>
        <w:jc w:val="both"/>
        <w:rPr>
          <w:rFonts w:ascii="Arial" w:hAnsi="Arial" w:cs="Arial"/>
          <w:color w:val="7B7B7B" w:themeColor="accent3" w:themeShade="BF"/>
          <w:sz w:val="22"/>
          <w:szCs w:val="22"/>
          <w:lang w:val="en-GB"/>
        </w:rPr>
      </w:pPr>
      <w:r w:rsidRPr="004D6E31">
        <w:rPr>
          <w:rFonts w:ascii="Arial" w:hAnsi="Arial" w:cs="Arial"/>
          <w:color w:val="7B7B7B" w:themeColor="accent3" w:themeShade="BF"/>
          <w:sz w:val="22"/>
          <w:szCs w:val="22"/>
          <w:lang w:val="en-GB"/>
        </w:rPr>
        <w:t>the value of so much of that consideration as consists of the discharge or reduction, at the same time as, or after, the creation of the charge, of any debt of the company</w:t>
      </w:r>
      <w:r>
        <w:rPr>
          <w:rFonts w:ascii="Arial" w:hAnsi="Arial" w:cs="Arial"/>
          <w:color w:val="7B7B7B" w:themeColor="accent3" w:themeShade="BF"/>
          <w:sz w:val="22"/>
          <w:szCs w:val="22"/>
          <w:lang w:val="en-GB"/>
        </w:rPr>
        <w:t xml:space="preserve">. </w:t>
      </w:r>
    </w:p>
    <w:p w14:paraId="6DC09C2E" w14:textId="77777777" w:rsidR="00676551" w:rsidRPr="00676551" w:rsidRDefault="00676551" w:rsidP="00676551">
      <w:pPr>
        <w:pStyle w:val="ListParagraph"/>
        <w:rPr>
          <w:rFonts w:ascii="Arial" w:hAnsi="Arial" w:cs="Arial"/>
          <w:color w:val="7B7B7B" w:themeColor="accent3" w:themeShade="BF"/>
          <w:sz w:val="22"/>
          <w:szCs w:val="22"/>
          <w:lang w:val="en-GB"/>
        </w:rPr>
      </w:pPr>
    </w:p>
    <w:p w14:paraId="50701A15" w14:textId="23A11BCB" w:rsidR="00E474AF" w:rsidRDefault="00676551" w:rsidP="0067655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Stercus is not a connected party, the relevant time to take into consideration would be 12 months within the date of commencement of the liquidation.  The liquidation commenced on </w:t>
      </w:r>
      <w:r w:rsidR="00E474AF">
        <w:rPr>
          <w:rFonts w:ascii="Arial" w:hAnsi="Arial" w:cs="Arial"/>
          <w:color w:val="7B7B7B" w:themeColor="accent3" w:themeShade="BF"/>
          <w:sz w:val="22"/>
          <w:szCs w:val="22"/>
          <w:lang w:val="en-GB"/>
        </w:rPr>
        <w:t>14 October</w:t>
      </w:r>
      <w:r>
        <w:rPr>
          <w:rFonts w:ascii="Arial" w:hAnsi="Arial" w:cs="Arial"/>
          <w:color w:val="7B7B7B" w:themeColor="accent3" w:themeShade="BF"/>
          <w:sz w:val="22"/>
          <w:szCs w:val="22"/>
          <w:lang w:val="en-GB"/>
        </w:rPr>
        <w:t xml:space="preserve"> 2021 and the charge was granted in February 2021; as the charge was granted within 12 months of the commencement of liquidation, the timing requirement is satisfied.  Based on the facts of the case, no new consideration was provided at the same time as, or after, the creation of the charge.  </w:t>
      </w:r>
    </w:p>
    <w:p w14:paraId="23859D2B" w14:textId="77777777" w:rsidR="00E474AF" w:rsidRDefault="00E474AF" w:rsidP="00676551">
      <w:pPr>
        <w:autoSpaceDE w:val="0"/>
        <w:autoSpaceDN w:val="0"/>
        <w:adjustRightInd w:val="0"/>
        <w:jc w:val="both"/>
        <w:rPr>
          <w:rFonts w:ascii="Arial" w:hAnsi="Arial" w:cs="Arial"/>
          <w:color w:val="7B7B7B" w:themeColor="accent3" w:themeShade="BF"/>
          <w:sz w:val="22"/>
          <w:szCs w:val="22"/>
          <w:lang w:val="en-GB"/>
        </w:rPr>
      </w:pPr>
    </w:p>
    <w:p w14:paraId="769A7C3F" w14:textId="273CD6D7" w:rsidR="00676551" w:rsidRDefault="00E474AF" w:rsidP="0067655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based on the facts of the case, it appears that the Company was unable to pay its debts.  This conclusion is based on the fact that the Company granted the floating charge to prevent Stercus from demanding repayment of the Company’s loans suggesting that it was, at the time, unable to pay such loans.  Given that all requirements of S245 appear to have been met, the floating charge would be deemed invalid.</w:t>
      </w:r>
    </w:p>
    <w:p w14:paraId="743CD67C" w14:textId="77777777" w:rsidR="00676551" w:rsidRDefault="00676551" w:rsidP="00676551">
      <w:pPr>
        <w:autoSpaceDE w:val="0"/>
        <w:autoSpaceDN w:val="0"/>
        <w:adjustRightInd w:val="0"/>
        <w:jc w:val="both"/>
        <w:rPr>
          <w:rFonts w:ascii="Arial" w:hAnsi="Arial" w:cs="Arial"/>
          <w:color w:val="7B7B7B" w:themeColor="accent3" w:themeShade="BF"/>
          <w:sz w:val="22"/>
          <w:szCs w:val="22"/>
          <w:lang w:val="en-GB"/>
        </w:rPr>
      </w:pPr>
    </w:p>
    <w:p w14:paraId="508A5849" w14:textId="66D8CB4A" w:rsidR="00E474AF" w:rsidRPr="00676551" w:rsidRDefault="00676551" w:rsidP="00E474A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should take note that S245 is automatic</w:t>
      </w:r>
      <w:r w:rsidR="00E474AF">
        <w:rPr>
          <w:rFonts w:ascii="Arial" w:hAnsi="Arial" w:cs="Arial"/>
          <w:color w:val="7B7B7B" w:themeColor="accent3" w:themeShade="BF"/>
          <w:sz w:val="22"/>
          <w:szCs w:val="22"/>
          <w:lang w:val="en-GB"/>
        </w:rPr>
        <w:t xml:space="preserve"> and that even though the floating charge, in this case, is invalid, the loans due to Stercus remain valid.  The difference is that the loans due to Stercus would be treated as unsecured debt rather than debt subject to a floating charge.</w:t>
      </w:r>
    </w:p>
    <w:p w14:paraId="4518311D" w14:textId="77777777" w:rsidR="004D6E31" w:rsidRDefault="004D6E31" w:rsidP="007E2919">
      <w:pPr>
        <w:rPr>
          <w:rFonts w:ascii="Arial" w:hAnsi="Arial" w:cs="Arial"/>
          <w:b/>
          <w:sz w:val="24"/>
        </w:rPr>
      </w:pPr>
    </w:p>
    <w:p w14:paraId="48BB6264" w14:textId="77777777" w:rsidR="00E474AF" w:rsidRDefault="00E474AF">
      <w:pPr>
        <w:rPr>
          <w:rFonts w:ascii="Arial" w:hAnsi="Arial" w:cs="Arial"/>
          <w:b/>
          <w:sz w:val="24"/>
        </w:rPr>
      </w:pPr>
      <w:r>
        <w:rPr>
          <w:rFonts w:ascii="Arial" w:hAnsi="Arial" w:cs="Arial"/>
          <w:b/>
          <w:sz w:val="24"/>
        </w:rPr>
        <w:br w:type="page"/>
      </w:r>
    </w:p>
    <w:p w14:paraId="0E549215" w14:textId="25FBD231" w:rsidR="007E2919" w:rsidRDefault="007E2919" w:rsidP="007E2919">
      <w:pPr>
        <w:rPr>
          <w:rFonts w:ascii="Arial" w:hAnsi="Arial" w:cs="Arial"/>
          <w:b/>
          <w:sz w:val="24"/>
        </w:rPr>
      </w:pPr>
      <w:r>
        <w:rPr>
          <w:rFonts w:ascii="Arial" w:hAnsi="Arial" w:cs="Arial"/>
          <w:b/>
          <w:sz w:val="24"/>
        </w:rPr>
        <w:lastRenderedPageBreak/>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233712C9" w:rsidR="00FF5098" w:rsidRDefault="00B14F2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the coffee roasting machines, the liquidator should refer to Section 238 of the Act </w:t>
      </w:r>
      <w:r w:rsidR="008D1A9D">
        <w:rPr>
          <w:rFonts w:ascii="Arial" w:hAnsi="Arial" w:cs="Arial"/>
          <w:color w:val="7B7B7B" w:themeColor="accent3" w:themeShade="BF"/>
          <w:sz w:val="22"/>
          <w:szCs w:val="22"/>
          <w:lang w:val="en-GB"/>
        </w:rPr>
        <w:t>(</w:t>
      </w:r>
      <w:r w:rsidR="008D1A9D">
        <w:rPr>
          <w:rFonts w:ascii="Arial" w:hAnsi="Arial" w:cs="Arial"/>
          <w:b/>
          <w:bCs/>
          <w:color w:val="7B7B7B" w:themeColor="accent3" w:themeShade="BF"/>
          <w:sz w:val="22"/>
          <w:szCs w:val="22"/>
          <w:lang w:val="en-GB"/>
        </w:rPr>
        <w:t>“S238”</w:t>
      </w:r>
      <w:r w:rsidR="008D1A9D">
        <w:rPr>
          <w:rFonts w:ascii="Arial" w:hAnsi="Arial" w:cs="Arial"/>
          <w:color w:val="7B7B7B" w:themeColor="accent3" w:themeShade="BF"/>
          <w:sz w:val="22"/>
          <w:szCs w:val="22"/>
          <w:lang w:val="en-GB"/>
        </w:rPr>
        <w:t xml:space="preserve">) </w:t>
      </w:r>
      <w:r w:rsidR="000F2E4D">
        <w:rPr>
          <w:rFonts w:ascii="Arial" w:hAnsi="Arial" w:cs="Arial"/>
          <w:color w:val="7B7B7B" w:themeColor="accent3" w:themeShade="BF"/>
          <w:sz w:val="22"/>
          <w:szCs w:val="22"/>
          <w:lang w:val="en-GB"/>
        </w:rPr>
        <w:t>which covers transactions considered to be completed at an undervalue and states that such a transaction includes one where the company receives a consideration</w:t>
      </w:r>
      <w:r w:rsidR="00240083">
        <w:rPr>
          <w:rFonts w:ascii="Arial" w:hAnsi="Arial" w:cs="Arial"/>
          <w:color w:val="7B7B7B" w:themeColor="accent3" w:themeShade="BF"/>
          <w:sz w:val="22"/>
          <w:szCs w:val="22"/>
          <w:lang w:val="en-GB"/>
        </w:rPr>
        <w:t>,</w:t>
      </w:r>
      <w:r w:rsidR="000F2E4D">
        <w:rPr>
          <w:rFonts w:ascii="Arial" w:hAnsi="Arial" w:cs="Arial"/>
          <w:color w:val="7B7B7B" w:themeColor="accent3" w:themeShade="BF"/>
          <w:sz w:val="22"/>
          <w:szCs w:val="22"/>
          <w:lang w:val="en-GB"/>
        </w:rPr>
        <w:t xml:space="preserve"> the value of which is significantly less than the value of the consideration provided by the company.</w:t>
      </w:r>
      <w:r w:rsidR="000F2E4D">
        <w:rPr>
          <w:rStyle w:val="FootnoteReference"/>
          <w:rFonts w:ascii="Arial" w:hAnsi="Arial" w:cs="Arial"/>
          <w:color w:val="7B7B7B" w:themeColor="accent3" w:themeShade="BF"/>
          <w:sz w:val="22"/>
          <w:szCs w:val="22"/>
          <w:lang w:val="en-GB"/>
        </w:rPr>
        <w:footnoteReference w:id="20"/>
      </w:r>
    </w:p>
    <w:p w14:paraId="71994DFD" w14:textId="2151C9F0" w:rsidR="000F2E4D" w:rsidRDefault="000F2E4D" w:rsidP="00FF5098">
      <w:pPr>
        <w:jc w:val="both"/>
        <w:rPr>
          <w:rFonts w:ascii="Arial" w:hAnsi="Arial" w:cs="Arial"/>
          <w:color w:val="7B7B7B" w:themeColor="accent3" w:themeShade="BF"/>
          <w:sz w:val="22"/>
          <w:szCs w:val="22"/>
          <w:lang w:val="en-GB"/>
        </w:rPr>
      </w:pPr>
    </w:p>
    <w:p w14:paraId="11FBBE1C" w14:textId="4CD51843" w:rsidR="000D4B96" w:rsidRDefault="000F2E4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transaction to be considered as one at an undervalue, Section 240 of the Act </w:t>
      </w:r>
      <w:r w:rsidR="000D4B96">
        <w:rPr>
          <w:rFonts w:ascii="Arial" w:hAnsi="Arial" w:cs="Arial"/>
          <w:color w:val="7B7B7B" w:themeColor="accent3" w:themeShade="BF"/>
          <w:sz w:val="22"/>
          <w:szCs w:val="22"/>
          <w:lang w:val="en-GB"/>
        </w:rPr>
        <w:t>(</w:t>
      </w:r>
      <w:r w:rsidR="000D4B96">
        <w:rPr>
          <w:rFonts w:ascii="Arial" w:hAnsi="Arial" w:cs="Arial"/>
          <w:b/>
          <w:bCs/>
          <w:color w:val="7B7B7B" w:themeColor="accent3" w:themeShade="BF"/>
          <w:sz w:val="22"/>
          <w:szCs w:val="22"/>
          <w:lang w:val="en-GB"/>
        </w:rPr>
        <w:t>“S240”</w:t>
      </w:r>
      <w:r w:rsidR="000D4B9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states that the transaction must have been completed within 2 years prior to the commencement of the liquidation.</w:t>
      </w:r>
      <w:r w:rsidR="000D4B96" w:rsidRPr="000D4B96">
        <w:rPr>
          <w:rStyle w:val="FootnoteReference"/>
          <w:rFonts w:ascii="Arial" w:hAnsi="Arial" w:cs="Arial"/>
          <w:color w:val="7B7B7B" w:themeColor="accent3" w:themeShade="BF"/>
          <w:sz w:val="22"/>
          <w:szCs w:val="22"/>
          <w:lang w:val="en-GB"/>
        </w:rPr>
        <w:t xml:space="preserve"> </w:t>
      </w:r>
      <w:r w:rsidR="000D4B96">
        <w:rPr>
          <w:rStyle w:val="FootnoteReference"/>
          <w:rFonts w:ascii="Arial" w:hAnsi="Arial" w:cs="Arial"/>
          <w:color w:val="7B7B7B" w:themeColor="accent3" w:themeShade="BF"/>
          <w:sz w:val="22"/>
          <w:szCs w:val="22"/>
          <w:lang w:val="en-GB"/>
        </w:rPr>
        <w:footnoteReference w:id="21"/>
      </w:r>
      <w:r w:rsidR="000D4B96">
        <w:rPr>
          <w:rFonts w:ascii="Arial" w:hAnsi="Arial" w:cs="Arial"/>
          <w:color w:val="7B7B7B" w:themeColor="accent3" w:themeShade="BF"/>
          <w:sz w:val="22"/>
          <w:szCs w:val="22"/>
          <w:lang w:val="en-GB"/>
        </w:rPr>
        <w:t xml:space="preserve">  The sale of the coffee roasting machines was completed in July 2021 and the Company was placed into compulsory liquidator on 23 December 2021.  Therefore, the transaction </w:t>
      </w:r>
      <w:r w:rsidR="00240083">
        <w:rPr>
          <w:rFonts w:ascii="Arial" w:hAnsi="Arial" w:cs="Arial"/>
          <w:color w:val="7B7B7B" w:themeColor="accent3" w:themeShade="BF"/>
          <w:sz w:val="22"/>
          <w:szCs w:val="22"/>
          <w:lang w:val="en-GB"/>
        </w:rPr>
        <w:t>satisfies this requirement.</w:t>
      </w:r>
    </w:p>
    <w:p w14:paraId="2DDED4DC" w14:textId="77777777" w:rsidR="000D4B96" w:rsidRDefault="000D4B96" w:rsidP="00FF5098">
      <w:pPr>
        <w:jc w:val="both"/>
        <w:rPr>
          <w:rFonts w:ascii="Arial" w:hAnsi="Arial" w:cs="Arial"/>
          <w:color w:val="7B7B7B" w:themeColor="accent3" w:themeShade="BF"/>
          <w:sz w:val="22"/>
          <w:szCs w:val="22"/>
          <w:lang w:val="en-GB"/>
        </w:rPr>
      </w:pPr>
    </w:p>
    <w:p w14:paraId="59BCCCBC" w14:textId="110CB5DD" w:rsidR="000F2E4D" w:rsidRDefault="000D4B9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S240 further provides that in general, a pre-requisite for a transaction to be considered one at an undervalue is for the company to, at the time of the transaction, </w:t>
      </w:r>
      <w:r w:rsidR="00240083">
        <w:rPr>
          <w:rFonts w:ascii="Arial" w:hAnsi="Arial" w:cs="Arial"/>
          <w:color w:val="7B7B7B" w:themeColor="accent3" w:themeShade="BF"/>
          <w:sz w:val="22"/>
          <w:szCs w:val="22"/>
          <w:lang w:val="en-GB"/>
        </w:rPr>
        <w:t xml:space="preserve">be </w:t>
      </w:r>
      <w:r>
        <w:rPr>
          <w:rFonts w:ascii="Arial" w:hAnsi="Arial" w:cs="Arial"/>
          <w:color w:val="7B7B7B" w:themeColor="accent3" w:themeShade="BF"/>
          <w:sz w:val="22"/>
          <w:szCs w:val="22"/>
          <w:lang w:val="en-GB"/>
        </w:rPr>
        <w:t>unable to pay its debts or become unable to pay its debts in consequence of the transaction.  However, in instances where the transaction was conducted with a connected person, it is presumed that the company was unable to pay its debts at the time of the transaction.</w:t>
      </w:r>
      <w:r>
        <w:rPr>
          <w:rStyle w:val="FootnoteReference"/>
          <w:rFonts w:ascii="Arial" w:hAnsi="Arial" w:cs="Arial"/>
          <w:color w:val="7B7B7B" w:themeColor="accent3" w:themeShade="BF"/>
          <w:sz w:val="22"/>
          <w:szCs w:val="22"/>
          <w:lang w:val="en-GB"/>
        </w:rPr>
        <w:footnoteReference w:id="22"/>
      </w:r>
    </w:p>
    <w:p w14:paraId="73083DD5" w14:textId="1E390C91" w:rsidR="000D4B96" w:rsidRDefault="000D4B96" w:rsidP="00FF5098">
      <w:pPr>
        <w:jc w:val="both"/>
        <w:rPr>
          <w:rFonts w:ascii="Arial" w:hAnsi="Arial" w:cs="Arial"/>
          <w:color w:val="7B7B7B" w:themeColor="accent3" w:themeShade="BF"/>
          <w:sz w:val="22"/>
          <w:szCs w:val="22"/>
          <w:lang w:val="en-GB"/>
        </w:rPr>
      </w:pPr>
    </w:p>
    <w:p w14:paraId="0DA3D7A4" w14:textId="0799C52C" w:rsidR="000D4B96" w:rsidRDefault="000D4B9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249 of the Act states that a person is connected with a company if, amongst other things, he (or she) is a director of the company.</w:t>
      </w:r>
      <w:r>
        <w:rPr>
          <w:rStyle w:val="FootnoteReference"/>
          <w:rFonts w:ascii="Arial" w:hAnsi="Arial" w:cs="Arial"/>
          <w:color w:val="7B7B7B" w:themeColor="accent3" w:themeShade="BF"/>
          <w:sz w:val="22"/>
          <w:szCs w:val="22"/>
          <w:lang w:val="en-GB"/>
        </w:rPr>
        <w:footnoteReference w:id="23"/>
      </w:r>
      <w:r>
        <w:rPr>
          <w:rFonts w:ascii="Arial" w:hAnsi="Arial" w:cs="Arial"/>
          <w:color w:val="7B7B7B" w:themeColor="accent3" w:themeShade="BF"/>
          <w:sz w:val="22"/>
          <w:szCs w:val="22"/>
          <w:lang w:val="en-GB"/>
        </w:rPr>
        <w:t xml:space="preserve">  In this case, the coffee roasting machines were sold to Ann Young, a director of the company.  Therefore, Ann is considered a connected party and </w:t>
      </w:r>
      <w:r w:rsidR="00240083">
        <w:rPr>
          <w:rFonts w:ascii="Arial" w:hAnsi="Arial" w:cs="Arial"/>
          <w:color w:val="7B7B7B" w:themeColor="accent3" w:themeShade="BF"/>
          <w:sz w:val="22"/>
          <w:szCs w:val="22"/>
          <w:lang w:val="en-GB"/>
        </w:rPr>
        <w:t>the presumption of insolvency requirement would be met.</w:t>
      </w:r>
    </w:p>
    <w:p w14:paraId="1EFF2C47" w14:textId="3E5270A4" w:rsidR="000D4B96" w:rsidRDefault="000D4B96" w:rsidP="00FF5098">
      <w:pPr>
        <w:jc w:val="both"/>
        <w:rPr>
          <w:rFonts w:ascii="Arial" w:hAnsi="Arial" w:cs="Arial"/>
          <w:color w:val="7B7B7B" w:themeColor="accent3" w:themeShade="BF"/>
          <w:sz w:val="22"/>
          <w:szCs w:val="22"/>
          <w:lang w:val="en-GB"/>
        </w:rPr>
      </w:pPr>
    </w:p>
    <w:p w14:paraId="462A9B27" w14:textId="64574D26" w:rsidR="00240083" w:rsidRDefault="0024008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relevant period and presumption of insolvency requirements would be met pursuant to S240, the liquidator would be in a position to attack the transaction.  Given that the coffee roasting machines were sold for </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10,000 but were purchased for </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25,000 just a year before, </w:t>
      </w:r>
      <w:r w:rsidR="008D1A9D">
        <w:rPr>
          <w:rFonts w:ascii="Arial" w:hAnsi="Arial" w:cs="Arial"/>
          <w:color w:val="7B7B7B" w:themeColor="accent3" w:themeShade="BF"/>
          <w:sz w:val="22"/>
          <w:szCs w:val="22"/>
          <w:lang w:val="en-GB"/>
        </w:rPr>
        <w:t>on face value it would appear that the transaction would qualify as one at an undervalue.  Pursuant to S238(3), if the court is in agreement, it shall make an order as it thinks fit restoring the position to what it would have been if the Company had not entered into that transaction.</w:t>
      </w:r>
      <w:r w:rsidR="008D1A9D">
        <w:rPr>
          <w:rStyle w:val="FootnoteReference"/>
          <w:rFonts w:ascii="Arial" w:hAnsi="Arial" w:cs="Arial"/>
          <w:color w:val="7B7B7B" w:themeColor="accent3" w:themeShade="BF"/>
          <w:sz w:val="22"/>
          <w:szCs w:val="22"/>
          <w:lang w:val="en-GB"/>
        </w:rPr>
        <w:footnoteReference w:id="24"/>
      </w:r>
    </w:p>
    <w:p w14:paraId="68E152FD" w14:textId="77777777" w:rsidR="00240083" w:rsidRDefault="00240083" w:rsidP="00FF5098">
      <w:pPr>
        <w:jc w:val="both"/>
        <w:rPr>
          <w:rFonts w:ascii="Arial" w:hAnsi="Arial" w:cs="Arial"/>
          <w:color w:val="7B7B7B" w:themeColor="accent3" w:themeShade="BF"/>
          <w:sz w:val="22"/>
          <w:szCs w:val="22"/>
          <w:lang w:val="en-GB"/>
        </w:rPr>
      </w:pPr>
    </w:p>
    <w:p w14:paraId="7AEDE530" w14:textId="4F228BD3" w:rsidR="00311816" w:rsidRDefault="008D1A9D" w:rsidP="008D1A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liquidator should keep in mind that Ann, pursuant to S238(5), would be able to make submissions to the court in an attempt to satisfy it that the transaction was entered into in good faith, for the purpose of carrying on the Company’s business, and there were reasonable grounds to believe the transaction would benefit the Company.  If Ann is able to successfully argue these points, the court would not make an order in respect of a transaction at an undervalue.</w:t>
      </w:r>
      <w:r>
        <w:rPr>
          <w:rStyle w:val="FootnoteReference"/>
          <w:rFonts w:ascii="Arial" w:hAnsi="Arial" w:cs="Arial"/>
          <w:color w:val="7B7B7B" w:themeColor="accent3" w:themeShade="BF"/>
          <w:sz w:val="22"/>
          <w:szCs w:val="22"/>
          <w:lang w:val="en-GB"/>
        </w:rPr>
        <w:footnoteReference w:id="25"/>
      </w:r>
      <w:r>
        <w:rPr>
          <w:rFonts w:ascii="Arial" w:hAnsi="Arial" w:cs="Arial"/>
          <w:color w:val="7B7B7B" w:themeColor="accent3" w:themeShade="BF"/>
          <w:sz w:val="22"/>
          <w:szCs w:val="22"/>
          <w:lang w:val="en-GB"/>
        </w:rPr>
        <w:t xml:space="preserve">  </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0D2DC34F" w14:textId="62750335" w:rsidR="00B04033" w:rsidRDefault="000E2ED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should refer to Section 239 of the Act (</w:t>
      </w:r>
      <w:r>
        <w:rPr>
          <w:rFonts w:ascii="Arial" w:hAnsi="Arial" w:cs="Arial"/>
          <w:b/>
          <w:bCs/>
          <w:color w:val="7B7B7B" w:themeColor="accent3" w:themeShade="BF"/>
          <w:sz w:val="22"/>
          <w:szCs w:val="22"/>
          <w:lang w:val="en-GB"/>
        </w:rPr>
        <w:t>“S239”</w:t>
      </w:r>
      <w:r>
        <w:rPr>
          <w:rFonts w:ascii="Arial" w:hAnsi="Arial" w:cs="Arial"/>
          <w:color w:val="7B7B7B" w:themeColor="accent3" w:themeShade="BF"/>
          <w:sz w:val="22"/>
          <w:szCs w:val="22"/>
          <w:lang w:val="en-GB"/>
        </w:rPr>
        <w:t>)</w:t>
      </w:r>
      <w:r w:rsidR="000C2976">
        <w:rPr>
          <w:rFonts w:ascii="Arial" w:hAnsi="Arial" w:cs="Arial"/>
          <w:color w:val="7B7B7B" w:themeColor="accent3" w:themeShade="BF"/>
          <w:sz w:val="22"/>
          <w:szCs w:val="22"/>
          <w:lang w:val="en-GB"/>
        </w:rPr>
        <w:t xml:space="preserve"> which relates to preferences and states that a company gives a preference to a person if that person is one of the company’s creditors and the company does anything or suffers anything to be done which has </w:t>
      </w:r>
      <w:r w:rsidR="000C2976">
        <w:rPr>
          <w:rFonts w:ascii="Arial" w:hAnsi="Arial" w:cs="Arial"/>
          <w:color w:val="7B7B7B" w:themeColor="accent3" w:themeShade="BF"/>
          <w:sz w:val="22"/>
          <w:szCs w:val="22"/>
          <w:lang w:val="en-GB"/>
        </w:rPr>
        <w:lastRenderedPageBreak/>
        <w:t>the effect of putting that person into a position which, in the event of the company going into insolvent liquidation, will be better than the position he would have been in if that thing had not been done.  In addition, S239 requires the liquidator to show that the company was influenced in deciding to give the preference by a desire to produce in relation to the creditor in question</w:t>
      </w:r>
      <w:r w:rsidR="00715E85">
        <w:rPr>
          <w:rFonts w:ascii="Arial" w:hAnsi="Arial" w:cs="Arial"/>
          <w:color w:val="7B7B7B" w:themeColor="accent3" w:themeShade="BF"/>
          <w:sz w:val="22"/>
          <w:szCs w:val="22"/>
          <w:lang w:val="en-GB"/>
        </w:rPr>
        <w:t xml:space="preserve">; the desire to prefer is presumed </w:t>
      </w:r>
      <w:r w:rsidR="00C67867">
        <w:rPr>
          <w:rFonts w:ascii="Arial" w:hAnsi="Arial" w:cs="Arial"/>
          <w:color w:val="7B7B7B" w:themeColor="accent3" w:themeShade="BF"/>
          <w:sz w:val="22"/>
          <w:szCs w:val="22"/>
          <w:lang w:val="en-GB"/>
        </w:rPr>
        <w:t>if the creditor in question is a connected person</w:t>
      </w:r>
      <w:r w:rsidR="000C2976">
        <w:rPr>
          <w:rFonts w:ascii="Arial" w:hAnsi="Arial" w:cs="Arial"/>
          <w:color w:val="7B7B7B" w:themeColor="accent3" w:themeShade="BF"/>
          <w:sz w:val="22"/>
          <w:szCs w:val="22"/>
          <w:lang w:val="en-GB"/>
        </w:rPr>
        <w:t>.</w:t>
      </w:r>
      <w:r w:rsidR="000C2976">
        <w:rPr>
          <w:rStyle w:val="FootnoteReference"/>
          <w:rFonts w:ascii="Arial" w:hAnsi="Arial" w:cs="Arial"/>
          <w:color w:val="7B7B7B" w:themeColor="accent3" w:themeShade="BF"/>
          <w:sz w:val="22"/>
          <w:szCs w:val="22"/>
          <w:lang w:val="en-GB"/>
        </w:rPr>
        <w:footnoteReference w:id="26"/>
      </w:r>
    </w:p>
    <w:p w14:paraId="65BD14E9" w14:textId="21D81D2A" w:rsidR="000C2976" w:rsidRDefault="000C2976" w:rsidP="00087F21">
      <w:pPr>
        <w:autoSpaceDE w:val="0"/>
        <w:autoSpaceDN w:val="0"/>
        <w:adjustRightInd w:val="0"/>
        <w:jc w:val="both"/>
        <w:rPr>
          <w:rFonts w:ascii="Arial" w:hAnsi="Arial" w:cs="Arial"/>
          <w:color w:val="7B7B7B" w:themeColor="accent3" w:themeShade="BF"/>
          <w:sz w:val="22"/>
          <w:szCs w:val="22"/>
          <w:lang w:val="en-GB"/>
        </w:rPr>
      </w:pPr>
    </w:p>
    <w:p w14:paraId="7AE3AB06" w14:textId="3E08E6E4" w:rsidR="000C2976" w:rsidRDefault="000C297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transaction to be considered a preference, S240 states that the </w:t>
      </w:r>
      <w:r w:rsidR="000300CD">
        <w:rPr>
          <w:rFonts w:ascii="Arial" w:hAnsi="Arial" w:cs="Arial"/>
          <w:color w:val="7B7B7B" w:themeColor="accent3" w:themeShade="BF"/>
          <w:sz w:val="22"/>
          <w:szCs w:val="22"/>
          <w:lang w:val="en-GB"/>
        </w:rPr>
        <w:t>preference must have been conducted within 2 years of the commencement of the liquidation if made with a connected person and otherwise, within 6 months of the commencement of the liquidation.</w:t>
      </w:r>
      <w:r w:rsidR="000300CD">
        <w:rPr>
          <w:rStyle w:val="FootnoteReference"/>
          <w:rFonts w:ascii="Arial" w:hAnsi="Arial" w:cs="Arial"/>
          <w:color w:val="7B7B7B" w:themeColor="accent3" w:themeShade="BF"/>
          <w:sz w:val="22"/>
          <w:szCs w:val="22"/>
          <w:lang w:val="en-GB"/>
        </w:rPr>
        <w:footnoteReference w:id="27"/>
      </w:r>
    </w:p>
    <w:p w14:paraId="2E2221E8" w14:textId="6E7B9293" w:rsidR="00A668E6" w:rsidRDefault="00A668E6" w:rsidP="00087F21">
      <w:pPr>
        <w:autoSpaceDE w:val="0"/>
        <w:autoSpaceDN w:val="0"/>
        <w:adjustRightInd w:val="0"/>
        <w:jc w:val="both"/>
        <w:rPr>
          <w:rFonts w:ascii="Arial" w:hAnsi="Arial" w:cs="Arial"/>
          <w:color w:val="7B7B7B" w:themeColor="accent3" w:themeShade="BF"/>
          <w:sz w:val="22"/>
          <w:szCs w:val="22"/>
          <w:lang w:val="en-GB"/>
        </w:rPr>
      </w:pPr>
    </w:p>
    <w:p w14:paraId="122D13AE" w14:textId="498CE462" w:rsidR="00A668E6" w:rsidRDefault="00A668E6" w:rsidP="00A668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S240 further provides that in general, a pre-requisite for a transaction to be considered </w:t>
      </w:r>
      <w:r>
        <w:rPr>
          <w:rFonts w:ascii="Arial" w:hAnsi="Arial" w:cs="Arial"/>
          <w:color w:val="7B7B7B" w:themeColor="accent3" w:themeShade="BF"/>
          <w:sz w:val="22"/>
          <w:szCs w:val="22"/>
          <w:lang w:val="en-GB"/>
        </w:rPr>
        <w:t>a preference</w:t>
      </w:r>
      <w:r>
        <w:rPr>
          <w:rFonts w:ascii="Arial" w:hAnsi="Arial" w:cs="Arial"/>
          <w:color w:val="7B7B7B" w:themeColor="accent3" w:themeShade="BF"/>
          <w:sz w:val="22"/>
          <w:szCs w:val="22"/>
          <w:lang w:val="en-GB"/>
        </w:rPr>
        <w:t xml:space="preserve"> is for the company to, at the time of the transaction, be unable to pay its debts or become unable to pay its debts in consequence of the transaction.  However, in instances where the transaction was conducted with a connected person, it is presumed that the company was unable to pay its debts at the time of the transaction.</w:t>
      </w:r>
      <w:r>
        <w:rPr>
          <w:rStyle w:val="FootnoteReference"/>
          <w:rFonts w:ascii="Arial" w:hAnsi="Arial" w:cs="Arial"/>
          <w:color w:val="7B7B7B" w:themeColor="accent3" w:themeShade="BF"/>
          <w:sz w:val="22"/>
          <w:szCs w:val="22"/>
          <w:lang w:val="en-GB"/>
        </w:rPr>
        <w:footnoteReference w:id="28"/>
      </w:r>
    </w:p>
    <w:p w14:paraId="1B66315F" w14:textId="3A80D0C5" w:rsidR="000300CD" w:rsidRDefault="000300CD" w:rsidP="00087F21">
      <w:pPr>
        <w:autoSpaceDE w:val="0"/>
        <w:autoSpaceDN w:val="0"/>
        <w:adjustRightInd w:val="0"/>
        <w:jc w:val="both"/>
        <w:rPr>
          <w:rFonts w:ascii="Arial" w:hAnsi="Arial" w:cs="Arial"/>
          <w:color w:val="7B7B7B" w:themeColor="accent3" w:themeShade="BF"/>
          <w:sz w:val="22"/>
          <w:szCs w:val="22"/>
          <w:lang w:val="en-GB"/>
        </w:rPr>
      </w:pPr>
    </w:p>
    <w:p w14:paraId="7AD5E570" w14:textId="533A75F8" w:rsidR="000300CD" w:rsidRDefault="000300CD"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249 of the Act defines a connected p</w:t>
      </w:r>
      <w:r w:rsidR="00A668E6">
        <w:rPr>
          <w:rFonts w:ascii="Arial" w:hAnsi="Arial" w:cs="Arial"/>
          <w:color w:val="7B7B7B" w:themeColor="accent3" w:themeShade="BF"/>
          <w:sz w:val="22"/>
          <w:szCs w:val="22"/>
          <w:lang w:val="en-GB"/>
        </w:rPr>
        <w:t>erson</w:t>
      </w:r>
      <w:r>
        <w:rPr>
          <w:rFonts w:ascii="Arial" w:hAnsi="Arial" w:cs="Arial"/>
          <w:color w:val="7B7B7B" w:themeColor="accent3" w:themeShade="BF"/>
          <w:sz w:val="22"/>
          <w:szCs w:val="22"/>
          <w:lang w:val="en-GB"/>
        </w:rPr>
        <w:t xml:space="preserve"> as a director or shadow director or associate of such director or shadow director, or an associate of the company.</w:t>
      </w:r>
      <w:r>
        <w:rPr>
          <w:rStyle w:val="FootnoteReference"/>
          <w:rFonts w:ascii="Arial" w:hAnsi="Arial" w:cs="Arial"/>
          <w:color w:val="7B7B7B" w:themeColor="accent3" w:themeShade="BF"/>
          <w:sz w:val="22"/>
          <w:szCs w:val="22"/>
          <w:lang w:val="en-GB"/>
        </w:rPr>
        <w:footnoteReference w:id="29"/>
      </w:r>
      <w:r>
        <w:rPr>
          <w:rFonts w:ascii="Arial" w:hAnsi="Arial" w:cs="Arial"/>
          <w:color w:val="7B7B7B" w:themeColor="accent3" w:themeShade="BF"/>
          <w:sz w:val="22"/>
          <w:szCs w:val="22"/>
          <w:lang w:val="en-GB"/>
        </w:rPr>
        <w:t xml:space="preserve"> In this case, Beans and Leaves Ltd (</w:t>
      </w:r>
      <w:r>
        <w:rPr>
          <w:rFonts w:ascii="Arial" w:hAnsi="Arial" w:cs="Arial"/>
          <w:b/>
          <w:bCs/>
          <w:color w:val="7B7B7B" w:themeColor="accent3" w:themeShade="BF"/>
          <w:sz w:val="22"/>
          <w:szCs w:val="22"/>
          <w:lang w:val="en-GB"/>
        </w:rPr>
        <w:t>“BLL”</w:t>
      </w:r>
      <w:r>
        <w:rPr>
          <w:rFonts w:ascii="Arial" w:hAnsi="Arial" w:cs="Arial"/>
          <w:color w:val="7B7B7B" w:themeColor="accent3" w:themeShade="BF"/>
          <w:sz w:val="22"/>
          <w:szCs w:val="22"/>
          <w:lang w:val="en-GB"/>
        </w:rPr>
        <w:t xml:space="preserve">) would not be considered a connected party.  However, the payments were conducted within six months of the commencement of the liquidation so the timing requirement would be met </w:t>
      </w:r>
      <w:r w:rsidR="00C67867">
        <w:rPr>
          <w:rFonts w:ascii="Arial" w:hAnsi="Arial" w:cs="Arial"/>
          <w:color w:val="7B7B7B" w:themeColor="accent3" w:themeShade="BF"/>
          <w:sz w:val="22"/>
          <w:szCs w:val="22"/>
          <w:lang w:val="en-GB"/>
        </w:rPr>
        <w:t>pursuant to S240.</w:t>
      </w:r>
    </w:p>
    <w:p w14:paraId="714DF78D" w14:textId="571EDE13" w:rsidR="000300CD" w:rsidRDefault="000300CD" w:rsidP="00087F21">
      <w:pPr>
        <w:autoSpaceDE w:val="0"/>
        <w:autoSpaceDN w:val="0"/>
        <w:adjustRightInd w:val="0"/>
        <w:jc w:val="both"/>
        <w:rPr>
          <w:rFonts w:ascii="Arial" w:hAnsi="Arial" w:cs="Arial"/>
          <w:color w:val="7B7B7B" w:themeColor="accent3" w:themeShade="BF"/>
          <w:sz w:val="22"/>
          <w:szCs w:val="22"/>
          <w:lang w:val="en-GB"/>
        </w:rPr>
      </w:pPr>
    </w:p>
    <w:p w14:paraId="563A5080" w14:textId="1A5FC258" w:rsidR="000300CD" w:rsidRDefault="000300CD"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burden of proof would be on the liquidator to show that the intention of the Company was to prefer BLL</w:t>
      </w:r>
      <w:r w:rsidR="00A668E6">
        <w:rPr>
          <w:rFonts w:ascii="Arial" w:hAnsi="Arial" w:cs="Arial"/>
          <w:color w:val="7B7B7B" w:themeColor="accent3" w:themeShade="BF"/>
          <w:sz w:val="22"/>
          <w:szCs w:val="22"/>
          <w:lang w:val="en-GB"/>
        </w:rPr>
        <w:t>, which would be the most difficult</w:t>
      </w:r>
      <w:r w:rsidR="002316BB">
        <w:rPr>
          <w:rFonts w:ascii="Arial" w:hAnsi="Arial" w:cs="Arial"/>
          <w:color w:val="7B7B7B" w:themeColor="accent3" w:themeShade="BF"/>
          <w:sz w:val="22"/>
          <w:szCs w:val="22"/>
          <w:lang w:val="en-GB"/>
        </w:rPr>
        <w:t xml:space="preserve"> to prove</w:t>
      </w:r>
      <w:r>
        <w:rPr>
          <w:rFonts w:ascii="Arial" w:hAnsi="Arial" w:cs="Arial"/>
          <w:color w:val="7B7B7B" w:themeColor="accent3" w:themeShade="BF"/>
          <w:sz w:val="22"/>
          <w:szCs w:val="22"/>
          <w:lang w:val="en-GB"/>
        </w:rPr>
        <w:t xml:space="preserve">.  </w:t>
      </w:r>
      <w:r w:rsidR="002316BB">
        <w:rPr>
          <w:rFonts w:ascii="Arial" w:hAnsi="Arial" w:cs="Arial"/>
          <w:color w:val="7B7B7B" w:themeColor="accent3" w:themeShade="BF"/>
          <w:sz w:val="22"/>
          <w:szCs w:val="22"/>
          <w:lang w:val="en-GB"/>
        </w:rPr>
        <w:t>To illustrate this difficulty, t</w:t>
      </w:r>
      <w:r>
        <w:rPr>
          <w:rFonts w:ascii="Arial" w:hAnsi="Arial" w:cs="Arial"/>
          <w:color w:val="7B7B7B" w:themeColor="accent3" w:themeShade="BF"/>
          <w:sz w:val="22"/>
          <w:szCs w:val="22"/>
          <w:lang w:val="en-GB"/>
        </w:rPr>
        <w:t>he pressure exerted by BLL in respect of the demand for immediate payment and altering the payments terms to a cash on delivery basis will not be relevant unless the desire to prefer can be proven.</w:t>
      </w:r>
    </w:p>
    <w:p w14:paraId="66AF5BA5" w14:textId="705BB330" w:rsidR="002316BB" w:rsidRDefault="002316BB" w:rsidP="00087F21">
      <w:pPr>
        <w:autoSpaceDE w:val="0"/>
        <w:autoSpaceDN w:val="0"/>
        <w:adjustRightInd w:val="0"/>
        <w:jc w:val="both"/>
        <w:rPr>
          <w:rFonts w:ascii="Arial" w:hAnsi="Arial" w:cs="Arial"/>
          <w:color w:val="7B7B7B" w:themeColor="accent3" w:themeShade="BF"/>
          <w:sz w:val="22"/>
          <w:szCs w:val="22"/>
          <w:lang w:val="en-GB"/>
        </w:rPr>
      </w:pPr>
    </w:p>
    <w:p w14:paraId="08F62802" w14:textId="26F211D3" w:rsidR="002316BB" w:rsidRPr="002316BB" w:rsidRDefault="002316B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Pr>
          <w:rFonts w:ascii="Arial" w:hAnsi="Arial" w:cs="Arial"/>
          <w:i/>
          <w:iCs/>
          <w:color w:val="7B7B7B" w:themeColor="accent3" w:themeShade="BF"/>
          <w:sz w:val="22"/>
          <w:szCs w:val="22"/>
          <w:lang w:val="en-GB"/>
        </w:rPr>
        <w:t>Re MC Bacon Ltd</w:t>
      </w:r>
      <w:r>
        <w:rPr>
          <w:rFonts w:ascii="Arial" w:hAnsi="Arial" w:cs="Arial"/>
          <w:color w:val="7B7B7B" w:themeColor="accent3" w:themeShade="BF"/>
          <w:sz w:val="22"/>
          <w:szCs w:val="22"/>
          <w:lang w:val="en-GB"/>
        </w:rPr>
        <w:t xml:space="preserve">, the liquidator applied to court to have a debenture set aside as a preference.  </w:t>
      </w:r>
      <w:r w:rsidR="008F50B6">
        <w:rPr>
          <w:rFonts w:ascii="Arial" w:hAnsi="Arial" w:cs="Arial"/>
          <w:color w:val="7B7B7B" w:themeColor="accent3" w:themeShade="BF"/>
          <w:sz w:val="22"/>
          <w:szCs w:val="22"/>
          <w:lang w:val="en-GB"/>
        </w:rPr>
        <w:t>It was noted that the bank required the debenture over the company’s fixed and floating assets in exchange for its continued financial support.  At the time, the company was insolvent and if the bank were to withdraw its support, the company would be forced into liquidation.  The presiding judge noted that in deciding to grant the debenture to the bank, the directors’ desire was to avoid going into liquidation and to continue trading; the directors were not found to have a desire to improve the bank’s position as a creditor prior to liquidation.</w:t>
      </w:r>
      <w:r w:rsidR="00C67867">
        <w:rPr>
          <w:rFonts w:ascii="Arial" w:hAnsi="Arial" w:cs="Arial"/>
          <w:color w:val="7B7B7B" w:themeColor="accent3" w:themeShade="BF"/>
          <w:sz w:val="22"/>
          <w:szCs w:val="22"/>
          <w:lang w:val="en-GB"/>
        </w:rPr>
        <w:t xml:space="preserve">  As such, the debenture was not set aside.</w:t>
      </w:r>
      <w:r w:rsidR="00715E85">
        <w:rPr>
          <w:rStyle w:val="FootnoteReference"/>
          <w:rFonts w:ascii="Arial" w:hAnsi="Arial" w:cs="Arial"/>
          <w:color w:val="7B7B7B" w:themeColor="accent3" w:themeShade="BF"/>
          <w:sz w:val="22"/>
          <w:szCs w:val="22"/>
          <w:lang w:val="en-GB"/>
        </w:rPr>
        <w:footnoteReference w:id="30"/>
      </w:r>
      <w:r w:rsidR="008F50B6">
        <w:rPr>
          <w:rFonts w:ascii="Arial" w:hAnsi="Arial" w:cs="Arial"/>
          <w:color w:val="7B7B7B" w:themeColor="accent3" w:themeShade="BF"/>
          <w:sz w:val="22"/>
          <w:szCs w:val="22"/>
          <w:lang w:val="en-GB"/>
        </w:rPr>
        <w:t xml:space="preserve"> </w:t>
      </w:r>
    </w:p>
    <w:p w14:paraId="7754C378" w14:textId="09DBD56C" w:rsidR="002316BB" w:rsidRDefault="002316BB" w:rsidP="00087F21">
      <w:pPr>
        <w:autoSpaceDE w:val="0"/>
        <w:autoSpaceDN w:val="0"/>
        <w:adjustRightInd w:val="0"/>
        <w:jc w:val="both"/>
        <w:rPr>
          <w:rFonts w:ascii="Arial" w:hAnsi="Arial" w:cs="Arial"/>
          <w:color w:val="7B7B7B" w:themeColor="accent3" w:themeShade="BF"/>
          <w:sz w:val="22"/>
          <w:szCs w:val="22"/>
          <w:lang w:val="en-GB"/>
        </w:rPr>
      </w:pPr>
    </w:p>
    <w:p w14:paraId="51974967" w14:textId="0FA5D897" w:rsidR="002316BB" w:rsidRPr="000E2ED7" w:rsidRDefault="00715E8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case illustrates the extreme difficulty in establishing a “desire” to prefer as required by S239</w:t>
      </w:r>
      <w:r w:rsidR="00C67867">
        <w:rPr>
          <w:rFonts w:ascii="Arial" w:hAnsi="Arial" w:cs="Arial"/>
          <w:color w:val="7B7B7B" w:themeColor="accent3" w:themeShade="BF"/>
          <w:sz w:val="22"/>
          <w:szCs w:val="22"/>
          <w:lang w:val="en-GB"/>
        </w:rPr>
        <w:t>.  This is even more difficult</w:t>
      </w:r>
      <w:r>
        <w:rPr>
          <w:rFonts w:ascii="Arial" w:hAnsi="Arial" w:cs="Arial"/>
          <w:color w:val="7B7B7B" w:themeColor="accent3" w:themeShade="BF"/>
          <w:sz w:val="22"/>
          <w:szCs w:val="22"/>
          <w:lang w:val="en-GB"/>
        </w:rPr>
        <w:t xml:space="preserve"> when dealing with arms-length transactions</w:t>
      </w:r>
      <w:r w:rsidR="00C67867">
        <w:rPr>
          <w:rFonts w:ascii="Arial" w:hAnsi="Arial" w:cs="Arial"/>
          <w:color w:val="7B7B7B" w:themeColor="accent3" w:themeShade="BF"/>
          <w:sz w:val="22"/>
          <w:szCs w:val="22"/>
          <w:lang w:val="en-GB"/>
        </w:rPr>
        <w:t xml:space="preserve"> as the burden of proof is on the liquidator and there is no presumption of desire as there is with connected party transactions</w:t>
      </w:r>
      <w:r>
        <w:rPr>
          <w:rFonts w:ascii="Arial" w:hAnsi="Arial" w:cs="Arial"/>
          <w:color w:val="7B7B7B" w:themeColor="accent3" w:themeShade="BF"/>
          <w:sz w:val="22"/>
          <w:szCs w:val="22"/>
          <w:lang w:val="en-GB"/>
        </w:rPr>
        <w:t>.</w:t>
      </w:r>
      <w:r w:rsidR="00C67867">
        <w:rPr>
          <w:rFonts w:ascii="Arial" w:hAnsi="Arial" w:cs="Arial"/>
          <w:color w:val="7B7B7B" w:themeColor="accent3" w:themeShade="BF"/>
          <w:sz w:val="22"/>
          <w:szCs w:val="22"/>
          <w:lang w:val="en-GB"/>
        </w:rPr>
        <w:t xml:space="preserve">  In this case, given that BLL is not a connected party and on face value it appears that the decision to make the payments was for the purpose of preventing liquidation and to continue trading, the liquidator should understand that it is unlikely for a court to set the payments aside as preferences. </w:t>
      </w:r>
      <w:r>
        <w:rPr>
          <w:rFonts w:ascii="Arial" w:hAnsi="Arial" w:cs="Arial"/>
          <w:color w:val="7B7B7B" w:themeColor="accent3" w:themeShade="BF"/>
          <w:sz w:val="22"/>
          <w:szCs w:val="22"/>
          <w:lang w:val="en-GB"/>
        </w:rPr>
        <w:t xml:space="preserve">  </w:t>
      </w:r>
    </w:p>
    <w:p w14:paraId="44B3E893" w14:textId="77777777" w:rsidR="000300CD" w:rsidRDefault="000300CD"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46D4" w14:textId="77777777" w:rsidR="000C0A16" w:rsidRDefault="000C0A16" w:rsidP="00241B44">
      <w:r>
        <w:separator/>
      </w:r>
    </w:p>
  </w:endnote>
  <w:endnote w:type="continuationSeparator" w:id="0">
    <w:p w14:paraId="66D63830" w14:textId="77777777" w:rsidR="000C0A16" w:rsidRDefault="000C0A1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1C80F044" w:rsidR="00241FA3" w:rsidRPr="009B4976" w:rsidRDefault="008923D0" w:rsidP="009B4976">
    <w:pPr>
      <w:pStyle w:val="Footer"/>
      <w:ind w:right="360"/>
      <w:rPr>
        <w:rFonts w:ascii="Arial" w:hAnsi="Arial" w:cs="Arial"/>
        <w:sz w:val="18"/>
        <w:szCs w:val="18"/>
        <w:lang w:val="en-GB"/>
      </w:rPr>
    </w:pPr>
    <w:r w:rsidRPr="00B547A7">
      <w:rPr>
        <w:rFonts w:ascii="Arial" w:hAnsi="Arial" w:cs="Arial"/>
        <w:sz w:val="18"/>
        <w:szCs w:val="18"/>
      </w:rPr>
      <w:t>202122-518</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AC12A" w14:textId="77777777" w:rsidR="000C0A16" w:rsidRDefault="000C0A16" w:rsidP="00241B44">
      <w:r>
        <w:separator/>
      </w:r>
    </w:p>
  </w:footnote>
  <w:footnote w:type="continuationSeparator" w:id="0">
    <w:p w14:paraId="7E23E3D7" w14:textId="77777777" w:rsidR="000C0A16" w:rsidRDefault="000C0A16" w:rsidP="00241B44">
      <w:r>
        <w:continuationSeparator/>
      </w:r>
    </w:p>
  </w:footnote>
  <w:footnote w:id="1">
    <w:p w14:paraId="621B77DC" w14:textId="19D3A30C" w:rsidR="001D5FFC" w:rsidRPr="006E2AC2" w:rsidRDefault="001D5FFC">
      <w:pPr>
        <w:pStyle w:val="FootnoteText"/>
      </w:pPr>
      <w:r>
        <w:rPr>
          <w:rStyle w:val="FootnoteReference"/>
        </w:rPr>
        <w:footnoteRef/>
      </w:r>
      <w:r>
        <w:t xml:space="preserve"> </w:t>
      </w:r>
      <w:r w:rsidR="006E2AC2">
        <w:t>Withers, Alexandra, “</w:t>
      </w:r>
      <w:r w:rsidR="006E2AC2" w:rsidRPr="006E2AC2">
        <w:rPr>
          <w:i/>
          <w:iCs/>
        </w:rPr>
        <w:t>Losing the right to terminate supply: the impact of the Corporate Governance and Insolvency Act 2020</w:t>
      </w:r>
      <w:r w:rsidR="006E2AC2">
        <w:t xml:space="preserve">”, at </w:t>
      </w:r>
      <w:hyperlink r:id="rId1" w:history="1">
        <w:r w:rsidR="006E2AC2" w:rsidRPr="00BC2E6C">
          <w:rPr>
            <w:rStyle w:val="Hyperlink"/>
          </w:rPr>
          <w:t>https://newcastle-bpcf.org.uk/2020/08/26/losing-the-right-to-terminate-supply-the-impact-of-the-corporate-governance-and-insolvency-act-2020/</w:t>
        </w:r>
      </w:hyperlink>
      <w:r w:rsidR="006E2AC2">
        <w:t>, accessed 27 February 2022.</w:t>
      </w:r>
    </w:p>
  </w:footnote>
  <w:footnote w:id="2">
    <w:p w14:paraId="3BF1F856" w14:textId="7BCB43D3" w:rsidR="00A27D25" w:rsidRPr="00A27D25" w:rsidRDefault="00A27D25">
      <w:pPr>
        <w:pStyle w:val="FootnoteText"/>
      </w:pPr>
      <w:r>
        <w:rPr>
          <w:rStyle w:val="FootnoteReference"/>
        </w:rPr>
        <w:footnoteRef/>
      </w:r>
      <w:r>
        <w:t xml:space="preserve"> </w:t>
      </w:r>
      <w:r>
        <w:rPr>
          <w:i/>
          <w:iCs/>
        </w:rPr>
        <w:t>Ibid</w:t>
      </w:r>
      <w:r>
        <w:t>.</w:t>
      </w:r>
    </w:p>
  </w:footnote>
  <w:footnote w:id="3">
    <w:p w14:paraId="2EA91EB9" w14:textId="65637377" w:rsidR="006E2AC2" w:rsidRPr="006E2AC2" w:rsidRDefault="006E2AC2">
      <w:pPr>
        <w:pStyle w:val="FootnoteText"/>
        <w:rPr>
          <w:i/>
          <w:iCs/>
        </w:rPr>
      </w:pPr>
      <w:r>
        <w:rPr>
          <w:rStyle w:val="FootnoteReference"/>
        </w:rPr>
        <w:footnoteRef/>
      </w:r>
      <w:r>
        <w:t xml:space="preserve"> Gallimore, Amy, “</w:t>
      </w:r>
      <w:r w:rsidRPr="006E2AC2">
        <w:rPr>
          <w:i/>
          <w:iCs/>
        </w:rPr>
        <w:t>CIGA BITESIZE: TERMINATION OF SUPPLIES: ARE YOUR SUPPLIES ESSENTIAL OR PROTECTED, OR BOTH?</w:t>
      </w:r>
      <w:r>
        <w:t xml:space="preserve">”, at </w:t>
      </w:r>
      <w:hyperlink r:id="rId2" w:history="1">
        <w:r w:rsidRPr="00BC2E6C">
          <w:rPr>
            <w:rStyle w:val="Hyperlink"/>
          </w:rPr>
          <w:t>https://www.ashfords.co.uk/news-and-media/general/ciga-bitesize-termination-of-supplies-are-your-supplies-essential-or-protected-or-both</w:t>
        </w:r>
      </w:hyperlink>
      <w:r>
        <w:t>, accessed 27 February 2022.</w:t>
      </w:r>
    </w:p>
  </w:footnote>
  <w:footnote w:id="4">
    <w:p w14:paraId="34FEA248" w14:textId="28009961" w:rsidR="003B5D8B" w:rsidRDefault="003B5D8B">
      <w:pPr>
        <w:pStyle w:val="FootnoteText"/>
      </w:pPr>
      <w:r>
        <w:rPr>
          <w:rStyle w:val="FootnoteReference"/>
        </w:rPr>
        <w:footnoteRef/>
      </w:r>
      <w:r>
        <w:t xml:space="preserve"> The Insolvency (England and Wales) Rules 2016, Rule 6.42. </w:t>
      </w:r>
      <w:hyperlink r:id="rId3" w:history="1">
        <w:r w:rsidRPr="00BC2E6C">
          <w:rPr>
            <w:rStyle w:val="Hyperlink"/>
          </w:rPr>
          <w:t>https://www.legislation.gov.uk/uksi/2016/1024/article/6.42/made</w:t>
        </w:r>
      </w:hyperlink>
    </w:p>
  </w:footnote>
  <w:footnote w:id="5">
    <w:p w14:paraId="043066F2" w14:textId="30967807" w:rsidR="003B5D8B" w:rsidRDefault="003B5D8B">
      <w:pPr>
        <w:pStyle w:val="FootnoteText"/>
      </w:pPr>
      <w:r>
        <w:rPr>
          <w:rStyle w:val="FootnoteReference"/>
        </w:rPr>
        <w:footnoteRef/>
      </w:r>
      <w:r>
        <w:t xml:space="preserve"> The Insolvency (England and Wales) Rules 2016, Rule 7.108. </w:t>
      </w:r>
      <w:hyperlink r:id="rId4" w:history="1">
        <w:r w:rsidRPr="00BC2E6C">
          <w:rPr>
            <w:rStyle w:val="Hyperlink"/>
          </w:rPr>
          <w:t>https://www.legislation.gov.uk/uksi/2016/1024/article/7.108/made</w:t>
        </w:r>
      </w:hyperlink>
      <w:r>
        <w:t xml:space="preserve"> </w:t>
      </w:r>
    </w:p>
  </w:footnote>
  <w:footnote w:id="6">
    <w:p w14:paraId="78148E4B" w14:textId="45C3973A" w:rsidR="00192991" w:rsidRDefault="00192991">
      <w:pPr>
        <w:pStyle w:val="FootnoteText"/>
      </w:pPr>
      <w:r>
        <w:rPr>
          <w:rStyle w:val="FootnoteReference"/>
        </w:rPr>
        <w:footnoteRef/>
      </w:r>
      <w:r>
        <w:t xml:space="preserve"> Insolvency Act 1986, S</w:t>
      </w:r>
      <w:r w:rsidR="001E5E5D">
        <w:t>chedule 6.</w:t>
      </w:r>
      <w:r>
        <w:t xml:space="preserve"> </w:t>
      </w:r>
      <w:r w:rsidR="001E5E5D">
        <w:t xml:space="preserve"> </w:t>
      </w:r>
      <w:hyperlink r:id="rId5" w:history="1">
        <w:r w:rsidR="001E5E5D" w:rsidRPr="00BC2E6C">
          <w:rPr>
            <w:rStyle w:val="Hyperlink"/>
          </w:rPr>
          <w:t>https://www.legislation.gov.uk/ukpga/1986/45/schedule/6</w:t>
        </w:r>
      </w:hyperlink>
      <w:r w:rsidR="001E5E5D">
        <w:t xml:space="preserve"> </w:t>
      </w:r>
    </w:p>
  </w:footnote>
  <w:footnote w:id="7">
    <w:p w14:paraId="568A98F0" w14:textId="086EF39B" w:rsidR="00683080" w:rsidRDefault="00683080">
      <w:pPr>
        <w:pStyle w:val="FootnoteText"/>
      </w:pPr>
      <w:r>
        <w:rPr>
          <w:rStyle w:val="FootnoteReference"/>
        </w:rPr>
        <w:footnoteRef/>
      </w:r>
      <w:r>
        <w:t xml:space="preserve"> Pension Schemes Act 1993, Schedule 4. </w:t>
      </w:r>
      <w:hyperlink r:id="rId6" w:history="1">
        <w:r w:rsidRPr="00BC2E6C">
          <w:rPr>
            <w:rStyle w:val="Hyperlink"/>
          </w:rPr>
          <w:t>https://www.legislation.gov.uk/ukpga/1993/48/schedule/4/enacted</w:t>
        </w:r>
      </w:hyperlink>
      <w:r>
        <w:t xml:space="preserve"> </w:t>
      </w:r>
    </w:p>
  </w:footnote>
  <w:footnote w:id="8">
    <w:p w14:paraId="1345BCC1" w14:textId="69C87098" w:rsidR="00683080" w:rsidRDefault="00683080">
      <w:pPr>
        <w:pStyle w:val="FootnoteText"/>
      </w:pPr>
      <w:r>
        <w:rPr>
          <w:rStyle w:val="FootnoteReference"/>
        </w:rPr>
        <w:footnoteRef/>
      </w:r>
      <w:r>
        <w:t xml:space="preserve"> </w:t>
      </w:r>
      <w:r w:rsidR="005E78E0">
        <w:rPr>
          <w:i/>
          <w:iCs/>
        </w:rPr>
        <w:t>Ibid.</w:t>
      </w:r>
      <w:r>
        <w:t xml:space="preserve"> </w:t>
      </w:r>
    </w:p>
  </w:footnote>
  <w:footnote w:id="9">
    <w:p w14:paraId="53C35F4E" w14:textId="77777777" w:rsidR="005E78E0" w:rsidRDefault="005E78E0" w:rsidP="005E78E0">
      <w:pPr>
        <w:pStyle w:val="FootnoteText"/>
      </w:pPr>
      <w:r>
        <w:rPr>
          <w:rStyle w:val="FootnoteReference"/>
        </w:rPr>
        <w:footnoteRef/>
      </w:r>
      <w:r>
        <w:t xml:space="preserve"> Insolvency Act 1986, Schedule 6.  </w:t>
      </w:r>
      <w:hyperlink r:id="rId7" w:history="1">
        <w:r w:rsidRPr="00BC2E6C">
          <w:rPr>
            <w:rStyle w:val="Hyperlink"/>
          </w:rPr>
          <w:t>https://www.legislation.gov.uk/ukpga/1986/45/schedule/6</w:t>
        </w:r>
      </w:hyperlink>
      <w:r>
        <w:t xml:space="preserve"> </w:t>
      </w:r>
    </w:p>
  </w:footnote>
  <w:footnote w:id="10">
    <w:p w14:paraId="6ACB3929" w14:textId="01BE2374" w:rsidR="00572AAB" w:rsidRPr="00572AAB" w:rsidRDefault="00572AAB">
      <w:pPr>
        <w:pStyle w:val="FootnoteText"/>
      </w:pPr>
      <w:r>
        <w:rPr>
          <w:rStyle w:val="FootnoteReference"/>
        </w:rPr>
        <w:footnoteRef/>
      </w:r>
      <w:r>
        <w:t xml:space="preserve"> Munnery, Jonathan. “</w:t>
      </w:r>
      <w:r w:rsidRPr="00572AAB">
        <w:rPr>
          <w:i/>
          <w:iCs/>
        </w:rPr>
        <w:t>Order of payment priority for creditors during company liquidation</w:t>
      </w:r>
      <w:r>
        <w:t xml:space="preserve">”, at </w:t>
      </w:r>
      <w:hyperlink r:id="rId8" w:history="1">
        <w:r w:rsidRPr="00BC2E6C">
          <w:rPr>
            <w:rStyle w:val="Hyperlink"/>
          </w:rPr>
          <w:t>https://www.begbies-traynorgroup.com/articles/insolvency/who-gets-paid-first-when-a-company-goes-into-liquidation</w:t>
        </w:r>
      </w:hyperlink>
      <w:r>
        <w:t>, accessed 27 February 2022.</w:t>
      </w:r>
    </w:p>
  </w:footnote>
  <w:footnote w:id="11">
    <w:p w14:paraId="7D6A5E4E" w14:textId="4114075A" w:rsidR="00FA0909" w:rsidRDefault="00FA0909">
      <w:pPr>
        <w:pStyle w:val="FootnoteText"/>
      </w:pPr>
      <w:r>
        <w:rPr>
          <w:rStyle w:val="FootnoteReference"/>
        </w:rPr>
        <w:footnoteRef/>
      </w:r>
      <w:r>
        <w:t xml:space="preserve"> Insolvency Act 1986, Section 176A. </w:t>
      </w:r>
      <w:hyperlink r:id="rId9" w:history="1">
        <w:r w:rsidRPr="00BC2E6C">
          <w:rPr>
            <w:rStyle w:val="Hyperlink"/>
          </w:rPr>
          <w:t>https://www.legislation.gov.uk/ukpga/1986/45/section/176A</w:t>
        </w:r>
      </w:hyperlink>
      <w:r>
        <w:t xml:space="preserve"> </w:t>
      </w:r>
    </w:p>
  </w:footnote>
  <w:footnote w:id="12">
    <w:p w14:paraId="1A59C372" w14:textId="1A02FC6E" w:rsidR="00561F25" w:rsidRPr="00561F25" w:rsidRDefault="00561F25" w:rsidP="00561F25">
      <w:pPr>
        <w:pStyle w:val="FootnoteText"/>
      </w:pPr>
      <w:r>
        <w:rPr>
          <w:rStyle w:val="FootnoteReference"/>
        </w:rPr>
        <w:footnoteRef/>
      </w:r>
      <w:r>
        <w:t xml:space="preserve"> Martin-Royle, Claire, “</w:t>
      </w:r>
      <w:r w:rsidRPr="00561F25">
        <w:rPr>
          <w:i/>
          <w:iCs/>
        </w:rPr>
        <w:t>Floating charges –not necessarily what</w:t>
      </w:r>
      <w:r w:rsidRPr="00561F25">
        <w:rPr>
          <w:i/>
          <w:iCs/>
        </w:rPr>
        <w:t xml:space="preserve"> </w:t>
      </w:r>
      <w:r w:rsidRPr="00561F25">
        <w:rPr>
          <w:i/>
          <w:iCs/>
        </w:rPr>
        <w:t>they say on the tin</w:t>
      </w:r>
      <w:r>
        <w:t xml:space="preserve">”, at </w:t>
      </w:r>
      <w:hyperlink r:id="rId10" w:history="1">
        <w:r w:rsidRPr="00BC2E6C">
          <w:rPr>
            <w:rStyle w:val="Hyperlink"/>
          </w:rPr>
          <w:t>https://www.jonesday.com/files/Publication/60ba3b1a-58b3-42de-ab3d-c2d628af566c/Presentation/PublicationAttachment/2f2c219d-6313-4f63-b93f-c70b9d3582a2/IHL157%20p73-75.pdf</w:t>
        </w:r>
      </w:hyperlink>
      <w:r>
        <w:t>, accessed 27 February 2022.</w:t>
      </w:r>
    </w:p>
  </w:footnote>
  <w:footnote w:id="13">
    <w:p w14:paraId="525C1EF0" w14:textId="01C6E1AB" w:rsidR="00561F25" w:rsidRDefault="00561F25">
      <w:pPr>
        <w:pStyle w:val="FootnoteText"/>
      </w:pPr>
      <w:r>
        <w:rPr>
          <w:rStyle w:val="FootnoteReference"/>
        </w:rPr>
        <w:footnoteRef/>
      </w:r>
      <w:r>
        <w:t xml:space="preserve"> </w:t>
      </w:r>
      <w:r>
        <w:t>Munnery, Jonathan. “</w:t>
      </w:r>
      <w:r w:rsidRPr="00572AAB">
        <w:rPr>
          <w:i/>
          <w:iCs/>
        </w:rPr>
        <w:t>Order of payment priority for creditors during company liquidation</w:t>
      </w:r>
      <w:r>
        <w:t xml:space="preserve">”, at </w:t>
      </w:r>
      <w:hyperlink r:id="rId11" w:history="1">
        <w:r w:rsidRPr="00BC2E6C">
          <w:rPr>
            <w:rStyle w:val="Hyperlink"/>
          </w:rPr>
          <w:t>https://www.begbies-traynorgroup.com/articles/insolvency/who-gets-paid-first-when-a-company-goes-into-liquidation</w:t>
        </w:r>
      </w:hyperlink>
      <w:r>
        <w:t>, accessed 27 February 2022.</w:t>
      </w:r>
    </w:p>
  </w:footnote>
  <w:footnote w:id="14">
    <w:p w14:paraId="0218626F" w14:textId="6E643FB6" w:rsidR="00561F25" w:rsidRDefault="00561F25">
      <w:pPr>
        <w:pStyle w:val="FootnoteText"/>
      </w:pPr>
      <w:r>
        <w:rPr>
          <w:rStyle w:val="FootnoteReference"/>
        </w:rPr>
        <w:footnoteRef/>
      </w:r>
      <w:r>
        <w:t xml:space="preserve"> </w:t>
      </w:r>
      <w:r>
        <w:t>Martin-Royle, Claire, “</w:t>
      </w:r>
      <w:r w:rsidRPr="00561F25">
        <w:rPr>
          <w:i/>
          <w:iCs/>
        </w:rPr>
        <w:t>Floating charges –not necessarily what they say on the tin</w:t>
      </w:r>
      <w:r>
        <w:t xml:space="preserve">”, at </w:t>
      </w:r>
      <w:hyperlink r:id="rId12" w:history="1">
        <w:r w:rsidRPr="00BC2E6C">
          <w:rPr>
            <w:rStyle w:val="Hyperlink"/>
          </w:rPr>
          <w:t>https://www.jonesday.com/files/Publication/60ba3b1a-58b3-42de-ab3d-c2d628af566c/Presentation/PublicationAttachment/2f2c219d-6313-4f63-b93f-c70b9d3582a2/IHL157%20p73-75.pdf</w:t>
        </w:r>
      </w:hyperlink>
      <w:r>
        <w:t>, accessed 27 February 2022.</w:t>
      </w:r>
    </w:p>
  </w:footnote>
  <w:footnote w:id="15">
    <w:p w14:paraId="27A812B4" w14:textId="2DC288E8" w:rsidR="00561F25" w:rsidRDefault="00561F25">
      <w:pPr>
        <w:pStyle w:val="FootnoteText"/>
      </w:pPr>
      <w:r>
        <w:rPr>
          <w:rStyle w:val="FootnoteReference"/>
        </w:rPr>
        <w:footnoteRef/>
      </w:r>
      <w:r>
        <w:t xml:space="preserve"> </w:t>
      </w:r>
      <w:r>
        <w:t xml:space="preserve">Insolvency Act 1986, Section 176A. </w:t>
      </w:r>
      <w:hyperlink r:id="rId13" w:history="1">
        <w:r w:rsidRPr="00BC2E6C">
          <w:rPr>
            <w:rStyle w:val="Hyperlink"/>
          </w:rPr>
          <w:t>https://www.legislation.gov.uk/ukpga/1986/45/section/176A</w:t>
        </w:r>
      </w:hyperlink>
      <w:r>
        <w:t xml:space="preserve"> </w:t>
      </w:r>
    </w:p>
  </w:footnote>
  <w:footnote w:id="16">
    <w:p w14:paraId="741C39E7" w14:textId="4308F1EF" w:rsidR="00470176" w:rsidRPr="00032EEA" w:rsidRDefault="00470176">
      <w:pPr>
        <w:pStyle w:val="FootnoteText"/>
      </w:pPr>
      <w:r>
        <w:rPr>
          <w:rStyle w:val="FootnoteReference"/>
        </w:rPr>
        <w:footnoteRef/>
      </w:r>
      <w:r>
        <w:t xml:space="preserve"> Parry, Rebecca, “</w:t>
      </w:r>
      <w:r w:rsidRPr="00032EEA">
        <w:rPr>
          <w:i/>
          <w:iCs/>
        </w:rPr>
        <w:t>Avoidance of Floating Charges (Insolvency Act 1986, Section 245: Corporate Insolvency Only)</w:t>
      </w:r>
      <w:r w:rsidR="00032EEA">
        <w:t xml:space="preserve">”, at </w:t>
      </w:r>
      <w:hyperlink r:id="rId14" w:history="1">
        <w:r w:rsidR="00032EEA" w:rsidRPr="00BC2E6C">
          <w:rPr>
            <w:rStyle w:val="Hyperlink"/>
          </w:rPr>
          <w:t>https://oxford.universitypressscholarship.com/view/10.1093/oso/9780198793403.001.0001/isbn-9780198793403-book-part-21</w:t>
        </w:r>
      </w:hyperlink>
      <w:r w:rsidR="00032EEA">
        <w:t>, accessed 28 February 2022.</w:t>
      </w:r>
    </w:p>
  </w:footnote>
  <w:footnote w:id="17">
    <w:p w14:paraId="2C780E95" w14:textId="0F87E552" w:rsidR="00032EEA" w:rsidRDefault="00032EEA">
      <w:pPr>
        <w:pStyle w:val="FootnoteText"/>
      </w:pPr>
      <w:r>
        <w:rPr>
          <w:rStyle w:val="FootnoteReference"/>
        </w:rPr>
        <w:footnoteRef/>
      </w:r>
      <w:r>
        <w:t xml:space="preserve"> Insolvency Act 1986, Section 245. </w:t>
      </w:r>
      <w:hyperlink r:id="rId15" w:history="1">
        <w:r w:rsidRPr="00BC2E6C">
          <w:rPr>
            <w:rStyle w:val="Hyperlink"/>
          </w:rPr>
          <w:t>https://www.legislation.gov.uk/ukpga/1986/45/section/245</w:t>
        </w:r>
      </w:hyperlink>
      <w:r>
        <w:t xml:space="preserve"> </w:t>
      </w:r>
    </w:p>
  </w:footnote>
  <w:footnote w:id="18">
    <w:p w14:paraId="3B5AB27C" w14:textId="77777777" w:rsidR="00676551" w:rsidRDefault="00676551" w:rsidP="00676551">
      <w:pPr>
        <w:pStyle w:val="FootnoteText"/>
      </w:pPr>
      <w:r>
        <w:rPr>
          <w:rStyle w:val="FootnoteReference"/>
        </w:rPr>
        <w:footnoteRef/>
      </w:r>
      <w:r>
        <w:t xml:space="preserve"> Insolvency Act 1986, Section 249. </w:t>
      </w:r>
      <w:hyperlink r:id="rId16" w:history="1">
        <w:r w:rsidRPr="00BC2E6C">
          <w:rPr>
            <w:rStyle w:val="Hyperlink"/>
          </w:rPr>
          <w:t>https://www.legislation.gov.uk/ukpga/1986/45/section/249</w:t>
        </w:r>
      </w:hyperlink>
      <w:r>
        <w:t xml:space="preserve"> </w:t>
      </w:r>
    </w:p>
  </w:footnote>
  <w:footnote w:id="19">
    <w:p w14:paraId="5256EF24" w14:textId="296DC59B" w:rsidR="004D6E31" w:rsidRPr="004D6E31" w:rsidRDefault="004D6E31">
      <w:pPr>
        <w:pStyle w:val="FootnoteText"/>
      </w:pPr>
      <w:r>
        <w:rPr>
          <w:rStyle w:val="FootnoteReference"/>
        </w:rPr>
        <w:footnoteRef/>
      </w:r>
      <w:r>
        <w:t xml:space="preserve"> </w:t>
      </w:r>
      <w:r w:rsidR="00676551">
        <w:t xml:space="preserve">Insolvency Act 1986, Section 245. </w:t>
      </w:r>
      <w:hyperlink r:id="rId17" w:history="1">
        <w:r w:rsidR="00676551" w:rsidRPr="00BC2E6C">
          <w:rPr>
            <w:rStyle w:val="Hyperlink"/>
          </w:rPr>
          <w:t>https://www.legislation.gov.uk/ukpga/1986/45/section/245</w:t>
        </w:r>
      </w:hyperlink>
    </w:p>
  </w:footnote>
  <w:footnote w:id="20">
    <w:p w14:paraId="76E1180A" w14:textId="1A4C5D1F" w:rsidR="000F2E4D" w:rsidRDefault="000F2E4D">
      <w:pPr>
        <w:pStyle w:val="FootnoteText"/>
      </w:pPr>
      <w:r>
        <w:rPr>
          <w:rStyle w:val="FootnoteReference"/>
        </w:rPr>
        <w:footnoteRef/>
      </w:r>
      <w:r>
        <w:t xml:space="preserve"> Insolvency Act 1986, Section 238. </w:t>
      </w:r>
      <w:hyperlink r:id="rId18" w:history="1">
        <w:r w:rsidRPr="00BC2E6C">
          <w:rPr>
            <w:rStyle w:val="Hyperlink"/>
          </w:rPr>
          <w:t>https://www.legislation.gov.uk/ukpga/1986/45/section/238</w:t>
        </w:r>
      </w:hyperlink>
      <w:r>
        <w:t xml:space="preserve"> </w:t>
      </w:r>
    </w:p>
  </w:footnote>
  <w:footnote w:id="21">
    <w:p w14:paraId="70A9E3D3" w14:textId="77777777" w:rsidR="000D4B96" w:rsidRDefault="000D4B96" w:rsidP="000D4B96">
      <w:pPr>
        <w:pStyle w:val="FootnoteText"/>
      </w:pPr>
      <w:r>
        <w:rPr>
          <w:rStyle w:val="FootnoteReference"/>
        </w:rPr>
        <w:footnoteRef/>
      </w:r>
      <w:r>
        <w:t xml:space="preserve"> Insolvency Act 1986, Section 240. </w:t>
      </w:r>
      <w:hyperlink r:id="rId19" w:history="1">
        <w:r w:rsidRPr="00BC2E6C">
          <w:rPr>
            <w:rStyle w:val="Hyperlink"/>
          </w:rPr>
          <w:t>https://www.legislation.gov.uk/ukpga/1986/45/section/240</w:t>
        </w:r>
      </w:hyperlink>
      <w:r>
        <w:t xml:space="preserve"> </w:t>
      </w:r>
    </w:p>
  </w:footnote>
  <w:footnote w:id="22">
    <w:p w14:paraId="25E0F2C8" w14:textId="59969E7D" w:rsidR="000D4B96" w:rsidRDefault="000D4B96">
      <w:pPr>
        <w:pStyle w:val="FootnoteText"/>
      </w:pPr>
      <w:r>
        <w:rPr>
          <w:rStyle w:val="FootnoteReference"/>
        </w:rPr>
        <w:footnoteRef/>
      </w:r>
      <w:r>
        <w:t xml:space="preserve"> </w:t>
      </w:r>
      <w:r w:rsidR="008D1A9D">
        <w:rPr>
          <w:i/>
          <w:iCs/>
        </w:rPr>
        <w:t>Ibid.</w:t>
      </w:r>
    </w:p>
  </w:footnote>
  <w:footnote w:id="23">
    <w:p w14:paraId="3B91EACD" w14:textId="038567B4" w:rsidR="000D4B96" w:rsidRDefault="000D4B96">
      <w:pPr>
        <w:pStyle w:val="FootnoteText"/>
      </w:pPr>
      <w:r>
        <w:rPr>
          <w:rStyle w:val="FootnoteReference"/>
        </w:rPr>
        <w:footnoteRef/>
      </w:r>
      <w:r>
        <w:t xml:space="preserve"> Insolvency Act 1986, Section 249. </w:t>
      </w:r>
      <w:hyperlink r:id="rId20" w:history="1">
        <w:r w:rsidRPr="00BC2E6C">
          <w:rPr>
            <w:rStyle w:val="Hyperlink"/>
          </w:rPr>
          <w:t>https://www.legislation.gov.uk/ukpga/1986/45/section/249</w:t>
        </w:r>
      </w:hyperlink>
      <w:r>
        <w:t xml:space="preserve"> </w:t>
      </w:r>
    </w:p>
  </w:footnote>
  <w:footnote w:id="24">
    <w:p w14:paraId="04378BC4" w14:textId="73372DC5" w:rsidR="008D1A9D" w:rsidRDefault="008D1A9D">
      <w:pPr>
        <w:pStyle w:val="FootnoteText"/>
      </w:pPr>
      <w:r>
        <w:rPr>
          <w:rStyle w:val="FootnoteReference"/>
        </w:rPr>
        <w:footnoteRef/>
      </w:r>
      <w:r>
        <w:t xml:space="preserve"> Insolvency Act 1986, Section 238. </w:t>
      </w:r>
      <w:hyperlink r:id="rId21" w:history="1">
        <w:r w:rsidRPr="00BC2E6C">
          <w:rPr>
            <w:rStyle w:val="Hyperlink"/>
          </w:rPr>
          <w:t>https://www.legislation.gov.uk/ukpga/1986/45/section/238</w:t>
        </w:r>
      </w:hyperlink>
      <w:r>
        <w:t xml:space="preserve"> </w:t>
      </w:r>
    </w:p>
  </w:footnote>
  <w:footnote w:id="25">
    <w:p w14:paraId="187392AE" w14:textId="55004C0D" w:rsidR="008D1A9D" w:rsidRPr="008D1A9D" w:rsidRDefault="008D1A9D">
      <w:pPr>
        <w:pStyle w:val="FootnoteText"/>
      </w:pPr>
      <w:r>
        <w:rPr>
          <w:rStyle w:val="FootnoteReference"/>
        </w:rPr>
        <w:footnoteRef/>
      </w:r>
      <w:r>
        <w:t xml:space="preserve"> </w:t>
      </w:r>
      <w:r>
        <w:rPr>
          <w:i/>
          <w:iCs/>
        </w:rPr>
        <w:t>Ibid</w:t>
      </w:r>
      <w:r>
        <w:t>.</w:t>
      </w:r>
    </w:p>
  </w:footnote>
  <w:footnote w:id="26">
    <w:p w14:paraId="133CDB55" w14:textId="02731D87" w:rsidR="000C2976" w:rsidRDefault="000C2976">
      <w:pPr>
        <w:pStyle w:val="FootnoteText"/>
      </w:pPr>
      <w:r>
        <w:rPr>
          <w:rStyle w:val="FootnoteReference"/>
        </w:rPr>
        <w:footnoteRef/>
      </w:r>
      <w:r>
        <w:t xml:space="preserve"> Insolvency Act 1986, Section 239. </w:t>
      </w:r>
      <w:hyperlink r:id="rId22" w:history="1">
        <w:r w:rsidRPr="00BC2E6C">
          <w:rPr>
            <w:rStyle w:val="Hyperlink"/>
          </w:rPr>
          <w:t>https://www.legislation.gov.uk/ukpga/1986/45/section/239</w:t>
        </w:r>
      </w:hyperlink>
      <w:r>
        <w:t xml:space="preserve"> </w:t>
      </w:r>
    </w:p>
  </w:footnote>
  <w:footnote w:id="27">
    <w:p w14:paraId="181E3F00" w14:textId="37377013" w:rsidR="000300CD" w:rsidRDefault="000300CD">
      <w:pPr>
        <w:pStyle w:val="FootnoteText"/>
      </w:pPr>
      <w:r>
        <w:rPr>
          <w:rStyle w:val="FootnoteReference"/>
        </w:rPr>
        <w:footnoteRef/>
      </w:r>
      <w:r>
        <w:t xml:space="preserve"> Insolvency Act 1986, Section 240. </w:t>
      </w:r>
      <w:hyperlink r:id="rId23" w:history="1">
        <w:r w:rsidRPr="00BC2E6C">
          <w:rPr>
            <w:rStyle w:val="Hyperlink"/>
          </w:rPr>
          <w:t>https://www.legislation.gov.uk/ukpga/1986/45/section/240</w:t>
        </w:r>
      </w:hyperlink>
      <w:r>
        <w:t xml:space="preserve"> </w:t>
      </w:r>
    </w:p>
  </w:footnote>
  <w:footnote w:id="28">
    <w:p w14:paraId="6658C417" w14:textId="77777777" w:rsidR="00A668E6" w:rsidRDefault="00A668E6" w:rsidP="00A668E6">
      <w:pPr>
        <w:pStyle w:val="FootnoteText"/>
      </w:pPr>
      <w:r>
        <w:rPr>
          <w:rStyle w:val="FootnoteReference"/>
        </w:rPr>
        <w:footnoteRef/>
      </w:r>
      <w:r>
        <w:t xml:space="preserve"> </w:t>
      </w:r>
      <w:r>
        <w:rPr>
          <w:i/>
          <w:iCs/>
        </w:rPr>
        <w:t>Ibid.</w:t>
      </w:r>
    </w:p>
  </w:footnote>
  <w:footnote w:id="29">
    <w:p w14:paraId="3D223AE3" w14:textId="74BBD01A" w:rsidR="000300CD" w:rsidRDefault="000300CD">
      <w:pPr>
        <w:pStyle w:val="FootnoteText"/>
      </w:pPr>
      <w:r>
        <w:rPr>
          <w:rStyle w:val="FootnoteReference"/>
        </w:rPr>
        <w:footnoteRef/>
      </w:r>
      <w:r>
        <w:t xml:space="preserve"> Insolvency Act 1986, Section 249. </w:t>
      </w:r>
      <w:hyperlink r:id="rId24" w:history="1">
        <w:r w:rsidRPr="00BC2E6C">
          <w:rPr>
            <w:rStyle w:val="Hyperlink"/>
          </w:rPr>
          <w:t>https://www.legislation.gov.uk/ukpga/1986/45/section/249</w:t>
        </w:r>
      </w:hyperlink>
      <w:r>
        <w:t xml:space="preserve"> </w:t>
      </w:r>
    </w:p>
  </w:footnote>
  <w:footnote w:id="30">
    <w:p w14:paraId="09160EA2" w14:textId="5A448F19" w:rsidR="00715E85" w:rsidRPr="00715E85" w:rsidRDefault="00715E85" w:rsidP="00715E85">
      <w:pPr>
        <w:pStyle w:val="FootnoteText"/>
      </w:pPr>
      <w:r>
        <w:rPr>
          <w:rStyle w:val="FootnoteReference"/>
        </w:rPr>
        <w:footnoteRef/>
      </w:r>
      <w:r>
        <w:t xml:space="preserve"> Quo, Shirley, “</w:t>
      </w:r>
      <w:r w:rsidRPr="00715E85">
        <w:rPr>
          <w:i/>
          <w:iCs/>
        </w:rPr>
        <w:t>Insolvency Law: A Comparative Analysis of the Preference Tests in</w:t>
      </w:r>
      <w:r>
        <w:rPr>
          <w:i/>
          <w:iCs/>
        </w:rPr>
        <w:t xml:space="preserve"> </w:t>
      </w:r>
      <w:r w:rsidRPr="00715E85">
        <w:rPr>
          <w:i/>
          <w:iCs/>
        </w:rPr>
        <w:t>the Hong Kong Special Administrative Region (HKSAR) and</w:t>
      </w:r>
      <w:r>
        <w:rPr>
          <w:i/>
          <w:iCs/>
        </w:rPr>
        <w:t xml:space="preserve"> </w:t>
      </w:r>
      <w:r w:rsidRPr="00715E85">
        <w:rPr>
          <w:i/>
          <w:iCs/>
        </w:rPr>
        <w:t>Australia</w:t>
      </w:r>
      <w:r>
        <w:rPr>
          <w:i/>
          <w:iCs/>
        </w:rPr>
        <w:t>”</w:t>
      </w:r>
      <w:r>
        <w:t xml:space="preserve">, at </w:t>
      </w:r>
      <w:hyperlink r:id="rId25" w:history="1">
        <w:r w:rsidRPr="00BC2E6C">
          <w:rPr>
            <w:rStyle w:val="Hyperlink"/>
          </w:rPr>
          <w:t>https://www.monash.edu/__data/assets/pdf_file/0007/896695/working-paper-9.pdf</w:t>
        </w:r>
      </w:hyperlink>
      <w:r>
        <w:t>, accessed 28 February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80C32"/>
    <w:multiLevelType w:val="hybridMultilevel"/>
    <w:tmpl w:val="D06E915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D335D10"/>
    <w:multiLevelType w:val="hybridMultilevel"/>
    <w:tmpl w:val="B86447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E391751"/>
    <w:multiLevelType w:val="hybridMultilevel"/>
    <w:tmpl w:val="5276D3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434FED"/>
    <w:multiLevelType w:val="hybridMultilevel"/>
    <w:tmpl w:val="4F5A836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1A9082B"/>
    <w:multiLevelType w:val="hybridMultilevel"/>
    <w:tmpl w:val="5276D32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C523E5"/>
    <w:multiLevelType w:val="hybridMultilevel"/>
    <w:tmpl w:val="F92EDF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33F9E"/>
    <w:multiLevelType w:val="hybridMultilevel"/>
    <w:tmpl w:val="1A3E3F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372E28"/>
    <w:multiLevelType w:val="hybridMultilevel"/>
    <w:tmpl w:val="57B2A1A4"/>
    <w:lvl w:ilvl="0" w:tplc="20000017">
      <w:start w:val="1"/>
      <w:numFmt w:val="lowerLetter"/>
      <w:lvlText w:val="%1)"/>
      <w:lvlJc w:val="left"/>
      <w:pPr>
        <w:ind w:left="720" w:hanging="360"/>
      </w:pPr>
      <w:rPr>
        <w:rFonts w:hint="default"/>
      </w:r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A404B34"/>
    <w:multiLevelType w:val="hybridMultilevel"/>
    <w:tmpl w:val="B04019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64779D"/>
    <w:multiLevelType w:val="hybridMultilevel"/>
    <w:tmpl w:val="E7540B4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E551F9"/>
    <w:multiLevelType w:val="hybridMultilevel"/>
    <w:tmpl w:val="D06E91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4" w15:restartNumberingAfterBreak="0">
    <w:nsid w:val="674F0534"/>
    <w:multiLevelType w:val="hybridMultilevel"/>
    <w:tmpl w:val="02D29EF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3D0FB5"/>
    <w:multiLevelType w:val="hybridMultilevel"/>
    <w:tmpl w:val="0EB0DC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1629A1"/>
    <w:multiLevelType w:val="hybridMultilevel"/>
    <w:tmpl w:val="212011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CDB2D84"/>
    <w:multiLevelType w:val="hybridMultilevel"/>
    <w:tmpl w:val="7436A6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7"/>
  </w:num>
  <w:num w:numId="5">
    <w:abstractNumId w:val="20"/>
  </w:num>
  <w:num w:numId="6">
    <w:abstractNumId w:val="2"/>
  </w:num>
  <w:num w:numId="7">
    <w:abstractNumId w:val="21"/>
  </w:num>
  <w:num w:numId="8">
    <w:abstractNumId w:val="27"/>
  </w:num>
  <w:num w:numId="9">
    <w:abstractNumId w:val="18"/>
  </w:num>
  <w:num w:numId="10">
    <w:abstractNumId w:val="29"/>
  </w:num>
  <w:num w:numId="11">
    <w:abstractNumId w:val="12"/>
  </w:num>
  <w:num w:numId="12">
    <w:abstractNumId w:val="25"/>
  </w:num>
  <w:num w:numId="13">
    <w:abstractNumId w:val="19"/>
  </w:num>
  <w:num w:numId="14">
    <w:abstractNumId w:val="10"/>
  </w:num>
  <w:num w:numId="15">
    <w:abstractNumId w:val="23"/>
  </w:num>
  <w:num w:numId="16">
    <w:abstractNumId w:val="26"/>
  </w:num>
  <w:num w:numId="17">
    <w:abstractNumId w:val="16"/>
  </w:num>
  <w:num w:numId="18">
    <w:abstractNumId w:val="14"/>
  </w:num>
  <w:num w:numId="19">
    <w:abstractNumId w:val="13"/>
  </w:num>
  <w:num w:numId="20">
    <w:abstractNumId w:val="8"/>
  </w:num>
  <w:num w:numId="21">
    <w:abstractNumId w:val="28"/>
  </w:num>
  <w:num w:numId="22">
    <w:abstractNumId w:val="31"/>
  </w:num>
  <w:num w:numId="23">
    <w:abstractNumId w:val="30"/>
  </w:num>
  <w:num w:numId="24">
    <w:abstractNumId w:val="24"/>
  </w:num>
  <w:num w:numId="25">
    <w:abstractNumId w:val="6"/>
  </w:num>
  <w:num w:numId="26">
    <w:abstractNumId w:val="11"/>
  </w:num>
  <w:num w:numId="27">
    <w:abstractNumId w:val="7"/>
  </w:num>
  <w:num w:numId="28">
    <w:abstractNumId w:val="3"/>
  </w:num>
  <w:num w:numId="29">
    <w:abstractNumId w:val="5"/>
  </w:num>
  <w:num w:numId="30">
    <w:abstractNumId w:val="22"/>
  </w:num>
  <w:num w:numId="31">
    <w:abstractNumId w:val="4"/>
  </w:num>
  <w:num w:numId="3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00CD"/>
    <w:rsid w:val="00032EEA"/>
    <w:rsid w:val="00037621"/>
    <w:rsid w:val="00044D46"/>
    <w:rsid w:val="00045088"/>
    <w:rsid w:val="00045904"/>
    <w:rsid w:val="000502FD"/>
    <w:rsid w:val="00065166"/>
    <w:rsid w:val="000722CC"/>
    <w:rsid w:val="00082609"/>
    <w:rsid w:val="000851CC"/>
    <w:rsid w:val="00087F21"/>
    <w:rsid w:val="00093BE8"/>
    <w:rsid w:val="000A407B"/>
    <w:rsid w:val="000A68ED"/>
    <w:rsid w:val="000B5FF1"/>
    <w:rsid w:val="000B609F"/>
    <w:rsid w:val="000C0A16"/>
    <w:rsid w:val="000C2976"/>
    <w:rsid w:val="000D10C6"/>
    <w:rsid w:val="000D4B96"/>
    <w:rsid w:val="000D55A8"/>
    <w:rsid w:val="000E2ED7"/>
    <w:rsid w:val="000E4841"/>
    <w:rsid w:val="000F1677"/>
    <w:rsid w:val="000F2E4D"/>
    <w:rsid w:val="000F3D6C"/>
    <w:rsid w:val="00101707"/>
    <w:rsid w:val="00102CC9"/>
    <w:rsid w:val="0010593A"/>
    <w:rsid w:val="0011473D"/>
    <w:rsid w:val="00115C85"/>
    <w:rsid w:val="00123855"/>
    <w:rsid w:val="00126A4D"/>
    <w:rsid w:val="00140E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2991"/>
    <w:rsid w:val="001966D9"/>
    <w:rsid w:val="001A007A"/>
    <w:rsid w:val="001A1815"/>
    <w:rsid w:val="001A5EE0"/>
    <w:rsid w:val="001A7E9A"/>
    <w:rsid w:val="001B0F70"/>
    <w:rsid w:val="001B5016"/>
    <w:rsid w:val="001C45FC"/>
    <w:rsid w:val="001D0469"/>
    <w:rsid w:val="001D29C0"/>
    <w:rsid w:val="001D4862"/>
    <w:rsid w:val="001D5FFC"/>
    <w:rsid w:val="001E25B9"/>
    <w:rsid w:val="001E49E0"/>
    <w:rsid w:val="001E5E5D"/>
    <w:rsid w:val="001E7B5A"/>
    <w:rsid w:val="001F7412"/>
    <w:rsid w:val="0020090A"/>
    <w:rsid w:val="0020204E"/>
    <w:rsid w:val="00202DFE"/>
    <w:rsid w:val="0020725B"/>
    <w:rsid w:val="002110F1"/>
    <w:rsid w:val="002316BB"/>
    <w:rsid w:val="002356EA"/>
    <w:rsid w:val="00240083"/>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A6F53"/>
    <w:rsid w:val="002B1C45"/>
    <w:rsid w:val="002C118E"/>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6725A"/>
    <w:rsid w:val="0037465A"/>
    <w:rsid w:val="00382C98"/>
    <w:rsid w:val="0038533C"/>
    <w:rsid w:val="00386568"/>
    <w:rsid w:val="00390B57"/>
    <w:rsid w:val="003948D5"/>
    <w:rsid w:val="00396821"/>
    <w:rsid w:val="00397D3A"/>
    <w:rsid w:val="003A051E"/>
    <w:rsid w:val="003A4482"/>
    <w:rsid w:val="003B170F"/>
    <w:rsid w:val="003B3C5F"/>
    <w:rsid w:val="003B5D8B"/>
    <w:rsid w:val="003C4471"/>
    <w:rsid w:val="003D0A6D"/>
    <w:rsid w:val="003E0B16"/>
    <w:rsid w:val="003E67D1"/>
    <w:rsid w:val="003E7E26"/>
    <w:rsid w:val="003F5C96"/>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0176"/>
    <w:rsid w:val="00474C2B"/>
    <w:rsid w:val="004751DD"/>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503C"/>
    <w:rsid w:val="004D64F9"/>
    <w:rsid w:val="004D6E31"/>
    <w:rsid w:val="004E3A6B"/>
    <w:rsid w:val="004E622C"/>
    <w:rsid w:val="004F5FDF"/>
    <w:rsid w:val="00507126"/>
    <w:rsid w:val="00515232"/>
    <w:rsid w:val="005177FE"/>
    <w:rsid w:val="0052263B"/>
    <w:rsid w:val="00524728"/>
    <w:rsid w:val="005331CA"/>
    <w:rsid w:val="00537970"/>
    <w:rsid w:val="00540E3A"/>
    <w:rsid w:val="00544127"/>
    <w:rsid w:val="005463A9"/>
    <w:rsid w:val="00553EB2"/>
    <w:rsid w:val="00560534"/>
    <w:rsid w:val="00561F25"/>
    <w:rsid w:val="0056391B"/>
    <w:rsid w:val="005650E2"/>
    <w:rsid w:val="00567AD7"/>
    <w:rsid w:val="00572AAB"/>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2B57"/>
    <w:rsid w:val="005E41C7"/>
    <w:rsid w:val="005E6076"/>
    <w:rsid w:val="005E7008"/>
    <w:rsid w:val="005E78E0"/>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5821"/>
    <w:rsid w:val="00676551"/>
    <w:rsid w:val="00677AEB"/>
    <w:rsid w:val="00680EF2"/>
    <w:rsid w:val="00683080"/>
    <w:rsid w:val="00687A1D"/>
    <w:rsid w:val="00697EA1"/>
    <w:rsid w:val="006A2646"/>
    <w:rsid w:val="006A6530"/>
    <w:rsid w:val="006B435A"/>
    <w:rsid w:val="006B4C64"/>
    <w:rsid w:val="006D282B"/>
    <w:rsid w:val="006D6BD5"/>
    <w:rsid w:val="006E2AC2"/>
    <w:rsid w:val="006E481A"/>
    <w:rsid w:val="006E5298"/>
    <w:rsid w:val="006F4A78"/>
    <w:rsid w:val="006F5B23"/>
    <w:rsid w:val="006F734A"/>
    <w:rsid w:val="00700D83"/>
    <w:rsid w:val="00704852"/>
    <w:rsid w:val="0070524B"/>
    <w:rsid w:val="007074E9"/>
    <w:rsid w:val="00713DA4"/>
    <w:rsid w:val="00714BF1"/>
    <w:rsid w:val="00715E85"/>
    <w:rsid w:val="00721383"/>
    <w:rsid w:val="0073158B"/>
    <w:rsid w:val="007333CC"/>
    <w:rsid w:val="0073399A"/>
    <w:rsid w:val="00740DAD"/>
    <w:rsid w:val="00742AF3"/>
    <w:rsid w:val="0075310C"/>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923D0"/>
    <w:rsid w:val="008A4C2C"/>
    <w:rsid w:val="008A4DF2"/>
    <w:rsid w:val="008A6CFE"/>
    <w:rsid w:val="008B5333"/>
    <w:rsid w:val="008B6223"/>
    <w:rsid w:val="008B72B8"/>
    <w:rsid w:val="008C66E0"/>
    <w:rsid w:val="008D1616"/>
    <w:rsid w:val="008D1A9D"/>
    <w:rsid w:val="008E3339"/>
    <w:rsid w:val="008E610E"/>
    <w:rsid w:val="008F20FC"/>
    <w:rsid w:val="008F50B6"/>
    <w:rsid w:val="008F5FFE"/>
    <w:rsid w:val="00905A43"/>
    <w:rsid w:val="00912C79"/>
    <w:rsid w:val="00921B8C"/>
    <w:rsid w:val="00924DAF"/>
    <w:rsid w:val="00931D14"/>
    <w:rsid w:val="00941F8D"/>
    <w:rsid w:val="00942123"/>
    <w:rsid w:val="00951AA8"/>
    <w:rsid w:val="0095207B"/>
    <w:rsid w:val="00962045"/>
    <w:rsid w:val="009678FD"/>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6BE"/>
    <w:rsid w:val="00A2274A"/>
    <w:rsid w:val="00A235B7"/>
    <w:rsid w:val="00A27A7A"/>
    <w:rsid w:val="00A27D25"/>
    <w:rsid w:val="00A34ABE"/>
    <w:rsid w:val="00A407EF"/>
    <w:rsid w:val="00A46B4C"/>
    <w:rsid w:val="00A5117B"/>
    <w:rsid w:val="00A56D34"/>
    <w:rsid w:val="00A60074"/>
    <w:rsid w:val="00A630B8"/>
    <w:rsid w:val="00A6627C"/>
    <w:rsid w:val="00A668E6"/>
    <w:rsid w:val="00A71019"/>
    <w:rsid w:val="00A81029"/>
    <w:rsid w:val="00A841E6"/>
    <w:rsid w:val="00A845F5"/>
    <w:rsid w:val="00A96489"/>
    <w:rsid w:val="00AB2425"/>
    <w:rsid w:val="00AB685C"/>
    <w:rsid w:val="00AB6C2D"/>
    <w:rsid w:val="00AB7CB3"/>
    <w:rsid w:val="00AC08F7"/>
    <w:rsid w:val="00AC317D"/>
    <w:rsid w:val="00AC3839"/>
    <w:rsid w:val="00AC7082"/>
    <w:rsid w:val="00AD4BE8"/>
    <w:rsid w:val="00AE5B6F"/>
    <w:rsid w:val="00AE60BA"/>
    <w:rsid w:val="00AF228E"/>
    <w:rsid w:val="00B016A8"/>
    <w:rsid w:val="00B04033"/>
    <w:rsid w:val="00B14819"/>
    <w:rsid w:val="00B14F29"/>
    <w:rsid w:val="00B15E2F"/>
    <w:rsid w:val="00B17AA9"/>
    <w:rsid w:val="00B44713"/>
    <w:rsid w:val="00B51B95"/>
    <w:rsid w:val="00B56103"/>
    <w:rsid w:val="00B64929"/>
    <w:rsid w:val="00B736DF"/>
    <w:rsid w:val="00B743D6"/>
    <w:rsid w:val="00B74FBD"/>
    <w:rsid w:val="00B77F46"/>
    <w:rsid w:val="00B82586"/>
    <w:rsid w:val="00B829A3"/>
    <w:rsid w:val="00B83868"/>
    <w:rsid w:val="00B86DB1"/>
    <w:rsid w:val="00B87869"/>
    <w:rsid w:val="00B9639B"/>
    <w:rsid w:val="00BA1CFD"/>
    <w:rsid w:val="00BB0F2B"/>
    <w:rsid w:val="00BD3591"/>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7867"/>
    <w:rsid w:val="00C72848"/>
    <w:rsid w:val="00C7736C"/>
    <w:rsid w:val="00C82D87"/>
    <w:rsid w:val="00C8712A"/>
    <w:rsid w:val="00C902C8"/>
    <w:rsid w:val="00C91062"/>
    <w:rsid w:val="00C919D1"/>
    <w:rsid w:val="00C963D3"/>
    <w:rsid w:val="00CA60F1"/>
    <w:rsid w:val="00CA65C2"/>
    <w:rsid w:val="00CB1983"/>
    <w:rsid w:val="00CB2CBB"/>
    <w:rsid w:val="00CB7CAC"/>
    <w:rsid w:val="00CC5335"/>
    <w:rsid w:val="00CC5BA4"/>
    <w:rsid w:val="00CD4998"/>
    <w:rsid w:val="00CE1035"/>
    <w:rsid w:val="00CE6E50"/>
    <w:rsid w:val="00CF2819"/>
    <w:rsid w:val="00CF4F9D"/>
    <w:rsid w:val="00CF70DC"/>
    <w:rsid w:val="00D0395B"/>
    <w:rsid w:val="00D148DC"/>
    <w:rsid w:val="00D17FDC"/>
    <w:rsid w:val="00D21D8C"/>
    <w:rsid w:val="00D53719"/>
    <w:rsid w:val="00D63EFD"/>
    <w:rsid w:val="00D67B89"/>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17B26"/>
    <w:rsid w:val="00E26E19"/>
    <w:rsid w:val="00E31DF3"/>
    <w:rsid w:val="00E443D7"/>
    <w:rsid w:val="00E450A4"/>
    <w:rsid w:val="00E474AF"/>
    <w:rsid w:val="00E506BE"/>
    <w:rsid w:val="00E55547"/>
    <w:rsid w:val="00E6302B"/>
    <w:rsid w:val="00E6452F"/>
    <w:rsid w:val="00E64F45"/>
    <w:rsid w:val="00E6742D"/>
    <w:rsid w:val="00E704FF"/>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E7225"/>
    <w:rsid w:val="00EF090E"/>
    <w:rsid w:val="00EF5572"/>
    <w:rsid w:val="00F01D7D"/>
    <w:rsid w:val="00F033DA"/>
    <w:rsid w:val="00F13691"/>
    <w:rsid w:val="00F13FB1"/>
    <w:rsid w:val="00F27CD8"/>
    <w:rsid w:val="00F30351"/>
    <w:rsid w:val="00F32AE7"/>
    <w:rsid w:val="00F3323E"/>
    <w:rsid w:val="00F341F4"/>
    <w:rsid w:val="00F34F9D"/>
    <w:rsid w:val="00F35CCE"/>
    <w:rsid w:val="00F5137E"/>
    <w:rsid w:val="00F546AD"/>
    <w:rsid w:val="00F5524B"/>
    <w:rsid w:val="00F60538"/>
    <w:rsid w:val="00F61DD2"/>
    <w:rsid w:val="00F62E7A"/>
    <w:rsid w:val="00F66AFF"/>
    <w:rsid w:val="00F70126"/>
    <w:rsid w:val="00F71433"/>
    <w:rsid w:val="00F87B04"/>
    <w:rsid w:val="00F97C5B"/>
    <w:rsid w:val="00FA0761"/>
    <w:rsid w:val="00FA0909"/>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6E2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egbies-traynorgroup.com/articles/insolvency/who-gets-paid-first-when-a-company-goes-into-liquidation" TargetMode="External"/><Relationship Id="rId13" Type="http://schemas.openxmlformats.org/officeDocument/2006/relationships/hyperlink" Target="https://www.legislation.gov.uk/ukpga/1986/45/section/176A" TargetMode="External"/><Relationship Id="rId18" Type="http://schemas.openxmlformats.org/officeDocument/2006/relationships/hyperlink" Target="https://www.legislation.gov.uk/ukpga/1986/45/section/238" TargetMode="External"/><Relationship Id="rId3" Type="http://schemas.openxmlformats.org/officeDocument/2006/relationships/hyperlink" Target="https://www.legislation.gov.uk/uksi/2016/1024/article/6.42/made" TargetMode="External"/><Relationship Id="rId21" Type="http://schemas.openxmlformats.org/officeDocument/2006/relationships/hyperlink" Target="https://www.legislation.gov.uk/ukpga/1986/45/section/238" TargetMode="External"/><Relationship Id="rId7" Type="http://schemas.openxmlformats.org/officeDocument/2006/relationships/hyperlink" Target="https://www.legislation.gov.uk/ukpga/1986/45/schedule/6" TargetMode="External"/><Relationship Id="rId12" Type="http://schemas.openxmlformats.org/officeDocument/2006/relationships/hyperlink" Target="https://www.jonesday.com/files/Publication/60ba3b1a-58b3-42de-ab3d-c2d628af566c/Presentation/PublicationAttachment/2f2c219d-6313-4f63-b93f-c70b9d3582a2/IHL157%20p73-75.pdf" TargetMode="External"/><Relationship Id="rId17" Type="http://schemas.openxmlformats.org/officeDocument/2006/relationships/hyperlink" Target="https://www.legislation.gov.uk/ukpga/1986/45/section/245" TargetMode="External"/><Relationship Id="rId25" Type="http://schemas.openxmlformats.org/officeDocument/2006/relationships/hyperlink" Target="https://www.monash.edu/__data/assets/pdf_file/0007/896695/working-paper-9.pdf" TargetMode="External"/><Relationship Id="rId2" Type="http://schemas.openxmlformats.org/officeDocument/2006/relationships/hyperlink" Target="https://www.ashfords.co.uk/news-and-media/general/ciga-bitesize-termination-of-supplies-are-your-supplies-essential-or-protected-or-both" TargetMode="External"/><Relationship Id="rId16" Type="http://schemas.openxmlformats.org/officeDocument/2006/relationships/hyperlink" Target="https://www.legislation.gov.uk/ukpga/1986/45/section/249" TargetMode="External"/><Relationship Id="rId20" Type="http://schemas.openxmlformats.org/officeDocument/2006/relationships/hyperlink" Target="https://www.legislation.gov.uk/ukpga/1986/45/section/249" TargetMode="External"/><Relationship Id="rId1" Type="http://schemas.openxmlformats.org/officeDocument/2006/relationships/hyperlink" Target="https://newcastle-bpcf.org.uk/2020/08/26/losing-the-right-to-terminate-supply-the-impact-of-the-corporate-governance-and-insolvency-act-2020/" TargetMode="External"/><Relationship Id="rId6" Type="http://schemas.openxmlformats.org/officeDocument/2006/relationships/hyperlink" Target="https://www.legislation.gov.uk/ukpga/1993/48/schedule/4/enacted" TargetMode="External"/><Relationship Id="rId11" Type="http://schemas.openxmlformats.org/officeDocument/2006/relationships/hyperlink" Target="https://www.begbies-traynorgroup.com/articles/insolvency/who-gets-paid-first-when-a-company-goes-into-liquidation" TargetMode="External"/><Relationship Id="rId24" Type="http://schemas.openxmlformats.org/officeDocument/2006/relationships/hyperlink" Target="https://www.legislation.gov.uk/ukpga/1986/45/section/249" TargetMode="External"/><Relationship Id="rId5" Type="http://schemas.openxmlformats.org/officeDocument/2006/relationships/hyperlink" Target="https://www.legislation.gov.uk/ukpga/1986/45/schedule/6" TargetMode="External"/><Relationship Id="rId15" Type="http://schemas.openxmlformats.org/officeDocument/2006/relationships/hyperlink" Target="https://www.legislation.gov.uk/ukpga/1986/45/section/245" TargetMode="External"/><Relationship Id="rId23" Type="http://schemas.openxmlformats.org/officeDocument/2006/relationships/hyperlink" Target="https://www.legislation.gov.uk/ukpga/1986/45/section/240" TargetMode="External"/><Relationship Id="rId10" Type="http://schemas.openxmlformats.org/officeDocument/2006/relationships/hyperlink" Target="https://www.jonesday.com/files/Publication/60ba3b1a-58b3-42de-ab3d-c2d628af566c/Presentation/PublicationAttachment/2f2c219d-6313-4f63-b93f-c70b9d3582a2/IHL157%20p73-75.pdf" TargetMode="External"/><Relationship Id="rId19" Type="http://schemas.openxmlformats.org/officeDocument/2006/relationships/hyperlink" Target="https://www.legislation.gov.uk/ukpga/1986/45/section/240" TargetMode="External"/><Relationship Id="rId4" Type="http://schemas.openxmlformats.org/officeDocument/2006/relationships/hyperlink" Target="https://www.legislation.gov.uk/uksi/2016/1024/article/7.108/made" TargetMode="External"/><Relationship Id="rId9" Type="http://schemas.openxmlformats.org/officeDocument/2006/relationships/hyperlink" Target="https://www.legislation.gov.uk/ukpga/1986/45/section/176A" TargetMode="External"/><Relationship Id="rId14" Type="http://schemas.openxmlformats.org/officeDocument/2006/relationships/hyperlink" Target="https://oxford.universitypressscholarship.com/view/10.1093/oso/9780198793403.001.0001/isbn-9780198793403-book-part-21" TargetMode="External"/><Relationship Id="rId22" Type="http://schemas.openxmlformats.org/officeDocument/2006/relationships/hyperlink" Target="https://www.legislation.gov.uk/ukpga/1986/45/section/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14</Pages>
  <Words>4945</Words>
  <Characters>28191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Phillip Pierson</cp:lastModifiedBy>
  <cp:revision>22</cp:revision>
  <cp:lastPrinted>2019-08-27T04:42:00Z</cp:lastPrinted>
  <dcterms:created xsi:type="dcterms:W3CDTF">2021-08-17T10:41:00Z</dcterms:created>
  <dcterms:modified xsi:type="dcterms:W3CDTF">2022-03-01T04:14:00Z</dcterms:modified>
</cp:coreProperties>
</file>