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3685" cy="2815050"/>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00C56B61">
        <w:rPr>
          <w:rFonts w:ascii="Arial" w:hAnsi="Arial" w:cs="Arial"/>
          <w:bCs/>
          <w:color w:val="767171" w:themeColor="background2" w:themeShade="80"/>
          <w:sz w:val="22"/>
          <w:szCs w:val="22"/>
          <w:lang w:val="en-GB"/>
        </w:rPr>
        <w:t>for</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rsidR="00EA0A2F" w:rsidRDefault="00EA0A2F" w:rsidP="009D0811">
      <w:pPr>
        <w:jc w:val="center"/>
        <w:rPr>
          <w:rFonts w:ascii="Arial" w:hAnsi="Arial" w:cs="Arial"/>
          <w:b/>
          <w:sz w:val="22"/>
          <w:szCs w:val="22"/>
          <w:u w:val="single"/>
          <w:lang w:val="en-GB"/>
        </w:rPr>
      </w:pPr>
    </w:p>
    <w:p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rsidR="0011473D" w:rsidRPr="009B5832" w:rsidRDefault="0011473D" w:rsidP="00592F82">
      <w:pPr>
        <w:jc w:val="both"/>
        <w:rPr>
          <w:rFonts w:ascii="Arial" w:hAnsi="Arial" w:cs="Arial"/>
          <w:sz w:val="22"/>
          <w:szCs w:val="22"/>
          <w:lang w:val="en-GB"/>
        </w:rPr>
      </w:pPr>
    </w:p>
    <w:p w:rsidR="00397D3A" w:rsidRPr="009B5832" w:rsidRDefault="00397D3A" w:rsidP="00592F82">
      <w:pPr>
        <w:jc w:val="both"/>
        <w:rPr>
          <w:rFonts w:ascii="Arial" w:hAnsi="Arial" w:cs="Arial"/>
          <w:b/>
          <w:sz w:val="22"/>
          <w:szCs w:val="22"/>
          <w:lang w:val="en-GB"/>
        </w:rPr>
      </w:pPr>
    </w:p>
    <w:p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rsidR="00E850FE" w:rsidRPr="009B5832" w:rsidRDefault="00E850FE" w:rsidP="00E850FE">
      <w:pPr>
        <w:jc w:val="both"/>
        <w:rPr>
          <w:rFonts w:ascii="Arial" w:hAnsi="Arial" w:cs="Arial"/>
          <w:b/>
          <w:sz w:val="22"/>
          <w:szCs w:val="22"/>
          <w:lang w:val="en-GB"/>
        </w:rPr>
      </w:pPr>
    </w:p>
    <w:p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E850FE" w:rsidRPr="009B5832" w:rsidRDefault="00E850FE" w:rsidP="00E850FE">
      <w:pPr>
        <w:ind w:left="720" w:hanging="720"/>
        <w:jc w:val="both"/>
        <w:rPr>
          <w:rFonts w:ascii="Arial" w:hAnsi="Arial" w:cs="Arial"/>
          <w:sz w:val="22"/>
          <w:szCs w:val="22"/>
          <w:lang w:val="en-GB"/>
        </w:rPr>
      </w:pPr>
    </w:p>
    <w:p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rsidR="00E850FE" w:rsidRPr="009B5832" w:rsidRDefault="00E850FE" w:rsidP="00E850FE">
      <w:pPr>
        <w:ind w:left="720" w:hanging="720"/>
        <w:jc w:val="both"/>
        <w:rPr>
          <w:rFonts w:ascii="Arial" w:hAnsi="Arial" w:cs="Arial"/>
          <w:sz w:val="22"/>
          <w:szCs w:val="22"/>
          <w:lang w:val="en-GB"/>
        </w:rPr>
      </w:pPr>
    </w:p>
    <w:p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E850FE" w:rsidRPr="009B5832" w:rsidRDefault="00E850FE" w:rsidP="00E850FE">
      <w:pPr>
        <w:ind w:left="720" w:hanging="720"/>
        <w:jc w:val="both"/>
        <w:rPr>
          <w:rFonts w:ascii="Arial" w:hAnsi="Arial" w:cs="Arial"/>
          <w:sz w:val="22"/>
          <w:szCs w:val="22"/>
          <w:lang w:val="en-GB"/>
        </w:rPr>
      </w:pPr>
    </w:p>
    <w:p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rsidR="00E850FE" w:rsidRPr="009B5832" w:rsidRDefault="00E850FE" w:rsidP="00E850FE">
      <w:pPr>
        <w:ind w:left="720" w:hanging="720"/>
        <w:jc w:val="both"/>
        <w:rPr>
          <w:rFonts w:ascii="Arial" w:hAnsi="Arial" w:cs="Arial"/>
          <w:sz w:val="22"/>
          <w:szCs w:val="22"/>
          <w:lang w:val="en-GB"/>
        </w:rPr>
      </w:pPr>
    </w:p>
    <w:p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rsidR="00E850FE" w:rsidRPr="009B5832" w:rsidRDefault="00E850FE" w:rsidP="00E850FE">
      <w:pPr>
        <w:ind w:left="720" w:hanging="720"/>
        <w:jc w:val="both"/>
        <w:rPr>
          <w:rFonts w:ascii="Arial" w:hAnsi="Arial" w:cs="Arial"/>
          <w:sz w:val="22"/>
          <w:szCs w:val="22"/>
          <w:lang w:val="en-GB"/>
        </w:rPr>
      </w:pPr>
    </w:p>
    <w:p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rsidR="00E850FE" w:rsidRPr="009B5832" w:rsidRDefault="00E850FE" w:rsidP="00E850FE">
      <w:pPr>
        <w:ind w:left="720" w:hanging="720"/>
        <w:jc w:val="both"/>
        <w:rPr>
          <w:rFonts w:ascii="Arial" w:hAnsi="Arial" w:cs="Arial"/>
          <w:sz w:val="22"/>
          <w:szCs w:val="22"/>
          <w:lang w:val="en-GB"/>
        </w:rPr>
      </w:pPr>
    </w:p>
    <w:p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rsidR="00E850FE" w:rsidRPr="009B5832" w:rsidRDefault="00E850FE" w:rsidP="00E850FE">
      <w:pPr>
        <w:ind w:left="720" w:hanging="720"/>
        <w:jc w:val="both"/>
        <w:rPr>
          <w:rFonts w:ascii="Arial" w:hAnsi="Arial" w:cs="Arial"/>
          <w:sz w:val="22"/>
          <w:szCs w:val="22"/>
          <w:lang w:val="en-GB"/>
        </w:rPr>
      </w:pPr>
    </w:p>
    <w:p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9B5832">
        <w:rPr>
          <w:rFonts w:ascii="Arial" w:hAnsi="Arial" w:cs="Arial"/>
          <w:b/>
          <w:bCs/>
          <w:sz w:val="22"/>
          <w:szCs w:val="22"/>
          <w:lang w:val="en-GB"/>
        </w:rPr>
        <w:t>pages</w:t>
      </w:r>
      <w:r w:rsidRPr="009B5832">
        <w:rPr>
          <w:rFonts w:ascii="Arial" w:hAnsi="Arial" w:cs="Arial"/>
          <w:sz w:val="22"/>
          <w:szCs w:val="22"/>
          <w:lang w:val="en-GB"/>
        </w:rPr>
        <w:t>.</w:t>
      </w:r>
    </w:p>
    <w:p w:rsidR="00F3323E" w:rsidRPr="009B5832" w:rsidRDefault="00F3323E" w:rsidP="00592F82">
      <w:pPr>
        <w:ind w:left="720" w:hanging="720"/>
        <w:jc w:val="both"/>
        <w:rPr>
          <w:rFonts w:ascii="Arial" w:hAnsi="Arial" w:cs="Arial"/>
          <w:sz w:val="22"/>
          <w:szCs w:val="22"/>
          <w:lang w:val="en-GB"/>
        </w:rPr>
      </w:pPr>
    </w:p>
    <w:p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rsidR="00F3323E" w:rsidRPr="009B5832" w:rsidRDefault="00F3323E" w:rsidP="00707FC8">
      <w:pPr>
        <w:spacing w:line="276" w:lineRule="auto"/>
        <w:ind w:left="720" w:hanging="720"/>
        <w:jc w:val="both"/>
        <w:rPr>
          <w:rFonts w:ascii="Arial" w:hAnsi="Arial" w:cs="Arial"/>
          <w:sz w:val="22"/>
          <w:szCs w:val="22"/>
          <w:lang w:val="en-GB"/>
        </w:rPr>
      </w:pPr>
    </w:p>
    <w:p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rsidR="007F60D0" w:rsidRPr="009B5832" w:rsidRDefault="007F60D0" w:rsidP="00707FC8">
      <w:pPr>
        <w:spacing w:line="276" w:lineRule="auto"/>
        <w:ind w:left="720" w:hanging="720"/>
        <w:jc w:val="both"/>
        <w:rPr>
          <w:rFonts w:ascii="Arial" w:hAnsi="Arial" w:cs="Arial"/>
          <w:sz w:val="22"/>
          <w:szCs w:val="22"/>
          <w:lang w:val="en-GB"/>
        </w:rPr>
      </w:pPr>
    </w:p>
    <w:p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rsidR="00F3323E" w:rsidRPr="009B5832" w:rsidRDefault="00F3323E" w:rsidP="00707FC8">
      <w:pPr>
        <w:spacing w:line="276" w:lineRule="auto"/>
        <w:ind w:left="720" w:hanging="720"/>
        <w:jc w:val="both"/>
        <w:rPr>
          <w:rFonts w:ascii="Arial" w:hAnsi="Arial" w:cs="Arial"/>
          <w:sz w:val="22"/>
          <w:szCs w:val="22"/>
          <w:lang w:val="en-GB"/>
        </w:rPr>
      </w:pPr>
    </w:p>
    <w:p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p>
    <w:p w:rsidR="00E9597C" w:rsidRPr="009B5832" w:rsidRDefault="00E9597C" w:rsidP="00707FC8">
      <w:pPr>
        <w:jc w:val="both"/>
        <w:rPr>
          <w:rFonts w:ascii="Arial" w:hAnsi="Arial" w:cs="Arial"/>
          <w:sz w:val="22"/>
          <w:szCs w:val="22"/>
          <w:lang w:val="en-GB"/>
        </w:rPr>
      </w:pPr>
    </w:p>
    <w:p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rsidR="0050157D" w:rsidRPr="009B5832" w:rsidRDefault="0050157D" w:rsidP="0050157D">
      <w:pPr>
        <w:ind w:left="1440" w:hanging="1440"/>
        <w:jc w:val="both"/>
        <w:rPr>
          <w:rFonts w:ascii="Arial" w:hAnsi="Arial" w:cs="Arial"/>
          <w:sz w:val="22"/>
          <w:szCs w:val="22"/>
          <w:lang w:val="en-GB"/>
        </w:rPr>
      </w:pPr>
    </w:p>
    <w:p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rsidR="00D45AEA" w:rsidRPr="009B5832" w:rsidRDefault="00D45AEA" w:rsidP="00D45AEA">
      <w:pPr>
        <w:jc w:val="both"/>
        <w:rPr>
          <w:rFonts w:ascii="Arial" w:hAnsi="Arial" w:cs="Arial"/>
          <w:sz w:val="22"/>
          <w:szCs w:val="22"/>
          <w:lang w:val="en-GB"/>
        </w:rPr>
      </w:pPr>
    </w:p>
    <w:bookmarkEnd w:id="0"/>
    <w:p w:rsidR="0050157D" w:rsidRPr="00F541B7" w:rsidRDefault="0050157D" w:rsidP="00D45AEA">
      <w:pPr>
        <w:pStyle w:val="ListParagraph"/>
        <w:numPr>
          <w:ilvl w:val="0"/>
          <w:numId w:val="12"/>
        </w:numPr>
        <w:ind w:left="426"/>
        <w:jc w:val="both"/>
        <w:rPr>
          <w:rFonts w:ascii="Arial" w:hAnsi="Arial" w:cs="Arial"/>
          <w:sz w:val="22"/>
          <w:szCs w:val="22"/>
          <w:lang w:val="en-GB"/>
        </w:rPr>
      </w:pPr>
      <w:r w:rsidRPr="00F541B7">
        <w:rPr>
          <w:rFonts w:ascii="Arial" w:hAnsi="Arial" w:cs="Arial"/>
          <w:sz w:val="22"/>
          <w:szCs w:val="22"/>
          <w:lang w:val="en-GB"/>
        </w:rPr>
        <w:t>The Model Law provides effective mechanisms for dealing with cases of cross-border insolvency so as to promote a number of objectives</w:t>
      </w:r>
      <w:r w:rsidR="00B61419" w:rsidRPr="00F541B7">
        <w:rPr>
          <w:rFonts w:ascii="Arial" w:hAnsi="Arial" w:cs="Arial"/>
          <w:sz w:val="22"/>
          <w:szCs w:val="22"/>
          <w:lang w:val="en-GB"/>
        </w:rPr>
        <w:t>,</w:t>
      </w:r>
      <w:r w:rsidRPr="00F541B7">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rsidR="00D45AEA" w:rsidRPr="009B5832" w:rsidRDefault="00D45AEA" w:rsidP="00D45AEA">
      <w:pPr>
        <w:jc w:val="both"/>
        <w:rPr>
          <w:rFonts w:ascii="Arial" w:hAnsi="Arial" w:cs="Arial"/>
          <w:sz w:val="22"/>
          <w:szCs w:val="22"/>
          <w:lang w:val="en-GB"/>
        </w:rPr>
      </w:pPr>
    </w:p>
    <w:p w:rsidR="0050157D" w:rsidRPr="00F541B7" w:rsidRDefault="0050157D" w:rsidP="00D45AEA">
      <w:pPr>
        <w:pStyle w:val="ListParagraph"/>
        <w:numPr>
          <w:ilvl w:val="0"/>
          <w:numId w:val="12"/>
        </w:numPr>
        <w:ind w:left="426"/>
        <w:jc w:val="both"/>
        <w:rPr>
          <w:rFonts w:ascii="Arial" w:hAnsi="Arial" w:cs="Arial"/>
          <w:sz w:val="22"/>
          <w:szCs w:val="22"/>
          <w:lang w:val="en-GB"/>
        </w:rPr>
      </w:pPr>
      <w:r w:rsidRPr="00F541B7">
        <w:rPr>
          <w:rFonts w:ascii="Arial" w:hAnsi="Arial" w:cs="Arial"/>
          <w:sz w:val="22"/>
          <w:szCs w:val="22"/>
          <w:lang w:val="en-GB"/>
        </w:rPr>
        <w:t>The Model Law is a substantive unification of insolvency law so as to promote co</w:t>
      </w:r>
      <w:r w:rsidR="00B61419" w:rsidRPr="00F541B7">
        <w:rPr>
          <w:rFonts w:ascii="Arial" w:hAnsi="Arial" w:cs="Arial"/>
          <w:sz w:val="22"/>
          <w:szCs w:val="22"/>
          <w:lang w:val="en-GB"/>
        </w:rPr>
        <w:t>-</w:t>
      </w:r>
      <w:r w:rsidRPr="00F541B7">
        <w:rPr>
          <w:rFonts w:ascii="Arial" w:hAnsi="Arial" w:cs="Arial"/>
          <w:sz w:val="22"/>
          <w:szCs w:val="22"/>
          <w:lang w:val="en-GB"/>
        </w:rPr>
        <w:t>operation between courts of the enacting State and foreign States and facilitation of the rescue of financially troubled businesses.</w:t>
      </w:r>
    </w:p>
    <w:p w:rsidR="00D45AEA" w:rsidRPr="009B5832" w:rsidRDefault="00D45AEA" w:rsidP="00D45AEA">
      <w:pPr>
        <w:jc w:val="both"/>
        <w:rPr>
          <w:rFonts w:ascii="Arial" w:hAnsi="Arial" w:cs="Arial"/>
          <w:sz w:val="22"/>
          <w:szCs w:val="22"/>
          <w:lang w:val="en-GB"/>
        </w:rPr>
      </w:pPr>
    </w:p>
    <w:p w:rsidR="0050157D" w:rsidRPr="00F541B7"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F541B7">
        <w:rPr>
          <w:rFonts w:ascii="Arial" w:hAnsi="Arial" w:cs="Arial"/>
          <w:sz w:val="22"/>
          <w:szCs w:val="22"/>
          <w:highlight w:val="yellow"/>
          <w:lang w:val="en-GB"/>
        </w:rPr>
        <w:t xml:space="preserve">All of the above. </w:t>
      </w:r>
      <w:bookmarkEnd w:id="1"/>
    </w:p>
    <w:p w:rsidR="00E9597C" w:rsidRPr="009B5832" w:rsidRDefault="00E9597C" w:rsidP="00707FC8">
      <w:pPr>
        <w:jc w:val="both"/>
        <w:rPr>
          <w:rFonts w:ascii="Arial" w:hAnsi="Arial" w:cs="Arial"/>
          <w:sz w:val="22"/>
          <w:szCs w:val="22"/>
          <w:lang w:val="en-GB"/>
        </w:rPr>
      </w:pPr>
    </w:p>
    <w:p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rsidR="00E9597C" w:rsidRPr="009B5832" w:rsidRDefault="00E9597C" w:rsidP="00707FC8">
      <w:pPr>
        <w:jc w:val="both"/>
        <w:rPr>
          <w:rFonts w:ascii="Arial" w:hAnsi="Arial" w:cs="Arial"/>
          <w:b/>
          <w:bCs/>
          <w:sz w:val="22"/>
          <w:szCs w:val="22"/>
          <w:lang w:val="en-GB"/>
        </w:rPr>
      </w:pPr>
    </w:p>
    <w:p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rsidR="005F21F4" w:rsidRPr="009B5832" w:rsidRDefault="005F21F4" w:rsidP="005F21F4">
      <w:pPr>
        <w:ind w:left="720" w:hanging="720"/>
        <w:jc w:val="both"/>
        <w:rPr>
          <w:rFonts w:ascii="Arial" w:hAnsi="Arial" w:cs="Arial"/>
          <w:sz w:val="22"/>
          <w:szCs w:val="22"/>
          <w:lang w:val="en-GB"/>
        </w:rPr>
      </w:pPr>
    </w:p>
    <w:p w:rsidR="005F21F4" w:rsidRPr="00717C97" w:rsidRDefault="005F21F4" w:rsidP="005F21F4">
      <w:pPr>
        <w:pStyle w:val="ListParagraph"/>
        <w:numPr>
          <w:ilvl w:val="0"/>
          <w:numId w:val="14"/>
        </w:numPr>
        <w:ind w:left="426"/>
        <w:jc w:val="both"/>
        <w:rPr>
          <w:rFonts w:ascii="Arial" w:hAnsi="Arial" w:cs="Arial"/>
          <w:sz w:val="22"/>
          <w:szCs w:val="22"/>
          <w:highlight w:val="yellow"/>
          <w:lang w:val="en-GB"/>
        </w:rPr>
      </w:pPr>
      <w:r w:rsidRPr="00717C97">
        <w:rPr>
          <w:rFonts w:ascii="Arial" w:hAnsi="Arial" w:cs="Arial"/>
          <w:sz w:val="22"/>
          <w:szCs w:val="22"/>
          <w:highlight w:val="yellow"/>
          <w:lang w:val="en-GB"/>
        </w:rPr>
        <w:t>The existence of a statutory basis in national (insolvency) laws for co</w:t>
      </w:r>
      <w:r w:rsidR="00B61419" w:rsidRPr="00717C97">
        <w:rPr>
          <w:rFonts w:ascii="Arial" w:hAnsi="Arial" w:cs="Arial"/>
          <w:sz w:val="22"/>
          <w:szCs w:val="22"/>
          <w:highlight w:val="yellow"/>
          <w:lang w:val="en-GB"/>
        </w:rPr>
        <w:t>-</w:t>
      </w:r>
      <w:r w:rsidRPr="00717C97">
        <w:rPr>
          <w:rFonts w:ascii="Arial" w:hAnsi="Arial" w:cs="Arial"/>
          <w:sz w:val="22"/>
          <w:szCs w:val="22"/>
          <w:highlight w:val="yellow"/>
          <w:lang w:val="en-GB"/>
        </w:rPr>
        <w:t>operation and co</w:t>
      </w:r>
      <w:r w:rsidR="00B61419" w:rsidRPr="00717C97">
        <w:rPr>
          <w:rFonts w:ascii="Arial" w:hAnsi="Arial" w:cs="Arial"/>
          <w:sz w:val="22"/>
          <w:szCs w:val="22"/>
          <w:highlight w:val="yellow"/>
          <w:lang w:val="en-GB"/>
        </w:rPr>
        <w:t>-</w:t>
      </w:r>
      <w:r w:rsidRPr="00717C97">
        <w:rPr>
          <w:rFonts w:ascii="Arial" w:hAnsi="Arial" w:cs="Arial"/>
          <w:sz w:val="22"/>
          <w:szCs w:val="22"/>
          <w:highlight w:val="yellow"/>
          <w:lang w:val="en-GB"/>
        </w:rPr>
        <w:t>ordination of domestic courts with foreign courts or foreign representatives.</w:t>
      </w:r>
    </w:p>
    <w:p w:rsidR="005F21F4" w:rsidRPr="009B5832" w:rsidRDefault="005F21F4" w:rsidP="005F21F4">
      <w:pPr>
        <w:jc w:val="both"/>
        <w:rPr>
          <w:rFonts w:ascii="Arial" w:hAnsi="Arial" w:cs="Arial"/>
          <w:sz w:val="22"/>
          <w:szCs w:val="22"/>
          <w:lang w:val="en-GB"/>
        </w:rPr>
      </w:pPr>
    </w:p>
    <w:p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rsidR="005F21F4" w:rsidRPr="009B5832" w:rsidRDefault="005F21F4" w:rsidP="005F21F4">
      <w:pPr>
        <w:jc w:val="both"/>
        <w:rPr>
          <w:rFonts w:ascii="Arial" w:hAnsi="Arial" w:cs="Arial"/>
          <w:sz w:val="22"/>
          <w:szCs w:val="22"/>
          <w:lang w:val="en-GB"/>
        </w:rPr>
      </w:pPr>
    </w:p>
    <w:p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rsidR="005F21F4" w:rsidRPr="009B5832" w:rsidRDefault="005F21F4" w:rsidP="005F21F4">
      <w:pPr>
        <w:jc w:val="both"/>
        <w:rPr>
          <w:rFonts w:ascii="Arial" w:hAnsi="Arial" w:cs="Arial"/>
          <w:sz w:val="22"/>
          <w:szCs w:val="22"/>
          <w:lang w:val="en-GB"/>
        </w:rPr>
      </w:pPr>
    </w:p>
    <w:p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rsidR="00E9597C" w:rsidRPr="009B5832" w:rsidRDefault="00E9597C" w:rsidP="00707FC8">
      <w:pPr>
        <w:jc w:val="both"/>
        <w:rPr>
          <w:rFonts w:ascii="Arial" w:hAnsi="Arial" w:cs="Arial"/>
          <w:sz w:val="22"/>
          <w:szCs w:val="22"/>
          <w:lang w:val="en-GB"/>
        </w:rPr>
      </w:pPr>
    </w:p>
    <w:p w:rsidR="00540B44" w:rsidRPr="009B5832" w:rsidRDefault="00540B44" w:rsidP="00707FC8">
      <w:pPr>
        <w:jc w:val="both"/>
        <w:rPr>
          <w:rFonts w:ascii="Arial" w:hAnsi="Arial" w:cs="Arial"/>
          <w:sz w:val="22"/>
          <w:szCs w:val="22"/>
          <w:lang w:val="en-GB"/>
        </w:rPr>
      </w:pPr>
    </w:p>
    <w:p w:rsidR="00540B44" w:rsidRPr="009B5832" w:rsidRDefault="00540B44" w:rsidP="00707FC8">
      <w:pPr>
        <w:jc w:val="both"/>
        <w:rPr>
          <w:rFonts w:ascii="Arial" w:hAnsi="Arial" w:cs="Arial"/>
          <w:sz w:val="22"/>
          <w:szCs w:val="22"/>
          <w:lang w:val="en-GB"/>
        </w:rPr>
      </w:pPr>
    </w:p>
    <w:p w:rsidR="00540B44" w:rsidRPr="009B5832" w:rsidRDefault="00540B44" w:rsidP="00707FC8">
      <w:pPr>
        <w:jc w:val="both"/>
        <w:rPr>
          <w:rFonts w:ascii="Arial" w:hAnsi="Arial" w:cs="Arial"/>
          <w:sz w:val="22"/>
          <w:szCs w:val="22"/>
          <w:lang w:val="en-GB"/>
        </w:rPr>
      </w:pPr>
    </w:p>
    <w:p w:rsidR="00540B44" w:rsidRPr="009B5832" w:rsidRDefault="00540B44" w:rsidP="00707FC8">
      <w:pPr>
        <w:jc w:val="both"/>
        <w:rPr>
          <w:rFonts w:ascii="Arial" w:hAnsi="Arial" w:cs="Arial"/>
          <w:sz w:val="22"/>
          <w:szCs w:val="22"/>
          <w:lang w:val="en-GB"/>
        </w:rPr>
      </w:pPr>
    </w:p>
    <w:p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rsidR="00E9597C" w:rsidRPr="009B5832" w:rsidRDefault="00E9597C" w:rsidP="00707FC8">
      <w:pPr>
        <w:jc w:val="both"/>
        <w:rPr>
          <w:rFonts w:ascii="Arial" w:hAnsi="Arial" w:cs="Arial"/>
          <w:b/>
          <w:bCs/>
          <w:sz w:val="22"/>
          <w:szCs w:val="22"/>
          <w:lang w:val="en-GB"/>
        </w:rPr>
      </w:pPr>
    </w:p>
    <w:p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rsidR="00853A74" w:rsidRPr="009B5832" w:rsidRDefault="00853A74" w:rsidP="00853A74">
      <w:pPr>
        <w:ind w:left="720" w:hanging="720"/>
        <w:jc w:val="both"/>
        <w:rPr>
          <w:rFonts w:ascii="Arial" w:hAnsi="Arial" w:cs="Arial"/>
          <w:sz w:val="22"/>
          <w:szCs w:val="22"/>
          <w:lang w:val="en-GB"/>
        </w:rPr>
      </w:pPr>
    </w:p>
    <w:p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rsidR="00853A74" w:rsidRPr="005511F2" w:rsidRDefault="00853A74" w:rsidP="00853A74">
      <w:pPr>
        <w:pStyle w:val="ListParagraph"/>
        <w:numPr>
          <w:ilvl w:val="0"/>
          <w:numId w:val="16"/>
        </w:numPr>
        <w:ind w:left="426"/>
        <w:jc w:val="both"/>
        <w:rPr>
          <w:rFonts w:ascii="Arial" w:hAnsi="Arial" w:cs="Arial"/>
          <w:sz w:val="22"/>
          <w:szCs w:val="22"/>
          <w:highlight w:val="yellow"/>
          <w:lang w:val="en-GB"/>
        </w:rPr>
      </w:pPr>
      <w:r w:rsidRPr="005511F2">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rsidR="00853A74" w:rsidRPr="009B5832" w:rsidRDefault="00853A74" w:rsidP="00853A74">
      <w:pPr>
        <w:jc w:val="both"/>
        <w:rPr>
          <w:rFonts w:ascii="Arial" w:hAnsi="Arial" w:cs="Arial"/>
          <w:sz w:val="22"/>
          <w:szCs w:val="22"/>
          <w:lang w:val="en-GB"/>
        </w:rPr>
      </w:pPr>
    </w:p>
    <w:p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rsidR="00853A74" w:rsidRPr="009B5832" w:rsidRDefault="00853A74" w:rsidP="00853A74">
      <w:pPr>
        <w:jc w:val="both"/>
        <w:rPr>
          <w:rFonts w:ascii="Arial" w:hAnsi="Arial" w:cs="Arial"/>
          <w:sz w:val="22"/>
          <w:szCs w:val="22"/>
          <w:lang w:val="en-GB"/>
        </w:rPr>
      </w:pPr>
    </w:p>
    <w:p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p>
    <w:p w:rsidR="00E9597C" w:rsidRPr="009B5832" w:rsidRDefault="00E9597C" w:rsidP="00707FC8">
      <w:pPr>
        <w:jc w:val="both"/>
        <w:rPr>
          <w:rFonts w:ascii="Arial" w:hAnsi="Arial" w:cs="Arial"/>
          <w:sz w:val="22"/>
          <w:szCs w:val="22"/>
          <w:lang w:val="en-GB"/>
        </w:rPr>
      </w:pPr>
    </w:p>
    <w:p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rsidR="00E57410" w:rsidRPr="009B5832" w:rsidRDefault="00E57410" w:rsidP="00E57410">
      <w:pPr>
        <w:ind w:left="720" w:hanging="720"/>
        <w:jc w:val="both"/>
        <w:rPr>
          <w:rFonts w:ascii="Arial" w:hAnsi="Arial" w:cs="Arial"/>
          <w:sz w:val="22"/>
          <w:szCs w:val="22"/>
          <w:lang w:val="en-GB"/>
        </w:rPr>
      </w:pPr>
    </w:p>
    <w:p w:rsidR="00E57410" w:rsidRPr="00382175" w:rsidRDefault="00E57410" w:rsidP="00322F3B">
      <w:pPr>
        <w:pStyle w:val="ListParagraph"/>
        <w:numPr>
          <w:ilvl w:val="0"/>
          <w:numId w:val="18"/>
        </w:numPr>
        <w:ind w:left="426"/>
        <w:jc w:val="both"/>
        <w:rPr>
          <w:rFonts w:ascii="Arial" w:hAnsi="Arial" w:cs="Arial"/>
          <w:sz w:val="22"/>
          <w:szCs w:val="22"/>
          <w:highlight w:val="yellow"/>
          <w:lang w:val="en-GB"/>
        </w:rPr>
      </w:pPr>
      <w:r w:rsidRPr="00382175">
        <w:rPr>
          <w:rFonts w:ascii="Arial" w:hAnsi="Arial" w:cs="Arial"/>
          <w:sz w:val="22"/>
          <w:szCs w:val="22"/>
          <w:highlight w:val="yellow"/>
          <w:lang w:val="en-GB"/>
        </w:rPr>
        <w:t xml:space="preserve">The </w:t>
      </w:r>
      <w:r w:rsidRPr="00382175">
        <w:rPr>
          <w:rFonts w:ascii="Arial" w:hAnsi="Arial" w:cs="Arial"/>
          <w:i/>
          <w:iCs/>
          <w:sz w:val="22"/>
          <w:szCs w:val="22"/>
          <w:highlight w:val="yellow"/>
          <w:lang w:val="en-GB"/>
        </w:rPr>
        <w:t>locus standi</w:t>
      </w:r>
      <w:r w:rsidRPr="00382175">
        <w:rPr>
          <w:rFonts w:ascii="Arial" w:hAnsi="Arial" w:cs="Arial"/>
          <w:sz w:val="22"/>
          <w:szCs w:val="22"/>
          <w:highlight w:val="yellow"/>
          <w:lang w:val="en-GB"/>
        </w:rPr>
        <w:t xml:space="preserve"> access rules.</w:t>
      </w:r>
    </w:p>
    <w:p w:rsidR="00322F3B" w:rsidRPr="009B5832" w:rsidRDefault="00322F3B" w:rsidP="00322F3B">
      <w:pPr>
        <w:jc w:val="both"/>
        <w:rPr>
          <w:rFonts w:ascii="Arial" w:hAnsi="Arial" w:cs="Arial"/>
          <w:sz w:val="22"/>
          <w:szCs w:val="22"/>
          <w:lang w:val="en-GB"/>
        </w:rPr>
      </w:pPr>
    </w:p>
    <w:p w:rsidR="00E57410" w:rsidRPr="00382175" w:rsidRDefault="00E57410" w:rsidP="00322F3B">
      <w:pPr>
        <w:pStyle w:val="ListParagraph"/>
        <w:numPr>
          <w:ilvl w:val="0"/>
          <w:numId w:val="18"/>
        </w:numPr>
        <w:ind w:left="426"/>
        <w:jc w:val="both"/>
        <w:rPr>
          <w:rFonts w:ascii="Arial" w:hAnsi="Arial" w:cs="Arial"/>
          <w:sz w:val="22"/>
          <w:szCs w:val="22"/>
          <w:lang w:val="en-GB"/>
        </w:rPr>
      </w:pPr>
      <w:r w:rsidRPr="00382175">
        <w:rPr>
          <w:rFonts w:ascii="Arial" w:hAnsi="Arial" w:cs="Arial"/>
          <w:sz w:val="22"/>
          <w:szCs w:val="22"/>
          <w:lang w:val="en-GB"/>
        </w:rPr>
        <w:t>The public policy exception.</w:t>
      </w:r>
    </w:p>
    <w:p w:rsidR="00322F3B" w:rsidRPr="009B5832" w:rsidRDefault="00322F3B" w:rsidP="00322F3B">
      <w:pPr>
        <w:jc w:val="both"/>
        <w:rPr>
          <w:rFonts w:ascii="Arial" w:hAnsi="Arial" w:cs="Arial"/>
          <w:sz w:val="22"/>
          <w:szCs w:val="22"/>
          <w:lang w:val="en-GB"/>
        </w:rPr>
      </w:pPr>
    </w:p>
    <w:p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rsidR="00322F3B" w:rsidRPr="009B5832" w:rsidRDefault="00322F3B" w:rsidP="00322F3B">
      <w:pPr>
        <w:jc w:val="both"/>
        <w:rPr>
          <w:rFonts w:ascii="Arial" w:hAnsi="Arial" w:cs="Arial"/>
          <w:sz w:val="22"/>
          <w:szCs w:val="22"/>
          <w:lang w:val="en-GB"/>
        </w:rPr>
      </w:pPr>
    </w:p>
    <w:p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rsidR="00E9597C" w:rsidRPr="009B5832" w:rsidRDefault="00E9597C" w:rsidP="00707FC8">
      <w:pPr>
        <w:jc w:val="both"/>
        <w:rPr>
          <w:rFonts w:ascii="Arial" w:hAnsi="Arial" w:cs="Arial"/>
          <w:b/>
          <w:bCs/>
          <w:sz w:val="22"/>
          <w:szCs w:val="22"/>
          <w:lang w:val="en-GB"/>
        </w:rPr>
      </w:pPr>
    </w:p>
    <w:p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rsidR="00C504E5" w:rsidRPr="009B5832" w:rsidRDefault="00C504E5" w:rsidP="00C504E5">
      <w:pPr>
        <w:ind w:left="720" w:hanging="720"/>
        <w:jc w:val="both"/>
        <w:rPr>
          <w:rFonts w:ascii="Arial" w:hAnsi="Arial" w:cs="Arial"/>
          <w:sz w:val="22"/>
          <w:szCs w:val="22"/>
          <w:lang w:val="en-GB"/>
        </w:rPr>
      </w:pPr>
    </w:p>
    <w:p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rsidR="00C504E5" w:rsidRPr="009B5832" w:rsidRDefault="00C504E5" w:rsidP="00C504E5">
      <w:pPr>
        <w:jc w:val="both"/>
        <w:rPr>
          <w:rFonts w:ascii="Arial" w:hAnsi="Arial" w:cs="Arial"/>
          <w:sz w:val="22"/>
          <w:szCs w:val="22"/>
          <w:lang w:val="en-GB"/>
        </w:rPr>
      </w:pPr>
    </w:p>
    <w:p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rsidR="00C504E5" w:rsidRPr="009B5832" w:rsidRDefault="00C504E5" w:rsidP="00C504E5">
      <w:pPr>
        <w:jc w:val="both"/>
        <w:rPr>
          <w:rFonts w:ascii="Arial" w:hAnsi="Arial" w:cs="Arial"/>
          <w:sz w:val="22"/>
          <w:szCs w:val="22"/>
          <w:lang w:val="en-GB"/>
        </w:rPr>
      </w:pPr>
    </w:p>
    <w:p w:rsidR="00C504E5" w:rsidRPr="006602FE" w:rsidRDefault="00C504E5" w:rsidP="00C504E5">
      <w:pPr>
        <w:pStyle w:val="ListParagraph"/>
        <w:numPr>
          <w:ilvl w:val="0"/>
          <w:numId w:val="20"/>
        </w:numPr>
        <w:ind w:left="426"/>
        <w:jc w:val="both"/>
        <w:rPr>
          <w:rFonts w:ascii="Arial" w:hAnsi="Arial" w:cs="Arial"/>
          <w:sz w:val="22"/>
          <w:szCs w:val="22"/>
          <w:highlight w:val="yellow"/>
          <w:lang w:val="en-GB"/>
        </w:rPr>
      </w:pPr>
      <w:r w:rsidRPr="006602FE">
        <w:rPr>
          <w:rFonts w:ascii="Arial" w:hAnsi="Arial" w:cs="Arial"/>
          <w:sz w:val="22"/>
          <w:szCs w:val="22"/>
          <w:highlight w:val="yellow"/>
          <w:lang w:val="en-GB"/>
        </w:rPr>
        <w:t>Both the foreign main proceedings in South Africa and the foreign non-main proceedings in Brazil will be recognised in the UK.</w:t>
      </w:r>
    </w:p>
    <w:p w:rsidR="00C504E5" w:rsidRPr="009B5832" w:rsidRDefault="00C504E5" w:rsidP="00C504E5">
      <w:pPr>
        <w:jc w:val="both"/>
        <w:rPr>
          <w:rFonts w:ascii="Arial" w:hAnsi="Arial" w:cs="Arial"/>
          <w:sz w:val="22"/>
          <w:szCs w:val="22"/>
          <w:lang w:val="en-GB"/>
        </w:rPr>
      </w:pPr>
    </w:p>
    <w:p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p>
    <w:p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rsidR="00B72F5F" w:rsidRPr="009B5832" w:rsidRDefault="00B72F5F" w:rsidP="00B72F5F">
      <w:pPr>
        <w:ind w:left="720" w:hanging="720"/>
        <w:jc w:val="both"/>
        <w:rPr>
          <w:rFonts w:ascii="Arial" w:hAnsi="Arial" w:cs="Arial"/>
          <w:sz w:val="22"/>
          <w:szCs w:val="22"/>
          <w:lang w:val="en-GB"/>
        </w:rPr>
      </w:pPr>
    </w:p>
    <w:p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rsidR="00114082" w:rsidRPr="009B5832" w:rsidRDefault="00114082" w:rsidP="00114082">
      <w:pPr>
        <w:jc w:val="both"/>
        <w:rPr>
          <w:rFonts w:ascii="Arial" w:hAnsi="Arial" w:cs="Arial"/>
          <w:sz w:val="22"/>
          <w:szCs w:val="22"/>
          <w:lang w:val="en-GB"/>
        </w:rPr>
      </w:pPr>
    </w:p>
    <w:p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rsidR="00114082" w:rsidRPr="009B5832" w:rsidRDefault="00114082" w:rsidP="00114082">
      <w:pPr>
        <w:jc w:val="both"/>
        <w:rPr>
          <w:rFonts w:ascii="Arial" w:hAnsi="Arial" w:cs="Arial"/>
          <w:sz w:val="22"/>
          <w:szCs w:val="22"/>
          <w:lang w:val="en-GB"/>
        </w:rPr>
      </w:pPr>
    </w:p>
    <w:p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rsidR="00114082" w:rsidRPr="009B5832" w:rsidRDefault="00114082" w:rsidP="00114082">
      <w:pPr>
        <w:jc w:val="both"/>
        <w:rPr>
          <w:rFonts w:ascii="Arial" w:hAnsi="Arial" w:cs="Arial"/>
          <w:sz w:val="22"/>
          <w:szCs w:val="22"/>
          <w:lang w:val="en-GB"/>
        </w:rPr>
      </w:pPr>
    </w:p>
    <w:p w:rsidR="00B72F5F" w:rsidRPr="006602FE" w:rsidRDefault="00B72F5F" w:rsidP="00114082">
      <w:pPr>
        <w:pStyle w:val="ListParagraph"/>
        <w:numPr>
          <w:ilvl w:val="0"/>
          <w:numId w:val="26"/>
        </w:numPr>
        <w:ind w:left="426"/>
        <w:jc w:val="both"/>
        <w:rPr>
          <w:rFonts w:ascii="Arial" w:hAnsi="Arial" w:cs="Arial"/>
          <w:sz w:val="22"/>
          <w:szCs w:val="22"/>
          <w:highlight w:val="yellow"/>
          <w:lang w:val="en-GB"/>
        </w:rPr>
      </w:pPr>
      <w:r w:rsidRPr="006602FE">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602FE">
        <w:rPr>
          <w:rFonts w:ascii="Arial" w:hAnsi="Arial" w:cs="Arial"/>
          <w:sz w:val="22"/>
          <w:szCs w:val="22"/>
          <w:highlight w:val="yellow"/>
          <w:lang w:val="en-GB"/>
        </w:rPr>
        <w:t>will</w:t>
      </w:r>
      <w:r w:rsidRPr="006602FE">
        <w:rPr>
          <w:rFonts w:ascii="Arial" w:hAnsi="Arial" w:cs="Arial"/>
          <w:sz w:val="22"/>
          <w:szCs w:val="22"/>
          <w:highlight w:val="yellow"/>
          <w:lang w:val="en-GB"/>
        </w:rPr>
        <w:t xml:space="preserve"> not be either adjusted or terminated if consistent with the domestic insolvency proceedings. </w:t>
      </w:r>
    </w:p>
    <w:p w:rsidR="00622586" w:rsidRPr="009B5832" w:rsidRDefault="00622586" w:rsidP="00707FC8">
      <w:pPr>
        <w:jc w:val="both"/>
        <w:rPr>
          <w:rFonts w:ascii="Arial" w:hAnsi="Arial" w:cs="Arial"/>
          <w:sz w:val="22"/>
          <w:szCs w:val="22"/>
          <w:lang w:val="en-GB"/>
        </w:rPr>
      </w:pPr>
    </w:p>
    <w:p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p>
    <w:p w:rsidR="00E9597C" w:rsidRPr="009B5832" w:rsidRDefault="00E9597C" w:rsidP="00707FC8">
      <w:pPr>
        <w:spacing w:line="276" w:lineRule="auto"/>
        <w:jc w:val="both"/>
        <w:rPr>
          <w:rFonts w:ascii="Arial" w:hAnsi="Arial" w:cs="Arial"/>
          <w:sz w:val="22"/>
          <w:szCs w:val="22"/>
          <w:lang w:val="en-GB"/>
        </w:rPr>
      </w:pPr>
    </w:p>
    <w:p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rsidR="0067294B" w:rsidRPr="009B5832" w:rsidRDefault="0067294B" w:rsidP="0067294B">
      <w:pPr>
        <w:ind w:left="720" w:hanging="720"/>
        <w:jc w:val="both"/>
        <w:rPr>
          <w:rFonts w:ascii="Arial" w:hAnsi="Arial" w:cs="Arial"/>
          <w:sz w:val="22"/>
          <w:szCs w:val="22"/>
          <w:lang w:val="en-GB"/>
        </w:rPr>
      </w:pPr>
    </w:p>
    <w:p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rsidR="00114082" w:rsidRPr="009B5832" w:rsidRDefault="00114082" w:rsidP="00114082">
      <w:pPr>
        <w:jc w:val="both"/>
        <w:rPr>
          <w:rFonts w:ascii="Arial" w:hAnsi="Arial" w:cs="Arial"/>
          <w:sz w:val="22"/>
          <w:szCs w:val="22"/>
          <w:lang w:val="en-GB"/>
        </w:rPr>
      </w:pPr>
    </w:p>
    <w:p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rsidR="00114082" w:rsidRPr="009B5832" w:rsidRDefault="00114082" w:rsidP="00114082">
      <w:pPr>
        <w:jc w:val="both"/>
        <w:rPr>
          <w:rFonts w:ascii="Arial" w:hAnsi="Arial" w:cs="Arial"/>
          <w:sz w:val="22"/>
          <w:szCs w:val="22"/>
          <w:lang w:val="en-GB"/>
        </w:rPr>
      </w:pPr>
    </w:p>
    <w:p w:rsidR="0067294B" w:rsidRPr="005A782A" w:rsidRDefault="0067294B" w:rsidP="00114082">
      <w:pPr>
        <w:pStyle w:val="ListParagraph"/>
        <w:numPr>
          <w:ilvl w:val="0"/>
          <w:numId w:val="27"/>
        </w:numPr>
        <w:ind w:left="426"/>
        <w:jc w:val="both"/>
        <w:rPr>
          <w:rFonts w:ascii="Arial" w:hAnsi="Arial" w:cs="Arial"/>
          <w:sz w:val="22"/>
          <w:szCs w:val="22"/>
          <w:highlight w:val="yellow"/>
          <w:lang w:val="en-GB"/>
        </w:rPr>
      </w:pPr>
      <w:r w:rsidRPr="005A782A">
        <w:rPr>
          <w:rFonts w:ascii="Arial" w:hAnsi="Arial" w:cs="Arial"/>
          <w:sz w:val="22"/>
          <w:szCs w:val="22"/>
          <w:highlight w:val="yellow"/>
          <w:lang w:val="en-GB"/>
        </w:rPr>
        <w:t xml:space="preserve">The court should consider both </w:t>
      </w:r>
      <w:r w:rsidR="00E73529" w:rsidRPr="005A782A">
        <w:rPr>
          <w:rFonts w:ascii="Arial" w:hAnsi="Arial" w:cs="Arial"/>
          <w:sz w:val="22"/>
          <w:szCs w:val="22"/>
          <w:highlight w:val="yellow"/>
          <w:lang w:val="en-GB"/>
        </w:rPr>
        <w:t>(</w:t>
      </w:r>
      <w:r w:rsidRPr="005A782A">
        <w:rPr>
          <w:rFonts w:ascii="Arial" w:hAnsi="Arial" w:cs="Arial"/>
          <w:sz w:val="22"/>
          <w:szCs w:val="22"/>
          <w:highlight w:val="yellow"/>
          <w:lang w:val="en-GB"/>
        </w:rPr>
        <w:t>a</w:t>
      </w:r>
      <w:r w:rsidR="00E73529" w:rsidRPr="005A782A">
        <w:rPr>
          <w:rFonts w:ascii="Arial" w:hAnsi="Arial" w:cs="Arial"/>
          <w:sz w:val="22"/>
          <w:szCs w:val="22"/>
          <w:highlight w:val="yellow"/>
          <w:lang w:val="en-GB"/>
        </w:rPr>
        <w:t>)</w:t>
      </w:r>
      <w:r w:rsidRPr="005A782A">
        <w:rPr>
          <w:rFonts w:ascii="Arial" w:hAnsi="Arial" w:cs="Arial"/>
          <w:sz w:val="22"/>
          <w:szCs w:val="22"/>
          <w:highlight w:val="yellow"/>
          <w:lang w:val="en-GB"/>
        </w:rPr>
        <w:t xml:space="preserve"> and </w:t>
      </w:r>
      <w:r w:rsidR="00E73529" w:rsidRPr="005A782A">
        <w:rPr>
          <w:rFonts w:ascii="Arial" w:hAnsi="Arial" w:cs="Arial"/>
          <w:sz w:val="22"/>
          <w:szCs w:val="22"/>
          <w:highlight w:val="yellow"/>
          <w:lang w:val="en-GB"/>
        </w:rPr>
        <w:t>(</w:t>
      </w:r>
      <w:r w:rsidRPr="005A782A">
        <w:rPr>
          <w:rFonts w:ascii="Arial" w:hAnsi="Arial" w:cs="Arial"/>
          <w:sz w:val="22"/>
          <w:szCs w:val="22"/>
          <w:highlight w:val="yellow"/>
          <w:lang w:val="en-GB"/>
        </w:rPr>
        <w:t>b</w:t>
      </w:r>
      <w:r w:rsidR="00E73529" w:rsidRPr="005A782A">
        <w:rPr>
          <w:rFonts w:ascii="Arial" w:hAnsi="Arial" w:cs="Arial"/>
          <w:sz w:val="22"/>
          <w:szCs w:val="22"/>
          <w:highlight w:val="yellow"/>
          <w:lang w:val="en-GB"/>
        </w:rPr>
        <w:t>)</w:t>
      </w:r>
      <w:r w:rsidRPr="005A782A">
        <w:rPr>
          <w:rFonts w:ascii="Arial" w:hAnsi="Arial" w:cs="Arial"/>
          <w:sz w:val="22"/>
          <w:szCs w:val="22"/>
          <w:highlight w:val="yellow"/>
          <w:lang w:val="en-GB"/>
        </w:rPr>
        <w:t>.</w:t>
      </w:r>
    </w:p>
    <w:p w:rsidR="00114082" w:rsidRPr="009B5832" w:rsidRDefault="00114082" w:rsidP="00114082">
      <w:pPr>
        <w:jc w:val="both"/>
        <w:rPr>
          <w:rFonts w:ascii="Arial" w:hAnsi="Arial" w:cs="Arial"/>
          <w:sz w:val="22"/>
          <w:szCs w:val="22"/>
          <w:lang w:val="en-GB"/>
        </w:rPr>
      </w:pPr>
    </w:p>
    <w:p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rsidR="00622586" w:rsidRPr="009B5832" w:rsidRDefault="00622586" w:rsidP="00707FC8">
      <w:pPr>
        <w:spacing w:line="276" w:lineRule="auto"/>
        <w:jc w:val="both"/>
        <w:rPr>
          <w:rFonts w:ascii="Arial" w:eastAsiaTheme="minorHAnsi" w:hAnsi="Arial" w:cs="Arial"/>
          <w:sz w:val="22"/>
          <w:szCs w:val="22"/>
          <w:lang w:val="en-GB"/>
        </w:rPr>
      </w:pPr>
    </w:p>
    <w:p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p>
    <w:p w:rsidR="00E9597C" w:rsidRPr="009B5832" w:rsidRDefault="00E9597C" w:rsidP="00707FC8">
      <w:pPr>
        <w:spacing w:line="276" w:lineRule="auto"/>
        <w:jc w:val="both"/>
        <w:rPr>
          <w:rFonts w:ascii="Arial" w:hAnsi="Arial" w:cs="Arial"/>
          <w:sz w:val="22"/>
          <w:szCs w:val="22"/>
          <w:lang w:val="en-GB"/>
        </w:rPr>
      </w:pPr>
    </w:p>
    <w:p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rsidR="004E0549" w:rsidRPr="009B5832" w:rsidRDefault="004E0549" w:rsidP="004E0549">
      <w:pPr>
        <w:ind w:left="720" w:hanging="720"/>
        <w:jc w:val="both"/>
        <w:rPr>
          <w:rFonts w:ascii="Arial" w:hAnsi="Arial" w:cs="Arial"/>
          <w:sz w:val="22"/>
          <w:szCs w:val="22"/>
          <w:lang w:val="en-GB"/>
        </w:rPr>
      </w:pPr>
    </w:p>
    <w:p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COMI is a defined term in the Model Law.</w:t>
      </w:r>
    </w:p>
    <w:p w:rsidR="00114082" w:rsidRPr="009B5832" w:rsidRDefault="00114082" w:rsidP="00114082">
      <w:pPr>
        <w:jc w:val="both"/>
        <w:rPr>
          <w:rFonts w:ascii="Arial" w:hAnsi="Arial" w:cs="Arial"/>
          <w:sz w:val="22"/>
          <w:szCs w:val="22"/>
          <w:lang w:val="en-GB"/>
        </w:rPr>
      </w:pPr>
    </w:p>
    <w:p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rsidR="00114082" w:rsidRPr="009B5832" w:rsidRDefault="00114082" w:rsidP="00114082">
      <w:pPr>
        <w:jc w:val="both"/>
        <w:rPr>
          <w:rFonts w:ascii="Arial" w:hAnsi="Arial" w:cs="Arial"/>
          <w:sz w:val="22"/>
          <w:szCs w:val="22"/>
          <w:lang w:val="en-GB"/>
        </w:rPr>
      </w:pPr>
    </w:p>
    <w:p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rsidR="00114082" w:rsidRPr="009B5832" w:rsidRDefault="00114082" w:rsidP="00114082">
      <w:pPr>
        <w:jc w:val="both"/>
        <w:rPr>
          <w:rFonts w:ascii="Arial" w:hAnsi="Arial" w:cs="Arial"/>
          <w:sz w:val="22"/>
          <w:szCs w:val="22"/>
          <w:lang w:val="en-GB"/>
        </w:rPr>
      </w:pPr>
    </w:p>
    <w:p w:rsidR="004E0549" w:rsidRPr="005A782A" w:rsidRDefault="004E0549" w:rsidP="00114082">
      <w:pPr>
        <w:pStyle w:val="ListParagraph"/>
        <w:numPr>
          <w:ilvl w:val="0"/>
          <w:numId w:val="28"/>
        </w:numPr>
        <w:ind w:left="426"/>
        <w:jc w:val="both"/>
        <w:rPr>
          <w:rFonts w:ascii="Arial" w:hAnsi="Arial" w:cs="Arial"/>
          <w:sz w:val="22"/>
          <w:szCs w:val="22"/>
          <w:highlight w:val="yellow"/>
          <w:lang w:val="en-GB"/>
        </w:rPr>
      </w:pPr>
      <w:r w:rsidRPr="005A782A">
        <w:rPr>
          <w:rFonts w:ascii="Arial" w:hAnsi="Arial" w:cs="Arial"/>
          <w:sz w:val="22"/>
          <w:szCs w:val="22"/>
          <w:highlight w:val="yellow"/>
          <w:lang w:val="en-GB"/>
        </w:rPr>
        <w:t>None of the above.</w:t>
      </w:r>
    </w:p>
    <w:p w:rsidR="00622586" w:rsidRPr="009B5832" w:rsidRDefault="00622586" w:rsidP="00707FC8">
      <w:pPr>
        <w:spacing w:line="276" w:lineRule="auto"/>
        <w:jc w:val="both"/>
        <w:rPr>
          <w:rFonts w:ascii="Arial" w:eastAsiaTheme="minorHAnsi" w:hAnsi="Arial" w:cs="Arial"/>
          <w:sz w:val="22"/>
          <w:szCs w:val="22"/>
          <w:lang w:val="en-GB"/>
        </w:rPr>
      </w:pPr>
    </w:p>
    <w:p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p>
    <w:p w:rsidR="00E9597C" w:rsidRPr="009B5832" w:rsidRDefault="00E9597C" w:rsidP="00707FC8">
      <w:pPr>
        <w:spacing w:line="276" w:lineRule="auto"/>
        <w:jc w:val="both"/>
        <w:rPr>
          <w:rFonts w:ascii="Arial" w:hAnsi="Arial" w:cs="Arial"/>
          <w:sz w:val="22"/>
          <w:szCs w:val="22"/>
          <w:lang w:val="en-GB"/>
        </w:rPr>
      </w:pPr>
    </w:p>
    <w:p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rsidR="00573E73" w:rsidRPr="009B5832" w:rsidRDefault="00573E73" w:rsidP="00573E73">
      <w:pPr>
        <w:ind w:left="720" w:hanging="720"/>
        <w:jc w:val="both"/>
        <w:rPr>
          <w:rFonts w:ascii="Arial" w:hAnsi="Arial" w:cs="Arial"/>
          <w:sz w:val="22"/>
          <w:szCs w:val="22"/>
          <w:lang w:val="en-GB"/>
        </w:rPr>
      </w:pPr>
    </w:p>
    <w:p w:rsidR="00573E73" w:rsidRPr="009B5832" w:rsidRDefault="00573E73" w:rsidP="00114082">
      <w:pPr>
        <w:pStyle w:val="ListParagraph"/>
        <w:numPr>
          <w:ilvl w:val="0"/>
          <w:numId w:val="29"/>
        </w:numPr>
        <w:ind w:left="426"/>
        <w:jc w:val="both"/>
        <w:rPr>
          <w:rFonts w:ascii="Arial" w:hAnsi="Arial" w:cs="Arial"/>
          <w:sz w:val="22"/>
          <w:szCs w:val="22"/>
          <w:lang w:val="en-GB"/>
        </w:rPr>
      </w:pPr>
      <w:r w:rsidRPr="009F68B8">
        <w:rPr>
          <w:rFonts w:ascii="Arial" w:hAnsi="Arial" w:cs="Arial"/>
          <w:sz w:val="22"/>
          <w:szCs w:val="22"/>
          <w:highlight w:val="yellow"/>
          <w:lang w:val="en-GB"/>
        </w:rPr>
        <w:t>Enforcement of insolvency-related judgments</w:t>
      </w:r>
      <w:r w:rsidRPr="009B5832">
        <w:rPr>
          <w:rFonts w:ascii="Arial" w:hAnsi="Arial" w:cs="Arial"/>
          <w:sz w:val="22"/>
          <w:szCs w:val="22"/>
          <w:lang w:val="en-GB"/>
        </w:rPr>
        <w:t>.</w:t>
      </w:r>
    </w:p>
    <w:p w:rsidR="00114082" w:rsidRPr="009B5832" w:rsidRDefault="00114082" w:rsidP="00114082">
      <w:pPr>
        <w:jc w:val="both"/>
        <w:rPr>
          <w:rFonts w:ascii="Arial" w:hAnsi="Arial" w:cs="Arial"/>
          <w:sz w:val="22"/>
          <w:szCs w:val="22"/>
          <w:lang w:val="en-GB"/>
        </w:rPr>
      </w:pPr>
    </w:p>
    <w:p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rsidR="00114082" w:rsidRPr="009B5832" w:rsidRDefault="00114082" w:rsidP="00114082">
      <w:pPr>
        <w:jc w:val="both"/>
        <w:rPr>
          <w:rFonts w:ascii="Arial" w:hAnsi="Arial" w:cs="Arial"/>
          <w:sz w:val="22"/>
          <w:szCs w:val="22"/>
          <w:lang w:val="en-GB"/>
        </w:rPr>
      </w:pPr>
    </w:p>
    <w:p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rsidR="00114082" w:rsidRPr="009B5832" w:rsidRDefault="00114082" w:rsidP="00114082">
      <w:pPr>
        <w:jc w:val="both"/>
        <w:rPr>
          <w:rFonts w:ascii="Arial" w:hAnsi="Arial" w:cs="Arial"/>
          <w:sz w:val="22"/>
          <w:szCs w:val="22"/>
          <w:lang w:val="en-GB"/>
        </w:rPr>
      </w:pPr>
    </w:p>
    <w:p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rsidR="00E9597C" w:rsidRPr="009B5832" w:rsidRDefault="00E9597C" w:rsidP="00707FC8">
      <w:pPr>
        <w:spacing w:line="276" w:lineRule="auto"/>
        <w:jc w:val="both"/>
        <w:rPr>
          <w:rFonts w:ascii="Arial" w:eastAsiaTheme="minorHAnsi" w:hAnsi="Arial" w:cs="Arial"/>
          <w:sz w:val="22"/>
          <w:szCs w:val="22"/>
          <w:lang w:val="en-GB"/>
        </w:rPr>
      </w:pPr>
    </w:p>
    <w:p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p>
    <w:p w:rsidR="00E9597C" w:rsidRPr="009B5832" w:rsidRDefault="00E9597C" w:rsidP="00707FC8">
      <w:pPr>
        <w:spacing w:line="276" w:lineRule="auto"/>
        <w:jc w:val="both"/>
        <w:rPr>
          <w:rFonts w:ascii="Arial" w:hAnsi="Arial" w:cs="Arial"/>
          <w:sz w:val="22"/>
          <w:szCs w:val="22"/>
          <w:lang w:val="en-GB"/>
        </w:rPr>
      </w:pPr>
    </w:p>
    <w:p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rsidR="00114082" w:rsidRPr="009B5832" w:rsidRDefault="00114082" w:rsidP="00114082">
      <w:pPr>
        <w:ind w:left="720" w:hanging="720"/>
        <w:jc w:val="both"/>
        <w:rPr>
          <w:rFonts w:ascii="Arial" w:hAnsi="Arial" w:cs="Arial"/>
          <w:sz w:val="22"/>
          <w:szCs w:val="22"/>
          <w:lang w:val="en-GB"/>
        </w:rPr>
      </w:pPr>
    </w:p>
    <w:p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rsidR="00835FD1" w:rsidRPr="009B5832" w:rsidRDefault="00835FD1" w:rsidP="00835FD1">
      <w:pPr>
        <w:jc w:val="both"/>
        <w:rPr>
          <w:rFonts w:ascii="Arial" w:hAnsi="Arial" w:cs="Arial"/>
          <w:sz w:val="22"/>
          <w:szCs w:val="22"/>
          <w:lang w:val="en-GB"/>
        </w:rPr>
      </w:pPr>
    </w:p>
    <w:p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rsidR="00835FD1" w:rsidRPr="009B5832" w:rsidRDefault="00835FD1" w:rsidP="00835FD1">
      <w:pPr>
        <w:jc w:val="both"/>
        <w:rPr>
          <w:rFonts w:ascii="Arial" w:hAnsi="Arial" w:cs="Arial"/>
          <w:sz w:val="22"/>
          <w:szCs w:val="22"/>
          <w:lang w:val="en-GB"/>
        </w:rPr>
      </w:pPr>
    </w:p>
    <w:p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rsidR="00835FD1" w:rsidRPr="009B5832" w:rsidRDefault="00835FD1" w:rsidP="00835FD1">
      <w:pPr>
        <w:spacing w:line="276" w:lineRule="auto"/>
        <w:jc w:val="both"/>
        <w:rPr>
          <w:rFonts w:ascii="Arial" w:hAnsi="Arial" w:cs="Arial"/>
          <w:b/>
          <w:sz w:val="22"/>
          <w:szCs w:val="22"/>
          <w:lang w:val="en-GB"/>
        </w:rPr>
      </w:pPr>
    </w:p>
    <w:p w:rsidR="00D17FDC" w:rsidRPr="00155EAD"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155EAD">
        <w:rPr>
          <w:rFonts w:ascii="Arial" w:hAnsi="Arial" w:cs="Arial"/>
          <w:sz w:val="22"/>
          <w:szCs w:val="22"/>
          <w:highlight w:val="yellow"/>
          <w:lang w:val="en-GB"/>
        </w:rPr>
        <w:t>All of the above.</w:t>
      </w:r>
    </w:p>
    <w:p w:rsidR="005C2C94" w:rsidRPr="009B5832" w:rsidRDefault="005C2C94" w:rsidP="00707FC8">
      <w:pPr>
        <w:spacing w:line="276" w:lineRule="auto"/>
        <w:jc w:val="both"/>
        <w:rPr>
          <w:rFonts w:ascii="Arial" w:hAnsi="Arial" w:cs="Arial"/>
          <w:b/>
          <w:sz w:val="22"/>
          <w:szCs w:val="22"/>
          <w:lang w:val="en-GB"/>
        </w:rPr>
      </w:pPr>
    </w:p>
    <w:p w:rsidR="00540B44" w:rsidRPr="009B5832" w:rsidRDefault="00540B44" w:rsidP="00707FC8">
      <w:pPr>
        <w:spacing w:line="276" w:lineRule="auto"/>
        <w:jc w:val="both"/>
        <w:rPr>
          <w:rFonts w:ascii="Arial" w:hAnsi="Arial" w:cs="Arial"/>
          <w:b/>
          <w:sz w:val="22"/>
          <w:szCs w:val="22"/>
          <w:lang w:val="en-GB"/>
        </w:rPr>
      </w:pPr>
    </w:p>
    <w:p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rsidR="00962045" w:rsidRPr="009B5832" w:rsidRDefault="00962045" w:rsidP="00707FC8">
      <w:pPr>
        <w:ind w:left="720" w:hanging="720"/>
        <w:jc w:val="both"/>
        <w:rPr>
          <w:rFonts w:ascii="Arial" w:hAnsi="Arial" w:cs="Arial"/>
          <w:sz w:val="22"/>
          <w:szCs w:val="22"/>
          <w:lang w:val="en-GB"/>
        </w:rPr>
      </w:pPr>
    </w:p>
    <w:p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rsidR="002C13C8" w:rsidRPr="009B5832" w:rsidRDefault="002C13C8" w:rsidP="00707FC8">
      <w:pPr>
        <w:jc w:val="both"/>
        <w:rPr>
          <w:rFonts w:ascii="Arial" w:hAnsi="Arial" w:cs="Arial"/>
          <w:sz w:val="22"/>
          <w:szCs w:val="22"/>
          <w:lang w:val="en-GB"/>
        </w:rPr>
      </w:pPr>
    </w:p>
    <w:p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rsidR="009B07AD" w:rsidRPr="009B5832" w:rsidRDefault="009B07AD" w:rsidP="00707FC8">
      <w:pPr>
        <w:jc w:val="both"/>
        <w:rPr>
          <w:rFonts w:ascii="Arial" w:hAnsi="Arial" w:cs="Arial"/>
          <w:sz w:val="22"/>
          <w:szCs w:val="22"/>
          <w:lang w:val="en-GB"/>
        </w:rPr>
      </w:pPr>
    </w:p>
    <w:p w:rsidR="000A2C6E" w:rsidRPr="009F6269"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0A2C6E" w:rsidRPr="009F6269">
        <w:rPr>
          <w:rFonts w:ascii="Arial" w:hAnsi="Arial" w:cs="Arial"/>
          <w:sz w:val="22"/>
          <w:szCs w:val="22"/>
          <w:lang w:val="en-GB"/>
        </w:rPr>
        <w:t>The appropriate date for determining the COMI, or whether an establishment exists, is the</w:t>
      </w:r>
    </w:p>
    <w:p w:rsidR="000A2C6E" w:rsidRPr="009F6269" w:rsidRDefault="000A2C6E" w:rsidP="00707FC8">
      <w:pPr>
        <w:ind w:left="720" w:hanging="720"/>
        <w:jc w:val="both"/>
        <w:rPr>
          <w:rFonts w:ascii="Arial" w:hAnsi="Arial" w:cs="Arial"/>
          <w:sz w:val="22"/>
          <w:szCs w:val="22"/>
          <w:lang w:val="en-GB"/>
        </w:rPr>
      </w:pPr>
      <w:r w:rsidRPr="009F6269">
        <w:rPr>
          <w:rFonts w:ascii="Arial" w:hAnsi="Arial" w:cs="Arial"/>
          <w:sz w:val="22"/>
          <w:szCs w:val="22"/>
          <w:lang w:val="en-GB"/>
        </w:rPr>
        <w:t>date of commencement of the foreign proceeding. While the COMI of a debtor can move, if</w:t>
      </w:r>
    </w:p>
    <w:p w:rsidR="000A2C6E" w:rsidRPr="009F6269" w:rsidRDefault="000A2C6E" w:rsidP="00707FC8">
      <w:pPr>
        <w:ind w:left="720" w:hanging="720"/>
        <w:jc w:val="both"/>
        <w:rPr>
          <w:rFonts w:ascii="Arial" w:hAnsi="Arial" w:cs="Arial"/>
          <w:sz w:val="22"/>
          <w:szCs w:val="22"/>
          <w:lang w:val="en-GB"/>
        </w:rPr>
      </w:pPr>
      <w:r w:rsidRPr="009F6269">
        <w:rPr>
          <w:rFonts w:ascii="Arial" w:hAnsi="Arial" w:cs="Arial"/>
          <w:sz w:val="22"/>
          <w:szCs w:val="22"/>
          <w:lang w:val="en-GB"/>
        </w:rPr>
        <w:t>such a move is in close proximity (timing-wise) to the commencement of the foreign</w:t>
      </w:r>
    </w:p>
    <w:p w:rsidR="000A2C6E" w:rsidRPr="009F6269" w:rsidRDefault="000A2C6E" w:rsidP="00707FC8">
      <w:pPr>
        <w:ind w:left="720" w:hanging="720"/>
        <w:jc w:val="both"/>
        <w:rPr>
          <w:rFonts w:ascii="Arial" w:hAnsi="Arial" w:cs="Arial"/>
          <w:sz w:val="22"/>
          <w:szCs w:val="22"/>
          <w:lang w:val="en-GB"/>
        </w:rPr>
      </w:pPr>
      <w:r w:rsidRPr="009F6269">
        <w:rPr>
          <w:rFonts w:ascii="Arial" w:hAnsi="Arial" w:cs="Arial"/>
          <w:sz w:val="22"/>
          <w:szCs w:val="22"/>
          <w:lang w:val="en-GB"/>
        </w:rPr>
        <w:t>proceedings, the appropriate evidence for this will be harder to establish, in particular the</w:t>
      </w:r>
    </w:p>
    <w:p w:rsidR="009B07AD" w:rsidRPr="009B5832" w:rsidRDefault="000A2C6E" w:rsidP="009F6269">
      <w:pPr>
        <w:jc w:val="both"/>
        <w:rPr>
          <w:rFonts w:ascii="Arial" w:hAnsi="Arial" w:cs="Arial"/>
          <w:sz w:val="22"/>
          <w:szCs w:val="22"/>
          <w:lang w:val="en-GB"/>
        </w:rPr>
      </w:pPr>
      <w:r w:rsidRPr="009F6269">
        <w:rPr>
          <w:rFonts w:ascii="Arial" w:hAnsi="Arial" w:cs="Arial"/>
          <w:sz w:val="22"/>
          <w:szCs w:val="22"/>
          <w:lang w:val="en-GB"/>
        </w:rPr>
        <w:t>requirement that the COMI must be readily ascertainable by thir</w:t>
      </w:r>
      <w:r w:rsidR="009F6269" w:rsidRPr="009F6269">
        <w:rPr>
          <w:rFonts w:ascii="Arial" w:hAnsi="Arial" w:cs="Arial"/>
          <w:sz w:val="22"/>
          <w:szCs w:val="22"/>
          <w:lang w:val="en-GB"/>
        </w:rPr>
        <w:t xml:space="preserve">d parties, such as creditors </w:t>
      </w:r>
      <w:r w:rsidRPr="009F6269">
        <w:rPr>
          <w:rFonts w:ascii="Arial" w:hAnsi="Arial" w:cs="Arial"/>
          <w:sz w:val="22"/>
          <w:szCs w:val="22"/>
          <w:lang w:val="en-GB"/>
        </w:rPr>
        <w:t>of</w:t>
      </w:r>
      <w:r w:rsidR="009F6269" w:rsidRPr="009F6269">
        <w:rPr>
          <w:rFonts w:ascii="Arial" w:hAnsi="Arial" w:cs="Arial"/>
          <w:sz w:val="22"/>
          <w:szCs w:val="22"/>
          <w:lang w:val="en-GB"/>
        </w:rPr>
        <w:t xml:space="preserve"> </w:t>
      </w:r>
      <w:r w:rsidRPr="009F6269">
        <w:rPr>
          <w:rFonts w:ascii="Arial" w:hAnsi="Arial" w:cs="Arial"/>
          <w:sz w:val="22"/>
          <w:szCs w:val="22"/>
          <w:lang w:val="en-GB"/>
        </w:rPr>
        <w:t>the debtor.</w:t>
      </w:r>
      <w:r w:rsidR="009B07AD" w:rsidRPr="009F6269">
        <w:rPr>
          <w:rFonts w:ascii="Arial" w:hAnsi="Arial" w:cs="Arial"/>
          <w:sz w:val="22"/>
          <w:szCs w:val="22"/>
          <w:lang w:val="en-GB"/>
        </w:rPr>
        <w:t>]</w:t>
      </w:r>
    </w:p>
    <w:p w:rsidR="00DE03AF" w:rsidRPr="009B5832" w:rsidRDefault="00DE03AF" w:rsidP="00707FC8">
      <w:pPr>
        <w:jc w:val="both"/>
        <w:rPr>
          <w:rFonts w:ascii="Arial" w:hAnsi="Arial" w:cs="Arial"/>
          <w:sz w:val="22"/>
          <w:szCs w:val="22"/>
          <w:lang w:val="en-GB"/>
        </w:rPr>
      </w:pPr>
    </w:p>
    <w:p w:rsidR="00C620F4" w:rsidRPr="009B5832" w:rsidRDefault="00C620F4" w:rsidP="00707FC8">
      <w:pPr>
        <w:jc w:val="both"/>
        <w:rPr>
          <w:rFonts w:ascii="Arial" w:hAnsi="Arial" w:cs="Arial"/>
          <w:sz w:val="22"/>
          <w:szCs w:val="22"/>
          <w:lang w:val="en-GB"/>
        </w:rPr>
      </w:pPr>
    </w:p>
    <w:p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p>
    <w:p w:rsidR="00C72848" w:rsidRPr="009B5832" w:rsidRDefault="00C72848" w:rsidP="00707FC8">
      <w:pPr>
        <w:jc w:val="both"/>
        <w:rPr>
          <w:rFonts w:ascii="Arial" w:hAnsi="Arial" w:cs="Arial"/>
          <w:sz w:val="22"/>
          <w:szCs w:val="22"/>
          <w:lang w:val="en-GB"/>
        </w:rPr>
      </w:pPr>
    </w:p>
    <w:p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rsidR="002E1BB5" w:rsidRPr="009B5832" w:rsidRDefault="002E1BB5" w:rsidP="002E1BB5">
      <w:pPr>
        <w:ind w:left="720" w:hanging="720"/>
        <w:jc w:val="both"/>
        <w:rPr>
          <w:rFonts w:ascii="Arial" w:hAnsi="Arial" w:cs="Arial"/>
          <w:sz w:val="22"/>
          <w:szCs w:val="22"/>
          <w:lang w:val="en-GB"/>
        </w:rPr>
      </w:pPr>
    </w:p>
    <w:p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rsidR="002E1BB5" w:rsidRPr="009B5832" w:rsidRDefault="002E1BB5" w:rsidP="002E1BB5">
      <w:pPr>
        <w:ind w:left="720" w:hanging="720"/>
        <w:jc w:val="both"/>
        <w:rPr>
          <w:rFonts w:ascii="Arial" w:hAnsi="Arial" w:cs="Arial"/>
          <w:sz w:val="22"/>
          <w:szCs w:val="22"/>
          <w:lang w:val="en-GB"/>
        </w:rPr>
      </w:pPr>
    </w:p>
    <w:p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rsidR="002E1BB5" w:rsidRPr="009B5832" w:rsidRDefault="002E1BB5" w:rsidP="002E1BB5">
      <w:pPr>
        <w:ind w:left="720" w:hanging="720"/>
        <w:jc w:val="both"/>
        <w:rPr>
          <w:rFonts w:ascii="Arial" w:hAnsi="Arial" w:cs="Arial"/>
          <w:sz w:val="22"/>
          <w:szCs w:val="22"/>
          <w:lang w:val="en-GB"/>
        </w:rPr>
      </w:pPr>
    </w:p>
    <w:p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rsidR="000E6325" w:rsidRPr="009B5832" w:rsidRDefault="000E6325" w:rsidP="00ED6A32">
      <w:pPr>
        <w:ind w:left="1440" w:hanging="1440"/>
        <w:jc w:val="both"/>
        <w:rPr>
          <w:rFonts w:ascii="Arial" w:hAnsi="Arial" w:cs="Arial"/>
          <w:iCs/>
          <w:sz w:val="22"/>
          <w:szCs w:val="22"/>
          <w:lang w:val="en-GB"/>
        </w:rPr>
      </w:pPr>
    </w:p>
    <w:p w:rsidR="00875CD6" w:rsidRPr="00230579" w:rsidRDefault="00CE2680" w:rsidP="00AC5FC1">
      <w:pPr>
        <w:jc w:val="both"/>
        <w:rPr>
          <w:rFonts w:ascii="Arial" w:hAnsi="Arial" w:cs="Arial"/>
          <w:sz w:val="22"/>
          <w:szCs w:val="22"/>
          <w:lang w:val="en-GB"/>
        </w:rPr>
      </w:pPr>
      <w:r>
        <w:rPr>
          <w:rFonts w:ascii="Arial" w:hAnsi="Arial" w:cs="Arial"/>
          <w:color w:val="7B7B7B" w:themeColor="accent3" w:themeShade="BF"/>
          <w:sz w:val="22"/>
          <w:szCs w:val="22"/>
          <w:lang w:val="en-GB"/>
        </w:rPr>
        <w:t>[</w:t>
      </w:r>
      <w:r w:rsidR="00875CD6" w:rsidRPr="00230579">
        <w:rPr>
          <w:rFonts w:ascii="Arial" w:hAnsi="Arial" w:cs="Arial"/>
          <w:sz w:val="22"/>
          <w:szCs w:val="22"/>
          <w:lang w:val="en-GB"/>
        </w:rPr>
        <w:t>Statement 1:</w:t>
      </w:r>
      <w:r w:rsidR="009306F0" w:rsidRPr="00230579">
        <w:rPr>
          <w:rFonts w:ascii="Arial" w:hAnsi="Arial" w:cs="Arial"/>
          <w:sz w:val="22"/>
          <w:szCs w:val="22"/>
          <w:lang w:val="en-GB"/>
        </w:rPr>
        <w:t xml:space="preserve"> Article 30(c): In the event of two concurrent foreign non-main proceedings, the</w:t>
      </w:r>
      <w:r w:rsidR="00111DCC">
        <w:rPr>
          <w:rFonts w:ascii="Arial" w:hAnsi="Arial" w:cs="Arial"/>
          <w:sz w:val="22"/>
          <w:szCs w:val="22"/>
          <w:lang w:val="en-GB"/>
        </w:rPr>
        <w:t xml:space="preserve"> </w:t>
      </w:r>
      <w:r w:rsidR="009306F0" w:rsidRPr="00230579">
        <w:rPr>
          <w:rFonts w:ascii="Arial" w:hAnsi="Arial" w:cs="Arial"/>
          <w:sz w:val="22"/>
          <w:szCs w:val="22"/>
          <w:lang w:val="en-GB"/>
        </w:rPr>
        <w:t>court must grant, modify or terminate relief for the purpose of facilitating co-ordination of the</w:t>
      </w:r>
      <w:r w:rsidR="00111DCC">
        <w:rPr>
          <w:rFonts w:ascii="Arial" w:hAnsi="Arial" w:cs="Arial"/>
          <w:sz w:val="22"/>
          <w:szCs w:val="22"/>
          <w:lang w:val="en-GB"/>
        </w:rPr>
        <w:t xml:space="preserve"> </w:t>
      </w:r>
      <w:r w:rsidR="009306F0" w:rsidRPr="00230579">
        <w:rPr>
          <w:rFonts w:ascii="Arial" w:hAnsi="Arial" w:cs="Arial"/>
          <w:sz w:val="22"/>
          <w:szCs w:val="22"/>
          <w:lang w:val="en-GB"/>
        </w:rPr>
        <w:t>proceedings.</w:t>
      </w:r>
    </w:p>
    <w:p w:rsidR="00CE2680" w:rsidRPr="00230579" w:rsidRDefault="00CE2680" w:rsidP="00230579">
      <w:pPr>
        <w:jc w:val="both"/>
        <w:rPr>
          <w:rFonts w:ascii="Arial" w:hAnsi="Arial" w:cs="Arial"/>
          <w:sz w:val="22"/>
          <w:szCs w:val="22"/>
          <w:lang w:val="en-GB"/>
        </w:rPr>
      </w:pPr>
      <w:r w:rsidRPr="00230579">
        <w:rPr>
          <w:rFonts w:ascii="Arial" w:hAnsi="Arial" w:cs="Arial"/>
          <w:sz w:val="22"/>
          <w:szCs w:val="22"/>
          <w:lang w:val="en-GB"/>
        </w:rPr>
        <w:t>Statement 2: The Hotchpotch Rule – Article 32</w:t>
      </w:r>
    </w:p>
    <w:p w:rsidR="009B07AD" w:rsidRPr="009B5832" w:rsidRDefault="00875CD6" w:rsidP="00230579">
      <w:pPr>
        <w:jc w:val="both"/>
        <w:rPr>
          <w:rFonts w:ascii="Arial" w:hAnsi="Arial" w:cs="Arial"/>
          <w:sz w:val="22"/>
          <w:szCs w:val="22"/>
          <w:lang w:val="en-GB"/>
        </w:rPr>
      </w:pPr>
      <w:r w:rsidRPr="00230579">
        <w:rPr>
          <w:rFonts w:ascii="Arial" w:hAnsi="Arial" w:cs="Arial"/>
          <w:sz w:val="22"/>
          <w:szCs w:val="22"/>
          <w:lang w:val="en-GB"/>
        </w:rPr>
        <w:t>Statement 3: Presumption of insolvency - Article 31</w:t>
      </w:r>
      <w:r w:rsidR="009B07AD" w:rsidRPr="009B5832">
        <w:rPr>
          <w:rFonts w:ascii="Arial" w:hAnsi="Arial" w:cs="Arial"/>
          <w:color w:val="7B7B7B" w:themeColor="accent3" w:themeShade="BF"/>
          <w:sz w:val="22"/>
          <w:szCs w:val="22"/>
          <w:lang w:val="en-GB"/>
        </w:rPr>
        <w:t>]</w:t>
      </w:r>
    </w:p>
    <w:p w:rsidR="00C82D87" w:rsidRPr="009B5832" w:rsidRDefault="00C82D87" w:rsidP="00707FC8">
      <w:pPr>
        <w:ind w:left="720" w:hanging="720"/>
        <w:jc w:val="both"/>
        <w:rPr>
          <w:rFonts w:ascii="Arial" w:hAnsi="Arial" w:cs="Arial"/>
          <w:sz w:val="22"/>
          <w:szCs w:val="22"/>
          <w:lang w:val="en-GB"/>
        </w:rPr>
      </w:pPr>
    </w:p>
    <w:p w:rsidR="00D17FDC" w:rsidRPr="009B5832" w:rsidRDefault="00D17FDC" w:rsidP="00707FC8">
      <w:pPr>
        <w:ind w:left="720" w:hanging="720"/>
        <w:jc w:val="both"/>
        <w:rPr>
          <w:rFonts w:ascii="Arial" w:hAnsi="Arial" w:cs="Arial"/>
          <w:sz w:val="22"/>
          <w:szCs w:val="22"/>
          <w:lang w:val="en-GB"/>
        </w:rPr>
      </w:pPr>
    </w:p>
    <w:p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rsidR="00C72848" w:rsidRPr="009B5832" w:rsidRDefault="00C72848" w:rsidP="00707FC8">
      <w:pPr>
        <w:ind w:left="720" w:hanging="720"/>
        <w:jc w:val="both"/>
        <w:rPr>
          <w:rFonts w:ascii="Arial" w:hAnsi="Arial" w:cs="Arial"/>
          <w:b/>
          <w:bCs/>
          <w:sz w:val="22"/>
          <w:szCs w:val="22"/>
          <w:lang w:val="en-GB"/>
        </w:rPr>
      </w:pPr>
    </w:p>
    <w:p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rsidR="00C82D87" w:rsidRPr="009B5832" w:rsidRDefault="00C82D87" w:rsidP="00AC5FC1">
      <w:pPr>
        <w:jc w:val="both"/>
        <w:rPr>
          <w:rFonts w:ascii="Arial" w:hAnsi="Arial" w:cs="Arial"/>
          <w:sz w:val="22"/>
          <w:szCs w:val="22"/>
          <w:lang w:val="en-GB"/>
        </w:rPr>
      </w:pPr>
    </w:p>
    <w:p w:rsidR="00B5005D" w:rsidRPr="00230579" w:rsidRDefault="00C72848" w:rsidP="00230579">
      <w:pPr>
        <w:rPr>
          <w:rFonts w:ascii="Arial" w:hAnsi="Arial" w:cs="Arial"/>
          <w:sz w:val="22"/>
          <w:szCs w:val="22"/>
          <w:lang w:val="en-GB"/>
        </w:rPr>
      </w:pPr>
      <w:r w:rsidRPr="009B5832">
        <w:rPr>
          <w:rFonts w:ascii="Arial" w:hAnsi="Arial" w:cs="Arial"/>
          <w:color w:val="7B7B7B" w:themeColor="accent3" w:themeShade="BF"/>
          <w:sz w:val="22"/>
          <w:szCs w:val="22"/>
          <w:lang w:val="en-GB"/>
        </w:rPr>
        <w:t>[</w:t>
      </w:r>
      <w:r w:rsidR="00B5005D" w:rsidRPr="00230579">
        <w:rPr>
          <w:rFonts w:ascii="Arial" w:hAnsi="Arial" w:cs="Arial"/>
          <w:sz w:val="22"/>
          <w:szCs w:val="22"/>
          <w:lang w:val="en-GB"/>
        </w:rPr>
        <w:t>In the IBA case appeal, the English Court of Appeal upheld the decision in the court of the</w:t>
      </w:r>
      <w:r w:rsidR="009F6269">
        <w:rPr>
          <w:rFonts w:ascii="Arial" w:hAnsi="Arial" w:cs="Arial"/>
          <w:sz w:val="22"/>
          <w:szCs w:val="22"/>
          <w:lang w:val="en-GB"/>
        </w:rPr>
        <w:t xml:space="preserve"> f</w:t>
      </w:r>
      <w:r w:rsidR="00B5005D" w:rsidRPr="00230579">
        <w:rPr>
          <w:rFonts w:ascii="Arial" w:hAnsi="Arial" w:cs="Arial"/>
          <w:sz w:val="22"/>
          <w:szCs w:val="22"/>
          <w:lang w:val="en-GB"/>
        </w:rPr>
        <w:t>irst instance by Mr Justice Hildyard, that the court should not exercise its power to grant the</w:t>
      </w:r>
      <w:r w:rsidR="00111DCC">
        <w:rPr>
          <w:rFonts w:ascii="Arial" w:hAnsi="Arial" w:cs="Arial"/>
          <w:sz w:val="22"/>
          <w:szCs w:val="22"/>
          <w:lang w:val="en-GB"/>
        </w:rPr>
        <w:t xml:space="preserve"> </w:t>
      </w:r>
      <w:r w:rsidR="00B5005D" w:rsidRPr="00230579">
        <w:rPr>
          <w:rFonts w:ascii="Arial" w:hAnsi="Arial" w:cs="Arial"/>
          <w:sz w:val="22"/>
          <w:szCs w:val="22"/>
          <w:lang w:val="en-GB"/>
        </w:rPr>
        <w:t>indefinite Moratorium Continuation where the court decides to do so,</w:t>
      </w:r>
      <w:r w:rsidR="009F6269">
        <w:rPr>
          <w:rFonts w:ascii="Arial" w:hAnsi="Arial" w:cs="Arial"/>
          <w:sz w:val="22"/>
          <w:szCs w:val="22"/>
          <w:lang w:val="en-GB"/>
        </w:rPr>
        <w:t xml:space="preserve"> </w:t>
      </w:r>
      <w:r w:rsidR="00B5005D" w:rsidRPr="00230579">
        <w:rPr>
          <w:rFonts w:ascii="Arial" w:hAnsi="Arial" w:cs="Arial"/>
          <w:sz w:val="22"/>
          <w:szCs w:val="22"/>
          <w:lang w:val="en-GB"/>
        </w:rPr>
        <w:t>it will</w:t>
      </w:r>
      <w:r w:rsidR="009F6269">
        <w:rPr>
          <w:rFonts w:ascii="Arial" w:hAnsi="Arial" w:cs="Arial"/>
          <w:sz w:val="22"/>
          <w:szCs w:val="22"/>
          <w:lang w:val="en-GB"/>
        </w:rPr>
        <w:t xml:space="preserve"> p</w:t>
      </w:r>
      <w:r w:rsidR="00B5005D" w:rsidRPr="00230579">
        <w:rPr>
          <w:rFonts w:ascii="Arial" w:hAnsi="Arial" w:cs="Arial"/>
          <w:sz w:val="22"/>
          <w:szCs w:val="22"/>
          <w:lang w:val="en-GB"/>
        </w:rPr>
        <w:t>revent the English creditors (that is, the Challenging Creditors) from enforcing their English law rights in accordance with the Gibbs Rule</w:t>
      </w:r>
      <w:r w:rsidR="00111DCC">
        <w:rPr>
          <w:rFonts w:ascii="Arial" w:hAnsi="Arial" w:cs="Arial"/>
          <w:sz w:val="22"/>
          <w:szCs w:val="22"/>
          <w:lang w:val="en-GB"/>
        </w:rPr>
        <w:t xml:space="preserve"> or </w:t>
      </w:r>
      <w:r w:rsidR="00FC2FB2" w:rsidRPr="00230579">
        <w:rPr>
          <w:rFonts w:ascii="Arial" w:hAnsi="Arial" w:cs="Arial"/>
          <w:sz w:val="22"/>
          <w:szCs w:val="22"/>
          <w:lang w:val="en-GB"/>
        </w:rPr>
        <w:t>P</w:t>
      </w:r>
      <w:r w:rsidR="00B5005D" w:rsidRPr="00230579">
        <w:rPr>
          <w:rFonts w:ascii="Arial" w:hAnsi="Arial" w:cs="Arial"/>
          <w:sz w:val="22"/>
          <w:szCs w:val="22"/>
          <w:lang w:val="en-GB"/>
        </w:rPr>
        <w:t>rolong the stay after the Azeri reconstruction has come to an end.</w:t>
      </w:r>
    </w:p>
    <w:p w:rsidR="00FC2FB2" w:rsidRPr="00230579" w:rsidRDefault="00FC2FB2" w:rsidP="00230579">
      <w:pPr>
        <w:rPr>
          <w:rFonts w:ascii="Arial" w:hAnsi="Arial" w:cs="Arial"/>
          <w:sz w:val="22"/>
          <w:szCs w:val="22"/>
          <w:lang w:val="en-GB"/>
        </w:rPr>
      </w:pPr>
    </w:p>
    <w:p w:rsidR="00FC2FB2" w:rsidRPr="00230579" w:rsidRDefault="00FC2FB2" w:rsidP="00230579">
      <w:pPr>
        <w:rPr>
          <w:rFonts w:ascii="Arial" w:hAnsi="Arial" w:cs="Arial"/>
          <w:sz w:val="22"/>
          <w:szCs w:val="22"/>
          <w:lang w:val="en-GB"/>
        </w:rPr>
      </w:pPr>
      <w:r w:rsidRPr="00230579">
        <w:rPr>
          <w:rFonts w:ascii="Arial" w:hAnsi="Arial" w:cs="Arial"/>
          <w:sz w:val="22"/>
          <w:szCs w:val="22"/>
          <w:lang w:val="en-GB"/>
        </w:rPr>
        <w:t>The Court of Appeal answered both (1.) and (2.) in favour of the respondents</w:t>
      </w:r>
      <w:r w:rsidR="00111DCC">
        <w:rPr>
          <w:rFonts w:ascii="Arial" w:hAnsi="Arial" w:cs="Arial"/>
          <w:sz w:val="22"/>
          <w:szCs w:val="22"/>
          <w:lang w:val="en-GB"/>
        </w:rPr>
        <w:t xml:space="preserve"> when</w:t>
      </w:r>
    </w:p>
    <w:p w:rsidR="00B5005D" w:rsidRPr="00230579" w:rsidRDefault="00B5005D" w:rsidP="00230579">
      <w:pPr>
        <w:rPr>
          <w:rFonts w:ascii="Arial" w:hAnsi="Arial" w:cs="Arial"/>
          <w:sz w:val="22"/>
          <w:szCs w:val="22"/>
          <w:lang w:val="en-GB"/>
        </w:rPr>
      </w:pPr>
    </w:p>
    <w:p w:rsidR="00B5005D" w:rsidRPr="00230579" w:rsidRDefault="00B5005D" w:rsidP="00230579">
      <w:pPr>
        <w:rPr>
          <w:rFonts w:ascii="Arial" w:hAnsi="Arial" w:cs="Arial"/>
          <w:sz w:val="22"/>
          <w:szCs w:val="22"/>
          <w:lang w:val="en-GB"/>
        </w:rPr>
      </w:pPr>
      <w:r w:rsidRPr="00230579">
        <w:rPr>
          <w:rFonts w:ascii="Arial" w:hAnsi="Arial" w:cs="Arial"/>
          <w:sz w:val="22"/>
          <w:szCs w:val="22"/>
          <w:lang w:val="en-GB"/>
        </w:rPr>
        <w:t>1. Is concerned the court shall grant indefinite moratorium if it is satisfied tha</w:t>
      </w:r>
      <w:r w:rsidR="00FC2FB2" w:rsidRPr="00230579">
        <w:rPr>
          <w:rFonts w:ascii="Arial" w:hAnsi="Arial" w:cs="Arial"/>
          <w:sz w:val="22"/>
          <w:szCs w:val="22"/>
          <w:lang w:val="en-GB"/>
        </w:rPr>
        <w:t>t</w:t>
      </w:r>
    </w:p>
    <w:p w:rsidR="00B5005D" w:rsidRPr="00230579" w:rsidRDefault="00BE23FA" w:rsidP="00230579">
      <w:pPr>
        <w:rPr>
          <w:rFonts w:ascii="Arial" w:hAnsi="Arial" w:cs="Arial"/>
          <w:sz w:val="22"/>
          <w:szCs w:val="22"/>
          <w:lang w:val="en-GB"/>
        </w:rPr>
      </w:pPr>
      <w:r>
        <w:rPr>
          <w:rFonts w:ascii="Arial" w:hAnsi="Arial" w:cs="Arial"/>
          <w:sz w:val="22"/>
          <w:szCs w:val="22"/>
          <w:lang w:val="en-GB"/>
        </w:rPr>
        <w:t xml:space="preserve">2. </w:t>
      </w:r>
      <w:r w:rsidR="00ED2D20" w:rsidRPr="00230579">
        <w:rPr>
          <w:rFonts w:ascii="Arial" w:hAnsi="Arial" w:cs="Arial"/>
          <w:sz w:val="22"/>
          <w:szCs w:val="22"/>
          <w:lang w:val="en-GB"/>
        </w:rPr>
        <w:t>T</w:t>
      </w:r>
      <w:r w:rsidR="00B5005D" w:rsidRPr="00230579">
        <w:rPr>
          <w:rFonts w:ascii="Arial" w:hAnsi="Arial" w:cs="Arial"/>
          <w:sz w:val="22"/>
          <w:szCs w:val="22"/>
          <w:lang w:val="en-GB"/>
        </w:rPr>
        <w:t>he stay would have to be necessary to protect the interests of IBA’s creditors</w:t>
      </w:r>
    </w:p>
    <w:p w:rsidR="00B5005D" w:rsidRPr="00230579" w:rsidRDefault="00BE23FA" w:rsidP="00230579">
      <w:pPr>
        <w:rPr>
          <w:rFonts w:ascii="Arial" w:hAnsi="Arial" w:cs="Arial"/>
          <w:sz w:val="22"/>
          <w:szCs w:val="22"/>
          <w:lang w:val="en-GB"/>
        </w:rPr>
      </w:pPr>
      <w:r>
        <w:rPr>
          <w:rFonts w:ascii="Arial" w:hAnsi="Arial" w:cs="Arial"/>
          <w:sz w:val="22"/>
          <w:szCs w:val="22"/>
          <w:lang w:val="en-GB"/>
        </w:rPr>
        <w:t xml:space="preserve">3. </w:t>
      </w:r>
      <w:bookmarkStart w:id="4" w:name="_GoBack"/>
      <w:bookmarkEnd w:id="4"/>
      <w:r w:rsidR="00ED2D20" w:rsidRPr="00230579">
        <w:rPr>
          <w:rFonts w:ascii="Arial" w:hAnsi="Arial" w:cs="Arial"/>
          <w:sz w:val="22"/>
          <w:szCs w:val="22"/>
          <w:lang w:val="en-GB"/>
        </w:rPr>
        <w:t>The</w:t>
      </w:r>
      <w:r w:rsidR="00B5005D" w:rsidRPr="00230579">
        <w:rPr>
          <w:rFonts w:ascii="Arial" w:hAnsi="Arial" w:cs="Arial"/>
          <w:sz w:val="22"/>
          <w:szCs w:val="22"/>
          <w:lang w:val="en-GB"/>
        </w:rPr>
        <w:t xml:space="preserve"> stay would have to be an appropriate way of achieving such protection</w:t>
      </w:r>
      <w:r w:rsidR="00FC2FB2" w:rsidRPr="00230579">
        <w:rPr>
          <w:rFonts w:ascii="Arial" w:hAnsi="Arial" w:cs="Arial"/>
          <w:sz w:val="22"/>
          <w:szCs w:val="22"/>
          <w:lang w:val="en-GB"/>
        </w:rPr>
        <w:t>.</w:t>
      </w:r>
    </w:p>
    <w:p w:rsidR="00FC2FB2" w:rsidRPr="00230579" w:rsidRDefault="00FC2FB2" w:rsidP="00230579">
      <w:pPr>
        <w:rPr>
          <w:rFonts w:ascii="Arial" w:hAnsi="Arial" w:cs="Arial"/>
          <w:sz w:val="22"/>
          <w:szCs w:val="22"/>
          <w:lang w:val="en-GB"/>
        </w:rPr>
      </w:pPr>
    </w:p>
    <w:p w:rsidR="00C72848" w:rsidRPr="00FC2FB2" w:rsidRDefault="00FC2FB2" w:rsidP="00230579">
      <w:pPr>
        <w:rPr>
          <w:rFonts w:ascii="Arial" w:hAnsi="Arial" w:cs="Arial"/>
          <w:color w:val="7B7B7B" w:themeColor="accent3" w:themeShade="BF"/>
          <w:sz w:val="22"/>
          <w:szCs w:val="22"/>
          <w:lang w:val="en-GB"/>
        </w:rPr>
      </w:pPr>
      <w:r w:rsidRPr="00230579">
        <w:rPr>
          <w:rFonts w:ascii="Arial" w:hAnsi="Arial" w:cs="Arial"/>
          <w:sz w:val="22"/>
          <w:szCs w:val="22"/>
          <w:lang w:val="en-GB"/>
        </w:rPr>
        <w:t>T</w:t>
      </w:r>
      <w:r w:rsidR="00B5005D" w:rsidRPr="00230579">
        <w:rPr>
          <w:rFonts w:ascii="Arial" w:hAnsi="Arial" w:cs="Arial"/>
          <w:sz w:val="22"/>
          <w:szCs w:val="22"/>
          <w:lang w:val="en-GB"/>
        </w:rPr>
        <w:t xml:space="preserve">he court of appeal held that neither of the above was </w:t>
      </w:r>
      <w:r w:rsidRPr="00230579">
        <w:rPr>
          <w:rFonts w:ascii="Arial" w:hAnsi="Arial" w:cs="Arial"/>
          <w:sz w:val="22"/>
          <w:szCs w:val="22"/>
          <w:lang w:val="en-GB"/>
        </w:rPr>
        <w:t>satisfied in the given case.</w:t>
      </w:r>
      <w:r w:rsidR="00C72848" w:rsidRPr="009B5832">
        <w:rPr>
          <w:rFonts w:ascii="Arial" w:hAnsi="Arial" w:cs="Arial"/>
          <w:color w:val="7B7B7B" w:themeColor="accent3" w:themeShade="BF"/>
          <w:sz w:val="22"/>
          <w:szCs w:val="22"/>
          <w:lang w:val="en-GB"/>
        </w:rPr>
        <w:t>]</w:t>
      </w:r>
    </w:p>
    <w:p w:rsidR="0045683E" w:rsidRPr="009B5832" w:rsidRDefault="0045683E" w:rsidP="00707FC8">
      <w:pPr>
        <w:jc w:val="both"/>
        <w:rPr>
          <w:rFonts w:ascii="Arial" w:hAnsi="Arial" w:cs="Arial"/>
          <w:b/>
          <w:sz w:val="22"/>
          <w:szCs w:val="22"/>
          <w:lang w:val="en-GB"/>
        </w:rPr>
      </w:pPr>
    </w:p>
    <w:p w:rsidR="00C550C8" w:rsidRPr="009B5832" w:rsidRDefault="00C550C8" w:rsidP="00707FC8">
      <w:pPr>
        <w:jc w:val="both"/>
        <w:rPr>
          <w:rFonts w:ascii="Arial" w:hAnsi="Arial" w:cs="Arial"/>
          <w:b/>
          <w:sz w:val="22"/>
          <w:szCs w:val="22"/>
          <w:lang w:val="en-GB"/>
        </w:rPr>
      </w:pPr>
    </w:p>
    <w:p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rsidR="00F17C87" w:rsidRPr="009B5832" w:rsidRDefault="00F17C87" w:rsidP="00707FC8">
      <w:pPr>
        <w:jc w:val="both"/>
        <w:rPr>
          <w:rFonts w:ascii="Arial" w:hAnsi="Arial" w:cs="Arial"/>
          <w:bCs/>
          <w:sz w:val="22"/>
          <w:szCs w:val="22"/>
          <w:lang w:val="en-GB"/>
        </w:rPr>
      </w:pPr>
    </w:p>
    <w:p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rsidR="0041139B" w:rsidRPr="009B5832" w:rsidRDefault="0041139B" w:rsidP="00707FC8">
      <w:pPr>
        <w:jc w:val="both"/>
        <w:rPr>
          <w:rFonts w:ascii="Arial" w:hAnsi="Arial" w:cs="Arial"/>
          <w:bCs/>
          <w:sz w:val="22"/>
          <w:szCs w:val="22"/>
          <w:lang w:val="en-GB"/>
        </w:rPr>
      </w:pPr>
    </w:p>
    <w:p w:rsidR="00D54531" w:rsidRPr="00230579" w:rsidRDefault="0041139B" w:rsidP="00230579">
      <w:pPr>
        <w:rPr>
          <w:rFonts w:ascii="Arial" w:hAnsi="Arial" w:cs="Arial"/>
          <w:sz w:val="22"/>
          <w:szCs w:val="22"/>
          <w:lang w:val="en-GB"/>
        </w:rPr>
      </w:pPr>
      <w:r w:rsidRPr="009B5832">
        <w:rPr>
          <w:rFonts w:ascii="Arial" w:hAnsi="Arial" w:cs="Arial"/>
          <w:color w:val="7B7B7B" w:themeColor="accent3" w:themeShade="BF"/>
          <w:sz w:val="22"/>
          <w:szCs w:val="22"/>
          <w:lang w:val="en-GB"/>
        </w:rPr>
        <w:t>[</w:t>
      </w:r>
      <w:r w:rsidR="00881080" w:rsidRPr="00230579">
        <w:rPr>
          <w:rFonts w:ascii="Arial" w:hAnsi="Arial" w:cs="Arial"/>
          <w:sz w:val="22"/>
          <w:szCs w:val="22"/>
          <w:lang w:val="en-GB"/>
        </w:rPr>
        <w:t>A</w:t>
      </w:r>
      <w:r w:rsidR="00D54531" w:rsidRPr="00230579">
        <w:rPr>
          <w:rFonts w:ascii="Arial" w:hAnsi="Arial" w:cs="Arial"/>
          <w:sz w:val="22"/>
          <w:szCs w:val="22"/>
          <w:lang w:val="en-GB"/>
        </w:rPr>
        <w:t>rticle 29 of the Model Law</w:t>
      </w:r>
      <w:r w:rsidR="00881080" w:rsidRPr="00230579">
        <w:rPr>
          <w:rFonts w:ascii="Arial" w:hAnsi="Arial" w:cs="Arial"/>
          <w:sz w:val="22"/>
          <w:szCs w:val="22"/>
          <w:lang w:val="en-GB"/>
        </w:rPr>
        <w:t xml:space="preserve"> states </w:t>
      </w:r>
      <w:r w:rsidR="00D54531" w:rsidRPr="00230579">
        <w:rPr>
          <w:rFonts w:ascii="Arial" w:hAnsi="Arial" w:cs="Arial"/>
          <w:sz w:val="22"/>
          <w:szCs w:val="22"/>
          <w:lang w:val="en-GB"/>
        </w:rPr>
        <w:t xml:space="preserve">that – in case of a </w:t>
      </w:r>
      <w:r w:rsidR="00881080" w:rsidRPr="00230579">
        <w:rPr>
          <w:rFonts w:ascii="Arial" w:hAnsi="Arial" w:cs="Arial"/>
          <w:sz w:val="22"/>
          <w:szCs w:val="22"/>
          <w:lang w:val="en-GB"/>
        </w:rPr>
        <w:t>simultaneous foreign proceedings as</w:t>
      </w:r>
      <w:r w:rsidR="00111DCC">
        <w:rPr>
          <w:rFonts w:ascii="Arial" w:hAnsi="Arial" w:cs="Arial"/>
          <w:sz w:val="22"/>
          <w:szCs w:val="22"/>
          <w:lang w:val="en-GB"/>
        </w:rPr>
        <w:t xml:space="preserve"> </w:t>
      </w:r>
      <w:r w:rsidR="00881080" w:rsidRPr="00230579">
        <w:rPr>
          <w:rFonts w:ascii="Arial" w:hAnsi="Arial" w:cs="Arial"/>
          <w:sz w:val="22"/>
          <w:szCs w:val="22"/>
          <w:lang w:val="en-GB"/>
        </w:rPr>
        <w:t xml:space="preserve">well as </w:t>
      </w:r>
      <w:r w:rsidR="00D54531" w:rsidRPr="00230579">
        <w:rPr>
          <w:rFonts w:ascii="Arial" w:hAnsi="Arial" w:cs="Arial"/>
          <w:sz w:val="22"/>
          <w:szCs w:val="22"/>
          <w:lang w:val="en-GB"/>
        </w:rPr>
        <w:t>domestic proceedings – primacy</w:t>
      </w:r>
      <w:r w:rsidR="00881080" w:rsidRPr="00230579">
        <w:rPr>
          <w:rFonts w:ascii="Arial" w:hAnsi="Arial" w:cs="Arial"/>
          <w:sz w:val="22"/>
          <w:szCs w:val="22"/>
          <w:lang w:val="en-GB"/>
        </w:rPr>
        <w:t xml:space="preserve"> will be</w:t>
      </w:r>
      <w:r w:rsidR="00D54531" w:rsidRPr="00230579">
        <w:rPr>
          <w:rFonts w:ascii="Arial" w:hAnsi="Arial" w:cs="Arial"/>
          <w:sz w:val="22"/>
          <w:szCs w:val="22"/>
          <w:lang w:val="en-GB"/>
        </w:rPr>
        <w:t xml:space="preserve"> given to domes</w:t>
      </w:r>
      <w:r w:rsidR="00881080" w:rsidRPr="00230579">
        <w:rPr>
          <w:rFonts w:ascii="Arial" w:hAnsi="Arial" w:cs="Arial"/>
          <w:sz w:val="22"/>
          <w:szCs w:val="22"/>
          <w:lang w:val="en-GB"/>
        </w:rPr>
        <w:t>tic proceedings. Viewed in that</w:t>
      </w:r>
      <w:r w:rsidR="00111DCC">
        <w:rPr>
          <w:rFonts w:ascii="Arial" w:hAnsi="Arial" w:cs="Arial"/>
          <w:sz w:val="22"/>
          <w:szCs w:val="22"/>
          <w:lang w:val="en-GB"/>
        </w:rPr>
        <w:t xml:space="preserve"> </w:t>
      </w:r>
      <w:r w:rsidR="00D54531" w:rsidRPr="00230579">
        <w:rPr>
          <w:rFonts w:ascii="Arial" w:hAnsi="Arial" w:cs="Arial"/>
          <w:sz w:val="22"/>
          <w:szCs w:val="22"/>
          <w:lang w:val="en-GB"/>
        </w:rPr>
        <w:t>light, it c</w:t>
      </w:r>
      <w:r w:rsidR="00881080" w:rsidRPr="00230579">
        <w:rPr>
          <w:rFonts w:ascii="Arial" w:hAnsi="Arial" w:cs="Arial"/>
          <w:sz w:val="22"/>
          <w:szCs w:val="22"/>
          <w:lang w:val="en-GB"/>
        </w:rPr>
        <w:t xml:space="preserve">ould </w:t>
      </w:r>
      <w:r w:rsidR="00D54531" w:rsidRPr="00230579">
        <w:rPr>
          <w:rFonts w:ascii="Arial" w:hAnsi="Arial" w:cs="Arial"/>
          <w:sz w:val="22"/>
          <w:szCs w:val="22"/>
          <w:lang w:val="en-GB"/>
        </w:rPr>
        <w:t>therefore be said that the</w:t>
      </w:r>
      <w:r w:rsidR="00881080" w:rsidRPr="00230579">
        <w:rPr>
          <w:rFonts w:ascii="Arial" w:hAnsi="Arial" w:cs="Arial"/>
          <w:sz w:val="22"/>
          <w:szCs w:val="22"/>
          <w:lang w:val="en-GB"/>
        </w:rPr>
        <w:t xml:space="preserve"> domestic proceedings will always be supreme.</w:t>
      </w:r>
    </w:p>
    <w:p w:rsidR="00D54531" w:rsidRPr="00230579" w:rsidRDefault="00D54531" w:rsidP="00230579">
      <w:pPr>
        <w:rPr>
          <w:rFonts w:ascii="Arial" w:hAnsi="Arial" w:cs="Arial"/>
          <w:sz w:val="22"/>
          <w:szCs w:val="22"/>
          <w:lang w:val="en-GB"/>
        </w:rPr>
      </w:pPr>
    </w:p>
    <w:p w:rsidR="0041139B" w:rsidRPr="00881080" w:rsidRDefault="00D54531" w:rsidP="00230579">
      <w:pPr>
        <w:rPr>
          <w:rFonts w:ascii="Arial" w:hAnsi="Arial" w:cs="Arial"/>
          <w:color w:val="7B7B7B" w:themeColor="accent3" w:themeShade="BF"/>
          <w:sz w:val="22"/>
          <w:szCs w:val="22"/>
          <w:lang w:val="en-GB"/>
        </w:rPr>
      </w:pPr>
      <w:r w:rsidRPr="00230579">
        <w:rPr>
          <w:rFonts w:ascii="Arial" w:hAnsi="Arial" w:cs="Arial"/>
          <w:sz w:val="22"/>
          <w:szCs w:val="22"/>
          <w:lang w:val="en-GB"/>
        </w:rPr>
        <w:t>However, if the foreign proceedings are main proce</w:t>
      </w:r>
      <w:r w:rsidR="00881080" w:rsidRPr="00230579">
        <w:rPr>
          <w:rFonts w:ascii="Arial" w:hAnsi="Arial" w:cs="Arial"/>
          <w:sz w:val="22"/>
          <w:szCs w:val="22"/>
          <w:lang w:val="en-GB"/>
        </w:rPr>
        <w:t>edings then it will not be appropriate if</w:t>
      </w:r>
      <w:r w:rsidR="00111DCC">
        <w:rPr>
          <w:rFonts w:ascii="Arial" w:hAnsi="Arial" w:cs="Arial"/>
          <w:sz w:val="22"/>
          <w:szCs w:val="22"/>
          <w:lang w:val="en-GB"/>
        </w:rPr>
        <w:t xml:space="preserve"> </w:t>
      </w:r>
      <w:r w:rsidR="00881080" w:rsidRPr="00230579">
        <w:rPr>
          <w:rFonts w:ascii="Arial" w:hAnsi="Arial" w:cs="Arial"/>
          <w:sz w:val="22"/>
          <w:szCs w:val="22"/>
          <w:lang w:val="en-GB"/>
        </w:rPr>
        <w:t>foreign proceedings are primary</w:t>
      </w:r>
      <w:r w:rsidRPr="00230579">
        <w:rPr>
          <w:rFonts w:ascii="Arial" w:hAnsi="Arial" w:cs="Arial"/>
          <w:sz w:val="22"/>
          <w:szCs w:val="22"/>
          <w:lang w:val="en-GB"/>
        </w:rPr>
        <w:t>. This could in particular apply to</w:t>
      </w:r>
      <w:r w:rsidR="00881080" w:rsidRPr="00230579">
        <w:rPr>
          <w:rFonts w:ascii="Arial" w:hAnsi="Arial" w:cs="Arial"/>
          <w:sz w:val="22"/>
          <w:szCs w:val="22"/>
          <w:lang w:val="en-GB"/>
        </w:rPr>
        <w:t xml:space="preserve"> the situations where the</w:t>
      </w:r>
      <w:r w:rsidR="00111DCC">
        <w:rPr>
          <w:rFonts w:ascii="Arial" w:hAnsi="Arial" w:cs="Arial"/>
          <w:sz w:val="22"/>
          <w:szCs w:val="22"/>
          <w:lang w:val="en-GB"/>
        </w:rPr>
        <w:t xml:space="preserve"> </w:t>
      </w:r>
      <w:r w:rsidRPr="00230579">
        <w:rPr>
          <w:rFonts w:ascii="Arial" w:hAnsi="Arial" w:cs="Arial"/>
          <w:sz w:val="22"/>
          <w:szCs w:val="22"/>
          <w:lang w:val="en-GB"/>
        </w:rPr>
        <w:t>domestic proceedings limit their scope to domestic interests only</w:t>
      </w:r>
      <w:r w:rsidR="00881080" w:rsidRPr="00230579">
        <w:rPr>
          <w:rFonts w:ascii="Arial" w:hAnsi="Arial" w:cs="Arial"/>
          <w:sz w:val="22"/>
          <w:szCs w:val="22"/>
          <w:lang w:val="en-GB"/>
        </w:rPr>
        <w:t xml:space="preserve"> and the best interests of the</w:t>
      </w:r>
      <w:r w:rsidR="00111DCC">
        <w:rPr>
          <w:rFonts w:ascii="Arial" w:hAnsi="Arial" w:cs="Arial"/>
          <w:sz w:val="22"/>
          <w:szCs w:val="22"/>
          <w:lang w:val="en-GB"/>
        </w:rPr>
        <w:t xml:space="preserve"> </w:t>
      </w:r>
      <w:r w:rsidRPr="00230579">
        <w:rPr>
          <w:rFonts w:ascii="Arial" w:hAnsi="Arial" w:cs="Arial"/>
          <w:sz w:val="22"/>
          <w:szCs w:val="22"/>
          <w:lang w:val="en-GB"/>
        </w:rPr>
        <w:t>debtor’s stakeholders generally in both the foreign main</w:t>
      </w:r>
      <w:r w:rsidR="00881080" w:rsidRPr="00230579">
        <w:rPr>
          <w:rFonts w:ascii="Arial" w:hAnsi="Arial" w:cs="Arial"/>
          <w:sz w:val="22"/>
          <w:szCs w:val="22"/>
          <w:lang w:val="en-GB"/>
        </w:rPr>
        <w:t xml:space="preserve"> proceedings and the domestic</w:t>
      </w:r>
      <w:r w:rsidR="00111DCC">
        <w:rPr>
          <w:rFonts w:ascii="Arial" w:hAnsi="Arial" w:cs="Arial"/>
          <w:sz w:val="22"/>
          <w:szCs w:val="22"/>
          <w:lang w:val="en-GB"/>
        </w:rPr>
        <w:t xml:space="preserve"> </w:t>
      </w:r>
      <w:r w:rsidRPr="00230579">
        <w:rPr>
          <w:rFonts w:ascii="Arial" w:hAnsi="Arial" w:cs="Arial"/>
          <w:sz w:val="22"/>
          <w:szCs w:val="22"/>
          <w:lang w:val="en-GB"/>
        </w:rPr>
        <w:t xml:space="preserve">proceedings differs from those domestic interests. In thiscontext </w:t>
      </w:r>
      <w:r w:rsidR="00881080" w:rsidRPr="00230579">
        <w:rPr>
          <w:rFonts w:ascii="Arial" w:hAnsi="Arial" w:cs="Arial"/>
          <w:sz w:val="22"/>
          <w:szCs w:val="22"/>
          <w:lang w:val="en-GB"/>
        </w:rPr>
        <w:t xml:space="preserve">it is further important to </w:t>
      </w:r>
      <w:r w:rsidR="00881080" w:rsidRPr="00230579">
        <w:rPr>
          <w:rFonts w:ascii="Arial" w:hAnsi="Arial" w:cs="Arial"/>
          <w:sz w:val="22"/>
          <w:szCs w:val="22"/>
          <w:lang w:val="en-GB"/>
        </w:rPr>
        <w:lastRenderedPageBreak/>
        <w:t>keep</w:t>
      </w:r>
      <w:r w:rsidR="00111DCC">
        <w:rPr>
          <w:rFonts w:ascii="Arial" w:hAnsi="Arial" w:cs="Arial"/>
          <w:sz w:val="22"/>
          <w:szCs w:val="22"/>
          <w:lang w:val="en-GB"/>
        </w:rPr>
        <w:t xml:space="preserve"> </w:t>
      </w:r>
      <w:r w:rsidRPr="00230579">
        <w:rPr>
          <w:rFonts w:ascii="Arial" w:hAnsi="Arial" w:cs="Arial"/>
          <w:sz w:val="22"/>
          <w:szCs w:val="22"/>
          <w:lang w:val="en-GB"/>
        </w:rPr>
        <w:t>in mind that the procedural framework provided by the</w:t>
      </w:r>
      <w:r w:rsidR="00111DCC">
        <w:rPr>
          <w:rFonts w:ascii="Arial" w:hAnsi="Arial" w:cs="Arial"/>
          <w:sz w:val="22"/>
          <w:szCs w:val="22"/>
          <w:lang w:val="en-GB"/>
        </w:rPr>
        <w:t xml:space="preserve"> </w:t>
      </w:r>
      <w:r w:rsidRPr="00230579">
        <w:rPr>
          <w:rFonts w:ascii="Arial" w:hAnsi="Arial" w:cs="Arial"/>
          <w:sz w:val="22"/>
          <w:szCs w:val="22"/>
          <w:lang w:val="en-GB"/>
        </w:rPr>
        <w:t>Mode</w:t>
      </w:r>
      <w:r w:rsidR="00881080" w:rsidRPr="00230579">
        <w:rPr>
          <w:rFonts w:ascii="Arial" w:hAnsi="Arial" w:cs="Arial"/>
          <w:sz w:val="22"/>
          <w:szCs w:val="22"/>
          <w:lang w:val="en-GB"/>
        </w:rPr>
        <w:t>l Law aims to avoid the need to</w:t>
      </w:r>
      <w:r w:rsidR="00111DCC">
        <w:rPr>
          <w:rFonts w:ascii="Arial" w:hAnsi="Arial" w:cs="Arial"/>
          <w:sz w:val="22"/>
          <w:szCs w:val="22"/>
          <w:lang w:val="en-GB"/>
        </w:rPr>
        <w:t xml:space="preserve"> </w:t>
      </w:r>
      <w:r w:rsidRPr="00230579">
        <w:rPr>
          <w:rFonts w:ascii="Arial" w:hAnsi="Arial" w:cs="Arial"/>
          <w:sz w:val="22"/>
          <w:szCs w:val="22"/>
          <w:lang w:val="en-GB"/>
        </w:rPr>
        <w:t>open any separate domestic proceedings because with</w:t>
      </w:r>
      <w:r w:rsidR="00111DCC">
        <w:rPr>
          <w:rFonts w:ascii="Arial" w:hAnsi="Arial" w:cs="Arial"/>
          <w:sz w:val="22"/>
          <w:szCs w:val="22"/>
          <w:lang w:val="en-GB"/>
        </w:rPr>
        <w:t xml:space="preserve"> </w:t>
      </w:r>
      <w:r w:rsidRPr="00230579">
        <w:rPr>
          <w:rFonts w:ascii="Arial" w:hAnsi="Arial" w:cs="Arial"/>
          <w:sz w:val="22"/>
          <w:szCs w:val="22"/>
          <w:lang w:val="en-GB"/>
        </w:rPr>
        <w:t>recog</w:t>
      </w:r>
      <w:r w:rsidR="00881080" w:rsidRPr="00230579">
        <w:rPr>
          <w:rFonts w:ascii="Arial" w:hAnsi="Arial" w:cs="Arial"/>
          <w:sz w:val="22"/>
          <w:szCs w:val="22"/>
          <w:lang w:val="en-GB"/>
        </w:rPr>
        <w:t>nition and relief (both interim</w:t>
      </w:r>
      <w:r w:rsidR="00111DCC">
        <w:rPr>
          <w:rFonts w:ascii="Arial" w:hAnsi="Arial" w:cs="Arial"/>
          <w:sz w:val="22"/>
          <w:szCs w:val="22"/>
          <w:lang w:val="en-GB"/>
        </w:rPr>
        <w:t xml:space="preserve"> </w:t>
      </w:r>
      <w:r w:rsidRPr="00230579">
        <w:rPr>
          <w:rFonts w:ascii="Arial" w:hAnsi="Arial" w:cs="Arial"/>
          <w:sz w:val="22"/>
          <w:szCs w:val="22"/>
          <w:lang w:val="en-GB"/>
        </w:rPr>
        <w:t>and post-recognition relief) the expectation is that a</w:t>
      </w:r>
      <w:r w:rsidR="00111DCC">
        <w:rPr>
          <w:rFonts w:ascii="Arial" w:hAnsi="Arial" w:cs="Arial"/>
          <w:sz w:val="22"/>
          <w:szCs w:val="22"/>
          <w:lang w:val="en-GB"/>
        </w:rPr>
        <w:t xml:space="preserve"> </w:t>
      </w:r>
      <w:r w:rsidRPr="00230579">
        <w:rPr>
          <w:rFonts w:ascii="Arial" w:hAnsi="Arial" w:cs="Arial"/>
          <w:sz w:val="22"/>
          <w:szCs w:val="22"/>
          <w:lang w:val="en-GB"/>
        </w:rPr>
        <w:t>situation ca</w:t>
      </w:r>
      <w:r w:rsidR="00881080" w:rsidRPr="00230579">
        <w:rPr>
          <w:rFonts w:ascii="Arial" w:hAnsi="Arial" w:cs="Arial"/>
          <w:sz w:val="22"/>
          <w:szCs w:val="22"/>
          <w:lang w:val="en-GB"/>
        </w:rPr>
        <w:t>n be created “as if” a domestic</w:t>
      </w:r>
      <w:r w:rsidR="00111DCC">
        <w:rPr>
          <w:rFonts w:ascii="Arial" w:hAnsi="Arial" w:cs="Arial"/>
          <w:sz w:val="22"/>
          <w:szCs w:val="22"/>
          <w:lang w:val="en-GB"/>
        </w:rPr>
        <w:t xml:space="preserve"> </w:t>
      </w:r>
      <w:r w:rsidRPr="00230579">
        <w:rPr>
          <w:rFonts w:ascii="Arial" w:hAnsi="Arial" w:cs="Arial"/>
          <w:sz w:val="22"/>
          <w:szCs w:val="22"/>
          <w:lang w:val="en-GB"/>
        </w:rPr>
        <w:t>proceeding has been opened, without the need for</w:t>
      </w:r>
      <w:r w:rsidR="00111DCC">
        <w:rPr>
          <w:rFonts w:ascii="Arial" w:hAnsi="Arial" w:cs="Arial"/>
          <w:sz w:val="22"/>
          <w:szCs w:val="22"/>
          <w:lang w:val="en-GB"/>
        </w:rPr>
        <w:t xml:space="preserve"> </w:t>
      </w:r>
      <w:r w:rsidRPr="00230579">
        <w:rPr>
          <w:rFonts w:ascii="Arial" w:hAnsi="Arial" w:cs="Arial"/>
          <w:sz w:val="22"/>
          <w:szCs w:val="22"/>
          <w:lang w:val="en-GB"/>
        </w:rPr>
        <w:t>actually ope</w:t>
      </w:r>
      <w:r w:rsidR="00881080" w:rsidRPr="00230579">
        <w:rPr>
          <w:rFonts w:ascii="Arial" w:hAnsi="Arial" w:cs="Arial"/>
          <w:sz w:val="22"/>
          <w:szCs w:val="22"/>
          <w:lang w:val="en-GB"/>
        </w:rPr>
        <w:t>ning one. Viewed in that light,</w:t>
      </w:r>
      <w:r w:rsidR="00111DCC">
        <w:rPr>
          <w:rFonts w:ascii="Arial" w:hAnsi="Arial" w:cs="Arial"/>
          <w:sz w:val="22"/>
          <w:szCs w:val="22"/>
          <w:lang w:val="en-GB"/>
        </w:rPr>
        <w:t xml:space="preserve"> </w:t>
      </w:r>
      <w:r w:rsidRPr="00230579">
        <w:rPr>
          <w:rFonts w:ascii="Arial" w:hAnsi="Arial" w:cs="Arial"/>
          <w:sz w:val="22"/>
          <w:szCs w:val="22"/>
          <w:lang w:val="en-GB"/>
        </w:rPr>
        <w:t>the supremacy of domestic proceedings could be</w:t>
      </w:r>
      <w:r w:rsidR="00111DCC">
        <w:rPr>
          <w:rFonts w:ascii="Arial" w:hAnsi="Arial" w:cs="Arial"/>
          <w:sz w:val="22"/>
          <w:szCs w:val="22"/>
          <w:lang w:val="en-GB"/>
        </w:rPr>
        <w:t xml:space="preserve"> </w:t>
      </w:r>
      <w:r w:rsidRPr="00230579">
        <w:rPr>
          <w:rFonts w:ascii="Arial" w:hAnsi="Arial" w:cs="Arial"/>
          <w:sz w:val="22"/>
          <w:szCs w:val="22"/>
          <w:lang w:val="en-GB"/>
        </w:rPr>
        <w:t>considered a bit surprising</w:t>
      </w:r>
      <w:r w:rsidR="0041139B" w:rsidRPr="009B5832">
        <w:rPr>
          <w:rFonts w:ascii="Arial" w:hAnsi="Arial" w:cs="Arial"/>
          <w:color w:val="7B7B7B" w:themeColor="accent3" w:themeShade="BF"/>
          <w:sz w:val="22"/>
          <w:szCs w:val="22"/>
          <w:lang w:val="en-GB"/>
        </w:rPr>
        <w:t>]</w:t>
      </w:r>
    </w:p>
    <w:p w:rsidR="00F17C87" w:rsidRPr="009B5832" w:rsidRDefault="00F17C87" w:rsidP="00707FC8">
      <w:pPr>
        <w:jc w:val="both"/>
        <w:rPr>
          <w:rFonts w:ascii="Arial" w:hAnsi="Arial" w:cs="Arial"/>
          <w:bCs/>
          <w:sz w:val="22"/>
          <w:szCs w:val="22"/>
          <w:lang w:val="en-GB"/>
        </w:rPr>
      </w:pPr>
    </w:p>
    <w:p w:rsidR="0041139B" w:rsidRPr="009B5832" w:rsidRDefault="0041139B" w:rsidP="00707FC8">
      <w:pPr>
        <w:jc w:val="both"/>
        <w:rPr>
          <w:rFonts w:ascii="Arial" w:hAnsi="Arial" w:cs="Arial"/>
          <w:bCs/>
          <w:sz w:val="22"/>
          <w:szCs w:val="22"/>
          <w:lang w:val="en-GB"/>
        </w:rPr>
      </w:pPr>
    </w:p>
    <w:p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rsidR="00962045" w:rsidRPr="009B5832" w:rsidRDefault="00962045" w:rsidP="00707FC8">
      <w:pPr>
        <w:jc w:val="both"/>
        <w:rPr>
          <w:rFonts w:ascii="Arial" w:hAnsi="Arial" w:cs="Arial"/>
          <w:sz w:val="22"/>
          <w:szCs w:val="22"/>
          <w:lang w:val="en-GB"/>
        </w:rPr>
      </w:pPr>
    </w:p>
    <w:p w:rsidR="00C370D3" w:rsidRPr="009B5832" w:rsidRDefault="00C370D3" w:rsidP="00C370D3">
      <w:pPr>
        <w:jc w:val="both"/>
        <w:rPr>
          <w:rFonts w:ascii="Arial" w:hAnsi="Arial" w:cs="Arial"/>
          <w:sz w:val="22"/>
          <w:szCs w:val="22"/>
          <w:lang w:val="en-GB"/>
        </w:rPr>
      </w:pPr>
      <w:bookmarkStart w:id="5"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rsidR="00C370D3" w:rsidRPr="009B5832" w:rsidRDefault="00C370D3" w:rsidP="00C370D3">
      <w:pPr>
        <w:jc w:val="both"/>
        <w:rPr>
          <w:rFonts w:ascii="Arial" w:hAnsi="Arial" w:cs="Arial"/>
          <w:sz w:val="22"/>
          <w:szCs w:val="22"/>
          <w:lang w:val="en-GB"/>
        </w:rPr>
      </w:pPr>
    </w:p>
    <w:p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rsidR="00C370D3" w:rsidRPr="009B5832" w:rsidRDefault="00C370D3" w:rsidP="00C370D3">
      <w:pPr>
        <w:jc w:val="both"/>
        <w:rPr>
          <w:rFonts w:ascii="Arial" w:hAnsi="Arial" w:cs="Arial"/>
          <w:sz w:val="22"/>
          <w:szCs w:val="22"/>
          <w:lang w:val="en-GB"/>
        </w:rPr>
      </w:pPr>
    </w:p>
    <w:p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b/>
          <w:sz w:val="22"/>
          <w:szCs w:val="22"/>
          <w:lang w:val="en-GB"/>
        </w:rPr>
        <w:t>[maximum 4 marks</w:t>
      </w:r>
      <w:r w:rsidRPr="009B5832">
        <w:rPr>
          <w:rFonts w:ascii="Arial" w:hAnsi="Arial" w:cs="Arial"/>
          <w:sz w:val="22"/>
          <w:szCs w:val="22"/>
          <w:lang w:val="en-GB"/>
        </w:rPr>
        <w:t>]</w:t>
      </w:r>
    </w:p>
    <w:p w:rsidR="00C370D3" w:rsidRPr="009B5832" w:rsidRDefault="00C370D3" w:rsidP="00C370D3">
      <w:pPr>
        <w:ind w:left="720" w:hanging="720"/>
        <w:jc w:val="both"/>
        <w:rPr>
          <w:rFonts w:ascii="Arial" w:hAnsi="Arial" w:cs="Arial"/>
          <w:sz w:val="22"/>
          <w:szCs w:val="22"/>
          <w:lang w:val="en-GB"/>
        </w:rPr>
      </w:pPr>
    </w:p>
    <w:p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5"/>
    <w:p w:rsidR="00C550C8" w:rsidRPr="009B5832" w:rsidRDefault="00C550C8" w:rsidP="00707FC8">
      <w:pPr>
        <w:jc w:val="both"/>
        <w:rPr>
          <w:rFonts w:ascii="Arial" w:hAnsi="Arial" w:cs="Arial"/>
          <w:sz w:val="22"/>
          <w:szCs w:val="22"/>
          <w:lang w:val="en-GB"/>
        </w:rPr>
      </w:pPr>
    </w:p>
    <w:p w:rsidR="00544127" w:rsidRPr="009B5832" w:rsidRDefault="00DF75F8" w:rsidP="00707FC8">
      <w:pPr>
        <w:jc w:val="both"/>
        <w:rPr>
          <w:rFonts w:ascii="Arial" w:hAnsi="Arial" w:cs="Arial"/>
          <w:sz w:val="24"/>
          <w:lang w:val="en-GB"/>
        </w:rPr>
      </w:pPr>
      <w:r w:rsidRPr="009B5832">
        <w:rPr>
          <w:rFonts w:ascii="Arial" w:hAnsi="Arial" w:cs="Arial"/>
          <w:color w:val="7B7B7B" w:themeColor="accent3" w:themeShade="BF"/>
          <w:sz w:val="22"/>
          <w:szCs w:val="22"/>
          <w:lang w:val="en-GB"/>
        </w:rPr>
        <w:t>[</w:t>
      </w:r>
      <w:r w:rsidR="00145B2D" w:rsidRPr="00230579">
        <w:rPr>
          <w:rFonts w:ascii="Arial" w:hAnsi="Arial" w:cs="Arial"/>
          <w:sz w:val="22"/>
          <w:szCs w:val="22"/>
          <w:lang w:val="en-GB"/>
        </w:rPr>
        <w:t>P</w:t>
      </w:r>
      <w:r w:rsidR="00F136E0" w:rsidRPr="00230579">
        <w:rPr>
          <w:rFonts w:ascii="Arial" w:hAnsi="Arial" w:cs="Arial"/>
          <w:sz w:val="22"/>
          <w:szCs w:val="22"/>
          <w:lang w:val="en-GB"/>
        </w:rPr>
        <w:t>rior to making a recognition access rights and coordination rights in state A  would save time and expense, which in turn avoid value destruction and, in certain cases may even facilitate value creation. They also provide comfort and transparency, which should make it easier for the foreign debtor (and other companies) to do business in the enacting State without counter-parties of the foreign debtor becoming concerned that the foreign debtor does this</w:t>
      </w:r>
      <w:r w:rsidR="00F136E0" w:rsidRPr="00F136E0">
        <w:rPr>
          <w:rFonts w:ascii="Arial" w:hAnsi="Arial" w:cs="Arial"/>
          <w:color w:val="7B7B7B" w:themeColor="accent3" w:themeShade="BF"/>
          <w:sz w:val="22"/>
          <w:szCs w:val="22"/>
          <w:lang w:val="en-GB"/>
        </w:rPr>
        <w:t>.</w:t>
      </w:r>
      <w:r w:rsidRPr="009B5832">
        <w:rPr>
          <w:rFonts w:ascii="Arial" w:hAnsi="Arial" w:cs="Arial"/>
          <w:color w:val="7B7B7B" w:themeColor="accent3" w:themeShade="BF"/>
          <w:sz w:val="22"/>
          <w:szCs w:val="22"/>
          <w:lang w:val="en-GB"/>
        </w:rPr>
        <w:t>]</w:t>
      </w:r>
    </w:p>
    <w:p w:rsidR="00544127" w:rsidRPr="009B5832" w:rsidRDefault="00544127" w:rsidP="00707FC8">
      <w:pPr>
        <w:ind w:left="720" w:hanging="720"/>
        <w:jc w:val="both"/>
        <w:rPr>
          <w:rFonts w:ascii="Arial" w:hAnsi="Arial" w:cs="Arial"/>
          <w:sz w:val="24"/>
          <w:lang w:val="en-GB"/>
        </w:rPr>
      </w:pPr>
    </w:p>
    <w:p w:rsidR="00D17FDC" w:rsidRPr="009B5832" w:rsidRDefault="00D17FDC" w:rsidP="00707FC8">
      <w:pPr>
        <w:ind w:left="720" w:hanging="720"/>
        <w:jc w:val="both"/>
        <w:rPr>
          <w:rFonts w:ascii="Arial" w:hAnsi="Arial" w:cs="Arial"/>
          <w:sz w:val="24"/>
          <w:lang w:val="en-GB"/>
        </w:rPr>
      </w:pPr>
    </w:p>
    <w:p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rsidR="0067785F" w:rsidRPr="009B5832" w:rsidRDefault="0067785F" w:rsidP="0067785F">
      <w:pPr>
        <w:ind w:left="720" w:hanging="720"/>
        <w:jc w:val="both"/>
        <w:rPr>
          <w:rFonts w:ascii="Arial" w:hAnsi="Arial" w:cs="Arial"/>
          <w:sz w:val="24"/>
          <w:lang w:val="en-GB"/>
        </w:rPr>
      </w:pPr>
    </w:p>
    <w:p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rsidR="00622C2B" w:rsidRPr="009B5832" w:rsidRDefault="00622C2B" w:rsidP="00707FC8">
      <w:pPr>
        <w:jc w:val="both"/>
        <w:rPr>
          <w:rFonts w:ascii="Arial" w:hAnsi="Arial" w:cs="Arial"/>
          <w:sz w:val="22"/>
          <w:szCs w:val="22"/>
          <w:lang w:val="en-GB"/>
        </w:rPr>
      </w:pPr>
    </w:p>
    <w:p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rsidR="00962045" w:rsidRPr="009B5832" w:rsidRDefault="00962045" w:rsidP="00707FC8">
      <w:pPr>
        <w:jc w:val="both"/>
        <w:rPr>
          <w:rFonts w:ascii="Arial" w:hAnsi="Arial" w:cs="Arial"/>
          <w:sz w:val="22"/>
          <w:szCs w:val="22"/>
          <w:shd w:val="clear" w:color="auto" w:fill="FFFFFF"/>
          <w:lang w:val="en-GB"/>
        </w:rPr>
      </w:pPr>
    </w:p>
    <w:p w:rsidR="0017257C" w:rsidRPr="009B5832" w:rsidRDefault="0017257C" w:rsidP="00707FC8">
      <w:pPr>
        <w:jc w:val="both"/>
        <w:rPr>
          <w:rFonts w:ascii="Arial" w:hAnsi="Arial" w:cs="Arial"/>
          <w:sz w:val="22"/>
          <w:szCs w:val="22"/>
          <w:shd w:val="clear" w:color="auto" w:fill="FFFFFF"/>
          <w:lang w:val="en-GB"/>
        </w:rPr>
      </w:pPr>
    </w:p>
    <w:p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rsidR="00C91324" w:rsidRPr="009B5832" w:rsidRDefault="00C91324" w:rsidP="00C91324">
      <w:pPr>
        <w:ind w:left="720" w:hanging="720"/>
        <w:jc w:val="both"/>
        <w:rPr>
          <w:rFonts w:ascii="Arial" w:hAnsi="Arial" w:cs="Arial"/>
          <w:sz w:val="22"/>
          <w:szCs w:val="22"/>
          <w:shd w:val="clear" w:color="auto" w:fill="FFFFFF"/>
          <w:lang w:val="en-GB"/>
        </w:rPr>
      </w:pPr>
    </w:p>
    <w:p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rsidR="00817D57" w:rsidRPr="009B5832" w:rsidRDefault="00817D57" w:rsidP="00707FC8">
      <w:pPr>
        <w:jc w:val="both"/>
        <w:rPr>
          <w:rFonts w:ascii="Arial" w:hAnsi="Arial" w:cs="Arial"/>
          <w:sz w:val="22"/>
          <w:szCs w:val="22"/>
          <w:lang w:val="en-GB"/>
        </w:rPr>
      </w:pPr>
    </w:p>
    <w:p w:rsidR="00A379B1" w:rsidRPr="00230579" w:rsidRDefault="00DF75F8" w:rsidP="00230579">
      <w:pPr>
        <w:rPr>
          <w:rFonts w:ascii="Arial" w:hAnsi="Arial" w:cs="Arial"/>
          <w:sz w:val="22"/>
          <w:szCs w:val="22"/>
          <w:lang w:val="en-GB"/>
        </w:rPr>
      </w:pPr>
      <w:r w:rsidRPr="009B5832">
        <w:rPr>
          <w:rFonts w:ascii="Arial" w:hAnsi="Arial" w:cs="Arial"/>
          <w:color w:val="7B7B7B" w:themeColor="accent3" w:themeShade="BF"/>
          <w:sz w:val="22"/>
          <w:szCs w:val="22"/>
          <w:lang w:val="en-GB"/>
        </w:rPr>
        <w:t>[</w:t>
      </w:r>
      <w:r w:rsidR="00A379B1" w:rsidRPr="00230579">
        <w:rPr>
          <w:rFonts w:ascii="Arial" w:hAnsi="Arial" w:cs="Arial"/>
          <w:sz w:val="22"/>
          <w:szCs w:val="22"/>
          <w:lang w:val="en-GB"/>
        </w:rPr>
        <w:t>Article 21 of MLCBI defines Post recognition relief as</w:t>
      </w:r>
    </w:p>
    <w:p w:rsidR="00A379B1" w:rsidRPr="00230579" w:rsidRDefault="00ED2D20" w:rsidP="00230579">
      <w:pPr>
        <w:rPr>
          <w:rFonts w:ascii="Arial" w:hAnsi="Arial" w:cs="Arial"/>
          <w:sz w:val="22"/>
          <w:szCs w:val="22"/>
          <w:lang w:val="en-GB"/>
        </w:rPr>
      </w:pPr>
      <w:r w:rsidRPr="00230579">
        <w:rPr>
          <w:rFonts w:ascii="Arial" w:hAnsi="Arial" w:cs="Arial"/>
          <w:sz w:val="22"/>
          <w:szCs w:val="22"/>
          <w:lang w:val="en-GB"/>
        </w:rPr>
        <w:t>S</w:t>
      </w:r>
      <w:r w:rsidR="00A379B1" w:rsidRPr="00230579">
        <w:rPr>
          <w:rFonts w:ascii="Arial" w:hAnsi="Arial" w:cs="Arial"/>
          <w:sz w:val="22"/>
          <w:szCs w:val="22"/>
          <w:lang w:val="en-GB"/>
        </w:rPr>
        <w:t>uspending the right to transfer, encumber or otherwise dispose of any assets of the debtor;</w:t>
      </w:r>
    </w:p>
    <w:p w:rsidR="00A379B1" w:rsidRPr="00230579" w:rsidRDefault="00A379B1" w:rsidP="00230579">
      <w:pPr>
        <w:rPr>
          <w:rFonts w:ascii="Arial" w:hAnsi="Arial" w:cs="Arial"/>
          <w:sz w:val="22"/>
          <w:szCs w:val="22"/>
          <w:lang w:val="en-GB"/>
        </w:rPr>
      </w:pPr>
    </w:p>
    <w:p w:rsidR="00A379B1" w:rsidRPr="00230579" w:rsidRDefault="00ED2D20" w:rsidP="00230579">
      <w:pPr>
        <w:rPr>
          <w:rFonts w:ascii="Arial" w:hAnsi="Arial" w:cs="Arial"/>
          <w:sz w:val="22"/>
          <w:szCs w:val="22"/>
          <w:lang w:val="en-GB"/>
        </w:rPr>
      </w:pPr>
      <w:r w:rsidRPr="00230579">
        <w:rPr>
          <w:rFonts w:ascii="Arial" w:hAnsi="Arial" w:cs="Arial"/>
          <w:sz w:val="22"/>
          <w:szCs w:val="22"/>
          <w:lang w:val="en-GB"/>
        </w:rPr>
        <w:lastRenderedPageBreak/>
        <w:t>P</w:t>
      </w:r>
      <w:r w:rsidR="00A379B1" w:rsidRPr="00230579">
        <w:rPr>
          <w:rFonts w:ascii="Arial" w:hAnsi="Arial" w:cs="Arial"/>
          <w:sz w:val="22"/>
          <w:szCs w:val="22"/>
          <w:lang w:val="en-GB"/>
        </w:rPr>
        <w:t>roviding for the examination of witnesses, the taking of evidence or the delivery of information concerning the debtor’s assets, affairs, rights, obligations or liabilities; and</w:t>
      </w:r>
    </w:p>
    <w:p w:rsidR="00A379B1" w:rsidRPr="00A379B1" w:rsidRDefault="00ED2D20" w:rsidP="00230579">
      <w:pPr>
        <w:rPr>
          <w:rFonts w:ascii="Arial" w:hAnsi="Arial" w:cs="Arial"/>
          <w:sz w:val="22"/>
          <w:szCs w:val="22"/>
          <w:lang w:val="en-GB"/>
        </w:rPr>
      </w:pPr>
      <w:r w:rsidRPr="00230579">
        <w:rPr>
          <w:rFonts w:ascii="Arial" w:hAnsi="Arial" w:cs="Arial"/>
          <w:sz w:val="22"/>
          <w:szCs w:val="22"/>
          <w:lang w:val="en-GB"/>
        </w:rPr>
        <w:t>Granting</w:t>
      </w:r>
      <w:r w:rsidR="00A379B1" w:rsidRPr="00230579">
        <w:rPr>
          <w:rFonts w:ascii="Arial" w:hAnsi="Arial" w:cs="Arial"/>
          <w:sz w:val="22"/>
          <w:szCs w:val="22"/>
          <w:lang w:val="en-GB"/>
        </w:rPr>
        <w:t xml:space="preserve"> any additional relief that may be available to a domestic liquidator / office holder under the laws of the enacting State.</w:t>
      </w:r>
    </w:p>
    <w:p w:rsidR="00A379B1" w:rsidRPr="00230579" w:rsidRDefault="00A379B1" w:rsidP="00230579">
      <w:pPr>
        <w:rPr>
          <w:rFonts w:ascii="Arial" w:hAnsi="Arial" w:cs="Arial"/>
          <w:sz w:val="22"/>
          <w:szCs w:val="22"/>
          <w:lang w:val="en-GB"/>
        </w:rPr>
      </w:pPr>
    </w:p>
    <w:p w:rsidR="00F4300F" w:rsidRPr="00230579" w:rsidRDefault="00F4300F" w:rsidP="00230579">
      <w:pPr>
        <w:rPr>
          <w:rFonts w:ascii="Arial" w:hAnsi="Arial" w:cs="Arial"/>
          <w:sz w:val="22"/>
          <w:szCs w:val="22"/>
          <w:lang w:val="en-GB"/>
        </w:rPr>
      </w:pPr>
      <w:r w:rsidRPr="00230579">
        <w:rPr>
          <w:rFonts w:ascii="Arial" w:hAnsi="Arial" w:cs="Arial"/>
          <w:sz w:val="22"/>
          <w:szCs w:val="22"/>
          <w:lang w:val="en-GB"/>
        </w:rPr>
        <w:t xml:space="preserve">            As per article 19 of MLCBI Where relief is urgently needed to protect the assets of the debtor or the interests of the creditors, the court of the enacting State may, at the request of the foreign representative, grant relief of a provisional nature from the time of filing the recognition application until the application is decided upon. This interim relief – which applies to both foreign main and foreign non-main proceedings - can include:</w:t>
      </w:r>
    </w:p>
    <w:p w:rsidR="00F4300F" w:rsidRPr="00230579" w:rsidRDefault="00F4300F" w:rsidP="00230579">
      <w:pPr>
        <w:rPr>
          <w:rFonts w:ascii="Arial" w:hAnsi="Arial" w:cs="Arial"/>
          <w:sz w:val="22"/>
          <w:szCs w:val="22"/>
          <w:lang w:val="en-GB"/>
        </w:rPr>
      </w:pPr>
    </w:p>
    <w:p w:rsidR="00F4300F" w:rsidRPr="00230579" w:rsidRDefault="00F4300F" w:rsidP="00230579">
      <w:pPr>
        <w:rPr>
          <w:rFonts w:ascii="Arial" w:hAnsi="Arial" w:cs="Arial"/>
          <w:sz w:val="22"/>
          <w:szCs w:val="22"/>
          <w:lang w:val="en-GB"/>
        </w:rPr>
      </w:pPr>
      <w:r w:rsidRPr="00230579">
        <w:rPr>
          <w:rFonts w:ascii="Arial" w:hAnsi="Arial" w:cs="Arial"/>
          <w:sz w:val="22"/>
          <w:szCs w:val="22"/>
          <w:lang w:val="en-GB"/>
        </w:rPr>
        <w:t>•</w:t>
      </w:r>
      <w:r w:rsidRPr="00230579">
        <w:rPr>
          <w:rFonts w:ascii="Arial" w:hAnsi="Arial" w:cs="Arial"/>
          <w:sz w:val="22"/>
          <w:szCs w:val="22"/>
          <w:lang w:val="en-GB"/>
        </w:rPr>
        <w:tab/>
      </w:r>
      <w:r w:rsidR="00ED2D20" w:rsidRPr="00230579">
        <w:rPr>
          <w:rFonts w:ascii="Arial" w:hAnsi="Arial" w:cs="Arial"/>
          <w:sz w:val="22"/>
          <w:szCs w:val="22"/>
          <w:lang w:val="en-GB"/>
        </w:rPr>
        <w:t>A</w:t>
      </w:r>
      <w:r w:rsidRPr="00230579">
        <w:rPr>
          <w:rFonts w:ascii="Arial" w:hAnsi="Arial" w:cs="Arial"/>
          <w:sz w:val="22"/>
          <w:szCs w:val="22"/>
          <w:lang w:val="en-GB"/>
        </w:rPr>
        <w:t xml:space="preserve"> stay of execution against the debtor’s assets;</w:t>
      </w:r>
    </w:p>
    <w:p w:rsidR="00F4300F" w:rsidRPr="00230579" w:rsidRDefault="00F4300F" w:rsidP="00230579">
      <w:pPr>
        <w:rPr>
          <w:rFonts w:ascii="Arial" w:hAnsi="Arial" w:cs="Arial"/>
          <w:sz w:val="22"/>
          <w:szCs w:val="22"/>
          <w:lang w:val="en-GB"/>
        </w:rPr>
      </w:pPr>
    </w:p>
    <w:p w:rsidR="00F4300F" w:rsidRPr="00230579" w:rsidRDefault="00ED2D20" w:rsidP="00230579">
      <w:pPr>
        <w:rPr>
          <w:rFonts w:ascii="Arial" w:hAnsi="Arial" w:cs="Arial"/>
          <w:sz w:val="22"/>
          <w:szCs w:val="22"/>
          <w:lang w:val="en-GB"/>
        </w:rPr>
      </w:pPr>
      <w:r w:rsidRPr="00230579">
        <w:rPr>
          <w:rFonts w:ascii="Arial" w:hAnsi="Arial" w:cs="Arial"/>
          <w:sz w:val="22"/>
          <w:szCs w:val="22"/>
          <w:lang w:val="en-GB"/>
        </w:rPr>
        <w:t>•</w:t>
      </w:r>
      <w:r w:rsidRPr="00230579">
        <w:rPr>
          <w:rFonts w:ascii="Arial" w:hAnsi="Arial" w:cs="Arial"/>
          <w:sz w:val="22"/>
          <w:szCs w:val="22"/>
          <w:lang w:val="en-GB"/>
        </w:rPr>
        <w:tab/>
        <w:t>E</w:t>
      </w:r>
      <w:r w:rsidR="00F4300F" w:rsidRPr="00230579">
        <w:rPr>
          <w:rFonts w:ascii="Arial" w:hAnsi="Arial" w:cs="Arial"/>
          <w:sz w:val="22"/>
          <w:szCs w:val="22"/>
          <w:lang w:val="en-GB"/>
        </w:rPr>
        <w:t>ntrusting the administration or realisation of all or part of the debtor’s assets located in the enacting State to the foreign representative or another person designated by the court, in order to protect and preserve the value of assets that, by their nature or because of other circumstances, are perishable, susceptible to devaluation or otherwise in jeopardy;</w:t>
      </w:r>
    </w:p>
    <w:p w:rsidR="007D7C92" w:rsidRPr="009B5832" w:rsidRDefault="007D7C92" w:rsidP="00707FC8">
      <w:pPr>
        <w:ind w:left="720" w:hanging="720"/>
        <w:jc w:val="both"/>
        <w:rPr>
          <w:rFonts w:ascii="Arial" w:hAnsi="Arial" w:cs="Arial"/>
          <w:sz w:val="22"/>
          <w:szCs w:val="22"/>
          <w:lang w:val="en-GB"/>
        </w:rPr>
      </w:pPr>
    </w:p>
    <w:p w:rsidR="00D17FDC" w:rsidRPr="009B5832" w:rsidRDefault="00D17FDC" w:rsidP="00707FC8">
      <w:pPr>
        <w:ind w:left="720" w:hanging="720"/>
        <w:jc w:val="both"/>
        <w:rPr>
          <w:rFonts w:ascii="Arial" w:hAnsi="Arial" w:cs="Arial"/>
          <w:sz w:val="22"/>
          <w:szCs w:val="22"/>
          <w:lang w:val="en-GB"/>
        </w:rPr>
      </w:pPr>
    </w:p>
    <w:p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rsidR="000077DD" w:rsidRPr="009B5832" w:rsidRDefault="000077DD" w:rsidP="000077DD">
      <w:pPr>
        <w:rPr>
          <w:rFonts w:ascii="Arial" w:hAnsi="Arial" w:cs="Arial"/>
          <w:b/>
          <w:bCs/>
          <w:sz w:val="22"/>
          <w:szCs w:val="22"/>
          <w:lang w:val="en-GB"/>
        </w:rPr>
      </w:pPr>
    </w:p>
    <w:p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rsidR="00980314" w:rsidRPr="009B5832" w:rsidRDefault="00980314" w:rsidP="000077DD">
      <w:pPr>
        <w:jc w:val="both"/>
        <w:rPr>
          <w:rFonts w:ascii="Arial" w:hAnsi="Arial" w:cs="Arial"/>
          <w:sz w:val="22"/>
          <w:szCs w:val="22"/>
          <w:lang w:val="en-GB"/>
        </w:rPr>
      </w:pPr>
    </w:p>
    <w:p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rsidR="00980314" w:rsidRPr="009B5832" w:rsidRDefault="00980314" w:rsidP="000077DD">
      <w:pPr>
        <w:jc w:val="both"/>
        <w:rPr>
          <w:rFonts w:ascii="Arial" w:hAnsi="Arial" w:cs="Arial"/>
          <w:sz w:val="22"/>
          <w:szCs w:val="22"/>
          <w:lang w:val="en-GB"/>
        </w:rPr>
      </w:pPr>
    </w:p>
    <w:p w:rsidR="000077DD" w:rsidRPr="009B5832" w:rsidRDefault="000077DD" w:rsidP="00707FC8">
      <w:pPr>
        <w:ind w:left="720" w:hanging="720"/>
        <w:jc w:val="both"/>
        <w:rPr>
          <w:rFonts w:ascii="Arial" w:hAnsi="Arial" w:cs="Arial"/>
          <w:sz w:val="22"/>
          <w:szCs w:val="22"/>
          <w:lang w:val="en-GB"/>
        </w:rPr>
      </w:pPr>
    </w:p>
    <w:p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rsidR="009B0723" w:rsidRPr="009B5832" w:rsidRDefault="009B0723" w:rsidP="00707FC8">
      <w:pPr>
        <w:ind w:left="720" w:hanging="720"/>
        <w:jc w:val="both"/>
        <w:rPr>
          <w:rFonts w:ascii="Arial" w:hAnsi="Arial" w:cs="Arial"/>
          <w:sz w:val="22"/>
          <w:szCs w:val="22"/>
          <w:lang w:val="en-GB"/>
        </w:rPr>
      </w:pPr>
    </w:p>
    <w:p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rsidR="007C3FE5" w:rsidRPr="009B5832" w:rsidRDefault="007C3FE5" w:rsidP="007C3FE5">
      <w:pPr>
        <w:jc w:val="both"/>
        <w:rPr>
          <w:rFonts w:ascii="Arial" w:hAnsi="Arial" w:cs="Arial"/>
          <w:color w:val="000000"/>
          <w:sz w:val="22"/>
          <w:szCs w:val="22"/>
          <w:lang w:val="en-GB" w:eastAsia="en-GB"/>
        </w:rPr>
      </w:pPr>
    </w:p>
    <w:p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2" w:name="para24"/>
      <w:bookmarkEnd w:id="11"/>
    </w:p>
    <w:p w:rsidR="007C3FE5" w:rsidRPr="009B5832" w:rsidRDefault="007C3FE5" w:rsidP="007C3FE5">
      <w:pPr>
        <w:jc w:val="both"/>
        <w:rPr>
          <w:rFonts w:ascii="Arial" w:hAnsi="Arial" w:cs="Arial"/>
          <w:color w:val="000000"/>
          <w:sz w:val="22"/>
          <w:szCs w:val="22"/>
          <w:lang w:val="en-GB" w:eastAsia="en-GB"/>
        </w:rPr>
      </w:pPr>
    </w:p>
    <w:p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rsidR="007C3FE5" w:rsidRPr="009B5832" w:rsidRDefault="007C3FE5" w:rsidP="007C3FE5">
      <w:pPr>
        <w:jc w:val="both"/>
        <w:rPr>
          <w:rFonts w:ascii="Arial" w:hAnsi="Arial" w:cs="Arial"/>
          <w:color w:val="000000"/>
          <w:sz w:val="22"/>
          <w:szCs w:val="22"/>
          <w:lang w:val="en-GB" w:eastAsia="en-GB"/>
        </w:rPr>
      </w:pPr>
    </w:p>
    <w:p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3"/>
    </w:p>
    <w:p w:rsidR="007C3FE5" w:rsidRPr="009B5832" w:rsidRDefault="007C3FE5" w:rsidP="007C3FE5">
      <w:pPr>
        <w:jc w:val="both"/>
        <w:rPr>
          <w:rFonts w:ascii="Arial" w:hAnsi="Arial" w:cs="Arial"/>
          <w:color w:val="000000"/>
          <w:sz w:val="22"/>
          <w:szCs w:val="22"/>
          <w:lang w:val="en-GB" w:eastAsia="en-GB"/>
        </w:rPr>
      </w:pPr>
    </w:p>
    <w:p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rsidR="00860E61" w:rsidRPr="009B5832" w:rsidRDefault="00860E61" w:rsidP="00860E61">
      <w:pPr>
        <w:jc w:val="both"/>
        <w:rPr>
          <w:rFonts w:ascii="Arial" w:hAnsi="Arial" w:cs="Arial"/>
          <w:color w:val="000000"/>
          <w:sz w:val="22"/>
          <w:szCs w:val="22"/>
          <w:lang w:val="en-GB" w:eastAsia="en-GB"/>
        </w:rPr>
      </w:pPr>
      <w:bookmarkStart w:id="14" w:name="para26"/>
    </w:p>
    <w:p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rsidR="00860E61" w:rsidRPr="009B5832" w:rsidRDefault="00860E61" w:rsidP="00860E61">
      <w:pPr>
        <w:jc w:val="both"/>
        <w:rPr>
          <w:rFonts w:ascii="Arial" w:hAnsi="Arial" w:cs="Arial"/>
          <w:color w:val="000000"/>
          <w:sz w:val="22"/>
          <w:szCs w:val="22"/>
          <w:lang w:val="en-GB" w:eastAsia="en-GB"/>
        </w:rPr>
      </w:pPr>
    </w:p>
    <w:p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rsidR="00860E61" w:rsidRPr="009B5832" w:rsidRDefault="00860E61" w:rsidP="00860E61">
      <w:pPr>
        <w:jc w:val="both"/>
        <w:rPr>
          <w:rFonts w:ascii="Arial" w:hAnsi="Arial" w:cs="Arial"/>
          <w:color w:val="000000"/>
          <w:sz w:val="22"/>
          <w:szCs w:val="22"/>
          <w:lang w:val="en-GB" w:eastAsia="en-GB"/>
        </w:rPr>
      </w:pPr>
    </w:p>
    <w:p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rsidR="00860E61" w:rsidRPr="009B5832" w:rsidRDefault="00860E61" w:rsidP="00860E61">
      <w:pPr>
        <w:jc w:val="both"/>
        <w:rPr>
          <w:rFonts w:ascii="Arial" w:hAnsi="Arial" w:cs="Arial"/>
          <w:color w:val="000000"/>
          <w:sz w:val="22"/>
          <w:szCs w:val="22"/>
          <w:lang w:val="en-GB" w:eastAsia="en-GB"/>
        </w:rPr>
      </w:pPr>
    </w:p>
    <w:p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rsidR="00860E61" w:rsidRPr="009B5832" w:rsidRDefault="00860E61" w:rsidP="00860E61">
      <w:pPr>
        <w:jc w:val="both"/>
        <w:rPr>
          <w:rFonts w:ascii="Arial" w:hAnsi="Arial" w:cs="Arial"/>
          <w:color w:val="000000"/>
          <w:sz w:val="22"/>
          <w:szCs w:val="22"/>
          <w:lang w:val="en-GB" w:eastAsia="en-GB"/>
        </w:rPr>
      </w:pPr>
    </w:p>
    <w:p w:rsidR="008A7470" w:rsidRPr="009B5832" w:rsidRDefault="00230579"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w:t>
      </w:r>
      <w:r w:rsidR="008A7470" w:rsidRPr="009B5832">
        <w:rPr>
          <w:rFonts w:ascii="Arial" w:hAnsi="Arial" w:cs="Arial"/>
          <w:color w:val="000000"/>
          <w:sz w:val="22"/>
          <w:szCs w:val="22"/>
          <w:lang w:val="en-GB" w:eastAsia="en-GB"/>
        </w:rPr>
        <w:t xml:space="preserve"> bank, having been declared as troubled, then fails to comply with an order or decision of the NB and/or a request by the NB to remedy violations of the banking law.</w:t>
      </w:r>
    </w:p>
    <w:p w:rsidR="00860E61" w:rsidRPr="009B5832" w:rsidRDefault="00860E61" w:rsidP="00860E61">
      <w:pPr>
        <w:jc w:val="both"/>
        <w:rPr>
          <w:rFonts w:ascii="Arial" w:hAnsi="Arial" w:cs="Arial"/>
          <w:color w:val="000000"/>
          <w:sz w:val="22"/>
          <w:szCs w:val="22"/>
          <w:lang w:val="en-GB" w:eastAsia="en-GB"/>
        </w:rPr>
      </w:pPr>
    </w:p>
    <w:p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7"/>
    </w:p>
    <w:p w:rsidR="00860E61" w:rsidRPr="009B5832" w:rsidRDefault="00860E61" w:rsidP="00860E61">
      <w:pPr>
        <w:jc w:val="both"/>
        <w:rPr>
          <w:rFonts w:ascii="Arial" w:hAnsi="Arial" w:cs="Arial"/>
          <w:color w:val="000000"/>
          <w:sz w:val="22"/>
          <w:szCs w:val="22"/>
          <w:lang w:val="en-GB" w:eastAsia="en-GB"/>
        </w:rPr>
      </w:pPr>
    </w:p>
    <w:p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9" w:name="para31"/>
      <w:bookmarkEnd w:id="18"/>
    </w:p>
    <w:p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rsidR="008A7470" w:rsidRPr="009B5832" w:rsidRDefault="00230579"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w:t>
      </w:r>
      <w:r w:rsidR="008A7470" w:rsidRPr="009B5832">
        <w:rPr>
          <w:rFonts w:ascii="Arial" w:hAnsi="Arial" w:cs="Arial"/>
          <w:color w:val="000000"/>
          <w:sz w:val="22"/>
          <w:szCs w:val="22"/>
          <w:lang w:val="en-GB" w:eastAsia="en-GB"/>
        </w:rPr>
        <w:t xml:space="preserve"> DGF (acting via an authorised officer) begins the process of directly administering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management.</w:t>
      </w:r>
    </w:p>
    <w:p w:rsidR="0066252C" w:rsidRPr="009B5832" w:rsidRDefault="0066252C" w:rsidP="0066252C">
      <w:pPr>
        <w:jc w:val="both"/>
        <w:rPr>
          <w:rFonts w:ascii="Arial" w:hAnsi="Arial" w:cs="Arial"/>
          <w:color w:val="000000"/>
          <w:sz w:val="22"/>
          <w:szCs w:val="22"/>
          <w:lang w:val="en-GB" w:eastAsia="en-GB"/>
        </w:rPr>
      </w:pPr>
    </w:p>
    <w:p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rsidR="006A3DF0" w:rsidRPr="009B5832" w:rsidRDefault="006A3DF0" w:rsidP="006A3DF0">
      <w:pPr>
        <w:jc w:val="both"/>
        <w:rPr>
          <w:rFonts w:ascii="Arial" w:hAnsi="Arial" w:cs="Arial"/>
          <w:color w:val="000000"/>
          <w:sz w:val="22"/>
          <w:szCs w:val="22"/>
          <w:lang w:val="en-GB" w:eastAsia="en-GB"/>
        </w:rPr>
      </w:pPr>
    </w:p>
    <w:p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rsidR="0040710D" w:rsidRPr="009B5832" w:rsidRDefault="0040710D" w:rsidP="0040710D">
      <w:pPr>
        <w:jc w:val="both"/>
        <w:rPr>
          <w:rFonts w:ascii="Arial" w:hAnsi="Arial" w:cs="Arial"/>
          <w:color w:val="000000"/>
          <w:sz w:val="22"/>
          <w:szCs w:val="22"/>
          <w:lang w:val="en-GB" w:eastAsia="en-GB"/>
        </w:rPr>
      </w:pPr>
      <w:bookmarkStart w:id="20" w:name="para32"/>
    </w:p>
    <w:p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rsidR="0040710D" w:rsidRPr="009B5832" w:rsidRDefault="0040710D" w:rsidP="0040710D">
      <w:pPr>
        <w:jc w:val="both"/>
        <w:rPr>
          <w:rFonts w:ascii="Arial" w:hAnsi="Arial" w:cs="Arial"/>
          <w:color w:val="000000"/>
          <w:sz w:val="22"/>
          <w:szCs w:val="22"/>
          <w:lang w:val="en-GB" w:eastAsia="en-GB"/>
        </w:rPr>
      </w:pPr>
    </w:p>
    <w:p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rsidR="0040710D" w:rsidRPr="009B5832" w:rsidRDefault="0040710D" w:rsidP="0040710D">
      <w:pPr>
        <w:jc w:val="both"/>
        <w:rPr>
          <w:rFonts w:ascii="Arial" w:hAnsi="Arial" w:cs="Arial"/>
          <w:color w:val="000000"/>
          <w:sz w:val="22"/>
          <w:szCs w:val="22"/>
          <w:lang w:val="en-GB" w:eastAsia="en-GB"/>
        </w:rPr>
      </w:pPr>
    </w:p>
    <w:p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rsidR="0040710D" w:rsidRPr="009B5832" w:rsidRDefault="0040710D" w:rsidP="0040710D">
      <w:pPr>
        <w:jc w:val="both"/>
        <w:rPr>
          <w:rFonts w:ascii="Arial" w:hAnsi="Arial" w:cs="Arial"/>
          <w:color w:val="000000"/>
          <w:sz w:val="22"/>
          <w:szCs w:val="22"/>
          <w:lang w:val="en-GB" w:eastAsia="en-GB"/>
        </w:rPr>
      </w:pPr>
    </w:p>
    <w:p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rsidR="0040710D" w:rsidRPr="009B5832" w:rsidRDefault="0040710D" w:rsidP="0040710D">
      <w:pPr>
        <w:jc w:val="both"/>
        <w:rPr>
          <w:rFonts w:ascii="Arial" w:hAnsi="Arial" w:cs="Arial"/>
          <w:color w:val="000000"/>
          <w:sz w:val="22"/>
          <w:szCs w:val="22"/>
          <w:lang w:val="en-GB" w:eastAsia="en-GB"/>
        </w:rPr>
      </w:pPr>
    </w:p>
    <w:p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rsidR="006B4FFC" w:rsidRPr="009B5832" w:rsidRDefault="006B4FFC" w:rsidP="0040710D">
      <w:pPr>
        <w:ind w:left="426"/>
        <w:jc w:val="both"/>
        <w:rPr>
          <w:rFonts w:ascii="Arial" w:hAnsi="Arial" w:cs="Arial"/>
          <w:color w:val="000000"/>
          <w:sz w:val="22"/>
          <w:szCs w:val="22"/>
          <w:lang w:val="en-GB" w:eastAsia="en-GB"/>
        </w:rPr>
      </w:pPr>
    </w:p>
    <w:p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rsidR="006B4FFC" w:rsidRPr="009B5832" w:rsidRDefault="006B4FFC" w:rsidP="0040710D">
      <w:pPr>
        <w:ind w:left="426"/>
        <w:jc w:val="both"/>
        <w:rPr>
          <w:rFonts w:ascii="Arial" w:hAnsi="Arial" w:cs="Arial"/>
          <w:color w:val="000000"/>
          <w:sz w:val="22"/>
          <w:szCs w:val="22"/>
          <w:lang w:val="en-GB" w:eastAsia="en-GB"/>
        </w:rPr>
      </w:pPr>
    </w:p>
    <w:p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rsidR="006B4FFC" w:rsidRPr="009B5832" w:rsidRDefault="006B4FFC" w:rsidP="0040710D">
      <w:pPr>
        <w:ind w:left="426"/>
        <w:jc w:val="both"/>
        <w:rPr>
          <w:rFonts w:ascii="Arial" w:hAnsi="Arial" w:cs="Arial"/>
          <w:color w:val="000000"/>
          <w:sz w:val="22"/>
          <w:szCs w:val="22"/>
          <w:lang w:val="en-GB" w:eastAsia="en-GB"/>
        </w:rPr>
      </w:pPr>
    </w:p>
    <w:p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rsidR="006B4FFC" w:rsidRPr="009B5832" w:rsidRDefault="006B4FFC" w:rsidP="0040710D">
      <w:pPr>
        <w:ind w:left="426"/>
        <w:jc w:val="both"/>
        <w:rPr>
          <w:rFonts w:ascii="Arial" w:hAnsi="Arial" w:cs="Arial"/>
          <w:color w:val="000000"/>
          <w:sz w:val="22"/>
          <w:szCs w:val="22"/>
          <w:lang w:val="en-GB" w:eastAsia="en-GB"/>
        </w:rPr>
      </w:pPr>
    </w:p>
    <w:p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rsidR="006B4FFC" w:rsidRPr="009B5832" w:rsidRDefault="006B4FFC" w:rsidP="0040710D">
      <w:pPr>
        <w:ind w:left="426"/>
        <w:jc w:val="both"/>
        <w:rPr>
          <w:rFonts w:ascii="Arial" w:hAnsi="Arial" w:cs="Arial"/>
          <w:color w:val="000000"/>
          <w:sz w:val="22"/>
          <w:szCs w:val="22"/>
          <w:lang w:val="en-GB" w:eastAsia="en-GB"/>
        </w:rPr>
      </w:pPr>
    </w:p>
    <w:p w:rsidR="008A7470" w:rsidRPr="009B5832" w:rsidRDefault="00230579"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w:t>
      </w:r>
      <w:r w:rsidR="008A7470"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w:t>
      </w:r>
    </w:p>
    <w:p w:rsidR="006B4FFC" w:rsidRPr="009B5832" w:rsidRDefault="006B4FFC" w:rsidP="006B4FFC">
      <w:pPr>
        <w:jc w:val="both"/>
        <w:rPr>
          <w:rFonts w:ascii="Arial" w:hAnsi="Arial" w:cs="Arial"/>
          <w:color w:val="000000"/>
          <w:sz w:val="22"/>
          <w:szCs w:val="22"/>
          <w:lang w:val="en-GB" w:eastAsia="en-GB"/>
        </w:rPr>
      </w:pPr>
    </w:p>
    <w:p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rsidR="006B4FFC" w:rsidRPr="009B5832" w:rsidRDefault="006B4FFC" w:rsidP="006B4FFC">
      <w:pPr>
        <w:jc w:val="both"/>
        <w:rPr>
          <w:rFonts w:ascii="Arial" w:hAnsi="Arial" w:cs="Arial"/>
          <w:color w:val="000000"/>
          <w:sz w:val="22"/>
          <w:szCs w:val="22"/>
          <w:lang w:val="en-GB" w:eastAsia="en-GB"/>
        </w:rPr>
      </w:pPr>
    </w:p>
    <w:p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w:t>
      </w:r>
      <w:r w:rsidR="00230579" w:rsidRPr="009B5832">
        <w:rPr>
          <w:rFonts w:ascii="Arial" w:hAnsi="Arial" w:cs="Arial"/>
          <w:color w:val="000000"/>
          <w:sz w:val="22"/>
          <w:szCs w:val="22"/>
          <w:lang w:val="en-GB" w:eastAsia="en-GB"/>
        </w:rPr>
        <w:t>) (</w:t>
      </w:r>
      <w:r w:rsidRPr="009B5832">
        <w:rPr>
          <w:rFonts w:ascii="Arial" w:hAnsi="Arial" w:cs="Arial"/>
          <w:color w:val="000000"/>
          <w:sz w:val="22"/>
          <w:szCs w:val="22"/>
          <w:lang w:val="en-GB" w:eastAsia="en-GB"/>
        </w:rPr>
        <w:t xml:space="preserve">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rsidR="006B4FFC" w:rsidRPr="009B5832" w:rsidRDefault="006B4FFC" w:rsidP="006B4FFC">
      <w:pPr>
        <w:jc w:val="both"/>
        <w:rPr>
          <w:rFonts w:ascii="Arial" w:hAnsi="Arial" w:cs="Arial"/>
          <w:color w:val="000000"/>
          <w:sz w:val="22"/>
          <w:szCs w:val="22"/>
          <w:lang w:val="en-GB" w:eastAsia="en-GB"/>
        </w:rPr>
      </w:pPr>
    </w:p>
    <w:p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rsidR="006B4FFC" w:rsidRPr="009B5832" w:rsidRDefault="006B4FFC" w:rsidP="006B4FFC">
      <w:pPr>
        <w:jc w:val="both"/>
        <w:rPr>
          <w:rFonts w:ascii="Arial" w:hAnsi="Arial" w:cs="Arial"/>
          <w:color w:val="000000"/>
          <w:sz w:val="22"/>
          <w:szCs w:val="22"/>
          <w:lang w:val="en-GB" w:eastAsia="en-GB"/>
        </w:rPr>
      </w:pPr>
    </w:p>
    <w:p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rsidR="006B4FFC" w:rsidRPr="009B5832" w:rsidRDefault="006B4FFC" w:rsidP="006B4FFC">
      <w:pPr>
        <w:jc w:val="both"/>
        <w:rPr>
          <w:rFonts w:ascii="Arial" w:hAnsi="Arial" w:cs="Arial"/>
          <w:color w:val="000000"/>
          <w:sz w:val="22"/>
          <w:szCs w:val="22"/>
          <w:lang w:val="en-GB" w:eastAsia="en-GB"/>
        </w:rPr>
      </w:pPr>
    </w:p>
    <w:p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rsidR="00424D07" w:rsidRPr="009B5832" w:rsidRDefault="00424D07" w:rsidP="006B4FFC">
      <w:pPr>
        <w:jc w:val="both"/>
        <w:rPr>
          <w:rFonts w:ascii="Arial" w:hAnsi="Arial" w:cs="Arial"/>
          <w:color w:val="000000"/>
          <w:sz w:val="22"/>
          <w:szCs w:val="22"/>
          <w:lang w:val="en-GB" w:eastAsia="en-GB"/>
        </w:rPr>
      </w:pPr>
    </w:p>
    <w:p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rsidR="0040710D" w:rsidRPr="009B5832" w:rsidRDefault="0040710D" w:rsidP="0040710D">
      <w:pPr>
        <w:jc w:val="both"/>
        <w:rPr>
          <w:rFonts w:ascii="Arial" w:hAnsi="Arial" w:cs="Arial"/>
          <w:color w:val="000000"/>
          <w:sz w:val="22"/>
          <w:szCs w:val="22"/>
          <w:lang w:val="en-GB" w:eastAsia="en-GB"/>
        </w:rPr>
      </w:pPr>
      <w:bookmarkStart w:id="26" w:name="para37"/>
    </w:p>
    <w:p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rsidR="0040710D" w:rsidRPr="009B5832" w:rsidRDefault="0040710D" w:rsidP="0040710D">
      <w:pPr>
        <w:jc w:val="both"/>
        <w:rPr>
          <w:rFonts w:ascii="Arial" w:hAnsi="Arial" w:cs="Arial"/>
          <w:color w:val="000000"/>
          <w:sz w:val="22"/>
          <w:szCs w:val="22"/>
          <w:lang w:val="en-GB" w:eastAsia="en-GB"/>
        </w:rPr>
      </w:pPr>
    </w:p>
    <w:p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rsidR="0040710D" w:rsidRPr="009B5832" w:rsidRDefault="0040710D" w:rsidP="0040710D">
      <w:pPr>
        <w:jc w:val="both"/>
        <w:rPr>
          <w:rFonts w:ascii="Arial" w:hAnsi="Arial" w:cs="Arial"/>
          <w:color w:val="000000"/>
          <w:sz w:val="22"/>
          <w:szCs w:val="22"/>
          <w:lang w:val="en-GB" w:eastAsia="en-GB"/>
        </w:rPr>
      </w:pPr>
      <w:bookmarkStart w:id="27" w:name="para38"/>
    </w:p>
    <w:p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rsidR="0040710D" w:rsidRPr="009B5832" w:rsidRDefault="0040710D" w:rsidP="0040710D">
      <w:pPr>
        <w:jc w:val="both"/>
        <w:rPr>
          <w:rFonts w:ascii="Arial" w:hAnsi="Arial" w:cs="Arial"/>
          <w:color w:val="000000"/>
          <w:sz w:val="22"/>
          <w:szCs w:val="22"/>
          <w:lang w:val="en-GB" w:eastAsia="en-GB"/>
        </w:rPr>
      </w:pPr>
    </w:p>
    <w:p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rsidR="0040710D" w:rsidRPr="009B5832" w:rsidRDefault="0040710D" w:rsidP="0040710D">
      <w:pPr>
        <w:jc w:val="both"/>
        <w:rPr>
          <w:rFonts w:ascii="Arial" w:hAnsi="Arial" w:cs="Arial"/>
          <w:color w:val="000000"/>
          <w:sz w:val="22"/>
          <w:szCs w:val="22"/>
          <w:lang w:val="en-GB" w:eastAsia="en-GB"/>
        </w:rPr>
      </w:pPr>
    </w:p>
    <w:p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rsidR="0040710D" w:rsidRPr="009B5832" w:rsidRDefault="0040710D" w:rsidP="0040710D">
      <w:pPr>
        <w:jc w:val="both"/>
        <w:rPr>
          <w:rFonts w:ascii="Arial" w:hAnsi="Arial" w:cs="Arial"/>
          <w:color w:val="000000"/>
          <w:sz w:val="22"/>
          <w:szCs w:val="22"/>
          <w:lang w:val="en-GB" w:eastAsia="en-GB"/>
        </w:rPr>
      </w:pPr>
    </w:p>
    <w:p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rsidR="0040710D" w:rsidRPr="009B5832" w:rsidRDefault="0040710D" w:rsidP="0040710D">
      <w:pPr>
        <w:jc w:val="both"/>
        <w:rPr>
          <w:rFonts w:ascii="Arial" w:hAnsi="Arial" w:cs="Arial"/>
          <w:color w:val="000000"/>
          <w:sz w:val="22"/>
          <w:szCs w:val="22"/>
          <w:lang w:val="en-GB" w:eastAsia="en-GB"/>
        </w:rPr>
      </w:pPr>
    </w:p>
    <w:p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rsidR="0040710D" w:rsidRPr="009B5832" w:rsidRDefault="0040710D" w:rsidP="0040710D">
      <w:pPr>
        <w:jc w:val="both"/>
        <w:rPr>
          <w:rFonts w:ascii="Arial" w:hAnsi="Arial" w:cs="Arial"/>
          <w:color w:val="000000"/>
          <w:sz w:val="22"/>
          <w:szCs w:val="22"/>
          <w:lang w:val="en-GB" w:eastAsia="en-GB"/>
        </w:rPr>
      </w:pPr>
    </w:p>
    <w:p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rsidR="00424D07" w:rsidRPr="009B5832" w:rsidRDefault="00424D07" w:rsidP="00424D07">
      <w:pPr>
        <w:jc w:val="both"/>
        <w:rPr>
          <w:rFonts w:ascii="Arial" w:hAnsi="Arial" w:cs="Arial"/>
          <w:color w:val="000000"/>
          <w:sz w:val="22"/>
          <w:szCs w:val="22"/>
          <w:lang w:val="en-GB" w:eastAsia="en-GB"/>
        </w:rPr>
      </w:pPr>
    </w:p>
    <w:p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rsidR="00424D07" w:rsidRPr="009B5832" w:rsidRDefault="00424D07" w:rsidP="00424D07">
      <w:pPr>
        <w:jc w:val="both"/>
        <w:rPr>
          <w:rFonts w:ascii="Arial" w:hAnsi="Arial" w:cs="Arial"/>
          <w:color w:val="000000"/>
          <w:sz w:val="22"/>
          <w:szCs w:val="22"/>
          <w:lang w:val="en-GB" w:eastAsia="en-GB"/>
        </w:rPr>
      </w:pPr>
    </w:p>
    <w:p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rsidR="00424D07" w:rsidRPr="009B5832" w:rsidRDefault="00424D07" w:rsidP="00424D07">
      <w:pPr>
        <w:jc w:val="both"/>
        <w:rPr>
          <w:rFonts w:ascii="Arial" w:hAnsi="Arial" w:cs="Arial"/>
          <w:color w:val="000000"/>
          <w:sz w:val="22"/>
          <w:szCs w:val="22"/>
          <w:lang w:val="en-GB" w:eastAsia="en-GB"/>
        </w:rPr>
      </w:pPr>
    </w:p>
    <w:p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rsidR="00424D07" w:rsidRPr="009B5832" w:rsidRDefault="00424D07" w:rsidP="00424D07">
      <w:pPr>
        <w:jc w:val="both"/>
        <w:rPr>
          <w:rFonts w:ascii="Arial" w:hAnsi="Arial" w:cs="Arial"/>
          <w:color w:val="000000"/>
          <w:sz w:val="22"/>
          <w:szCs w:val="22"/>
          <w:lang w:val="en-GB" w:eastAsia="en-GB"/>
        </w:rPr>
      </w:pPr>
    </w:p>
    <w:p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rsidR="00424D07" w:rsidRPr="009B5832" w:rsidRDefault="00424D07" w:rsidP="00424D07">
      <w:pPr>
        <w:jc w:val="both"/>
        <w:rPr>
          <w:rFonts w:ascii="Arial" w:hAnsi="Arial" w:cs="Arial"/>
          <w:color w:val="000000"/>
          <w:sz w:val="22"/>
          <w:szCs w:val="22"/>
          <w:lang w:val="en-GB" w:eastAsia="en-GB"/>
        </w:rPr>
      </w:pPr>
    </w:p>
    <w:p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rsidR="0056535A" w:rsidRPr="009B5832" w:rsidRDefault="0056535A" w:rsidP="008A7470">
      <w:pPr>
        <w:jc w:val="both"/>
        <w:rPr>
          <w:rFonts w:ascii="Arial" w:hAnsi="Arial" w:cs="Arial"/>
          <w:sz w:val="22"/>
          <w:szCs w:val="22"/>
          <w:lang w:val="en-GB"/>
        </w:rPr>
      </w:pPr>
    </w:p>
    <w:p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rsidR="0020264E" w:rsidRPr="009B5832" w:rsidRDefault="0020264E" w:rsidP="008A7470">
      <w:pPr>
        <w:jc w:val="both"/>
        <w:rPr>
          <w:rFonts w:ascii="Arial" w:hAnsi="Arial" w:cs="Arial"/>
          <w:color w:val="000000"/>
          <w:sz w:val="22"/>
          <w:szCs w:val="22"/>
          <w:lang w:val="en-GB" w:eastAsia="en-GB"/>
        </w:rPr>
      </w:pPr>
    </w:p>
    <w:p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rsidR="00957951" w:rsidRPr="009B5832" w:rsidRDefault="00957951" w:rsidP="008A7470">
      <w:pPr>
        <w:jc w:val="both"/>
        <w:rPr>
          <w:rFonts w:ascii="Arial" w:hAnsi="Arial" w:cs="Arial"/>
          <w:color w:val="000000"/>
          <w:sz w:val="22"/>
          <w:szCs w:val="22"/>
          <w:lang w:val="en-GB" w:eastAsia="en-GB"/>
        </w:rPr>
      </w:pPr>
    </w:p>
    <w:p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230579" w:rsidRPr="009B5832">
        <w:rPr>
          <w:rFonts w:ascii="Arial" w:hAnsi="Arial" w:cs="Arial"/>
          <w:color w:val="000000"/>
          <w:sz w:val="22"/>
          <w:szCs w:val="22"/>
          <w:lang w:val="en-GB" w:eastAsia="en-GB"/>
        </w:rPr>
        <w:t>Whether</w:t>
      </w:r>
      <w:r w:rsidR="008A7470" w:rsidRPr="009B5832">
        <w:rPr>
          <w:rFonts w:ascii="Arial" w:hAnsi="Arial" w:cs="Arial"/>
          <w:color w:val="000000"/>
          <w:sz w:val="22"/>
          <w:szCs w:val="22"/>
          <w:lang w:val="en-GB" w:eastAsia="en-GB"/>
        </w:rPr>
        <w:t xml:space="preserve">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rsidR="00957951" w:rsidRPr="009B5832" w:rsidRDefault="00957951" w:rsidP="00957951">
      <w:pPr>
        <w:ind w:left="720" w:hanging="720"/>
        <w:jc w:val="both"/>
        <w:rPr>
          <w:rFonts w:ascii="Arial" w:hAnsi="Arial" w:cs="Arial"/>
          <w:color w:val="000000"/>
          <w:sz w:val="22"/>
          <w:szCs w:val="22"/>
          <w:lang w:val="en-GB" w:eastAsia="en-GB"/>
        </w:rPr>
      </w:pPr>
    </w:p>
    <w:p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230579" w:rsidRPr="009B5832">
        <w:rPr>
          <w:rFonts w:ascii="Arial" w:hAnsi="Arial" w:cs="Arial"/>
          <w:color w:val="000000"/>
          <w:sz w:val="22"/>
          <w:szCs w:val="22"/>
          <w:lang w:val="en-GB" w:eastAsia="en-GB"/>
        </w:rPr>
        <w:t>Whether</w:t>
      </w:r>
      <w:r w:rsidR="008A7470" w:rsidRPr="009B5832">
        <w:rPr>
          <w:rFonts w:ascii="Arial" w:hAnsi="Arial" w:cs="Arial"/>
          <w:color w:val="000000"/>
          <w:sz w:val="22"/>
          <w:szCs w:val="22"/>
          <w:lang w:val="en-GB" w:eastAsia="en-GB"/>
        </w:rPr>
        <w:t xml:space="preserve">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rsidR="00957951" w:rsidRPr="009B5832" w:rsidRDefault="00957951" w:rsidP="00957951">
      <w:pPr>
        <w:ind w:left="720" w:hanging="720"/>
        <w:jc w:val="both"/>
        <w:rPr>
          <w:rFonts w:ascii="Arial" w:hAnsi="Arial" w:cs="Arial"/>
          <w:sz w:val="22"/>
          <w:szCs w:val="22"/>
          <w:lang w:val="en-GB"/>
        </w:rPr>
      </w:pPr>
    </w:p>
    <w:p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rsidR="009634F7" w:rsidRDefault="009634F7" w:rsidP="008A7470">
      <w:pPr>
        <w:jc w:val="both"/>
        <w:rPr>
          <w:rFonts w:ascii="Arial" w:hAnsi="Arial" w:cs="Arial"/>
          <w:sz w:val="22"/>
          <w:szCs w:val="22"/>
          <w:lang w:val="en-GB"/>
        </w:rPr>
      </w:pPr>
    </w:p>
    <w:p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rsidR="00A153F7" w:rsidRPr="009B5832" w:rsidRDefault="00A153F7" w:rsidP="00707FC8">
      <w:pPr>
        <w:jc w:val="both"/>
        <w:rPr>
          <w:rFonts w:ascii="Arial" w:hAnsi="Arial" w:cs="Arial"/>
          <w:sz w:val="22"/>
          <w:szCs w:val="22"/>
          <w:lang w:val="en-GB"/>
        </w:rPr>
      </w:pPr>
    </w:p>
    <w:p w:rsidR="00706AFF" w:rsidRDefault="0023057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
    <w:p w:rsidR="00946EFF" w:rsidRPr="00230579" w:rsidRDefault="00DF2B38"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[4.1.1</w:t>
      </w:r>
      <w:r w:rsidR="00946EFF" w:rsidRPr="00230579">
        <w:rPr>
          <w:rFonts w:ascii="Arial" w:hAnsi="Arial" w:cs="Arial"/>
          <w:color w:val="000000" w:themeColor="text1"/>
          <w:sz w:val="22"/>
          <w:szCs w:val="22"/>
          <w:lang w:val="en-GB"/>
        </w:rPr>
        <w:t xml:space="preserve">As per Article 2 of MLCBI, </w:t>
      </w:r>
      <w:r w:rsidR="00B912E1" w:rsidRPr="00230579">
        <w:rPr>
          <w:rFonts w:ascii="Arial" w:hAnsi="Arial" w:cs="Arial"/>
          <w:color w:val="000000" w:themeColor="text1"/>
          <w:sz w:val="22"/>
          <w:szCs w:val="22"/>
          <w:lang w:val="en-GB"/>
        </w:rPr>
        <w:t>“</w:t>
      </w:r>
      <w:r w:rsidR="00946EFF" w:rsidRPr="00230579">
        <w:rPr>
          <w:rFonts w:ascii="Arial" w:hAnsi="Arial" w:cs="Arial"/>
          <w:color w:val="000000" w:themeColor="text1"/>
          <w:sz w:val="22"/>
          <w:szCs w:val="22"/>
          <w:lang w:val="en-GB"/>
        </w:rPr>
        <w:t>Foreign proceeding</w:t>
      </w:r>
      <w:r w:rsidR="00B912E1" w:rsidRPr="00230579">
        <w:rPr>
          <w:rFonts w:ascii="Arial" w:hAnsi="Arial" w:cs="Arial"/>
          <w:color w:val="000000" w:themeColor="text1"/>
          <w:sz w:val="22"/>
          <w:szCs w:val="22"/>
          <w:lang w:val="en-GB"/>
        </w:rPr>
        <w:t>”</w:t>
      </w:r>
      <w:r w:rsidR="00946EFF" w:rsidRPr="00230579">
        <w:rPr>
          <w:rFonts w:ascii="Arial" w:hAnsi="Arial" w:cs="Arial"/>
          <w:color w:val="000000" w:themeColor="text1"/>
          <w:sz w:val="22"/>
          <w:szCs w:val="22"/>
          <w:lang w:val="en-GB"/>
        </w:rPr>
        <w:t xml:space="preserve"> has following elements,</w:t>
      </w:r>
    </w:p>
    <w:p w:rsidR="00946EFF" w:rsidRPr="00230579" w:rsidRDefault="00946EFF" w:rsidP="00946EFF">
      <w:pPr>
        <w:pStyle w:val="ListParagraph"/>
        <w:numPr>
          <w:ilvl w:val="0"/>
          <w:numId w:val="44"/>
        </w:numPr>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a proceeding (including an interim proceeding);</w:t>
      </w:r>
    </w:p>
    <w:p w:rsidR="00946EFF" w:rsidRPr="00230579" w:rsidRDefault="00946EFF" w:rsidP="00946EFF">
      <w:pPr>
        <w:pStyle w:val="ListParagraph"/>
        <w:numPr>
          <w:ilvl w:val="0"/>
          <w:numId w:val="44"/>
        </w:numPr>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that is either judicial or administrative</w:t>
      </w:r>
    </w:p>
    <w:p w:rsidR="00946EFF" w:rsidRPr="00230579" w:rsidRDefault="00946EFF" w:rsidP="00946EFF">
      <w:pPr>
        <w:pStyle w:val="ListParagraph"/>
        <w:numPr>
          <w:ilvl w:val="0"/>
          <w:numId w:val="44"/>
        </w:numPr>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that is collective in nature;</w:t>
      </w:r>
    </w:p>
    <w:p w:rsidR="00946EFF" w:rsidRPr="00230579" w:rsidRDefault="00946EFF" w:rsidP="00946EFF">
      <w:pPr>
        <w:pStyle w:val="ListParagraph"/>
        <w:numPr>
          <w:ilvl w:val="0"/>
          <w:numId w:val="44"/>
        </w:numPr>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that is in a foreign State;</w:t>
      </w:r>
    </w:p>
    <w:p w:rsidR="00946EFF" w:rsidRPr="00230579" w:rsidRDefault="00946EFF" w:rsidP="00946EFF">
      <w:pPr>
        <w:pStyle w:val="ListParagraph"/>
        <w:numPr>
          <w:ilvl w:val="0"/>
          <w:numId w:val="44"/>
        </w:numPr>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that is authorised or conducted under a law relating to insolvency;45</w:t>
      </w:r>
    </w:p>
    <w:p w:rsidR="00946EFF" w:rsidRPr="00230579" w:rsidRDefault="00946EFF" w:rsidP="00946EFF">
      <w:pPr>
        <w:pStyle w:val="ListParagraph"/>
        <w:numPr>
          <w:ilvl w:val="0"/>
          <w:numId w:val="44"/>
        </w:numPr>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in which the assets and affairs of the debtor are subject to control or supervision by a foreign court; and</w:t>
      </w:r>
    </w:p>
    <w:p w:rsidR="00946EFF" w:rsidRPr="00230579" w:rsidRDefault="00230579" w:rsidP="00946EFF">
      <w:pPr>
        <w:pStyle w:val="ListParagraph"/>
        <w:numPr>
          <w:ilvl w:val="0"/>
          <w:numId w:val="44"/>
        </w:numPr>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Which</w:t>
      </w:r>
      <w:r w:rsidR="00946EFF" w:rsidRPr="00230579">
        <w:rPr>
          <w:rFonts w:ascii="Arial" w:hAnsi="Arial" w:cs="Arial"/>
          <w:color w:val="000000" w:themeColor="text1"/>
          <w:sz w:val="22"/>
          <w:szCs w:val="22"/>
          <w:lang w:val="en-GB"/>
        </w:rPr>
        <w:t xml:space="preserve"> proceeding is for the purpose of reorganisation or liquidation.</w:t>
      </w:r>
    </w:p>
    <w:p w:rsidR="00946EFF" w:rsidRPr="00230579" w:rsidRDefault="00946EFF" w:rsidP="00946EFF">
      <w:pPr>
        <w:pStyle w:val="ListParagraph"/>
        <w:jc w:val="both"/>
        <w:rPr>
          <w:rFonts w:ascii="Arial" w:hAnsi="Arial" w:cs="Arial"/>
          <w:color w:val="000000" w:themeColor="text1"/>
          <w:sz w:val="22"/>
          <w:szCs w:val="22"/>
          <w:lang w:val="en-GB"/>
        </w:rPr>
      </w:pPr>
    </w:p>
    <w:p w:rsidR="00760795" w:rsidRPr="00230579" w:rsidRDefault="00946EFF" w:rsidP="00760795">
      <w:pPr>
        <w:pStyle w:val="ListParagraph"/>
        <w:ind w:left="-142"/>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In principle, the Model Law should apply to any proceeding that qualifies as a “foreign proceeding” within the meaning of Article 2(a) of the Model Law. However, banks and insurance companies are mentioned as examples of entities that the enacting State might decide to exclude from the Model Law, as they may require to be administered under a special regulatory regime.</w:t>
      </w:r>
      <w:r w:rsidR="00DF2B38">
        <w:rPr>
          <w:rFonts w:ascii="Arial" w:hAnsi="Arial" w:cs="Arial"/>
          <w:color w:val="000000" w:themeColor="text1"/>
          <w:sz w:val="22"/>
          <w:szCs w:val="22"/>
          <w:lang w:val="en-GB"/>
        </w:rPr>
        <w:t>]</w:t>
      </w:r>
    </w:p>
    <w:p w:rsidR="00760795" w:rsidRPr="00230579" w:rsidRDefault="00760795" w:rsidP="00760795">
      <w:pPr>
        <w:pStyle w:val="ListParagraph"/>
        <w:ind w:left="-142"/>
        <w:jc w:val="both"/>
        <w:rPr>
          <w:rFonts w:ascii="Arial" w:hAnsi="Arial" w:cs="Arial"/>
          <w:color w:val="000000" w:themeColor="text1"/>
          <w:sz w:val="22"/>
          <w:szCs w:val="22"/>
          <w:lang w:val="en-GB"/>
        </w:rPr>
      </w:pPr>
    </w:p>
    <w:p w:rsidR="00382175" w:rsidRPr="00230579" w:rsidRDefault="00382175" w:rsidP="00760795">
      <w:pPr>
        <w:pStyle w:val="ListParagraph"/>
        <w:ind w:left="-142"/>
        <w:jc w:val="both"/>
        <w:rPr>
          <w:rFonts w:ascii="Arial" w:hAnsi="Arial" w:cs="Arial"/>
          <w:color w:val="000000" w:themeColor="text1"/>
          <w:sz w:val="22"/>
          <w:szCs w:val="22"/>
          <w:lang w:val="en-GB"/>
        </w:rPr>
      </w:pPr>
    </w:p>
    <w:p w:rsidR="00382175" w:rsidRPr="00230579" w:rsidRDefault="00382175" w:rsidP="00760795">
      <w:pPr>
        <w:pStyle w:val="ListParagraph"/>
        <w:ind w:left="-142"/>
        <w:jc w:val="both"/>
        <w:rPr>
          <w:rFonts w:ascii="Arial" w:hAnsi="Arial" w:cs="Arial"/>
          <w:color w:val="000000" w:themeColor="text1"/>
          <w:sz w:val="22"/>
          <w:szCs w:val="22"/>
          <w:lang w:val="en-GB"/>
        </w:rPr>
      </w:pPr>
    </w:p>
    <w:p w:rsidR="00382175" w:rsidRPr="00230579" w:rsidRDefault="00382175" w:rsidP="00760795">
      <w:pPr>
        <w:pStyle w:val="ListParagraph"/>
        <w:ind w:left="-142"/>
        <w:jc w:val="both"/>
        <w:rPr>
          <w:rFonts w:ascii="Arial" w:hAnsi="Arial" w:cs="Arial"/>
          <w:color w:val="000000" w:themeColor="text1"/>
          <w:sz w:val="22"/>
          <w:szCs w:val="22"/>
          <w:lang w:val="en-GB"/>
        </w:rPr>
      </w:pPr>
    </w:p>
    <w:p w:rsidR="00382175" w:rsidRPr="00230579" w:rsidRDefault="00382175" w:rsidP="00760795">
      <w:pPr>
        <w:pStyle w:val="ListParagraph"/>
        <w:ind w:left="-142"/>
        <w:jc w:val="both"/>
        <w:rPr>
          <w:rFonts w:ascii="Arial" w:hAnsi="Arial" w:cs="Arial"/>
          <w:color w:val="000000" w:themeColor="text1"/>
          <w:sz w:val="22"/>
          <w:szCs w:val="22"/>
          <w:lang w:val="en-GB"/>
        </w:rPr>
      </w:pPr>
    </w:p>
    <w:p w:rsidR="00382175" w:rsidRPr="00230579" w:rsidRDefault="00382175" w:rsidP="00760795">
      <w:pPr>
        <w:pStyle w:val="ListParagraph"/>
        <w:ind w:left="-142"/>
        <w:jc w:val="both"/>
        <w:rPr>
          <w:rFonts w:ascii="Arial" w:hAnsi="Arial" w:cs="Arial"/>
          <w:color w:val="000000" w:themeColor="text1"/>
          <w:sz w:val="22"/>
          <w:szCs w:val="22"/>
          <w:lang w:val="en-GB"/>
        </w:rPr>
      </w:pPr>
    </w:p>
    <w:p w:rsidR="00382175" w:rsidRPr="00230579" w:rsidRDefault="00382175" w:rsidP="00760795">
      <w:pPr>
        <w:pStyle w:val="ListParagraph"/>
        <w:ind w:left="-142"/>
        <w:jc w:val="both"/>
        <w:rPr>
          <w:rFonts w:ascii="Arial" w:hAnsi="Arial" w:cs="Arial"/>
          <w:color w:val="000000" w:themeColor="text1"/>
          <w:sz w:val="22"/>
          <w:szCs w:val="22"/>
          <w:lang w:val="en-GB"/>
        </w:rPr>
      </w:pPr>
    </w:p>
    <w:p w:rsidR="00382175" w:rsidRPr="00230579" w:rsidRDefault="00382175" w:rsidP="00760795">
      <w:pPr>
        <w:pStyle w:val="ListParagraph"/>
        <w:ind w:left="-142"/>
        <w:jc w:val="both"/>
        <w:rPr>
          <w:rFonts w:ascii="Arial" w:hAnsi="Arial" w:cs="Arial"/>
          <w:color w:val="000000" w:themeColor="text1"/>
          <w:sz w:val="22"/>
          <w:szCs w:val="22"/>
          <w:lang w:val="en-GB"/>
        </w:rPr>
      </w:pPr>
    </w:p>
    <w:p w:rsidR="00382175" w:rsidRPr="00230579" w:rsidRDefault="00382175" w:rsidP="00760795">
      <w:pPr>
        <w:pStyle w:val="ListParagraph"/>
        <w:ind w:left="-142"/>
        <w:jc w:val="both"/>
        <w:rPr>
          <w:rFonts w:ascii="Arial" w:hAnsi="Arial" w:cs="Arial"/>
          <w:color w:val="000000" w:themeColor="text1"/>
          <w:sz w:val="22"/>
          <w:szCs w:val="22"/>
          <w:lang w:val="en-GB"/>
        </w:rPr>
      </w:pPr>
    </w:p>
    <w:p w:rsidR="00382175" w:rsidRPr="00230579" w:rsidRDefault="00382175" w:rsidP="00760795">
      <w:pPr>
        <w:pStyle w:val="ListParagraph"/>
        <w:ind w:left="-142"/>
        <w:jc w:val="both"/>
        <w:rPr>
          <w:rFonts w:ascii="Arial" w:hAnsi="Arial" w:cs="Arial"/>
          <w:color w:val="000000" w:themeColor="text1"/>
          <w:sz w:val="22"/>
          <w:szCs w:val="22"/>
          <w:lang w:val="en-GB"/>
        </w:rPr>
      </w:pPr>
    </w:p>
    <w:p w:rsidR="00382175" w:rsidRPr="00230579" w:rsidRDefault="00DF2B38" w:rsidP="00382175">
      <w:pPr>
        <w:pStyle w:val="ListParagraph"/>
        <w:ind w:left="-142"/>
        <w:jc w:val="both"/>
        <w:rPr>
          <w:rFonts w:ascii="Arial" w:hAnsi="Arial" w:cs="Arial"/>
          <w:color w:val="000000" w:themeColor="text1"/>
          <w:sz w:val="22"/>
          <w:szCs w:val="22"/>
          <w:lang w:val="en-GB"/>
        </w:rPr>
      </w:pPr>
      <w:r>
        <w:rPr>
          <w:rFonts w:ascii="Arial" w:hAnsi="Arial" w:cs="Arial"/>
          <w:color w:val="000000" w:themeColor="text1"/>
          <w:sz w:val="22"/>
          <w:szCs w:val="22"/>
          <w:lang w:val="en-GB"/>
        </w:rPr>
        <w:t>[</w:t>
      </w:r>
      <w:r w:rsidR="00382175" w:rsidRPr="00230579">
        <w:rPr>
          <w:rFonts w:ascii="Arial" w:hAnsi="Arial" w:cs="Arial"/>
          <w:color w:val="000000" w:themeColor="text1"/>
          <w:sz w:val="22"/>
          <w:szCs w:val="22"/>
          <w:lang w:val="en-GB"/>
        </w:rPr>
        <w:t>4.1.2</w:t>
      </w:r>
      <w:r>
        <w:rPr>
          <w:rFonts w:ascii="Arial" w:hAnsi="Arial" w:cs="Arial"/>
          <w:color w:val="000000" w:themeColor="text1"/>
          <w:sz w:val="22"/>
          <w:szCs w:val="22"/>
          <w:lang w:val="en-GB"/>
        </w:rPr>
        <w:t xml:space="preserve"> </w:t>
      </w:r>
      <w:r w:rsidR="00382175" w:rsidRPr="00230579">
        <w:rPr>
          <w:rFonts w:ascii="Arial" w:hAnsi="Arial" w:cs="Arial"/>
          <w:color w:val="000000" w:themeColor="text1"/>
          <w:sz w:val="22"/>
          <w:szCs w:val="22"/>
          <w:lang w:val="en-GB"/>
        </w:rPr>
        <w:t>As per article 2(d) of MLCBI “foreign representative”</w:t>
      </w:r>
    </w:p>
    <w:p w:rsidR="00382175" w:rsidRPr="00230579" w:rsidRDefault="00382175" w:rsidP="00382175">
      <w:pPr>
        <w:pStyle w:val="ListParagraph"/>
        <w:ind w:left="-142"/>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Foreign representative has the following elements:</w:t>
      </w:r>
    </w:p>
    <w:p w:rsidR="00382175" w:rsidRPr="00230579" w:rsidRDefault="00382175" w:rsidP="00382175">
      <w:pPr>
        <w:pStyle w:val="ListParagraph"/>
        <w:ind w:left="-142"/>
        <w:jc w:val="both"/>
        <w:rPr>
          <w:rFonts w:ascii="Arial" w:hAnsi="Arial" w:cs="Arial"/>
          <w:color w:val="000000" w:themeColor="text1"/>
          <w:sz w:val="22"/>
          <w:szCs w:val="22"/>
          <w:lang w:val="en-GB"/>
        </w:rPr>
      </w:pPr>
    </w:p>
    <w:p w:rsidR="00382175" w:rsidRPr="00230579" w:rsidRDefault="00382175" w:rsidP="00382175">
      <w:pPr>
        <w:pStyle w:val="ListParagraph"/>
        <w:ind w:left="-142"/>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w:t>
      </w:r>
      <w:r w:rsidRPr="00230579">
        <w:rPr>
          <w:rFonts w:ascii="Arial" w:hAnsi="Arial" w:cs="Arial"/>
          <w:color w:val="000000" w:themeColor="text1"/>
          <w:sz w:val="22"/>
          <w:szCs w:val="22"/>
          <w:lang w:val="en-GB"/>
        </w:rPr>
        <w:tab/>
        <w:t>A person or body, including one appointed on an interim basis;</w:t>
      </w:r>
    </w:p>
    <w:p w:rsidR="00382175" w:rsidRPr="00230579" w:rsidRDefault="00382175" w:rsidP="00382175">
      <w:pPr>
        <w:pStyle w:val="ListParagraph"/>
        <w:ind w:left="-142"/>
        <w:jc w:val="both"/>
        <w:rPr>
          <w:rFonts w:ascii="Arial" w:hAnsi="Arial" w:cs="Arial"/>
          <w:color w:val="000000" w:themeColor="text1"/>
          <w:sz w:val="22"/>
          <w:szCs w:val="22"/>
          <w:lang w:val="en-GB"/>
        </w:rPr>
      </w:pPr>
    </w:p>
    <w:p w:rsidR="00382175" w:rsidRPr="00230579" w:rsidRDefault="00382175" w:rsidP="00382175">
      <w:pPr>
        <w:pStyle w:val="ListParagraph"/>
        <w:ind w:left="-142"/>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w:t>
      </w:r>
      <w:r w:rsidRPr="00230579">
        <w:rPr>
          <w:rFonts w:ascii="Arial" w:hAnsi="Arial" w:cs="Arial"/>
          <w:color w:val="000000" w:themeColor="text1"/>
          <w:sz w:val="22"/>
          <w:szCs w:val="22"/>
          <w:lang w:val="en-GB"/>
        </w:rPr>
        <w:tab/>
        <w:t>Authorised in a foreign proceeding;</w:t>
      </w:r>
    </w:p>
    <w:p w:rsidR="00382175" w:rsidRPr="00230579" w:rsidRDefault="00382175" w:rsidP="00382175">
      <w:pPr>
        <w:pStyle w:val="ListParagraph"/>
        <w:ind w:left="-142"/>
        <w:jc w:val="both"/>
        <w:rPr>
          <w:rFonts w:ascii="Arial" w:hAnsi="Arial" w:cs="Arial"/>
          <w:color w:val="000000" w:themeColor="text1"/>
          <w:sz w:val="22"/>
          <w:szCs w:val="22"/>
          <w:lang w:val="en-GB"/>
        </w:rPr>
      </w:pPr>
    </w:p>
    <w:p w:rsidR="00382175" w:rsidRPr="00230579" w:rsidRDefault="00382175" w:rsidP="00382175">
      <w:pPr>
        <w:pStyle w:val="ListParagraph"/>
        <w:ind w:left="-142"/>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w:t>
      </w:r>
      <w:r w:rsidRPr="00230579">
        <w:rPr>
          <w:rFonts w:ascii="Arial" w:hAnsi="Arial" w:cs="Arial"/>
          <w:color w:val="000000" w:themeColor="text1"/>
          <w:sz w:val="22"/>
          <w:szCs w:val="22"/>
          <w:lang w:val="en-GB"/>
        </w:rPr>
        <w:tab/>
        <w:t>To administer the reorganisation or liquidation of the debtor’s assets or affairs or to act as representative of the foreign proceeding.</w:t>
      </w:r>
    </w:p>
    <w:p w:rsidR="00382175" w:rsidRPr="00230579" w:rsidRDefault="00382175" w:rsidP="00382175">
      <w:pPr>
        <w:pStyle w:val="ListParagraph"/>
        <w:ind w:left="-142"/>
        <w:jc w:val="both"/>
        <w:rPr>
          <w:rFonts w:ascii="Arial" w:hAnsi="Arial" w:cs="Arial"/>
          <w:color w:val="000000" w:themeColor="text1"/>
          <w:sz w:val="22"/>
          <w:szCs w:val="22"/>
          <w:lang w:val="en-GB"/>
        </w:rPr>
      </w:pPr>
    </w:p>
    <w:p w:rsidR="00382175" w:rsidRPr="00230579" w:rsidRDefault="00382175" w:rsidP="00382175">
      <w:pPr>
        <w:pStyle w:val="ListParagraph"/>
        <w:ind w:left="-142"/>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Please note that the Model Law does not specify that the foreign representative must be authorised by the foreign court.</w:t>
      </w:r>
    </w:p>
    <w:p w:rsidR="00145B2D" w:rsidRPr="00230579" w:rsidRDefault="00145B2D" w:rsidP="00382175">
      <w:pPr>
        <w:pStyle w:val="ListParagraph"/>
        <w:ind w:left="-142"/>
        <w:jc w:val="both"/>
        <w:rPr>
          <w:rFonts w:ascii="Arial" w:hAnsi="Arial" w:cs="Arial"/>
          <w:color w:val="000000" w:themeColor="text1"/>
          <w:sz w:val="22"/>
          <w:szCs w:val="22"/>
          <w:lang w:val="en-GB"/>
        </w:rPr>
      </w:pPr>
    </w:p>
    <w:p w:rsidR="00145B2D" w:rsidRPr="00230579" w:rsidRDefault="00145B2D" w:rsidP="00382175">
      <w:pPr>
        <w:pStyle w:val="ListParagraph"/>
        <w:ind w:left="-142"/>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 xml:space="preserve">In the given case, the </w:t>
      </w:r>
      <w:r w:rsidR="0034307B" w:rsidRPr="00230579">
        <w:rPr>
          <w:rFonts w:ascii="Arial" w:hAnsi="Arial" w:cs="Arial"/>
          <w:color w:val="000000" w:themeColor="text1"/>
          <w:sz w:val="22"/>
          <w:szCs w:val="22"/>
          <w:lang w:val="en-GB"/>
        </w:rPr>
        <w:t>DGF has the power to exercise management powers and take over management of the property (including the money) of the bank, compile a register of creditor claims and to seek to satisfy those claims,take steps to find, identify and recover property belonging to the bank, take steps to find, identify and recover property belonging to the bank, dismiss employees and withdraw from/terminate contracts, dispose of the bank’s assets, and exercise “such other powers as are necessary to complete the liquidation of a bank”. But it’s not given the power to act as an authority in a foreign proceeding.</w:t>
      </w:r>
    </w:p>
    <w:p w:rsidR="0034307B" w:rsidRPr="00230579" w:rsidRDefault="0034307B" w:rsidP="00382175">
      <w:pPr>
        <w:pStyle w:val="ListParagraph"/>
        <w:ind w:left="-142"/>
        <w:jc w:val="both"/>
        <w:rPr>
          <w:rFonts w:ascii="Arial" w:hAnsi="Arial" w:cs="Arial"/>
          <w:color w:val="000000" w:themeColor="text1"/>
          <w:sz w:val="22"/>
          <w:szCs w:val="22"/>
          <w:lang w:val="en-GB"/>
        </w:rPr>
      </w:pPr>
    </w:p>
    <w:p w:rsidR="00387106" w:rsidRPr="00230579" w:rsidRDefault="0034307B" w:rsidP="00230579">
      <w:pPr>
        <w:pStyle w:val="ListParagraph"/>
        <w:ind w:left="-142"/>
        <w:jc w:val="both"/>
        <w:rPr>
          <w:rFonts w:ascii="Arial" w:hAnsi="Arial" w:cs="Arial"/>
          <w:color w:val="000000" w:themeColor="text1"/>
          <w:sz w:val="22"/>
          <w:szCs w:val="22"/>
          <w:lang w:val="en-GB"/>
        </w:rPr>
      </w:pPr>
      <w:r w:rsidRPr="00230579">
        <w:rPr>
          <w:rFonts w:ascii="Arial" w:hAnsi="Arial" w:cs="Arial"/>
          <w:color w:val="000000" w:themeColor="text1"/>
          <w:sz w:val="22"/>
          <w:szCs w:val="22"/>
          <w:lang w:val="en-GB"/>
        </w:rPr>
        <w:t>Hence, in the given case,</w:t>
      </w:r>
      <w:r w:rsidR="00706AFF" w:rsidRPr="00230579">
        <w:rPr>
          <w:rFonts w:ascii="Arial" w:hAnsi="Arial" w:cs="Arial"/>
          <w:color w:val="000000" w:themeColor="text1"/>
          <w:sz w:val="22"/>
          <w:szCs w:val="22"/>
          <w:lang w:val="en-GB"/>
        </w:rPr>
        <w:t xml:space="preserve"> DGF does not fulfil the criteria for a foreign representative under article 2(d)</w:t>
      </w:r>
      <w:r w:rsidR="00387106" w:rsidRPr="00230579">
        <w:rPr>
          <w:rFonts w:ascii="Arial" w:hAnsi="Arial" w:cs="Arial"/>
          <w:color w:val="7B7B7B" w:themeColor="accent3" w:themeShade="BF"/>
          <w:sz w:val="22"/>
          <w:szCs w:val="22"/>
          <w:lang w:val="en-GB"/>
        </w:rPr>
        <w:t>]</w:t>
      </w:r>
    </w:p>
    <w:p w:rsidR="00387106" w:rsidRPr="009B5832" w:rsidRDefault="00387106" w:rsidP="00707FC8">
      <w:pPr>
        <w:jc w:val="both"/>
        <w:rPr>
          <w:rFonts w:ascii="Arial" w:hAnsi="Arial" w:cs="Arial"/>
          <w:sz w:val="22"/>
          <w:szCs w:val="22"/>
          <w:lang w:val="en-GB"/>
        </w:rPr>
      </w:pPr>
    </w:p>
    <w:p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6"/>
    <w:p w:rsidR="0077498C" w:rsidRPr="009B5832" w:rsidRDefault="0077498C" w:rsidP="00707FC8">
      <w:pPr>
        <w:jc w:val="both"/>
        <w:rPr>
          <w:rFonts w:ascii="Arial" w:hAnsi="Arial" w:cs="Arial"/>
          <w:color w:val="000000" w:themeColor="text1"/>
          <w:sz w:val="22"/>
          <w:szCs w:val="22"/>
          <w:lang w:val="en-GB"/>
        </w:rPr>
      </w:pPr>
    </w:p>
    <w:p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77498C" w:rsidRPr="009B5832">
        <w:rPr>
          <w:rFonts w:ascii="Arial" w:hAnsi="Arial" w:cs="Arial"/>
          <w:b/>
          <w:bCs/>
          <w:sz w:val="22"/>
          <w:szCs w:val="22"/>
          <w:lang w:val="en-GB"/>
        </w:rPr>
        <w:t>End of Assessment</w:t>
      </w:r>
      <w:r w:rsidRPr="009B5832">
        <w:rPr>
          <w:rFonts w:ascii="Arial" w:hAnsi="Arial" w:cs="Arial"/>
          <w:b/>
          <w:bCs/>
          <w:sz w:val="22"/>
          <w:szCs w:val="22"/>
          <w:lang w:val="en-GB"/>
        </w:rPr>
        <w:t>*</w:t>
      </w:r>
    </w:p>
    <w:p w:rsidR="009B0723" w:rsidRPr="009B5832" w:rsidRDefault="009B0723" w:rsidP="00C606C3">
      <w:pPr>
        <w:rPr>
          <w:rFonts w:ascii="Arial" w:hAnsi="Arial" w:cs="Arial"/>
          <w:sz w:val="22"/>
          <w:szCs w:val="22"/>
          <w:lang w:val="en-GB"/>
        </w:rPr>
      </w:pPr>
    </w:p>
    <w:p w:rsidR="0034307B" w:rsidRPr="009B5832" w:rsidRDefault="0034307B" w:rsidP="0034307B">
      <w:pPr>
        <w:jc w:val="both"/>
        <w:rPr>
          <w:rFonts w:ascii="Arial" w:hAnsi="Arial" w:cs="Arial"/>
          <w:color w:val="000000"/>
          <w:sz w:val="22"/>
          <w:szCs w:val="22"/>
          <w:lang w:val="en-GB" w:eastAsia="en-GB"/>
        </w:rPr>
      </w:pPr>
    </w:p>
    <w:p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55E" w:rsidRDefault="006F655E" w:rsidP="00241B44">
      <w:r>
        <w:separator/>
      </w:r>
    </w:p>
  </w:endnote>
  <w:endnote w:type="continuationSeparator" w:id="1">
    <w:p w:rsidR="006F655E" w:rsidRDefault="006F655E" w:rsidP="00241B44">
      <w:r>
        <w:continuationSeparator/>
      </w:r>
    </w:p>
  </w:endnote>
  <w:endnote w:type="continuationNotice" w:id="2">
    <w:p w:rsidR="006F655E" w:rsidRDefault="006F65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00FC0F07"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00FC0F07"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00FC0F07" w:rsidRPr="00697EA1">
          <w:rPr>
            <w:rStyle w:val="PageNumber"/>
            <w:rFonts w:ascii="Arial" w:hAnsi="Arial" w:cs="Arial"/>
            <w:b/>
            <w:sz w:val="22"/>
            <w:szCs w:val="22"/>
          </w:rPr>
          <w:fldChar w:fldCharType="end"/>
        </w:r>
      </w:p>
    </w:sdtContent>
  </w:sdt>
  <w:p w:rsidR="00E450A4" w:rsidRPr="00FC7B47" w:rsidRDefault="00E450A4" w:rsidP="0036760B">
    <w:pPr>
      <w:pStyle w:val="Footer"/>
      <w:ind w:right="360" w:firstLine="360"/>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sz w:val="18"/>
        <w:szCs w:val="18"/>
      </w:rPr>
      <w:id w:val="-1075128697"/>
      <w:docPartObj>
        <w:docPartGallery w:val="Page Numbers (Bottom of Page)"/>
        <w:docPartUnique/>
      </w:docPartObj>
    </w:sdtPr>
    <w:sdtContent>
      <w:p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FC0F07"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FC0F07" w:rsidRPr="00784B4B">
          <w:rPr>
            <w:rStyle w:val="PageNumber"/>
            <w:rFonts w:ascii="Arial" w:hAnsi="Arial" w:cs="Arial"/>
            <w:sz w:val="18"/>
            <w:szCs w:val="18"/>
          </w:rPr>
          <w:fldChar w:fldCharType="separate"/>
        </w:r>
        <w:r w:rsidR="00111DCC">
          <w:rPr>
            <w:rStyle w:val="PageNumber"/>
            <w:rFonts w:ascii="Arial" w:hAnsi="Arial" w:cs="Arial"/>
            <w:noProof/>
            <w:sz w:val="18"/>
            <w:szCs w:val="18"/>
          </w:rPr>
          <w:t>11</w:t>
        </w:r>
        <w:r w:rsidR="00FC0F07" w:rsidRPr="00784B4B">
          <w:rPr>
            <w:rStyle w:val="PageNumber"/>
            <w:rFonts w:ascii="Arial" w:hAnsi="Arial" w:cs="Arial"/>
            <w:sz w:val="18"/>
            <w:szCs w:val="18"/>
          </w:rPr>
          <w:fldChar w:fldCharType="end"/>
        </w:r>
      </w:p>
    </w:sdtContent>
  </w:sdt>
  <w:p w:rsidR="0036760B" w:rsidRPr="00784B4B" w:rsidRDefault="006602FE" w:rsidP="0036760B">
    <w:pPr>
      <w:pStyle w:val="Footer"/>
      <w:ind w:right="360" w:firstLine="360"/>
      <w:rPr>
        <w:rFonts w:ascii="Arial" w:hAnsi="Arial" w:cs="Arial"/>
        <w:sz w:val="18"/>
        <w:szCs w:val="18"/>
      </w:rPr>
    </w:pPr>
    <w:r w:rsidRPr="00B2280A">
      <w:rPr>
        <w:rFonts w:ascii="Arial" w:hAnsi="Arial" w:cs="Arial"/>
        <w:sz w:val="18"/>
        <w:szCs w:val="18"/>
      </w:rPr>
      <w:t>202122-473</w:t>
    </w:r>
    <w:r w:rsidR="0036760B" w:rsidRPr="00784B4B">
      <w:rPr>
        <w:rFonts w:ascii="Arial" w:hAnsi="Arial" w:cs="Arial"/>
        <w:sz w:val="18"/>
        <w:szCs w:val="18"/>
      </w:rPr>
      <w:t>.assessment2A.docx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55E" w:rsidRDefault="006F655E" w:rsidP="00241B44">
      <w:r>
        <w:separator/>
      </w:r>
    </w:p>
  </w:footnote>
  <w:footnote w:type="continuationSeparator" w:id="1">
    <w:p w:rsidR="006F655E" w:rsidRDefault="006F655E" w:rsidP="00241B44">
      <w:r>
        <w:continuationSeparator/>
      </w:r>
    </w:p>
  </w:footnote>
  <w:footnote w:type="continuationNotice" w:id="2">
    <w:p w:rsidR="006F655E" w:rsidRDefault="006F65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72648"/>
    <w:multiLevelType w:val="hybridMultilevel"/>
    <w:tmpl w:val="A782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79E3E5A"/>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11BC2"/>
    <w:multiLevelType w:val="hybridMultilevel"/>
    <w:tmpl w:val="BB6CAC6A"/>
    <w:lvl w:ilvl="0" w:tplc="1FD226B8">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99309F"/>
    <w:multiLevelType w:val="hybridMultilevel"/>
    <w:tmpl w:val="0D060AB6"/>
    <w:lvl w:ilvl="0" w:tplc="264476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E67E06"/>
    <w:multiLevelType w:val="hybridMultilevel"/>
    <w:tmpl w:val="1332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3"/>
  </w:num>
  <w:num w:numId="3">
    <w:abstractNumId w:val="30"/>
  </w:num>
  <w:num w:numId="4">
    <w:abstractNumId w:val="39"/>
  </w:num>
  <w:num w:numId="5">
    <w:abstractNumId w:val="8"/>
  </w:num>
  <w:num w:numId="6">
    <w:abstractNumId w:val="37"/>
  </w:num>
  <w:num w:numId="7">
    <w:abstractNumId w:val="15"/>
  </w:num>
  <w:num w:numId="8">
    <w:abstractNumId w:val="32"/>
  </w:num>
  <w:num w:numId="9">
    <w:abstractNumId w:val="18"/>
  </w:num>
  <w:num w:numId="10">
    <w:abstractNumId w:val="11"/>
  </w:num>
  <w:num w:numId="11">
    <w:abstractNumId w:val="20"/>
  </w:num>
  <w:num w:numId="12">
    <w:abstractNumId w:val="36"/>
  </w:num>
  <w:num w:numId="13">
    <w:abstractNumId w:val="6"/>
  </w:num>
  <w:num w:numId="14">
    <w:abstractNumId w:val="28"/>
  </w:num>
  <w:num w:numId="15">
    <w:abstractNumId w:val="12"/>
  </w:num>
  <w:num w:numId="16">
    <w:abstractNumId w:val="13"/>
  </w:num>
  <w:num w:numId="17">
    <w:abstractNumId w:val="22"/>
  </w:num>
  <w:num w:numId="18">
    <w:abstractNumId w:val="7"/>
  </w:num>
  <w:num w:numId="19">
    <w:abstractNumId w:val="21"/>
  </w:num>
  <w:num w:numId="20">
    <w:abstractNumId w:val="42"/>
  </w:num>
  <w:num w:numId="21">
    <w:abstractNumId w:val="14"/>
  </w:num>
  <w:num w:numId="22">
    <w:abstractNumId w:val="35"/>
  </w:num>
  <w:num w:numId="23">
    <w:abstractNumId w:val="40"/>
  </w:num>
  <w:num w:numId="24">
    <w:abstractNumId w:val="34"/>
  </w:num>
  <w:num w:numId="25">
    <w:abstractNumId w:val="26"/>
  </w:num>
  <w:num w:numId="26">
    <w:abstractNumId w:val="41"/>
  </w:num>
  <w:num w:numId="27">
    <w:abstractNumId w:val="38"/>
  </w:num>
  <w:num w:numId="28">
    <w:abstractNumId w:val="9"/>
  </w:num>
  <w:num w:numId="29">
    <w:abstractNumId w:val="10"/>
  </w:num>
  <w:num w:numId="30">
    <w:abstractNumId w:val="23"/>
  </w:num>
  <w:num w:numId="31">
    <w:abstractNumId w:val="3"/>
  </w:num>
  <w:num w:numId="32">
    <w:abstractNumId w:val="24"/>
  </w:num>
  <w:num w:numId="33">
    <w:abstractNumId w:val="0"/>
  </w:num>
  <w:num w:numId="34">
    <w:abstractNumId w:val="31"/>
  </w:num>
  <w:num w:numId="35">
    <w:abstractNumId w:val="17"/>
  </w:num>
  <w:num w:numId="36">
    <w:abstractNumId w:val="33"/>
  </w:num>
  <w:num w:numId="37">
    <w:abstractNumId w:val="19"/>
  </w:num>
  <w:num w:numId="38">
    <w:abstractNumId w:val="29"/>
  </w:num>
  <w:num w:numId="39">
    <w:abstractNumId w:val="4"/>
  </w:num>
  <w:num w:numId="40">
    <w:abstractNumId w:val="16"/>
  </w:num>
  <w:num w:numId="41">
    <w:abstractNumId w:val="44"/>
  </w:num>
  <w:num w:numId="42">
    <w:abstractNumId w:val="27"/>
  </w:num>
  <w:num w:numId="43">
    <w:abstractNumId w:val="25"/>
  </w:num>
  <w:num w:numId="44">
    <w:abstractNumId w:val="2"/>
  </w:num>
  <w:num w:numId="4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8194"/>
  </w:hdrShapeDefaults>
  <w:footnotePr>
    <w:footnote w:id="0"/>
    <w:footnote w:id="1"/>
    <w:footnote w:id="2"/>
  </w:footnotePr>
  <w:endnotePr>
    <w:endnote w:id="0"/>
    <w:endnote w:id="1"/>
    <w:endnote w:id="2"/>
  </w:endnotePr>
  <w:compat>
    <w:useFELayout/>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2C6E"/>
    <w:rsid w:val="000A68ED"/>
    <w:rsid w:val="000B4FEB"/>
    <w:rsid w:val="000B5FF1"/>
    <w:rsid w:val="000B609F"/>
    <w:rsid w:val="000C147F"/>
    <w:rsid w:val="000C6BB9"/>
    <w:rsid w:val="000D55A8"/>
    <w:rsid w:val="000E4841"/>
    <w:rsid w:val="000E6325"/>
    <w:rsid w:val="000F1677"/>
    <w:rsid w:val="000F3D6C"/>
    <w:rsid w:val="000F579C"/>
    <w:rsid w:val="00101707"/>
    <w:rsid w:val="00111DCC"/>
    <w:rsid w:val="00112A1D"/>
    <w:rsid w:val="00114082"/>
    <w:rsid w:val="0011473D"/>
    <w:rsid w:val="00115C85"/>
    <w:rsid w:val="00123855"/>
    <w:rsid w:val="00126A4D"/>
    <w:rsid w:val="00140E0A"/>
    <w:rsid w:val="0014171F"/>
    <w:rsid w:val="00145B2D"/>
    <w:rsid w:val="0014622C"/>
    <w:rsid w:val="00151F58"/>
    <w:rsid w:val="00152348"/>
    <w:rsid w:val="0015456D"/>
    <w:rsid w:val="00155EA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3F7A"/>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79"/>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8683F"/>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0BC0"/>
    <w:rsid w:val="00341AA6"/>
    <w:rsid w:val="00342459"/>
    <w:rsid w:val="003427B9"/>
    <w:rsid w:val="00342F45"/>
    <w:rsid w:val="0034307B"/>
    <w:rsid w:val="00346B16"/>
    <w:rsid w:val="00361A0A"/>
    <w:rsid w:val="0036565C"/>
    <w:rsid w:val="0036625E"/>
    <w:rsid w:val="0036760B"/>
    <w:rsid w:val="0037465A"/>
    <w:rsid w:val="00380BAB"/>
    <w:rsid w:val="00382175"/>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11F2"/>
    <w:rsid w:val="00553EB2"/>
    <w:rsid w:val="00556777"/>
    <w:rsid w:val="00560534"/>
    <w:rsid w:val="005627A7"/>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A782A"/>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02FE"/>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655E"/>
    <w:rsid w:val="006F734A"/>
    <w:rsid w:val="00700D83"/>
    <w:rsid w:val="00704852"/>
    <w:rsid w:val="00706297"/>
    <w:rsid w:val="00706AD5"/>
    <w:rsid w:val="00706AFF"/>
    <w:rsid w:val="007074E9"/>
    <w:rsid w:val="00707FC8"/>
    <w:rsid w:val="00713DA4"/>
    <w:rsid w:val="00714BF1"/>
    <w:rsid w:val="00717C97"/>
    <w:rsid w:val="00721383"/>
    <w:rsid w:val="0072554C"/>
    <w:rsid w:val="00725911"/>
    <w:rsid w:val="00731DBD"/>
    <w:rsid w:val="007333CC"/>
    <w:rsid w:val="0073399A"/>
    <w:rsid w:val="007603F5"/>
    <w:rsid w:val="0076079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2FF0"/>
    <w:rsid w:val="007F41F8"/>
    <w:rsid w:val="007F60D0"/>
    <w:rsid w:val="0080454E"/>
    <w:rsid w:val="00804C32"/>
    <w:rsid w:val="00806302"/>
    <w:rsid w:val="00807119"/>
    <w:rsid w:val="00817D57"/>
    <w:rsid w:val="00822764"/>
    <w:rsid w:val="0082483F"/>
    <w:rsid w:val="008264CB"/>
    <w:rsid w:val="008279C0"/>
    <w:rsid w:val="00835FD1"/>
    <w:rsid w:val="0084098D"/>
    <w:rsid w:val="0084683C"/>
    <w:rsid w:val="00853A74"/>
    <w:rsid w:val="00860E61"/>
    <w:rsid w:val="008723F3"/>
    <w:rsid w:val="00875CD6"/>
    <w:rsid w:val="00881080"/>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176B"/>
    <w:rsid w:val="009260A2"/>
    <w:rsid w:val="009306F0"/>
    <w:rsid w:val="00942123"/>
    <w:rsid w:val="00946EFF"/>
    <w:rsid w:val="00951031"/>
    <w:rsid w:val="0095207B"/>
    <w:rsid w:val="00956085"/>
    <w:rsid w:val="00957951"/>
    <w:rsid w:val="00962045"/>
    <w:rsid w:val="009634F7"/>
    <w:rsid w:val="00967EDA"/>
    <w:rsid w:val="00970897"/>
    <w:rsid w:val="00980314"/>
    <w:rsid w:val="00980C93"/>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9F2236"/>
    <w:rsid w:val="009F6269"/>
    <w:rsid w:val="009F68B8"/>
    <w:rsid w:val="00A047EE"/>
    <w:rsid w:val="00A114EA"/>
    <w:rsid w:val="00A153F7"/>
    <w:rsid w:val="00A2274A"/>
    <w:rsid w:val="00A235B7"/>
    <w:rsid w:val="00A27A7A"/>
    <w:rsid w:val="00A379B1"/>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5FC1"/>
    <w:rsid w:val="00AC7082"/>
    <w:rsid w:val="00AD3FEA"/>
    <w:rsid w:val="00AD7BBD"/>
    <w:rsid w:val="00AF228E"/>
    <w:rsid w:val="00B04137"/>
    <w:rsid w:val="00B11D19"/>
    <w:rsid w:val="00B12936"/>
    <w:rsid w:val="00B14819"/>
    <w:rsid w:val="00B17AA9"/>
    <w:rsid w:val="00B32DE4"/>
    <w:rsid w:val="00B33578"/>
    <w:rsid w:val="00B370C3"/>
    <w:rsid w:val="00B411AE"/>
    <w:rsid w:val="00B5005D"/>
    <w:rsid w:val="00B60190"/>
    <w:rsid w:val="00B61419"/>
    <w:rsid w:val="00B72F5F"/>
    <w:rsid w:val="00B736DF"/>
    <w:rsid w:val="00B74FBD"/>
    <w:rsid w:val="00B82586"/>
    <w:rsid w:val="00B829A3"/>
    <w:rsid w:val="00B86DB1"/>
    <w:rsid w:val="00B87869"/>
    <w:rsid w:val="00B912E1"/>
    <w:rsid w:val="00BA0E44"/>
    <w:rsid w:val="00BA47C5"/>
    <w:rsid w:val="00BB0F2B"/>
    <w:rsid w:val="00BE1A50"/>
    <w:rsid w:val="00BE23FA"/>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E2680"/>
    <w:rsid w:val="00CF2819"/>
    <w:rsid w:val="00CF4F9D"/>
    <w:rsid w:val="00CF70DC"/>
    <w:rsid w:val="00D148DC"/>
    <w:rsid w:val="00D17FDC"/>
    <w:rsid w:val="00D444C5"/>
    <w:rsid w:val="00D45AEA"/>
    <w:rsid w:val="00D54531"/>
    <w:rsid w:val="00D56A37"/>
    <w:rsid w:val="00D57202"/>
    <w:rsid w:val="00D63EFD"/>
    <w:rsid w:val="00D64826"/>
    <w:rsid w:val="00D80DF2"/>
    <w:rsid w:val="00D84752"/>
    <w:rsid w:val="00D85AB0"/>
    <w:rsid w:val="00D86B3B"/>
    <w:rsid w:val="00D8748A"/>
    <w:rsid w:val="00D93196"/>
    <w:rsid w:val="00D97A93"/>
    <w:rsid w:val="00DA1083"/>
    <w:rsid w:val="00DA26C8"/>
    <w:rsid w:val="00DA6FE9"/>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2B38"/>
    <w:rsid w:val="00DF75F8"/>
    <w:rsid w:val="00DF7A3A"/>
    <w:rsid w:val="00E00C00"/>
    <w:rsid w:val="00E04A7C"/>
    <w:rsid w:val="00E059FB"/>
    <w:rsid w:val="00E069C4"/>
    <w:rsid w:val="00E07275"/>
    <w:rsid w:val="00E07866"/>
    <w:rsid w:val="00E07C5A"/>
    <w:rsid w:val="00E11A2D"/>
    <w:rsid w:val="00E15BA9"/>
    <w:rsid w:val="00E26E19"/>
    <w:rsid w:val="00E31DF3"/>
    <w:rsid w:val="00E32814"/>
    <w:rsid w:val="00E330B5"/>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2ACB"/>
    <w:rsid w:val="00ED2D20"/>
    <w:rsid w:val="00ED3771"/>
    <w:rsid w:val="00ED6A32"/>
    <w:rsid w:val="00EE4971"/>
    <w:rsid w:val="00EF090E"/>
    <w:rsid w:val="00F033DA"/>
    <w:rsid w:val="00F11AAB"/>
    <w:rsid w:val="00F136E0"/>
    <w:rsid w:val="00F13FB1"/>
    <w:rsid w:val="00F17C87"/>
    <w:rsid w:val="00F223E7"/>
    <w:rsid w:val="00F2288D"/>
    <w:rsid w:val="00F25779"/>
    <w:rsid w:val="00F2750A"/>
    <w:rsid w:val="00F27CD8"/>
    <w:rsid w:val="00F30351"/>
    <w:rsid w:val="00F3323E"/>
    <w:rsid w:val="00F341F4"/>
    <w:rsid w:val="00F34F9D"/>
    <w:rsid w:val="00F35CCE"/>
    <w:rsid w:val="00F4300F"/>
    <w:rsid w:val="00F541B7"/>
    <w:rsid w:val="00F55241"/>
    <w:rsid w:val="00F5524B"/>
    <w:rsid w:val="00F552B4"/>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0F07"/>
    <w:rsid w:val="00FC2FB2"/>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C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r="http://schemas.openxmlformats.org/officeDocument/2006/relationships" xmlns:w="http://schemas.openxmlformats.org/wordprocessingml/2006/main">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0227464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373C-1632-43F6-9231-B7CD963B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14</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Munish Aggarwal</cp:lastModifiedBy>
  <cp:revision>25</cp:revision>
  <cp:lastPrinted>2019-08-27T05:42:00Z</cp:lastPrinted>
  <dcterms:created xsi:type="dcterms:W3CDTF">2022-02-01T06:46:00Z</dcterms:created>
  <dcterms:modified xsi:type="dcterms:W3CDTF">2022-03-01T13:00:00Z</dcterms:modified>
</cp:coreProperties>
</file>