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BC0F11"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BC0F11">
        <w:rPr>
          <w:rFonts w:ascii="Arial" w:hAnsi="Arial" w:cs="Arial"/>
          <w:sz w:val="22"/>
          <w:szCs w:val="22"/>
          <w:highlight w:val="yellow"/>
          <w:lang w:val="en-GB"/>
        </w:rPr>
        <w:t xml:space="preserve">All of the above. </w:t>
      </w:r>
      <w:bookmarkEnd w:id="1"/>
      <w:r w:rsidRPr="00BC0F11">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BC0F11" w:rsidRDefault="005F21F4" w:rsidP="005F21F4">
      <w:pPr>
        <w:pStyle w:val="ListParagraph"/>
        <w:numPr>
          <w:ilvl w:val="0"/>
          <w:numId w:val="14"/>
        </w:numPr>
        <w:ind w:left="426"/>
        <w:jc w:val="both"/>
        <w:rPr>
          <w:rFonts w:ascii="Arial" w:hAnsi="Arial" w:cs="Arial"/>
          <w:sz w:val="22"/>
          <w:szCs w:val="22"/>
          <w:highlight w:val="yellow"/>
          <w:lang w:val="en-GB"/>
        </w:rPr>
      </w:pPr>
      <w:r w:rsidRPr="00BC0F11">
        <w:rPr>
          <w:rFonts w:ascii="Arial" w:hAnsi="Arial" w:cs="Arial"/>
          <w:sz w:val="22"/>
          <w:szCs w:val="22"/>
          <w:highlight w:val="yellow"/>
          <w:lang w:val="en-GB"/>
        </w:rPr>
        <w:t>The existence of a statutory basis in national (insolvency) laws for co</w:t>
      </w:r>
      <w:r w:rsidR="00B61419" w:rsidRPr="00BC0F11">
        <w:rPr>
          <w:rFonts w:ascii="Arial" w:hAnsi="Arial" w:cs="Arial"/>
          <w:sz w:val="22"/>
          <w:szCs w:val="22"/>
          <w:highlight w:val="yellow"/>
          <w:lang w:val="en-GB"/>
        </w:rPr>
        <w:t>-</w:t>
      </w:r>
      <w:r w:rsidRPr="00BC0F11">
        <w:rPr>
          <w:rFonts w:ascii="Arial" w:hAnsi="Arial" w:cs="Arial"/>
          <w:sz w:val="22"/>
          <w:szCs w:val="22"/>
          <w:highlight w:val="yellow"/>
          <w:lang w:val="en-GB"/>
        </w:rPr>
        <w:t>operation and co</w:t>
      </w:r>
      <w:r w:rsidR="00B61419" w:rsidRPr="00BC0F11">
        <w:rPr>
          <w:rFonts w:ascii="Arial" w:hAnsi="Arial" w:cs="Arial"/>
          <w:sz w:val="22"/>
          <w:szCs w:val="22"/>
          <w:highlight w:val="yellow"/>
          <w:lang w:val="en-GB"/>
        </w:rPr>
        <w:t>-</w:t>
      </w:r>
      <w:r w:rsidRPr="00BC0F11">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BC0F11">
        <w:rPr>
          <w:rFonts w:ascii="Arial" w:hAnsi="Arial" w:cs="Arial"/>
          <w:sz w:val="22"/>
          <w:szCs w:val="22"/>
          <w:highlight w:val="yellow"/>
          <w:lang w:val="en-GB"/>
        </w:rPr>
        <w:t>The debtor has neither its COMI nor an establishment in the jurisdiction where the foreign proceedings were opened</w:t>
      </w:r>
      <w:r w:rsidRPr="009B5832">
        <w:rPr>
          <w:rFonts w:ascii="Arial" w:hAnsi="Arial" w:cs="Arial"/>
          <w:sz w:val="22"/>
          <w:szCs w:val="22"/>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BF1096" w:rsidRDefault="00E57410" w:rsidP="00322F3B">
      <w:pPr>
        <w:pStyle w:val="ListParagraph"/>
        <w:numPr>
          <w:ilvl w:val="0"/>
          <w:numId w:val="18"/>
        </w:numPr>
        <w:ind w:left="426"/>
        <w:jc w:val="both"/>
        <w:rPr>
          <w:rFonts w:ascii="Arial" w:hAnsi="Arial" w:cs="Arial"/>
          <w:sz w:val="22"/>
          <w:szCs w:val="22"/>
          <w:highlight w:val="yellow"/>
          <w:lang w:val="en-GB"/>
        </w:rPr>
      </w:pPr>
      <w:r w:rsidRPr="00BF1096">
        <w:rPr>
          <w:rFonts w:ascii="Arial" w:hAnsi="Arial" w:cs="Arial"/>
          <w:sz w:val="22"/>
          <w:szCs w:val="22"/>
          <w:highlight w:val="yellow"/>
          <w:lang w:val="en-GB"/>
        </w:rPr>
        <w:t xml:space="preserve">The </w:t>
      </w:r>
      <w:r w:rsidRPr="00BF1096">
        <w:rPr>
          <w:rFonts w:ascii="Arial" w:hAnsi="Arial" w:cs="Arial"/>
          <w:i/>
          <w:iCs/>
          <w:sz w:val="22"/>
          <w:szCs w:val="22"/>
          <w:highlight w:val="yellow"/>
          <w:lang w:val="en-GB"/>
        </w:rPr>
        <w:t>locus standi</w:t>
      </w:r>
      <w:r w:rsidRPr="00BF1096">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BF1096" w:rsidRDefault="00C504E5" w:rsidP="00C504E5">
      <w:pPr>
        <w:pStyle w:val="ListParagraph"/>
        <w:numPr>
          <w:ilvl w:val="0"/>
          <w:numId w:val="20"/>
        </w:numPr>
        <w:ind w:left="426"/>
        <w:jc w:val="both"/>
        <w:rPr>
          <w:rFonts w:ascii="Arial" w:hAnsi="Arial" w:cs="Arial"/>
          <w:sz w:val="22"/>
          <w:szCs w:val="22"/>
          <w:highlight w:val="yellow"/>
          <w:lang w:val="en-GB"/>
        </w:rPr>
      </w:pPr>
      <w:r w:rsidRPr="00BF109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A1487" w:rsidRDefault="00B72F5F" w:rsidP="00114082">
      <w:pPr>
        <w:pStyle w:val="ListParagraph"/>
        <w:numPr>
          <w:ilvl w:val="0"/>
          <w:numId w:val="26"/>
        </w:numPr>
        <w:ind w:left="426"/>
        <w:jc w:val="both"/>
        <w:rPr>
          <w:rFonts w:ascii="Arial" w:hAnsi="Arial" w:cs="Arial"/>
          <w:sz w:val="22"/>
          <w:szCs w:val="22"/>
          <w:highlight w:val="yellow"/>
          <w:lang w:val="en-GB"/>
        </w:rPr>
      </w:pPr>
      <w:r w:rsidRPr="008A1487">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A1487">
        <w:rPr>
          <w:rFonts w:ascii="Arial" w:hAnsi="Arial" w:cs="Arial"/>
          <w:sz w:val="22"/>
          <w:szCs w:val="22"/>
          <w:highlight w:val="yellow"/>
          <w:lang w:val="en-GB"/>
        </w:rPr>
        <w:t>will</w:t>
      </w:r>
      <w:r w:rsidRPr="008A1487">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BF1096" w:rsidRDefault="0067294B" w:rsidP="00114082">
      <w:pPr>
        <w:pStyle w:val="ListParagraph"/>
        <w:numPr>
          <w:ilvl w:val="0"/>
          <w:numId w:val="27"/>
        </w:numPr>
        <w:ind w:left="426"/>
        <w:jc w:val="both"/>
        <w:rPr>
          <w:rFonts w:ascii="Arial" w:hAnsi="Arial" w:cs="Arial"/>
          <w:sz w:val="22"/>
          <w:szCs w:val="22"/>
          <w:highlight w:val="yellow"/>
          <w:lang w:val="en-GB"/>
        </w:rPr>
      </w:pPr>
      <w:r w:rsidRPr="00BF109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BF1096" w:rsidRDefault="004E0549" w:rsidP="00114082">
      <w:pPr>
        <w:pStyle w:val="ListParagraph"/>
        <w:numPr>
          <w:ilvl w:val="0"/>
          <w:numId w:val="28"/>
        </w:numPr>
        <w:ind w:left="426"/>
        <w:jc w:val="both"/>
        <w:rPr>
          <w:rFonts w:ascii="Arial" w:hAnsi="Arial" w:cs="Arial"/>
          <w:sz w:val="22"/>
          <w:szCs w:val="22"/>
          <w:highlight w:val="yellow"/>
          <w:lang w:val="en-GB"/>
        </w:rPr>
      </w:pPr>
      <w:r w:rsidRPr="00BF1096">
        <w:rPr>
          <w:rFonts w:ascii="Arial" w:hAnsi="Arial" w:cs="Arial"/>
          <w:sz w:val="22"/>
          <w:szCs w:val="22"/>
          <w:highlight w:val="yellow"/>
          <w:lang w:val="en-GB"/>
        </w:rPr>
        <w:t>For a corporate debtor, the Model Law does contain a rebuttable presumption that the debtor</w:t>
      </w:r>
      <w:r w:rsidR="001747C2" w:rsidRPr="00BF1096">
        <w:rPr>
          <w:rFonts w:ascii="Arial" w:hAnsi="Arial" w:cs="Arial"/>
          <w:sz w:val="22"/>
          <w:szCs w:val="22"/>
          <w:highlight w:val="yellow"/>
          <w:lang w:val="en-GB"/>
        </w:rPr>
        <w:t>’</w:t>
      </w:r>
      <w:r w:rsidRPr="00BF1096">
        <w:rPr>
          <w:rFonts w:ascii="Arial" w:hAnsi="Arial" w:cs="Arial"/>
          <w:sz w:val="22"/>
          <w:szCs w:val="22"/>
          <w:highlight w:val="yellow"/>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D71B4B">
        <w:rPr>
          <w:rFonts w:ascii="Arial" w:hAnsi="Arial" w:cs="Arial"/>
          <w:sz w:val="22"/>
          <w:szCs w:val="22"/>
          <w:highlight w:val="yellow"/>
          <w:lang w:val="en-GB"/>
        </w:rPr>
        <w:t>An indefinite moratorium continuation.</w:t>
      </w:r>
      <w:r w:rsidRPr="009B5832">
        <w:rPr>
          <w:rFonts w:ascii="Arial" w:hAnsi="Arial" w:cs="Arial"/>
          <w:sz w:val="22"/>
          <w:szCs w:val="22"/>
          <w:lang w:val="en-GB"/>
        </w:rPr>
        <w:t xml:space="preserve">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4D030A" w:rsidRDefault="00114082" w:rsidP="00114082">
      <w:pPr>
        <w:pStyle w:val="ListParagraph"/>
        <w:numPr>
          <w:ilvl w:val="0"/>
          <w:numId w:val="30"/>
        </w:numPr>
        <w:ind w:left="426"/>
        <w:jc w:val="both"/>
        <w:rPr>
          <w:rFonts w:ascii="Arial" w:hAnsi="Arial" w:cs="Arial"/>
          <w:sz w:val="22"/>
          <w:szCs w:val="22"/>
          <w:lang w:val="en-GB"/>
        </w:rPr>
      </w:pPr>
      <w:r w:rsidRPr="004D030A">
        <w:rPr>
          <w:rFonts w:ascii="Arial" w:hAnsi="Arial" w:cs="Arial"/>
          <w:sz w:val="22"/>
          <w:szCs w:val="22"/>
          <w:lang w:val="en-GB"/>
        </w:rPr>
        <w:t>The UNCITRAL Guide of Enactment and the Legislative Guide – Parts One, Two, Three and Four</w:t>
      </w:r>
      <w:r w:rsidR="00835FD1" w:rsidRPr="004D030A">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4D030A"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4D030A">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EADECC4" w14:textId="23BA612C" w:rsidR="006263D6" w:rsidRDefault="009B07AD" w:rsidP="00CF544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FB660D">
        <w:rPr>
          <w:rFonts w:ascii="Arial" w:hAnsi="Arial" w:cs="Arial"/>
          <w:color w:val="7B7B7B" w:themeColor="accent3" w:themeShade="BF"/>
          <w:sz w:val="22"/>
          <w:szCs w:val="22"/>
          <w:lang w:val="en-GB"/>
        </w:rPr>
        <w:t xml:space="preserve">COMI of a debtor </w:t>
      </w:r>
      <w:r w:rsidR="00593853">
        <w:rPr>
          <w:rFonts w:ascii="Arial" w:hAnsi="Arial" w:cs="Arial"/>
          <w:color w:val="7B7B7B" w:themeColor="accent3" w:themeShade="BF"/>
          <w:sz w:val="22"/>
          <w:szCs w:val="22"/>
          <w:lang w:val="en-GB"/>
        </w:rPr>
        <w:t xml:space="preserve">is not defined in the MLCBI but understood to refer to </w:t>
      </w:r>
      <w:r w:rsidR="00FB660D">
        <w:rPr>
          <w:rFonts w:ascii="Arial" w:hAnsi="Arial" w:cs="Arial"/>
          <w:color w:val="7B7B7B" w:themeColor="accent3" w:themeShade="BF"/>
          <w:sz w:val="22"/>
          <w:szCs w:val="22"/>
          <w:lang w:val="en-GB"/>
        </w:rPr>
        <w:t>the Centre of the Main Interests of the debtor while establishment</w:t>
      </w:r>
      <w:r w:rsidR="006263D6">
        <w:rPr>
          <w:rFonts w:ascii="Arial" w:hAnsi="Arial" w:cs="Arial"/>
          <w:color w:val="7B7B7B" w:themeColor="accent3" w:themeShade="BF"/>
          <w:sz w:val="22"/>
          <w:szCs w:val="22"/>
          <w:lang w:val="en-GB"/>
        </w:rPr>
        <w:t xml:space="preserve"> according to article 2(f) of the MCLBI place where the debtor carries out a non- transitory economic activity with human means and goods or services.</w:t>
      </w:r>
      <w:r w:rsidR="00FB660D">
        <w:rPr>
          <w:rFonts w:ascii="Arial" w:hAnsi="Arial" w:cs="Arial"/>
          <w:color w:val="7B7B7B" w:themeColor="accent3" w:themeShade="BF"/>
          <w:sz w:val="22"/>
          <w:szCs w:val="22"/>
          <w:lang w:val="en-GB"/>
        </w:rPr>
        <w:t xml:space="preserve"> </w:t>
      </w:r>
    </w:p>
    <w:p w14:paraId="402E8BE8" w14:textId="77777777" w:rsidR="00BE6C44" w:rsidRDefault="00BE6C44" w:rsidP="00CF5448">
      <w:pPr>
        <w:jc w:val="both"/>
        <w:rPr>
          <w:rFonts w:ascii="Arial" w:hAnsi="Arial" w:cs="Arial"/>
          <w:color w:val="7B7B7B" w:themeColor="accent3" w:themeShade="BF"/>
          <w:sz w:val="22"/>
          <w:szCs w:val="22"/>
          <w:lang w:val="en-GB"/>
        </w:rPr>
      </w:pPr>
    </w:p>
    <w:p w14:paraId="5DC477F1" w14:textId="54BA2297" w:rsidR="006263D6" w:rsidRDefault="00FB660D" w:rsidP="00CF54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COMI and establishment are critical for recognition of foreign proceedings. Proceedings commenced in a jurisdiction where the debtor has COMI </w:t>
      </w:r>
      <w:r w:rsidR="00593853">
        <w:rPr>
          <w:rFonts w:ascii="Arial" w:hAnsi="Arial" w:cs="Arial"/>
          <w:color w:val="7B7B7B" w:themeColor="accent3" w:themeShade="BF"/>
          <w:sz w:val="22"/>
          <w:szCs w:val="22"/>
          <w:lang w:val="en-GB"/>
        </w:rPr>
        <w:t xml:space="preserve">are according to article 2(b) of the MLCBI </w:t>
      </w:r>
      <w:r>
        <w:rPr>
          <w:rFonts w:ascii="Arial" w:hAnsi="Arial" w:cs="Arial"/>
          <w:color w:val="7B7B7B" w:themeColor="accent3" w:themeShade="BF"/>
          <w:sz w:val="22"/>
          <w:szCs w:val="22"/>
          <w:lang w:val="en-GB"/>
        </w:rPr>
        <w:t xml:space="preserve">recognised as main proceedings </w:t>
      </w:r>
      <w:r w:rsidR="00593853">
        <w:rPr>
          <w:rFonts w:ascii="Arial" w:hAnsi="Arial" w:cs="Arial"/>
          <w:color w:val="7B7B7B" w:themeColor="accent3" w:themeShade="BF"/>
          <w:sz w:val="22"/>
          <w:szCs w:val="22"/>
          <w:lang w:val="en-GB"/>
        </w:rPr>
        <w:t xml:space="preserve">while </w:t>
      </w:r>
      <w:r>
        <w:rPr>
          <w:rFonts w:ascii="Arial" w:hAnsi="Arial" w:cs="Arial"/>
          <w:color w:val="7B7B7B" w:themeColor="accent3" w:themeShade="BF"/>
          <w:sz w:val="22"/>
          <w:szCs w:val="22"/>
          <w:lang w:val="en-GB"/>
        </w:rPr>
        <w:t xml:space="preserve">those in jurisdictions where the debtor as an establishment </w:t>
      </w:r>
      <w:r w:rsidR="00593853">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recognised as foreign non- main proceedings</w:t>
      </w:r>
      <w:r w:rsidR="00593853">
        <w:rPr>
          <w:rFonts w:ascii="Arial" w:hAnsi="Arial" w:cs="Arial"/>
          <w:color w:val="7B7B7B" w:themeColor="accent3" w:themeShade="BF"/>
          <w:sz w:val="22"/>
          <w:szCs w:val="22"/>
          <w:lang w:val="en-GB"/>
        </w:rPr>
        <w:t xml:space="preserve"> (article 2(c)</w:t>
      </w:r>
      <w:r>
        <w:rPr>
          <w:rFonts w:ascii="Arial" w:hAnsi="Arial" w:cs="Arial"/>
          <w:color w:val="7B7B7B" w:themeColor="accent3" w:themeShade="BF"/>
          <w:sz w:val="22"/>
          <w:szCs w:val="22"/>
          <w:lang w:val="en-GB"/>
        </w:rPr>
        <w:t xml:space="preserve">. </w:t>
      </w:r>
    </w:p>
    <w:p w14:paraId="03CDD67F" w14:textId="77777777" w:rsidR="00BE6C44" w:rsidRDefault="00BE6C44" w:rsidP="00CF5448">
      <w:pPr>
        <w:jc w:val="both"/>
        <w:rPr>
          <w:rFonts w:ascii="Arial" w:hAnsi="Arial" w:cs="Arial"/>
          <w:color w:val="7B7B7B" w:themeColor="accent3" w:themeShade="BF"/>
          <w:sz w:val="22"/>
          <w:szCs w:val="22"/>
          <w:lang w:val="en-GB"/>
        </w:rPr>
      </w:pPr>
    </w:p>
    <w:p w14:paraId="60B8B7C8" w14:textId="77777777" w:rsidR="00BB4C57" w:rsidRDefault="003A0438" w:rsidP="00CF54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 of the MLCBI provides for recognition of proceedings. This is subject to meeting the requirements in other provisions. A key issue in relation to the determination of foreign proceedings is the relevant period for determination of the debtor’s COMI. The presumption is that a debtor’s COMI is situated in the place </w:t>
      </w:r>
      <w:proofErr w:type="spellStart"/>
      <w:proofErr w:type="gramStart"/>
      <w:r>
        <w:rPr>
          <w:rFonts w:ascii="Arial" w:hAnsi="Arial" w:cs="Arial"/>
          <w:color w:val="7B7B7B" w:themeColor="accent3" w:themeShade="BF"/>
          <w:sz w:val="22"/>
          <w:szCs w:val="22"/>
          <w:lang w:val="en-GB"/>
        </w:rPr>
        <w:t>were</w:t>
      </w:r>
      <w:proofErr w:type="spellEnd"/>
      <w:proofErr w:type="gramEnd"/>
      <w:r>
        <w:rPr>
          <w:rFonts w:ascii="Arial" w:hAnsi="Arial" w:cs="Arial"/>
          <w:color w:val="7B7B7B" w:themeColor="accent3" w:themeShade="BF"/>
          <w:sz w:val="22"/>
          <w:szCs w:val="22"/>
          <w:lang w:val="en-GB"/>
        </w:rPr>
        <w:t xml:space="preserve"> the </w:t>
      </w:r>
      <w:r w:rsidR="00970146">
        <w:rPr>
          <w:rFonts w:ascii="Arial" w:hAnsi="Arial" w:cs="Arial"/>
          <w:color w:val="7B7B7B" w:themeColor="accent3" w:themeShade="BF"/>
          <w:sz w:val="22"/>
          <w:szCs w:val="22"/>
          <w:lang w:val="en-GB"/>
        </w:rPr>
        <w:t xml:space="preserve">debtor has a registered office. However, this is rebuttable and it is widely acknowledged that a debtor’s centre of main </w:t>
      </w:r>
      <w:proofErr w:type="gramStart"/>
      <w:r w:rsidR="00970146">
        <w:rPr>
          <w:rFonts w:ascii="Arial" w:hAnsi="Arial" w:cs="Arial"/>
          <w:color w:val="7B7B7B" w:themeColor="accent3" w:themeShade="BF"/>
          <w:sz w:val="22"/>
          <w:szCs w:val="22"/>
          <w:lang w:val="en-GB"/>
        </w:rPr>
        <w:t>interests</w:t>
      </w:r>
      <w:proofErr w:type="gramEnd"/>
      <w:r w:rsidR="00970146">
        <w:rPr>
          <w:rFonts w:ascii="Arial" w:hAnsi="Arial" w:cs="Arial"/>
          <w:color w:val="7B7B7B" w:themeColor="accent3" w:themeShade="BF"/>
          <w:sz w:val="22"/>
          <w:szCs w:val="22"/>
          <w:lang w:val="en-GB"/>
        </w:rPr>
        <w:t xml:space="preserve"> main be different from where the debtor has a registered office.  It is also acknowledged that a </w:t>
      </w:r>
      <w:r w:rsidR="00970146">
        <w:rPr>
          <w:rFonts w:ascii="Arial" w:hAnsi="Arial" w:cs="Arial"/>
          <w:color w:val="7B7B7B" w:themeColor="accent3" w:themeShade="BF"/>
          <w:sz w:val="22"/>
          <w:szCs w:val="22"/>
          <w:lang w:val="en-GB"/>
        </w:rPr>
        <w:lastRenderedPageBreak/>
        <w:t xml:space="preserve">debtor, may, for commercial or other reasons move COMI. However, for purposes of consistency in application of the Model Law and to avoid forum shopping, it is important that courts have a clear reference date for purposes of determining COMI. </w:t>
      </w:r>
    </w:p>
    <w:p w14:paraId="5A0FB9BD" w14:textId="77777777" w:rsidR="00BB4C57" w:rsidRDefault="00BB4C57" w:rsidP="00CF5448">
      <w:pPr>
        <w:jc w:val="both"/>
        <w:rPr>
          <w:rFonts w:ascii="Arial" w:hAnsi="Arial" w:cs="Arial"/>
          <w:color w:val="7B7B7B" w:themeColor="accent3" w:themeShade="BF"/>
          <w:sz w:val="22"/>
          <w:szCs w:val="22"/>
          <w:lang w:val="en-GB"/>
        </w:rPr>
      </w:pPr>
    </w:p>
    <w:p w14:paraId="1BEE73D1" w14:textId="77777777" w:rsidR="00CF5448" w:rsidRDefault="00BB4C57" w:rsidP="00CF54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6F783E">
        <w:rPr>
          <w:rFonts w:ascii="Arial" w:hAnsi="Arial" w:cs="Arial"/>
          <w:color w:val="7B7B7B" w:themeColor="accent3" w:themeShade="BF"/>
          <w:sz w:val="22"/>
          <w:szCs w:val="22"/>
          <w:lang w:val="en-GB"/>
        </w:rPr>
        <w:t>MLCBI does not prescribe the relevant date for purposes of determining a debtor’s COMI hence four possible dates, each with pros and cons:</w:t>
      </w:r>
      <w:r w:rsidR="006F783E">
        <w:rPr>
          <w:rFonts w:ascii="Arial" w:hAnsi="Arial" w:cs="Arial"/>
          <w:color w:val="7B7B7B" w:themeColor="accent3" w:themeShade="BF"/>
          <w:sz w:val="22"/>
          <w:szCs w:val="22"/>
          <w:lang w:val="en-GB"/>
        </w:rPr>
        <w:tab/>
      </w:r>
    </w:p>
    <w:p w14:paraId="29931270" w14:textId="719FD655" w:rsidR="00BB4C57" w:rsidRDefault="00BB4C57" w:rsidP="00CF5448">
      <w:pPr>
        <w:ind w:left="284"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br/>
        <w:t>a) the debt of commencement of foreign proceedings- this does not consider the operational history of the debtor and re</w:t>
      </w:r>
      <w:r w:rsidR="00BF14A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ognises that COMI may shift</w:t>
      </w:r>
      <w:r w:rsidR="00BF14A3">
        <w:rPr>
          <w:rFonts w:ascii="Arial" w:hAnsi="Arial" w:cs="Arial"/>
          <w:color w:val="7B7B7B" w:themeColor="accent3" w:themeShade="BF"/>
          <w:sz w:val="22"/>
          <w:szCs w:val="22"/>
          <w:lang w:val="en-GB"/>
        </w:rPr>
        <w:t xml:space="preserve"> but only up to the point of commencement of proceedings. This approach allows for consistency of decisions or approach in a situation where there might be multiple applications for recognition of proceedings made in various jurisdictions.</w:t>
      </w:r>
    </w:p>
    <w:p w14:paraId="552A00C8" w14:textId="21DEF13F" w:rsidR="00BB4C57" w:rsidRDefault="00BB4C57" w:rsidP="00CF5448">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CF544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d</w:t>
      </w:r>
      <w:r w:rsidR="00BF14A3">
        <w:rPr>
          <w:rFonts w:ascii="Arial" w:hAnsi="Arial" w:cs="Arial"/>
          <w:color w:val="7B7B7B" w:themeColor="accent3" w:themeShade="BF"/>
          <w:sz w:val="22"/>
          <w:szCs w:val="22"/>
          <w:lang w:val="en-GB"/>
        </w:rPr>
        <w:t>ate</w:t>
      </w:r>
      <w:r>
        <w:rPr>
          <w:rFonts w:ascii="Arial" w:hAnsi="Arial" w:cs="Arial"/>
          <w:color w:val="7B7B7B" w:themeColor="accent3" w:themeShade="BF"/>
          <w:sz w:val="22"/>
          <w:szCs w:val="22"/>
          <w:lang w:val="en-GB"/>
        </w:rPr>
        <w:t xml:space="preserve"> of the application for re</w:t>
      </w:r>
      <w:r w:rsidR="00BF14A3">
        <w:rPr>
          <w:rFonts w:ascii="Arial" w:hAnsi="Arial" w:cs="Arial"/>
          <w:color w:val="7B7B7B" w:themeColor="accent3" w:themeShade="BF"/>
          <w:sz w:val="22"/>
          <w:szCs w:val="22"/>
          <w:lang w:val="en-GB"/>
        </w:rPr>
        <w:t>co</w:t>
      </w:r>
      <w:r>
        <w:rPr>
          <w:rFonts w:ascii="Arial" w:hAnsi="Arial" w:cs="Arial"/>
          <w:color w:val="7B7B7B" w:themeColor="accent3" w:themeShade="BF"/>
          <w:sz w:val="22"/>
          <w:szCs w:val="22"/>
          <w:lang w:val="en-GB"/>
        </w:rPr>
        <w:t>gnition</w:t>
      </w:r>
      <w:r w:rsidR="00BF14A3">
        <w:rPr>
          <w:rFonts w:ascii="Arial" w:hAnsi="Arial" w:cs="Arial"/>
          <w:color w:val="7B7B7B" w:themeColor="accent3" w:themeShade="BF"/>
          <w:sz w:val="22"/>
          <w:szCs w:val="22"/>
          <w:lang w:val="en-GB"/>
        </w:rPr>
        <w:t>- this approach recognises that debtors may shift COMI for purposes of moving to a jurisdiction where they may obtain the best outcome</w:t>
      </w:r>
      <w:r w:rsidR="004934F3">
        <w:rPr>
          <w:rFonts w:ascii="Arial" w:hAnsi="Arial" w:cs="Arial"/>
          <w:color w:val="7B7B7B" w:themeColor="accent3" w:themeShade="BF"/>
          <w:sz w:val="22"/>
          <w:szCs w:val="22"/>
          <w:lang w:val="en-GB"/>
        </w:rPr>
        <w:t xml:space="preserve"> for purposes of restructuring.</w:t>
      </w:r>
    </w:p>
    <w:p w14:paraId="014E187B" w14:textId="655B602C" w:rsidR="00BB4C57" w:rsidRDefault="00BB4C57" w:rsidP="00CF5448">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the date of deciding the application for recognition-</w:t>
      </w:r>
      <w:r w:rsidR="004934F3">
        <w:rPr>
          <w:rFonts w:ascii="Arial" w:hAnsi="Arial" w:cs="Arial"/>
          <w:color w:val="7B7B7B" w:themeColor="accent3" w:themeShade="BF"/>
          <w:sz w:val="22"/>
          <w:szCs w:val="22"/>
          <w:lang w:val="en-GB"/>
        </w:rPr>
        <w:t xml:space="preserve"> this approach allows a court to take into account the most recent circumstances of the debtor.</w:t>
      </w:r>
    </w:p>
    <w:p w14:paraId="38E51C75" w14:textId="77777777" w:rsidR="00CF5448" w:rsidRDefault="00BB4C57" w:rsidP="00CF5448">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CF544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date determined by </w:t>
      </w:r>
      <w:r w:rsidR="006F783E">
        <w:rPr>
          <w:rFonts w:ascii="Arial" w:hAnsi="Arial" w:cs="Arial"/>
          <w:color w:val="7B7B7B" w:themeColor="accent3" w:themeShade="BF"/>
          <w:sz w:val="22"/>
          <w:szCs w:val="22"/>
          <w:lang w:val="en-GB"/>
        </w:rPr>
        <w:t>referring</w:t>
      </w:r>
      <w:r>
        <w:rPr>
          <w:rFonts w:ascii="Arial" w:hAnsi="Arial" w:cs="Arial"/>
          <w:color w:val="7B7B7B" w:themeColor="accent3" w:themeShade="BF"/>
          <w:sz w:val="22"/>
          <w:szCs w:val="22"/>
          <w:lang w:val="en-GB"/>
        </w:rPr>
        <w:t xml:space="preserve"> to the operational history of the debtor</w:t>
      </w:r>
      <w:r w:rsidR="006F783E">
        <w:rPr>
          <w:rFonts w:ascii="Arial" w:hAnsi="Arial" w:cs="Arial"/>
          <w:color w:val="7B7B7B" w:themeColor="accent3" w:themeShade="BF"/>
          <w:sz w:val="22"/>
          <w:szCs w:val="22"/>
          <w:lang w:val="en-GB"/>
        </w:rPr>
        <w:t>- this approach may prevent opportunistic COMI shifting but is the least favoured because it may lead to insistent</w:t>
      </w:r>
      <w:r w:rsidR="00CF5448">
        <w:rPr>
          <w:rFonts w:ascii="Arial" w:hAnsi="Arial" w:cs="Arial"/>
          <w:color w:val="7B7B7B" w:themeColor="accent3" w:themeShade="BF"/>
          <w:sz w:val="22"/>
          <w:szCs w:val="22"/>
          <w:lang w:val="en-GB"/>
        </w:rPr>
        <w:t xml:space="preserve"> outcomes.</w:t>
      </w:r>
    </w:p>
    <w:p w14:paraId="131EE816" w14:textId="77777777" w:rsidR="00BE6C44" w:rsidRDefault="00BE6C44" w:rsidP="00CF5448">
      <w:pPr>
        <w:jc w:val="both"/>
        <w:rPr>
          <w:rFonts w:ascii="Arial" w:hAnsi="Arial" w:cs="Arial"/>
          <w:color w:val="7B7B7B" w:themeColor="accent3" w:themeShade="BF"/>
          <w:sz w:val="22"/>
          <w:szCs w:val="22"/>
          <w:lang w:val="en-GB"/>
        </w:rPr>
      </w:pPr>
    </w:p>
    <w:p w14:paraId="57BCFC30" w14:textId="40FF0B29" w:rsidR="009B07AD" w:rsidRPr="009B5832" w:rsidRDefault="00CF5448" w:rsidP="00CF5448">
      <w:pPr>
        <w:jc w:val="both"/>
        <w:rPr>
          <w:rFonts w:ascii="Arial" w:hAnsi="Arial" w:cs="Arial"/>
          <w:sz w:val="22"/>
          <w:szCs w:val="22"/>
          <w:lang w:val="en-GB"/>
        </w:rPr>
      </w:pPr>
      <w:r>
        <w:rPr>
          <w:rFonts w:ascii="Arial" w:hAnsi="Arial" w:cs="Arial"/>
          <w:color w:val="7B7B7B" w:themeColor="accent3" w:themeShade="BF"/>
          <w:sz w:val="22"/>
          <w:szCs w:val="22"/>
          <w:lang w:val="en-GB"/>
        </w:rPr>
        <w:t xml:space="preserve">Both the guide to enactment and the practice guide </w:t>
      </w:r>
      <w:proofErr w:type="gramStart"/>
      <w:r>
        <w:rPr>
          <w:rFonts w:ascii="Arial" w:hAnsi="Arial" w:cs="Arial"/>
          <w:color w:val="7B7B7B" w:themeColor="accent3" w:themeShade="BF"/>
          <w:sz w:val="22"/>
          <w:szCs w:val="22"/>
          <w:lang w:val="en-GB"/>
        </w:rPr>
        <w:t>recognise</w:t>
      </w:r>
      <w:proofErr w:type="gramEnd"/>
      <w:r>
        <w:rPr>
          <w:rFonts w:ascii="Arial" w:hAnsi="Arial" w:cs="Arial"/>
          <w:color w:val="7B7B7B" w:themeColor="accent3" w:themeShade="BF"/>
          <w:sz w:val="22"/>
          <w:szCs w:val="22"/>
          <w:lang w:val="en-GB"/>
        </w:rPr>
        <w:t xml:space="preserve"> that COMI may shift. What is critical for a court is to take into account any relevant factors including applying a </w:t>
      </w:r>
      <w:r w:rsidR="0035045C">
        <w:rPr>
          <w:rFonts w:ascii="Arial" w:hAnsi="Arial" w:cs="Arial"/>
          <w:color w:val="7B7B7B" w:themeColor="accent3" w:themeShade="BF"/>
          <w:sz w:val="22"/>
          <w:szCs w:val="22"/>
          <w:lang w:val="en-GB"/>
        </w:rPr>
        <w:t>third-party</w:t>
      </w:r>
      <w:r>
        <w:rPr>
          <w:rFonts w:ascii="Arial" w:hAnsi="Arial" w:cs="Arial"/>
          <w:color w:val="7B7B7B" w:themeColor="accent3" w:themeShade="BF"/>
          <w:sz w:val="22"/>
          <w:szCs w:val="22"/>
          <w:lang w:val="en-GB"/>
        </w:rPr>
        <w:t xml:space="preserve"> test, to determine the COMI of the debtor.</w:t>
      </w:r>
      <w:r w:rsidR="009B07AD"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77844735" w14:textId="27DAE1D5" w:rsidR="00C52D77" w:rsidRDefault="009B07AD" w:rsidP="00C52D77">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971CD5">
        <w:rPr>
          <w:rFonts w:ascii="Arial" w:hAnsi="Arial" w:cs="Arial"/>
          <w:color w:val="7B7B7B" w:themeColor="accent3" w:themeShade="BF"/>
          <w:sz w:val="22"/>
          <w:szCs w:val="22"/>
          <w:lang w:val="en-GB"/>
        </w:rPr>
        <w:t xml:space="preserve">Statement 1: </w:t>
      </w:r>
      <w:r w:rsidR="00C52D77">
        <w:rPr>
          <w:rFonts w:ascii="Arial" w:hAnsi="Arial" w:cs="Arial"/>
          <w:color w:val="7B7B7B" w:themeColor="accent3" w:themeShade="BF"/>
          <w:sz w:val="22"/>
          <w:szCs w:val="22"/>
          <w:lang w:val="en-GB"/>
        </w:rPr>
        <w:t>This statement relates to coordination of more than foreign proceedings and is provided for in article 30(c). It allows for modification or termination of relief for purposes of facilitating coordination of the proceedings.</w:t>
      </w:r>
    </w:p>
    <w:p w14:paraId="1316623A" w14:textId="77777777" w:rsidR="00C52D77" w:rsidRDefault="00C52D77" w:rsidP="00C52D77">
      <w:pPr>
        <w:jc w:val="both"/>
        <w:rPr>
          <w:rFonts w:ascii="Arial" w:hAnsi="Arial" w:cs="Arial"/>
          <w:color w:val="7B7B7B" w:themeColor="accent3" w:themeShade="BF"/>
          <w:sz w:val="22"/>
          <w:szCs w:val="22"/>
          <w:lang w:val="en-GB"/>
        </w:rPr>
      </w:pPr>
    </w:p>
    <w:p w14:paraId="73DD371A" w14:textId="67EE71A8" w:rsidR="00EC25BE" w:rsidRDefault="00C52D7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w:t>
      </w:r>
      <w:r w:rsidR="005C031D">
        <w:rPr>
          <w:rFonts w:ascii="Arial" w:hAnsi="Arial" w:cs="Arial"/>
          <w:color w:val="7B7B7B" w:themeColor="accent3" w:themeShade="BF"/>
          <w:sz w:val="22"/>
          <w:szCs w:val="22"/>
          <w:lang w:val="en-GB"/>
        </w:rPr>
        <w:t xml:space="preserve"> This statement refers to the exceptions to rule on automatic stay as provided for </w:t>
      </w:r>
      <w:r w:rsidR="00EC25BE">
        <w:rPr>
          <w:rFonts w:ascii="Arial" w:hAnsi="Arial" w:cs="Arial"/>
          <w:color w:val="7B7B7B" w:themeColor="accent3" w:themeShade="BF"/>
          <w:sz w:val="22"/>
          <w:szCs w:val="22"/>
          <w:lang w:val="en-GB"/>
        </w:rPr>
        <w:t xml:space="preserve">in article 20(1) (b) of the MLCB as </w:t>
      </w:r>
      <w:r w:rsidR="005C031D">
        <w:rPr>
          <w:rFonts w:ascii="Arial" w:hAnsi="Arial" w:cs="Arial"/>
          <w:color w:val="7B7B7B" w:themeColor="accent3" w:themeShade="BF"/>
          <w:sz w:val="22"/>
          <w:szCs w:val="22"/>
          <w:lang w:val="en-GB"/>
        </w:rPr>
        <w:t>one of the effects of recognition of foreign main proceedings.</w:t>
      </w:r>
      <w:r w:rsidR="00EC25BE">
        <w:rPr>
          <w:rFonts w:ascii="Arial" w:hAnsi="Arial" w:cs="Arial"/>
          <w:color w:val="7B7B7B" w:themeColor="accent3" w:themeShade="BF"/>
          <w:sz w:val="22"/>
          <w:szCs w:val="22"/>
          <w:lang w:val="en-GB"/>
        </w:rPr>
        <w:t xml:space="preserve"> The exception is provided for in article 20(2).</w:t>
      </w:r>
    </w:p>
    <w:p w14:paraId="418B25B4" w14:textId="77777777" w:rsidR="00EC25BE" w:rsidRDefault="00EC25BE" w:rsidP="00707FC8">
      <w:pPr>
        <w:ind w:left="720" w:hanging="720"/>
        <w:jc w:val="both"/>
        <w:rPr>
          <w:rFonts w:ascii="Arial" w:hAnsi="Arial" w:cs="Arial"/>
          <w:color w:val="7B7B7B" w:themeColor="accent3" w:themeShade="BF"/>
          <w:sz w:val="22"/>
          <w:szCs w:val="22"/>
          <w:lang w:val="en-GB"/>
        </w:rPr>
      </w:pPr>
    </w:p>
    <w:p w14:paraId="2F57801B" w14:textId="11D2236C" w:rsidR="009B07AD" w:rsidRPr="009B5832" w:rsidRDefault="00EC25BE"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w:t>
      </w:r>
      <w:r w:rsidR="004D030A">
        <w:rPr>
          <w:rFonts w:ascii="Arial" w:hAnsi="Arial" w:cs="Arial"/>
          <w:color w:val="7B7B7B" w:themeColor="accent3" w:themeShade="BF"/>
          <w:sz w:val="22"/>
          <w:szCs w:val="22"/>
          <w:lang w:val="en-GB"/>
        </w:rPr>
        <w:t xml:space="preserve"> This article refers to the rebuttable presumption in article 16(3) that the debtor’s registered office or habitual residence is the debtor’s COMI.</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lastRenderedPageBreak/>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8EC459E" w14:textId="77777777" w:rsidR="00D144C4" w:rsidRDefault="00C72848" w:rsidP="00D53E7F">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930C77">
        <w:rPr>
          <w:rFonts w:ascii="Arial" w:hAnsi="Arial" w:cs="Arial"/>
          <w:color w:val="7B7B7B" w:themeColor="accent3" w:themeShade="BF"/>
          <w:sz w:val="22"/>
          <w:szCs w:val="22"/>
          <w:lang w:val="en-GB"/>
        </w:rPr>
        <w:t xml:space="preserve">Article 20 of the MLCBI provides for automatic stay as one of the effects of recognition of foreign main proceedings. </w:t>
      </w:r>
      <w:r w:rsidRPr="009B5832">
        <w:rPr>
          <w:rFonts w:ascii="Arial" w:hAnsi="Arial" w:cs="Arial"/>
          <w:color w:val="7B7B7B" w:themeColor="accent3" w:themeShade="BF"/>
          <w:sz w:val="22"/>
          <w:szCs w:val="22"/>
          <w:lang w:val="en-GB"/>
        </w:rPr>
        <w:t>T</w:t>
      </w:r>
      <w:r w:rsidR="00930C77">
        <w:rPr>
          <w:rFonts w:ascii="Arial" w:hAnsi="Arial" w:cs="Arial"/>
          <w:color w:val="7B7B7B" w:themeColor="accent3" w:themeShade="BF"/>
          <w:sz w:val="22"/>
          <w:szCs w:val="22"/>
          <w:lang w:val="en-GB"/>
        </w:rPr>
        <w:t xml:space="preserve">he objective is to allow for orderly conduct of the debtor’s affairs. One of the issues </w:t>
      </w:r>
      <w:proofErr w:type="gramStart"/>
      <w:r w:rsidR="00930C77">
        <w:rPr>
          <w:rFonts w:ascii="Arial" w:hAnsi="Arial" w:cs="Arial"/>
          <w:color w:val="7B7B7B" w:themeColor="accent3" w:themeShade="BF"/>
          <w:sz w:val="22"/>
          <w:szCs w:val="22"/>
          <w:lang w:val="en-GB"/>
        </w:rPr>
        <w:t>court</w:t>
      </w:r>
      <w:proofErr w:type="gramEnd"/>
      <w:r w:rsidR="00930C77">
        <w:rPr>
          <w:rFonts w:ascii="Arial" w:hAnsi="Arial" w:cs="Arial"/>
          <w:color w:val="7B7B7B" w:themeColor="accent3" w:themeShade="BF"/>
          <w:sz w:val="22"/>
          <w:szCs w:val="22"/>
          <w:lang w:val="en-GB"/>
        </w:rPr>
        <w:t xml:space="preserve"> had to deal with in the IBA case was whether the automatic stay or moratorium can stay can remain in place following termination of the insolvency proceedings. </w:t>
      </w:r>
      <w:r w:rsidR="003501F6">
        <w:rPr>
          <w:rFonts w:ascii="Arial" w:hAnsi="Arial" w:cs="Arial"/>
          <w:color w:val="7B7B7B" w:themeColor="accent3" w:themeShade="BF"/>
          <w:sz w:val="22"/>
          <w:szCs w:val="22"/>
          <w:lang w:val="en-GB"/>
        </w:rPr>
        <w:t xml:space="preserve">In the IBA case, proceedings in Azerbaijan were recognised in the UK under the Cross Broder Insolvency Regulation. </w:t>
      </w:r>
      <w:r w:rsidR="00436113">
        <w:rPr>
          <w:rFonts w:ascii="Arial" w:hAnsi="Arial" w:cs="Arial"/>
          <w:color w:val="7B7B7B" w:themeColor="accent3" w:themeShade="BF"/>
          <w:sz w:val="22"/>
          <w:szCs w:val="22"/>
          <w:lang w:val="en-GB"/>
        </w:rPr>
        <w:t xml:space="preserve"> A restructuring plan that was binding on all creditors was approved under Azeri law. The foreign representative applied for indefinite continuation of the automatic stay/ moratorium with the objective of preventing the two English creditors who had opted not to submit to the Azeri proceedings, from pursing their claims in England. </w:t>
      </w:r>
      <w:r w:rsidR="00930C77">
        <w:rPr>
          <w:rFonts w:ascii="Arial" w:hAnsi="Arial" w:cs="Arial"/>
          <w:color w:val="7B7B7B" w:themeColor="accent3" w:themeShade="BF"/>
          <w:sz w:val="22"/>
          <w:szCs w:val="22"/>
          <w:lang w:val="en-GB"/>
        </w:rPr>
        <w:t xml:space="preserve"> </w:t>
      </w:r>
      <w:r w:rsidR="00D144C4">
        <w:rPr>
          <w:rFonts w:ascii="Arial" w:hAnsi="Arial" w:cs="Arial"/>
          <w:color w:val="7B7B7B" w:themeColor="accent3" w:themeShade="BF"/>
          <w:sz w:val="22"/>
          <w:szCs w:val="22"/>
          <w:lang w:val="en-GB"/>
        </w:rPr>
        <w:t xml:space="preserve">The judge declined to grant the application and was not persuaded by the BTA Bank case where it had been allowed. </w:t>
      </w:r>
    </w:p>
    <w:p w14:paraId="3247C642" w14:textId="77777777" w:rsidR="00D144C4" w:rsidRDefault="00D144C4" w:rsidP="00D53E7F">
      <w:pPr>
        <w:jc w:val="both"/>
        <w:rPr>
          <w:rFonts w:ascii="Arial" w:hAnsi="Arial" w:cs="Arial"/>
          <w:color w:val="7B7B7B" w:themeColor="accent3" w:themeShade="BF"/>
          <w:sz w:val="22"/>
          <w:szCs w:val="22"/>
          <w:lang w:val="en-GB"/>
        </w:rPr>
      </w:pPr>
    </w:p>
    <w:p w14:paraId="78DB9FD8" w14:textId="0C182856" w:rsidR="00C72848" w:rsidRPr="009B5832" w:rsidRDefault="00D144C4" w:rsidP="00D53E7F">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two cases can be distinguished. In the BTA Bank case, there were no opposing creditors while in the IBA case, allowing an indefinite moratorium would have the effect </w:t>
      </w:r>
      <w:proofErr w:type="gramStart"/>
      <w:r>
        <w:rPr>
          <w:rFonts w:ascii="Arial" w:hAnsi="Arial" w:cs="Arial"/>
          <w:color w:val="7B7B7B" w:themeColor="accent3" w:themeShade="BF"/>
          <w:sz w:val="22"/>
          <w:szCs w:val="22"/>
          <w:lang w:val="en-GB"/>
        </w:rPr>
        <w:t>of  preventing</w:t>
      </w:r>
      <w:proofErr w:type="gramEnd"/>
      <w:r>
        <w:rPr>
          <w:rFonts w:ascii="Arial" w:hAnsi="Arial" w:cs="Arial"/>
          <w:color w:val="7B7B7B" w:themeColor="accent3" w:themeShade="BF"/>
          <w:sz w:val="22"/>
          <w:szCs w:val="22"/>
          <w:lang w:val="en-GB"/>
        </w:rPr>
        <w:t xml:space="preserve"> the challenging creditors from pursing their claims</w:t>
      </w:r>
      <w:r w:rsidR="00451D2B">
        <w:rPr>
          <w:rFonts w:ascii="Arial" w:hAnsi="Arial" w:cs="Arial"/>
          <w:color w:val="7B7B7B" w:themeColor="accent3" w:themeShade="BF"/>
          <w:sz w:val="22"/>
          <w:szCs w:val="22"/>
          <w:lang w:val="en-GB"/>
        </w:rPr>
        <w:t xml:space="preserve"> under the GIBS rule ( a</w:t>
      </w:r>
      <w:r w:rsidR="00D53E7F">
        <w:rPr>
          <w:rFonts w:ascii="Arial" w:hAnsi="Arial" w:cs="Arial"/>
          <w:color w:val="7B7B7B" w:themeColor="accent3" w:themeShade="BF"/>
          <w:sz w:val="22"/>
          <w:szCs w:val="22"/>
          <w:lang w:val="en-GB"/>
        </w:rPr>
        <w:t xml:space="preserve"> principle arising out of the Anthony Gibbs case  that a debt governed by English law  cannot be discharged or compromised by foreign insolvency proceedings  unless the creditor voluntarily submits to the insolvency proceedings)</w:t>
      </w:r>
      <w:r w:rsidR="00451D2B">
        <w:rPr>
          <w:rFonts w:ascii="Arial" w:hAnsi="Arial" w:cs="Arial"/>
          <w:color w:val="7B7B7B" w:themeColor="accent3" w:themeShade="BF"/>
          <w:sz w:val="22"/>
          <w:szCs w:val="22"/>
          <w:lang w:val="en-GB"/>
        </w:rPr>
        <w:t>.</w:t>
      </w:r>
      <w:r w:rsidR="00C72848" w:rsidRPr="009B583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1DDF54E" w14:textId="15BD2582" w:rsidR="00A30A06" w:rsidRDefault="0041139B" w:rsidP="00010E79">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A30A06">
        <w:rPr>
          <w:rFonts w:ascii="Arial" w:hAnsi="Arial" w:cs="Arial"/>
          <w:color w:val="7B7B7B" w:themeColor="accent3" w:themeShade="BF"/>
          <w:sz w:val="22"/>
          <w:szCs w:val="22"/>
          <w:lang w:val="en-GB"/>
        </w:rPr>
        <w:t>Article 20 of the MLCBI</w:t>
      </w:r>
      <w:r w:rsidR="002415F9">
        <w:rPr>
          <w:rFonts w:ascii="Arial" w:hAnsi="Arial" w:cs="Arial"/>
          <w:color w:val="7B7B7B" w:themeColor="accent3" w:themeShade="BF"/>
          <w:sz w:val="22"/>
          <w:szCs w:val="22"/>
          <w:lang w:val="en-GB"/>
        </w:rPr>
        <w:t xml:space="preserve"> provides </w:t>
      </w:r>
      <w:r w:rsidR="00B34856">
        <w:rPr>
          <w:rFonts w:ascii="Arial" w:hAnsi="Arial" w:cs="Arial"/>
          <w:color w:val="7B7B7B" w:themeColor="accent3" w:themeShade="BF"/>
          <w:sz w:val="22"/>
          <w:szCs w:val="22"/>
          <w:lang w:val="en-GB"/>
        </w:rPr>
        <w:t>for effects of recognition of a foreign main proceeding. This includes a stay on commencement or continuation of proceedings concerning the debtor’s assets, rights, obligations or liabilities. In situations where a domestic proceeding has already been opened,</w:t>
      </w:r>
      <w:r w:rsidR="00A24634">
        <w:rPr>
          <w:rFonts w:ascii="Arial" w:hAnsi="Arial" w:cs="Arial"/>
          <w:color w:val="7B7B7B" w:themeColor="accent3" w:themeShade="BF"/>
          <w:sz w:val="22"/>
          <w:szCs w:val="22"/>
          <w:lang w:val="en-GB"/>
        </w:rPr>
        <w:t xml:space="preserve"> </w:t>
      </w:r>
      <w:r w:rsidR="002415F9">
        <w:rPr>
          <w:rFonts w:ascii="Arial" w:hAnsi="Arial" w:cs="Arial"/>
          <w:color w:val="7B7B7B" w:themeColor="accent3" w:themeShade="BF"/>
          <w:sz w:val="22"/>
          <w:szCs w:val="22"/>
          <w:lang w:val="en-GB"/>
        </w:rPr>
        <w:t xml:space="preserve">recognition of foreign main proceedings </w:t>
      </w:r>
      <w:r w:rsidR="00A24634">
        <w:rPr>
          <w:rFonts w:ascii="Arial" w:hAnsi="Arial" w:cs="Arial"/>
          <w:color w:val="7B7B7B" w:themeColor="accent3" w:themeShade="BF"/>
          <w:sz w:val="22"/>
          <w:szCs w:val="22"/>
          <w:lang w:val="en-GB"/>
        </w:rPr>
        <w:t xml:space="preserve">does not lead to automatic suspension of </w:t>
      </w:r>
      <w:r w:rsidR="003127AE">
        <w:rPr>
          <w:rFonts w:ascii="Arial" w:hAnsi="Arial" w:cs="Arial"/>
          <w:color w:val="7B7B7B" w:themeColor="accent3" w:themeShade="BF"/>
          <w:sz w:val="22"/>
          <w:szCs w:val="22"/>
          <w:lang w:val="en-GB"/>
        </w:rPr>
        <w:t xml:space="preserve">the domestic </w:t>
      </w:r>
      <w:r w:rsidR="00A24634">
        <w:rPr>
          <w:rFonts w:ascii="Arial" w:hAnsi="Arial" w:cs="Arial"/>
          <w:color w:val="7B7B7B" w:themeColor="accent3" w:themeShade="BF"/>
          <w:sz w:val="22"/>
          <w:szCs w:val="22"/>
          <w:lang w:val="en-GB"/>
        </w:rPr>
        <w:t xml:space="preserve">proceedings. The </w:t>
      </w:r>
      <w:r w:rsidR="003127AE">
        <w:rPr>
          <w:rFonts w:ascii="Arial" w:hAnsi="Arial" w:cs="Arial"/>
          <w:color w:val="7B7B7B" w:themeColor="accent3" w:themeShade="BF"/>
          <w:sz w:val="22"/>
          <w:szCs w:val="22"/>
          <w:lang w:val="en-GB"/>
        </w:rPr>
        <w:t xml:space="preserve">modified universalism approach of the model law recognises that it is not practical to resolve cross boarder insolvency matters under a single forum. The </w:t>
      </w:r>
      <w:r w:rsidR="00A24634">
        <w:rPr>
          <w:rFonts w:ascii="Arial" w:hAnsi="Arial" w:cs="Arial"/>
          <w:color w:val="7B7B7B" w:themeColor="accent3" w:themeShade="BF"/>
          <w:sz w:val="22"/>
          <w:szCs w:val="22"/>
          <w:lang w:val="en-GB"/>
        </w:rPr>
        <w:t>court has an obligation to determine whether it is necessary to continue those</w:t>
      </w:r>
      <w:r w:rsidR="00C36716">
        <w:rPr>
          <w:rFonts w:ascii="Arial" w:hAnsi="Arial" w:cs="Arial"/>
          <w:color w:val="7B7B7B" w:themeColor="accent3" w:themeShade="BF"/>
          <w:sz w:val="22"/>
          <w:szCs w:val="22"/>
          <w:lang w:val="en-GB"/>
        </w:rPr>
        <w:t xml:space="preserve"> proceedings within the exceptions permitted by article 20(2) or whether it is necessary to take further action to</w:t>
      </w:r>
      <w:r w:rsidR="00010E79">
        <w:rPr>
          <w:rFonts w:ascii="Arial" w:hAnsi="Arial" w:cs="Arial"/>
          <w:color w:val="7B7B7B" w:themeColor="accent3" w:themeShade="BF"/>
          <w:sz w:val="22"/>
          <w:szCs w:val="22"/>
          <w:lang w:val="en-GB"/>
        </w:rPr>
        <w:t xml:space="preserve"> protect the interests of creditors.</w:t>
      </w:r>
      <w:r w:rsidR="003127AE">
        <w:rPr>
          <w:rFonts w:ascii="Arial" w:hAnsi="Arial" w:cs="Arial"/>
          <w:color w:val="7B7B7B" w:themeColor="accent3" w:themeShade="BF"/>
          <w:sz w:val="22"/>
          <w:szCs w:val="22"/>
          <w:lang w:val="en-GB"/>
        </w:rPr>
        <w:t xml:space="preserve"> The court will also consider the nature of relief to be granted to ensure that it is not inconsistent with or does not prejudice local proceedings.</w:t>
      </w:r>
    </w:p>
    <w:p w14:paraId="09DE2CCF" w14:textId="77777777" w:rsidR="00A30A06" w:rsidRDefault="00A30A06" w:rsidP="00010E79">
      <w:pPr>
        <w:jc w:val="both"/>
        <w:rPr>
          <w:rFonts w:ascii="Arial" w:hAnsi="Arial" w:cs="Arial"/>
          <w:color w:val="7B7B7B" w:themeColor="accent3" w:themeShade="BF"/>
          <w:sz w:val="22"/>
          <w:szCs w:val="22"/>
          <w:lang w:val="en-GB"/>
        </w:rPr>
      </w:pPr>
    </w:p>
    <w:p w14:paraId="15EE2B47" w14:textId="4E576583" w:rsidR="0041139B" w:rsidRPr="009B5832" w:rsidRDefault="00BF1909" w:rsidP="00010E79">
      <w:pPr>
        <w:jc w:val="both"/>
        <w:rPr>
          <w:rFonts w:ascii="Arial" w:hAnsi="Arial" w:cs="Arial"/>
          <w:sz w:val="22"/>
          <w:szCs w:val="22"/>
          <w:lang w:val="en-GB"/>
        </w:rPr>
      </w:pPr>
      <w:r>
        <w:rPr>
          <w:rFonts w:ascii="Arial" w:hAnsi="Arial" w:cs="Arial"/>
          <w:color w:val="7B7B7B" w:themeColor="accent3" w:themeShade="BF"/>
          <w:sz w:val="22"/>
          <w:szCs w:val="22"/>
          <w:lang w:val="en-GB"/>
        </w:rPr>
        <w:t xml:space="preserve">A foreign representative has a duty to keep the court informed about </w:t>
      </w:r>
      <w:r w:rsidR="000E623E">
        <w:rPr>
          <w:rFonts w:ascii="Arial" w:hAnsi="Arial" w:cs="Arial"/>
          <w:color w:val="7B7B7B" w:themeColor="accent3" w:themeShade="BF"/>
          <w:sz w:val="22"/>
          <w:szCs w:val="22"/>
          <w:lang w:val="en-GB"/>
        </w:rPr>
        <w:t xml:space="preserve">any material developments concerning </w:t>
      </w:r>
      <w:r>
        <w:rPr>
          <w:rFonts w:ascii="Arial" w:hAnsi="Arial" w:cs="Arial"/>
          <w:color w:val="7B7B7B" w:themeColor="accent3" w:themeShade="BF"/>
          <w:sz w:val="22"/>
          <w:szCs w:val="22"/>
          <w:lang w:val="en-GB"/>
        </w:rPr>
        <w:t xml:space="preserve">the debtor. </w:t>
      </w:r>
      <w:r w:rsidR="000E623E">
        <w:rPr>
          <w:rFonts w:ascii="Arial" w:hAnsi="Arial" w:cs="Arial"/>
          <w:color w:val="7B7B7B" w:themeColor="accent3" w:themeShade="BF"/>
          <w:sz w:val="22"/>
          <w:szCs w:val="22"/>
          <w:lang w:val="en-GB"/>
        </w:rPr>
        <w:t xml:space="preserve"> Such developments may relate to change of status of the foreign representative or</w:t>
      </w:r>
      <w:r w:rsidR="003E7B8B">
        <w:rPr>
          <w:rFonts w:ascii="Arial" w:hAnsi="Arial" w:cs="Arial"/>
          <w:color w:val="7B7B7B" w:themeColor="accent3" w:themeShade="BF"/>
          <w:sz w:val="22"/>
          <w:szCs w:val="22"/>
          <w:lang w:val="en-GB"/>
        </w:rPr>
        <w:t xml:space="preserve"> a change of status of the debtor</w:t>
      </w:r>
      <w:r>
        <w:rPr>
          <w:rFonts w:ascii="Arial" w:hAnsi="Arial" w:cs="Arial"/>
          <w:color w:val="7B7B7B" w:themeColor="accent3" w:themeShade="BF"/>
          <w:sz w:val="22"/>
          <w:szCs w:val="22"/>
          <w:lang w:val="en-GB"/>
        </w:rPr>
        <w:t xml:space="preserve"> </w:t>
      </w:r>
      <w:r w:rsidR="003E7B8B">
        <w:rPr>
          <w:rFonts w:ascii="Arial" w:hAnsi="Arial" w:cs="Arial"/>
          <w:color w:val="7B7B7B" w:themeColor="accent3" w:themeShade="BF"/>
          <w:sz w:val="22"/>
          <w:szCs w:val="22"/>
          <w:lang w:val="en-GB"/>
        </w:rPr>
        <w:t xml:space="preserve">such as </w:t>
      </w:r>
      <w:proofErr w:type="spellStart"/>
      <w:proofErr w:type="gramStart"/>
      <w:r w:rsidR="003E7B8B">
        <w:rPr>
          <w:rFonts w:ascii="Arial" w:hAnsi="Arial" w:cs="Arial"/>
          <w:color w:val="7B7B7B" w:themeColor="accent3" w:themeShade="BF"/>
          <w:sz w:val="22"/>
          <w:szCs w:val="22"/>
          <w:lang w:val="en-GB"/>
        </w:rPr>
        <w:t>a</w:t>
      </w:r>
      <w:proofErr w:type="spellEnd"/>
      <w:proofErr w:type="gramEnd"/>
      <w:r w:rsidR="003E7B8B">
        <w:rPr>
          <w:rFonts w:ascii="Arial" w:hAnsi="Arial" w:cs="Arial"/>
          <w:color w:val="7B7B7B" w:themeColor="accent3" w:themeShade="BF"/>
          <w:sz w:val="22"/>
          <w:szCs w:val="22"/>
          <w:lang w:val="en-GB"/>
        </w:rPr>
        <w:t xml:space="preserve"> approval of a restructuring plan or termination of the foreign insolvency proceedings. </w:t>
      </w:r>
      <w:r>
        <w:rPr>
          <w:rFonts w:ascii="Arial" w:hAnsi="Arial" w:cs="Arial"/>
          <w:color w:val="7B7B7B" w:themeColor="accent3" w:themeShade="BF"/>
          <w:sz w:val="22"/>
          <w:szCs w:val="22"/>
          <w:lang w:val="en-GB"/>
        </w:rPr>
        <w:t>Article 18 of the M</w:t>
      </w:r>
      <w:r w:rsidR="000E623E">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CBI</w:t>
      </w:r>
      <w:r w:rsidR="007C5302">
        <w:rPr>
          <w:rFonts w:ascii="Arial" w:hAnsi="Arial" w:cs="Arial"/>
          <w:color w:val="7B7B7B" w:themeColor="accent3" w:themeShade="BF"/>
          <w:sz w:val="22"/>
          <w:szCs w:val="22"/>
          <w:lang w:val="en-GB"/>
        </w:rPr>
        <w:t xml:space="preserve"> requires the foreign representative to inform the court promptly of </w:t>
      </w:r>
      <w:r>
        <w:rPr>
          <w:rFonts w:ascii="Arial" w:hAnsi="Arial" w:cs="Arial"/>
          <w:color w:val="7B7B7B" w:themeColor="accent3" w:themeShade="BF"/>
          <w:sz w:val="22"/>
          <w:szCs w:val="22"/>
          <w:lang w:val="en-GB"/>
        </w:rPr>
        <w:t xml:space="preserve">any </w:t>
      </w:r>
      <w:r w:rsidR="007C5302">
        <w:rPr>
          <w:rFonts w:ascii="Arial" w:hAnsi="Arial" w:cs="Arial"/>
          <w:color w:val="7B7B7B" w:themeColor="accent3" w:themeShade="BF"/>
          <w:sz w:val="22"/>
          <w:szCs w:val="22"/>
          <w:lang w:val="en-GB"/>
        </w:rPr>
        <w:t>substantial change in the status of the foreign representative’s appointment and any other foreign proceeding regarding the debtor that that the foreign representative becomes aware of.</w:t>
      </w:r>
      <w:r w:rsidR="003E7B8B">
        <w:rPr>
          <w:rFonts w:ascii="Arial" w:hAnsi="Arial" w:cs="Arial"/>
          <w:color w:val="7B7B7B" w:themeColor="accent3" w:themeShade="BF"/>
          <w:sz w:val="22"/>
          <w:szCs w:val="22"/>
          <w:lang w:val="en-GB"/>
        </w:rPr>
        <w:t xml:space="preserve"> </w:t>
      </w:r>
      <w:r w:rsidR="000E623E">
        <w:rPr>
          <w:rFonts w:ascii="Arial" w:hAnsi="Arial" w:cs="Arial"/>
          <w:color w:val="7B7B7B" w:themeColor="accent3" w:themeShade="BF"/>
          <w:sz w:val="22"/>
          <w:szCs w:val="22"/>
          <w:lang w:val="en-GB"/>
        </w:rPr>
        <w:t xml:space="preserve"> </w:t>
      </w:r>
      <w:r w:rsidR="003E7B8B">
        <w:rPr>
          <w:rFonts w:ascii="Arial" w:hAnsi="Arial" w:cs="Arial"/>
          <w:color w:val="7B7B7B" w:themeColor="accent3" w:themeShade="BF"/>
          <w:sz w:val="22"/>
          <w:szCs w:val="22"/>
          <w:lang w:val="en-GB"/>
        </w:rPr>
        <w:t>The notification allows the court to determine whether it is necessary to make any adjustments to orders made.</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02DF400A" w14:textId="05B306E1" w:rsidR="00F80292"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8D7789">
        <w:rPr>
          <w:rFonts w:ascii="Arial" w:hAnsi="Arial" w:cs="Arial"/>
          <w:color w:val="7B7B7B" w:themeColor="accent3" w:themeShade="BF"/>
          <w:sz w:val="22"/>
          <w:szCs w:val="22"/>
          <w:lang w:val="en-GB"/>
        </w:rPr>
        <w:t xml:space="preserve">Access rights </w:t>
      </w:r>
      <w:r w:rsidR="00C0388B">
        <w:rPr>
          <w:rFonts w:ascii="Arial" w:hAnsi="Arial" w:cs="Arial"/>
          <w:color w:val="7B7B7B" w:themeColor="accent3" w:themeShade="BF"/>
          <w:sz w:val="22"/>
          <w:szCs w:val="22"/>
          <w:lang w:val="en-GB"/>
        </w:rPr>
        <w:t>are</w:t>
      </w:r>
      <w:r w:rsidR="00264C0E">
        <w:rPr>
          <w:rFonts w:ascii="Arial" w:hAnsi="Arial" w:cs="Arial"/>
          <w:color w:val="7B7B7B" w:themeColor="accent3" w:themeShade="BF"/>
          <w:sz w:val="22"/>
          <w:szCs w:val="22"/>
          <w:lang w:val="en-GB"/>
        </w:rPr>
        <w:t xml:space="preserve"> key to cross boarder insolvency proceedings.</w:t>
      </w:r>
      <w:r w:rsidR="00C0388B">
        <w:rPr>
          <w:rFonts w:ascii="Arial" w:hAnsi="Arial" w:cs="Arial"/>
          <w:color w:val="7B7B7B" w:themeColor="accent3" w:themeShade="BF"/>
          <w:sz w:val="22"/>
          <w:szCs w:val="22"/>
          <w:lang w:val="en-GB"/>
        </w:rPr>
        <w:t xml:space="preserve"> There are three elements of access. The first relates to access rights by the foreign representative to the courts where the application for recognition is to be made.</w:t>
      </w:r>
      <w:r w:rsidR="00C41AEA" w:rsidRPr="00C41AEA">
        <w:rPr>
          <w:rFonts w:ascii="Arial" w:hAnsi="Arial" w:cs="Arial"/>
          <w:color w:val="7B7B7B" w:themeColor="accent3" w:themeShade="BF"/>
          <w:sz w:val="22"/>
          <w:szCs w:val="22"/>
          <w:lang w:val="en-GB"/>
        </w:rPr>
        <w:t xml:space="preserve"> </w:t>
      </w:r>
      <w:r w:rsidR="00C41AEA">
        <w:rPr>
          <w:rFonts w:ascii="Arial" w:hAnsi="Arial" w:cs="Arial"/>
          <w:color w:val="7B7B7B" w:themeColor="accent3" w:themeShade="BF"/>
          <w:sz w:val="22"/>
          <w:szCs w:val="22"/>
          <w:lang w:val="en-GB"/>
        </w:rPr>
        <w:t>The second element of access is in article 11 of the MLCBI which allows the foreign representative to commence proceedings if the conditions for commencing the proceedings are met. The third element of access is by virtue of article 12 which allows the foreign representative to participate in local proceedings, following recognition of the foreign proceedings.</w:t>
      </w:r>
      <w:r w:rsidR="00C0388B">
        <w:rPr>
          <w:rFonts w:ascii="Arial" w:hAnsi="Arial" w:cs="Arial"/>
          <w:color w:val="7B7B7B" w:themeColor="accent3" w:themeShade="BF"/>
          <w:sz w:val="22"/>
          <w:szCs w:val="22"/>
          <w:lang w:val="en-GB"/>
        </w:rPr>
        <w:t xml:space="preserve"> </w:t>
      </w:r>
      <w:r w:rsidR="00C41AEA">
        <w:rPr>
          <w:rFonts w:ascii="Arial" w:hAnsi="Arial" w:cs="Arial"/>
          <w:color w:val="7B7B7B" w:themeColor="accent3" w:themeShade="BF"/>
          <w:sz w:val="22"/>
          <w:szCs w:val="22"/>
          <w:lang w:val="en-GB"/>
        </w:rPr>
        <w:t xml:space="preserve">The first element of the access rights is the most critical for a foreign representative, prior to making a recognition application. </w:t>
      </w:r>
      <w:r w:rsidR="00C0388B">
        <w:rPr>
          <w:rFonts w:ascii="Arial" w:hAnsi="Arial" w:cs="Arial"/>
          <w:color w:val="7B7B7B" w:themeColor="accent3" w:themeShade="BF"/>
          <w:sz w:val="22"/>
          <w:szCs w:val="22"/>
          <w:lang w:val="en-GB"/>
        </w:rPr>
        <w:t xml:space="preserve">Article 9 of the MLCBI provides for the right of direct access and states that a foreign representative is entitled to apply directly to the court. </w:t>
      </w:r>
      <w:r w:rsidR="0082004F">
        <w:rPr>
          <w:rFonts w:ascii="Arial" w:hAnsi="Arial" w:cs="Arial"/>
          <w:color w:val="7B7B7B" w:themeColor="accent3" w:themeShade="BF"/>
          <w:sz w:val="22"/>
          <w:szCs w:val="22"/>
          <w:lang w:val="en-GB"/>
        </w:rPr>
        <w:t xml:space="preserve">This article </w:t>
      </w:r>
      <w:r w:rsidR="008D7789">
        <w:rPr>
          <w:rFonts w:ascii="Arial" w:hAnsi="Arial" w:cs="Arial"/>
          <w:color w:val="7B7B7B" w:themeColor="accent3" w:themeShade="BF"/>
          <w:sz w:val="22"/>
          <w:szCs w:val="22"/>
          <w:lang w:val="en-GB"/>
        </w:rPr>
        <w:t>allow</w:t>
      </w:r>
      <w:r w:rsidR="0082004F">
        <w:rPr>
          <w:rFonts w:ascii="Arial" w:hAnsi="Arial" w:cs="Arial"/>
          <w:color w:val="7B7B7B" w:themeColor="accent3" w:themeShade="BF"/>
          <w:sz w:val="22"/>
          <w:szCs w:val="22"/>
          <w:lang w:val="en-GB"/>
        </w:rPr>
        <w:t>s</w:t>
      </w:r>
      <w:r w:rsidR="008D7789">
        <w:rPr>
          <w:rFonts w:ascii="Arial" w:hAnsi="Arial" w:cs="Arial"/>
          <w:color w:val="7B7B7B" w:themeColor="accent3" w:themeShade="BF"/>
          <w:sz w:val="22"/>
          <w:szCs w:val="22"/>
          <w:lang w:val="en-GB"/>
        </w:rPr>
        <w:t xml:space="preserve"> foreign representative</w:t>
      </w:r>
      <w:r w:rsidR="005C2724">
        <w:rPr>
          <w:rFonts w:ascii="Arial" w:hAnsi="Arial" w:cs="Arial"/>
          <w:color w:val="7B7B7B" w:themeColor="accent3" w:themeShade="BF"/>
          <w:sz w:val="22"/>
          <w:szCs w:val="22"/>
          <w:lang w:val="en-GB"/>
        </w:rPr>
        <w:t>s direct access</w:t>
      </w:r>
      <w:r w:rsidR="008D7789">
        <w:rPr>
          <w:rFonts w:ascii="Arial" w:hAnsi="Arial" w:cs="Arial"/>
          <w:color w:val="7B7B7B" w:themeColor="accent3" w:themeShade="BF"/>
          <w:sz w:val="22"/>
          <w:szCs w:val="22"/>
          <w:lang w:val="en-GB"/>
        </w:rPr>
        <w:t xml:space="preserve"> to courts</w:t>
      </w:r>
      <w:r w:rsidR="004278DC">
        <w:rPr>
          <w:rFonts w:ascii="Arial" w:hAnsi="Arial" w:cs="Arial"/>
          <w:color w:val="7B7B7B" w:themeColor="accent3" w:themeShade="BF"/>
          <w:sz w:val="22"/>
          <w:szCs w:val="22"/>
          <w:lang w:val="en-GB"/>
        </w:rPr>
        <w:t xml:space="preserve">, that is to have </w:t>
      </w:r>
      <w:r w:rsidR="004278DC" w:rsidRPr="004278DC">
        <w:rPr>
          <w:rFonts w:ascii="Arial" w:hAnsi="Arial" w:cs="Arial"/>
          <w:i/>
          <w:iCs/>
          <w:color w:val="7B7B7B" w:themeColor="accent3" w:themeShade="BF"/>
          <w:sz w:val="22"/>
          <w:szCs w:val="22"/>
          <w:lang w:val="en-GB"/>
        </w:rPr>
        <w:t>locus standi</w:t>
      </w:r>
      <w:r w:rsidR="008D7789">
        <w:rPr>
          <w:rFonts w:ascii="Arial" w:hAnsi="Arial" w:cs="Arial"/>
          <w:color w:val="7B7B7B" w:themeColor="accent3" w:themeShade="BF"/>
          <w:sz w:val="22"/>
          <w:szCs w:val="22"/>
          <w:lang w:val="en-GB"/>
        </w:rPr>
        <w:t xml:space="preserve"> in the jurisdiction where the application for recognition is to be made, without </w:t>
      </w:r>
      <w:r w:rsidR="006C6FBD">
        <w:rPr>
          <w:rFonts w:ascii="Arial" w:hAnsi="Arial" w:cs="Arial"/>
          <w:color w:val="7B7B7B" w:themeColor="accent3" w:themeShade="BF"/>
          <w:sz w:val="22"/>
          <w:szCs w:val="22"/>
          <w:lang w:val="en-GB"/>
        </w:rPr>
        <w:t>the need for licensing and qualification requirements</w:t>
      </w:r>
      <w:r w:rsidR="005C2724">
        <w:rPr>
          <w:rFonts w:ascii="Arial" w:hAnsi="Arial" w:cs="Arial"/>
          <w:color w:val="7B7B7B" w:themeColor="accent3" w:themeShade="BF"/>
          <w:sz w:val="22"/>
          <w:szCs w:val="22"/>
          <w:lang w:val="en-GB"/>
        </w:rPr>
        <w:t xml:space="preserve"> or consular support</w:t>
      </w:r>
      <w:r w:rsidR="006C6FBD">
        <w:rPr>
          <w:rFonts w:ascii="Arial" w:hAnsi="Arial" w:cs="Arial"/>
          <w:color w:val="7B7B7B" w:themeColor="accent3" w:themeShade="BF"/>
          <w:sz w:val="22"/>
          <w:szCs w:val="22"/>
          <w:lang w:val="en-GB"/>
        </w:rPr>
        <w:t xml:space="preserve">. </w:t>
      </w:r>
      <w:r w:rsidR="0082004F">
        <w:rPr>
          <w:rFonts w:ascii="Arial" w:hAnsi="Arial" w:cs="Arial"/>
          <w:color w:val="7B7B7B" w:themeColor="accent3" w:themeShade="BF"/>
          <w:sz w:val="22"/>
          <w:szCs w:val="22"/>
          <w:lang w:val="en-GB"/>
        </w:rPr>
        <w:t>This provision</w:t>
      </w:r>
      <w:r w:rsidR="005C2724">
        <w:rPr>
          <w:rFonts w:ascii="Arial" w:hAnsi="Arial" w:cs="Arial"/>
          <w:color w:val="7B7B7B" w:themeColor="accent3" w:themeShade="BF"/>
          <w:sz w:val="22"/>
          <w:szCs w:val="22"/>
          <w:lang w:val="en-GB"/>
        </w:rPr>
        <w:t xml:space="preserve"> </w:t>
      </w:r>
      <w:r w:rsidR="009A12C9">
        <w:rPr>
          <w:rFonts w:ascii="Arial" w:hAnsi="Arial" w:cs="Arial"/>
          <w:color w:val="7B7B7B" w:themeColor="accent3" w:themeShade="BF"/>
          <w:sz w:val="22"/>
          <w:szCs w:val="22"/>
          <w:lang w:val="en-GB"/>
        </w:rPr>
        <w:t>enable</w:t>
      </w:r>
      <w:r w:rsidR="0082004F">
        <w:rPr>
          <w:rFonts w:ascii="Arial" w:hAnsi="Arial" w:cs="Arial"/>
          <w:color w:val="7B7B7B" w:themeColor="accent3" w:themeShade="BF"/>
          <w:sz w:val="22"/>
          <w:szCs w:val="22"/>
          <w:lang w:val="en-GB"/>
        </w:rPr>
        <w:t>s</w:t>
      </w:r>
      <w:r w:rsidR="009A12C9">
        <w:rPr>
          <w:rFonts w:ascii="Arial" w:hAnsi="Arial" w:cs="Arial"/>
          <w:color w:val="7B7B7B" w:themeColor="accent3" w:themeShade="BF"/>
          <w:sz w:val="22"/>
          <w:szCs w:val="22"/>
          <w:lang w:val="en-GB"/>
        </w:rPr>
        <w:t xml:space="preserve"> the foreign representative to easily and quickly access courts for purposes of making a recognition application as well as</w:t>
      </w:r>
      <w:r w:rsidR="00F80292">
        <w:rPr>
          <w:rFonts w:ascii="Arial" w:hAnsi="Arial" w:cs="Arial"/>
          <w:color w:val="7B7B7B" w:themeColor="accent3" w:themeShade="BF"/>
          <w:sz w:val="22"/>
          <w:szCs w:val="22"/>
          <w:lang w:val="en-GB"/>
        </w:rPr>
        <w:t xml:space="preserve"> seeking any interim or urgent relief. </w:t>
      </w:r>
      <w:r w:rsidR="004278DC">
        <w:rPr>
          <w:rFonts w:ascii="Arial" w:hAnsi="Arial" w:cs="Arial"/>
          <w:color w:val="7B7B7B" w:themeColor="accent3" w:themeShade="BF"/>
          <w:sz w:val="22"/>
          <w:szCs w:val="22"/>
          <w:lang w:val="en-GB"/>
        </w:rPr>
        <w:t xml:space="preserve">It is envisaged that access rights preserve value of the </w:t>
      </w:r>
      <w:r w:rsidR="0082004F">
        <w:rPr>
          <w:rFonts w:ascii="Arial" w:hAnsi="Arial" w:cs="Arial"/>
          <w:color w:val="7B7B7B" w:themeColor="accent3" w:themeShade="BF"/>
          <w:sz w:val="22"/>
          <w:szCs w:val="22"/>
          <w:lang w:val="en-GB"/>
        </w:rPr>
        <w:t>debtor’s</w:t>
      </w:r>
      <w:r w:rsidR="004278DC">
        <w:rPr>
          <w:rFonts w:ascii="Arial" w:hAnsi="Arial" w:cs="Arial"/>
          <w:color w:val="7B7B7B" w:themeColor="accent3" w:themeShade="BF"/>
          <w:sz w:val="22"/>
          <w:szCs w:val="22"/>
          <w:lang w:val="en-GB"/>
        </w:rPr>
        <w:t xml:space="preserve"> estate by eliminating unnecessary delays.</w:t>
      </w:r>
      <w:r w:rsidR="00612215">
        <w:rPr>
          <w:rFonts w:ascii="Arial" w:hAnsi="Arial" w:cs="Arial"/>
          <w:color w:val="7B7B7B" w:themeColor="accent3" w:themeShade="BF"/>
          <w:sz w:val="22"/>
          <w:szCs w:val="22"/>
          <w:lang w:val="en-GB"/>
        </w:rPr>
        <w:t xml:space="preserve"> </w:t>
      </w:r>
    </w:p>
    <w:p w14:paraId="5B834B4E" w14:textId="77777777" w:rsidR="00F80292" w:rsidRDefault="00F80292" w:rsidP="00707FC8">
      <w:pPr>
        <w:jc w:val="both"/>
        <w:rPr>
          <w:rFonts w:ascii="Arial" w:hAnsi="Arial" w:cs="Arial"/>
          <w:color w:val="7B7B7B" w:themeColor="accent3" w:themeShade="BF"/>
          <w:sz w:val="22"/>
          <w:szCs w:val="22"/>
          <w:lang w:val="en-GB"/>
        </w:rPr>
      </w:pPr>
    </w:p>
    <w:p w14:paraId="4024A332" w14:textId="3D4E8828" w:rsidR="00544127" w:rsidRPr="009B5832" w:rsidRDefault="00833A50" w:rsidP="00707FC8">
      <w:pPr>
        <w:jc w:val="both"/>
        <w:rPr>
          <w:rFonts w:ascii="Arial" w:hAnsi="Arial" w:cs="Arial"/>
          <w:sz w:val="24"/>
          <w:lang w:val="en-GB"/>
        </w:rPr>
      </w:pPr>
      <w:r>
        <w:rPr>
          <w:rFonts w:ascii="Arial" w:hAnsi="Arial" w:cs="Arial"/>
          <w:color w:val="7B7B7B" w:themeColor="accent3" w:themeShade="BF"/>
          <w:sz w:val="22"/>
          <w:szCs w:val="22"/>
          <w:lang w:val="en-GB"/>
        </w:rPr>
        <w:t>Coordination rights are provided for in articles 29 and 30 of the MLCBI.  Article 29 provides for coordination of a local proceeding and foreign proceeding</w:t>
      </w:r>
      <w:r w:rsidR="00FA14EC">
        <w:rPr>
          <w:rFonts w:ascii="Arial" w:hAnsi="Arial" w:cs="Arial"/>
          <w:color w:val="7B7B7B" w:themeColor="accent3" w:themeShade="BF"/>
          <w:sz w:val="22"/>
          <w:szCs w:val="22"/>
          <w:lang w:val="en-GB"/>
        </w:rPr>
        <w:t xml:space="preserve"> while article 30 provides for coordination of more than one foreign proceeding.  The coordination provisions espouse the modified universalism approach to cross boarder insolvencies whereby there might be multiple proceedings against the debtor. The objective of the coordination principles is to ensure consistency of relief </w:t>
      </w:r>
      <w:r w:rsidR="007B431D">
        <w:rPr>
          <w:rFonts w:ascii="Arial" w:hAnsi="Arial" w:cs="Arial"/>
          <w:color w:val="7B7B7B" w:themeColor="accent3" w:themeShade="BF"/>
          <w:sz w:val="22"/>
          <w:szCs w:val="22"/>
          <w:lang w:val="en-GB"/>
        </w:rPr>
        <w:t>granted</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5D14CC88" w14:textId="0450EB32" w:rsidR="00BF71F3"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ED13F1">
        <w:rPr>
          <w:rFonts w:ascii="Arial" w:hAnsi="Arial" w:cs="Arial"/>
          <w:color w:val="7B7B7B" w:themeColor="accent3" w:themeShade="BF"/>
          <w:sz w:val="22"/>
          <w:szCs w:val="22"/>
          <w:lang w:val="en-GB"/>
        </w:rPr>
        <w:t>Article 15 of the MLCB sets out the requirements for an application for recognition of foreign proceedings</w:t>
      </w:r>
      <w:r w:rsidR="00BF71F3">
        <w:rPr>
          <w:rFonts w:ascii="Arial" w:hAnsi="Arial" w:cs="Arial"/>
          <w:color w:val="7B7B7B" w:themeColor="accent3" w:themeShade="BF"/>
          <w:sz w:val="22"/>
          <w:szCs w:val="22"/>
          <w:lang w:val="en-GB"/>
        </w:rPr>
        <w:t xml:space="preserve">. </w:t>
      </w:r>
      <w:r w:rsidR="00ED13F1">
        <w:rPr>
          <w:rFonts w:ascii="Arial" w:hAnsi="Arial" w:cs="Arial"/>
          <w:color w:val="7B7B7B" w:themeColor="accent3" w:themeShade="BF"/>
          <w:sz w:val="22"/>
          <w:szCs w:val="22"/>
          <w:lang w:val="en-GB"/>
        </w:rPr>
        <w:t>These include</w:t>
      </w:r>
      <w:r w:rsidR="00001E11">
        <w:rPr>
          <w:rFonts w:ascii="Arial" w:hAnsi="Arial" w:cs="Arial"/>
          <w:color w:val="7B7B7B" w:themeColor="accent3" w:themeShade="BF"/>
          <w:sz w:val="22"/>
          <w:szCs w:val="22"/>
          <w:lang w:val="en-GB"/>
        </w:rPr>
        <w:t xml:space="preserve"> a certified copy of the decision commencing the foreign proceeding and appointing the foreign representative</w:t>
      </w:r>
      <w:r w:rsidR="002415F9">
        <w:rPr>
          <w:rFonts w:ascii="Arial" w:hAnsi="Arial" w:cs="Arial"/>
          <w:color w:val="7B7B7B" w:themeColor="accent3" w:themeShade="BF"/>
          <w:sz w:val="22"/>
          <w:szCs w:val="22"/>
          <w:lang w:val="en-GB"/>
        </w:rPr>
        <w:t>;</w:t>
      </w:r>
      <w:r w:rsidR="00001E11">
        <w:rPr>
          <w:rFonts w:ascii="Arial" w:hAnsi="Arial" w:cs="Arial"/>
          <w:color w:val="7B7B7B" w:themeColor="accent3" w:themeShade="BF"/>
          <w:sz w:val="22"/>
          <w:szCs w:val="22"/>
          <w:lang w:val="en-GB"/>
        </w:rPr>
        <w:t xml:space="preserve"> a certificate from the co</w:t>
      </w:r>
      <w:r w:rsidR="007C3313">
        <w:rPr>
          <w:rFonts w:ascii="Arial" w:hAnsi="Arial" w:cs="Arial"/>
          <w:color w:val="7B7B7B" w:themeColor="accent3" w:themeShade="BF"/>
          <w:sz w:val="22"/>
          <w:szCs w:val="22"/>
          <w:lang w:val="en-GB"/>
        </w:rPr>
        <w:t>u</w:t>
      </w:r>
      <w:r w:rsidR="00001E11">
        <w:rPr>
          <w:rFonts w:ascii="Arial" w:hAnsi="Arial" w:cs="Arial"/>
          <w:color w:val="7B7B7B" w:themeColor="accent3" w:themeShade="BF"/>
          <w:sz w:val="22"/>
          <w:szCs w:val="22"/>
          <w:lang w:val="en-GB"/>
        </w:rPr>
        <w:t>rt affirming the existence of the foreign proceeding</w:t>
      </w:r>
      <w:r w:rsidR="007C3313">
        <w:rPr>
          <w:rFonts w:ascii="Arial" w:hAnsi="Arial" w:cs="Arial"/>
          <w:color w:val="7B7B7B" w:themeColor="accent3" w:themeShade="BF"/>
          <w:sz w:val="22"/>
          <w:szCs w:val="22"/>
          <w:lang w:val="en-GB"/>
        </w:rPr>
        <w:t xml:space="preserve"> and of the appointment of the foreign representative</w:t>
      </w:r>
      <w:r w:rsidR="002415F9">
        <w:rPr>
          <w:rFonts w:ascii="Arial" w:hAnsi="Arial" w:cs="Arial"/>
          <w:color w:val="7B7B7B" w:themeColor="accent3" w:themeShade="BF"/>
          <w:sz w:val="22"/>
          <w:szCs w:val="22"/>
          <w:lang w:val="en-GB"/>
        </w:rPr>
        <w:t>;</w:t>
      </w:r>
      <w:r w:rsidR="007C3313">
        <w:rPr>
          <w:rFonts w:ascii="Arial" w:hAnsi="Arial" w:cs="Arial"/>
          <w:color w:val="7B7B7B" w:themeColor="accent3" w:themeShade="BF"/>
          <w:sz w:val="22"/>
          <w:szCs w:val="22"/>
          <w:lang w:val="en-GB"/>
        </w:rPr>
        <w:t xml:space="preserve"> a </w:t>
      </w:r>
      <w:r w:rsidR="007C3313">
        <w:rPr>
          <w:rFonts w:ascii="Arial" w:hAnsi="Arial" w:cs="Arial"/>
          <w:color w:val="7B7B7B" w:themeColor="accent3" w:themeShade="BF"/>
          <w:sz w:val="22"/>
          <w:szCs w:val="22"/>
          <w:lang w:val="en-GB"/>
        </w:rPr>
        <w:lastRenderedPageBreak/>
        <w:t xml:space="preserve">statement identifying all foreign proceedings in respect of the debtor; and any translations and may be required. </w:t>
      </w:r>
    </w:p>
    <w:p w14:paraId="50B1C131" w14:textId="01F76D81" w:rsidR="00D551DB" w:rsidRDefault="007C331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16 permits the court to make certain presumptions about the foreign proceeding, the appointment of the foreign representative,</w:t>
      </w:r>
      <w:r w:rsidR="00D551DB">
        <w:rPr>
          <w:rFonts w:ascii="Arial" w:hAnsi="Arial" w:cs="Arial"/>
          <w:color w:val="7B7B7B" w:themeColor="accent3" w:themeShade="BF"/>
          <w:sz w:val="22"/>
          <w:szCs w:val="22"/>
          <w:lang w:val="en-GB"/>
        </w:rPr>
        <w:t xml:space="preserve"> the documents submitted and the centre of main interests of the debtor. </w:t>
      </w:r>
      <w:r>
        <w:rPr>
          <w:rFonts w:ascii="Arial" w:hAnsi="Arial" w:cs="Arial"/>
          <w:color w:val="7B7B7B" w:themeColor="accent3" w:themeShade="BF"/>
          <w:sz w:val="22"/>
          <w:szCs w:val="22"/>
          <w:lang w:val="en-GB"/>
        </w:rPr>
        <w:t xml:space="preserve"> </w:t>
      </w:r>
    </w:p>
    <w:p w14:paraId="0C30AE28" w14:textId="77777777" w:rsidR="00BF71F3" w:rsidRDefault="00BF71F3" w:rsidP="00707FC8">
      <w:pPr>
        <w:jc w:val="both"/>
        <w:rPr>
          <w:rFonts w:ascii="Arial" w:hAnsi="Arial" w:cs="Arial"/>
          <w:color w:val="7B7B7B" w:themeColor="accent3" w:themeShade="BF"/>
          <w:sz w:val="22"/>
          <w:szCs w:val="22"/>
          <w:lang w:val="en-GB"/>
        </w:rPr>
      </w:pPr>
    </w:p>
    <w:p w14:paraId="3050E995" w14:textId="71C2D588" w:rsidR="00BF71F3" w:rsidRDefault="00D551D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is not required to assess the merits of the foreign proceedings, that is to determine as to whether they were </w:t>
      </w:r>
      <w:r w:rsidR="002415F9">
        <w:rPr>
          <w:rFonts w:ascii="Arial" w:hAnsi="Arial" w:cs="Arial"/>
          <w:color w:val="7B7B7B" w:themeColor="accent3" w:themeShade="BF"/>
          <w:sz w:val="22"/>
          <w:szCs w:val="22"/>
          <w:lang w:val="en-GB"/>
        </w:rPr>
        <w:t xml:space="preserve">properly or </w:t>
      </w:r>
      <w:r>
        <w:rPr>
          <w:rFonts w:ascii="Arial" w:hAnsi="Arial" w:cs="Arial"/>
          <w:color w:val="7B7B7B" w:themeColor="accent3" w:themeShade="BF"/>
          <w:sz w:val="22"/>
          <w:szCs w:val="22"/>
          <w:lang w:val="en-GB"/>
        </w:rPr>
        <w:t xml:space="preserve">correctly commenced or not. </w:t>
      </w:r>
    </w:p>
    <w:p w14:paraId="3258A416" w14:textId="77777777" w:rsidR="00BF71F3" w:rsidRDefault="00BF71F3" w:rsidP="00707FC8">
      <w:pPr>
        <w:jc w:val="both"/>
        <w:rPr>
          <w:rFonts w:ascii="Arial" w:hAnsi="Arial" w:cs="Arial"/>
          <w:color w:val="7B7B7B" w:themeColor="accent3" w:themeShade="BF"/>
          <w:sz w:val="22"/>
          <w:szCs w:val="22"/>
          <w:lang w:val="en-GB"/>
        </w:rPr>
      </w:pPr>
    </w:p>
    <w:p w14:paraId="69DDA6E4" w14:textId="77777777" w:rsidR="00BF71F3" w:rsidRDefault="00BF71F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is also not required to consider issues of reciprocity.</w:t>
      </w:r>
    </w:p>
    <w:p w14:paraId="18759617" w14:textId="77777777" w:rsidR="00BF71F3" w:rsidRDefault="00BF71F3" w:rsidP="00707FC8">
      <w:pPr>
        <w:jc w:val="both"/>
        <w:rPr>
          <w:rFonts w:ascii="Arial" w:hAnsi="Arial" w:cs="Arial"/>
          <w:color w:val="7B7B7B" w:themeColor="accent3" w:themeShade="BF"/>
          <w:sz w:val="22"/>
          <w:szCs w:val="22"/>
          <w:lang w:val="en-GB"/>
        </w:rPr>
      </w:pPr>
    </w:p>
    <w:p w14:paraId="0D01E12E" w14:textId="77777777" w:rsidR="00BF71F3" w:rsidRDefault="00BF71F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issues for the court to determine are:</w:t>
      </w:r>
    </w:p>
    <w:p w14:paraId="05291441" w14:textId="5A86B7D1" w:rsidR="002321EC" w:rsidRPr="002321EC" w:rsidRDefault="00BF71F3" w:rsidP="002321EC">
      <w:pPr>
        <w:pStyle w:val="ListParagraph"/>
        <w:numPr>
          <w:ilvl w:val="0"/>
          <w:numId w:val="41"/>
        </w:numPr>
        <w:jc w:val="both"/>
        <w:rPr>
          <w:rFonts w:ascii="Arial" w:hAnsi="Arial" w:cs="Arial"/>
          <w:color w:val="7B7B7B" w:themeColor="accent3" w:themeShade="BF"/>
          <w:sz w:val="22"/>
          <w:szCs w:val="22"/>
          <w:lang w:val="en-GB"/>
        </w:rPr>
      </w:pPr>
      <w:r w:rsidRPr="002321EC">
        <w:rPr>
          <w:rFonts w:ascii="Arial" w:hAnsi="Arial" w:cs="Arial"/>
          <w:color w:val="7B7B7B" w:themeColor="accent3" w:themeShade="BF"/>
          <w:sz w:val="22"/>
          <w:szCs w:val="22"/>
          <w:lang w:val="en-GB"/>
        </w:rPr>
        <w:t xml:space="preserve">the </w:t>
      </w:r>
      <w:proofErr w:type="spellStart"/>
      <w:r w:rsidRPr="002321EC">
        <w:rPr>
          <w:rFonts w:ascii="Arial" w:hAnsi="Arial" w:cs="Arial"/>
          <w:color w:val="7B7B7B" w:themeColor="accent3" w:themeShade="BF"/>
          <w:sz w:val="22"/>
          <w:szCs w:val="22"/>
          <w:lang w:val="en-GB"/>
        </w:rPr>
        <w:t>center</w:t>
      </w:r>
      <w:proofErr w:type="spellEnd"/>
      <w:r w:rsidRPr="002321EC">
        <w:rPr>
          <w:rFonts w:ascii="Arial" w:hAnsi="Arial" w:cs="Arial"/>
          <w:color w:val="7B7B7B" w:themeColor="accent3" w:themeShade="BF"/>
          <w:sz w:val="22"/>
          <w:szCs w:val="22"/>
          <w:lang w:val="en-GB"/>
        </w:rPr>
        <w:t xml:space="preserve"> of main interests of the debtor (COMI). Th</w:t>
      </w:r>
      <w:r w:rsidR="002321EC" w:rsidRPr="002321EC">
        <w:rPr>
          <w:rFonts w:ascii="Arial" w:hAnsi="Arial" w:cs="Arial"/>
          <w:color w:val="7B7B7B" w:themeColor="accent3" w:themeShade="BF"/>
          <w:sz w:val="22"/>
          <w:szCs w:val="22"/>
          <w:lang w:val="en-GB"/>
        </w:rPr>
        <w:t>is is critical for the determination as to whether the foreign proceedings are main or non- main proceedings.</w:t>
      </w:r>
      <w:r w:rsidR="002321EC">
        <w:rPr>
          <w:rFonts w:ascii="Arial" w:hAnsi="Arial" w:cs="Arial"/>
          <w:color w:val="7B7B7B" w:themeColor="accent3" w:themeShade="BF"/>
          <w:sz w:val="22"/>
          <w:szCs w:val="22"/>
          <w:lang w:val="en-GB"/>
        </w:rPr>
        <w:t xml:space="preserve"> Article 17 (2) provides for the recognition of the foreign proceedings as either main or non- main proceedings</w:t>
      </w:r>
      <w:r w:rsidR="002415F9">
        <w:rPr>
          <w:rFonts w:ascii="Arial" w:hAnsi="Arial" w:cs="Arial"/>
          <w:color w:val="7B7B7B" w:themeColor="accent3" w:themeShade="BF"/>
          <w:sz w:val="22"/>
          <w:szCs w:val="22"/>
          <w:lang w:val="en-GB"/>
        </w:rPr>
        <w:t>.</w:t>
      </w:r>
    </w:p>
    <w:p w14:paraId="63AAFEB5" w14:textId="77777777" w:rsidR="001D1618" w:rsidRPr="001D1618" w:rsidRDefault="00BF71F3" w:rsidP="002321EC">
      <w:pPr>
        <w:pStyle w:val="ListParagraph"/>
        <w:numPr>
          <w:ilvl w:val="0"/>
          <w:numId w:val="41"/>
        </w:numPr>
        <w:jc w:val="both"/>
        <w:rPr>
          <w:rFonts w:ascii="Arial" w:hAnsi="Arial" w:cs="Arial"/>
          <w:sz w:val="22"/>
          <w:szCs w:val="22"/>
          <w:lang w:val="en-GB"/>
        </w:rPr>
      </w:pPr>
      <w:r w:rsidRPr="002321EC">
        <w:rPr>
          <w:rFonts w:ascii="Arial" w:hAnsi="Arial" w:cs="Arial"/>
          <w:color w:val="7B7B7B" w:themeColor="accent3" w:themeShade="BF"/>
          <w:sz w:val="22"/>
          <w:szCs w:val="22"/>
          <w:lang w:val="en-GB"/>
        </w:rPr>
        <w:t xml:space="preserve"> </w:t>
      </w:r>
      <w:r w:rsidR="002321EC">
        <w:rPr>
          <w:rFonts w:ascii="Arial" w:hAnsi="Arial" w:cs="Arial"/>
          <w:color w:val="7B7B7B" w:themeColor="accent3" w:themeShade="BF"/>
          <w:sz w:val="22"/>
          <w:szCs w:val="22"/>
          <w:lang w:val="en-GB"/>
        </w:rPr>
        <w:t>the nature of relief that may be granted. Article 19 provides for interim relief and article 20 provides for the effects of recognition that include automatic stay, in cases of foreign main proceedings.</w:t>
      </w:r>
    </w:p>
    <w:p w14:paraId="348EA391" w14:textId="309D20A1" w:rsidR="00461DF6" w:rsidRPr="00461DF6" w:rsidRDefault="001D1618" w:rsidP="002321EC">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The existence of other proceedings (local or foreign) in respect of the debtor, may limit the nature of relief that may be granted. For example, automatic stay in article 20 ma</w:t>
      </w:r>
      <w:r w:rsidR="000A79B8">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not be granted if it is not consistent with or may prejudice local proceedings</w:t>
      </w:r>
    </w:p>
    <w:p w14:paraId="7940D274" w14:textId="501652D9" w:rsidR="00DF75F8" w:rsidRPr="002321EC" w:rsidRDefault="00461DF6" w:rsidP="002321EC">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Public policy exception. This is provided for in article 6 of the MLCBI. The article does not define the nature and scope of the public policy exception</w:t>
      </w:r>
      <w:r w:rsidR="000A79B8">
        <w:rPr>
          <w:rFonts w:ascii="Arial" w:hAnsi="Arial" w:cs="Arial"/>
          <w:color w:val="7B7B7B" w:themeColor="accent3" w:themeShade="BF"/>
          <w:sz w:val="22"/>
          <w:szCs w:val="22"/>
          <w:lang w:val="en-GB"/>
        </w:rPr>
        <w:t xml:space="preserve"> but the use of the word “manifestly” is an indicator of the consideration that should made by court. The expectation is that courts should invoke this rule in matters that would lead to an absurdity in the domestic context</w:t>
      </w:r>
      <w:r w:rsidR="00D266F7">
        <w:rPr>
          <w:rFonts w:ascii="Arial" w:hAnsi="Arial" w:cs="Arial"/>
          <w:color w:val="7B7B7B" w:themeColor="accent3" w:themeShade="BF"/>
          <w:sz w:val="22"/>
          <w:szCs w:val="22"/>
          <w:lang w:val="en-GB"/>
        </w:rPr>
        <w:t xml:space="preserve"> such as where local/ domestic creditors would be prejudiced.</w:t>
      </w:r>
      <w:r w:rsidR="00DF75F8" w:rsidRPr="002321EC">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681FB0D7" w14:textId="05D32BC8" w:rsidR="00620806"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F80A29">
        <w:rPr>
          <w:rFonts w:ascii="Arial" w:hAnsi="Arial" w:cs="Arial"/>
          <w:color w:val="7B7B7B" w:themeColor="accent3" w:themeShade="BF"/>
          <w:sz w:val="22"/>
          <w:szCs w:val="22"/>
          <w:lang w:val="en-GB"/>
        </w:rPr>
        <w:t xml:space="preserve">Pre recognition relief is provided for in article 19 of the MLCBI. </w:t>
      </w:r>
      <w:r w:rsidR="00096BBD">
        <w:rPr>
          <w:rFonts w:ascii="Arial" w:hAnsi="Arial" w:cs="Arial"/>
          <w:color w:val="7B7B7B" w:themeColor="accent3" w:themeShade="BF"/>
          <w:sz w:val="22"/>
          <w:szCs w:val="22"/>
          <w:lang w:val="en-GB"/>
        </w:rPr>
        <w:t>This is urgent relief and provisional in nature. It is discretionary and terminates when the application for recognition is decided. It includes staying execution against the debtor’s assets, entrusting the administration or realization of all</w:t>
      </w:r>
      <w:r w:rsidR="00620806">
        <w:rPr>
          <w:rFonts w:ascii="Arial" w:hAnsi="Arial" w:cs="Arial"/>
          <w:color w:val="7B7B7B" w:themeColor="accent3" w:themeShade="BF"/>
          <w:sz w:val="22"/>
          <w:szCs w:val="22"/>
          <w:lang w:val="en-GB"/>
        </w:rPr>
        <w:t xml:space="preserve"> or part of the debtor’s assets or to protect and preserve the assets.</w:t>
      </w:r>
    </w:p>
    <w:p w14:paraId="11433E06" w14:textId="5BAF1FA7" w:rsidR="00473684" w:rsidRDefault="00473684" w:rsidP="00707FC8">
      <w:pPr>
        <w:jc w:val="both"/>
        <w:rPr>
          <w:rFonts w:ascii="Arial" w:hAnsi="Arial" w:cs="Arial"/>
          <w:color w:val="7B7B7B" w:themeColor="accent3" w:themeShade="BF"/>
          <w:sz w:val="22"/>
          <w:szCs w:val="22"/>
          <w:lang w:val="en-GB"/>
        </w:rPr>
      </w:pPr>
    </w:p>
    <w:p w14:paraId="65443CFB" w14:textId="007D0AD1" w:rsidR="00633D64" w:rsidRDefault="0047368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Post recognition relief is provided for in articles 20 and 21. The relief in article 20 is automatic and applies to recognition of foreign main proceedings. It includes stay of commencement or continuation of actions or proceedings against the debtors, execution against the debtor’s assets, and suspension of rights to transfer, encumber or otherwise dispose of any assets of the debtor</w:t>
      </w:r>
      <w:r w:rsidR="00633D64">
        <w:rPr>
          <w:rFonts w:ascii="Arial" w:hAnsi="Arial" w:cs="Arial"/>
          <w:color w:val="7B7B7B" w:themeColor="accent3" w:themeShade="BF"/>
          <w:sz w:val="22"/>
          <w:szCs w:val="22"/>
          <w:lang w:val="en-GB"/>
        </w:rPr>
        <w:t>. It is important that this relief does not affect the right to commence actions or proceedings to the extent necessary to preserve a claim of a debtor.</w:t>
      </w:r>
    </w:p>
    <w:p w14:paraId="23F9EBAD" w14:textId="77777777" w:rsidR="00633D64" w:rsidRDefault="00633D64" w:rsidP="00707FC8">
      <w:pPr>
        <w:jc w:val="both"/>
        <w:rPr>
          <w:rFonts w:ascii="Arial" w:hAnsi="Arial" w:cs="Arial"/>
          <w:color w:val="7B7B7B" w:themeColor="accent3" w:themeShade="BF"/>
          <w:sz w:val="22"/>
          <w:szCs w:val="22"/>
          <w:lang w:val="en-GB"/>
        </w:rPr>
      </w:pPr>
    </w:p>
    <w:p w14:paraId="4E83D7AF" w14:textId="3897DAF3" w:rsidR="00DF75F8" w:rsidRPr="0098689B" w:rsidRDefault="00633D6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discretionary relief </w:t>
      </w:r>
      <w:r w:rsidR="00E321B7">
        <w:rPr>
          <w:rFonts w:ascii="Arial" w:hAnsi="Arial" w:cs="Arial"/>
          <w:color w:val="7B7B7B" w:themeColor="accent3" w:themeShade="BF"/>
          <w:sz w:val="22"/>
          <w:szCs w:val="22"/>
          <w:lang w:val="en-GB"/>
        </w:rPr>
        <w:t xml:space="preserve">that may be granted to the extent that it may be necessary to protect the assets of the debtor or the interests of creditors, </w:t>
      </w:r>
      <w:r>
        <w:rPr>
          <w:rFonts w:ascii="Arial" w:hAnsi="Arial" w:cs="Arial"/>
          <w:color w:val="7B7B7B" w:themeColor="accent3" w:themeShade="BF"/>
          <w:sz w:val="22"/>
          <w:szCs w:val="22"/>
          <w:lang w:val="en-GB"/>
        </w:rPr>
        <w:t xml:space="preserve">is provided for in article 21 </w:t>
      </w:r>
      <w:r w:rsidR="00EF485D">
        <w:rPr>
          <w:rFonts w:ascii="Arial" w:hAnsi="Arial" w:cs="Arial"/>
          <w:color w:val="7B7B7B" w:themeColor="accent3" w:themeShade="BF"/>
          <w:sz w:val="22"/>
          <w:szCs w:val="22"/>
          <w:lang w:val="en-GB"/>
        </w:rPr>
        <w:t>and includes</w:t>
      </w:r>
      <w:r w:rsidR="00E321B7">
        <w:rPr>
          <w:rFonts w:ascii="Arial" w:hAnsi="Arial" w:cs="Arial"/>
          <w:color w:val="7B7B7B" w:themeColor="accent3" w:themeShade="BF"/>
          <w:sz w:val="22"/>
          <w:szCs w:val="22"/>
          <w:lang w:val="en-GB"/>
        </w:rPr>
        <w:t xml:space="preserve"> staying the commencement or continuation of actions or proceedings against the debtor</w:t>
      </w:r>
      <w:r w:rsidR="00236D1E">
        <w:rPr>
          <w:rFonts w:ascii="Arial" w:hAnsi="Arial" w:cs="Arial"/>
          <w:color w:val="7B7B7B" w:themeColor="accent3" w:themeShade="BF"/>
          <w:sz w:val="22"/>
          <w:szCs w:val="22"/>
          <w:lang w:val="en-GB"/>
        </w:rPr>
        <w:t xml:space="preserve">; execution against the debtor’s assets; suspending the right to transfer, encumber or otherwise dispose of the debtor’s assets; examination of witnesses; entrusting the administration or </w:t>
      </w:r>
      <w:r w:rsidR="00236D1E">
        <w:rPr>
          <w:rFonts w:ascii="Arial" w:hAnsi="Arial" w:cs="Arial"/>
          <w:color w:val="7B7B7B" w:themeColor="accent3" w:themeShade="BF"/>
          <w:sz w:val="22"/>
          <w:szCs w:val="22"/>
          <w:lang w:val="en-GB"/>
        </w:rPr>
        <w:lastRenderedPageBreak/>
        <w:t>realization</w:t>
      </w:r>
      <w:r w:rsidR="0098689B">
        <w:rPr>
          <w:rFonts w:ascii="Arial" w:hAnsi="Arial" w:cs="Arial"/>
          <w:color w:val="7B7B7B" w:themeColor="accent3" w:themeShade="BF"/>
          <w:sz w:val="22"/>
          <w:szCs w:val="22"/>
          <w:lang w:val="en-GB"/>
        </w:rPr>
        <w:t xml:space="preserve"> of all or part of the debtor’s assets to the foreign representative or any other person  designated by court; and any other relief.</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58BAABB0"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2B1CA4">
        <w:rPr>
          <w:rFonts w:ascii="Arial" w:hAnsi="Arial" w:cs="Arial"/>
          <w:color w:val="7B7B7B" w:themeColor="accent3" w:themeShade="BF"/>
          <w:sz w:val="22"/>
          <w:szCs w:val="22"/>
          <w:lang w:val="en-GB"/>
        </w:rPr>
        <w:t>The objective of the relief in article 19 is to protect the assets of the debtor and interests of creditors as a whole. A worldwide freezing order may be necessary to achieve this objective.</w:t>
      </w:r>
      <w:r w:rsidR="00BA474F">
        <w:rPr>
          <w:rFonts w:ascii="Arial" w:hAnsi="Arial" w:cs="Arial"/>
          <w:color w:val="7B7B7B" w:themeColor="accent3" w:themeShade="BF"/>
          <w:sz w:val="22"/>
          <w:szCs w:val="22"/>
          <w:lang w:val="en-GB"/>
        </w:rPr>
        <w:t xml:space="preserve"> It is important to understand that the relief is urgent and granted prior to granting a recognition</w:t>
      </w:r>
      <w:r w:rsidR="002B1CA4">
        <w:rPr>
          <w:rFonts w:ascii="Arial" w:hAnsi="Arial" w:cs="Arial"/>
          <w:color w:val="7B7B7B" w:themeColor="accent3" w:themeShade="BF"/>
          <w:sz w:val="22"/>
          <w:szCs w:val="22"/>
          <w:lang w:val="en-GB"/>
        </w:rPr>
        <w:t xml:space="preserve"> </w:t>
      </w:r>
      <w:r w:rsidR="00BA474F">
        <w:rPr>
          <w:rFonts w:ascii="Arial" w:hAnsi="Arial" w:cs="Arial"/>
          <w:color w:val="7B7B7B" w:themeColor="accent3" w:themeShade="BF"/>
          <w:sz w:val="22"/>
          <w:szCs w:val="22"/>
          <w:lang w:val="en-GB"/>
        </w:rPr>
        <w:t>order. On the contrary, relief under article 21 is discretionary and only granted following making a recognition order</w:t>
      </w:r>
      <w:r w:rsidR="00C70F75">
        <w:rPr>
          <w:rFonts w:ascii="Arial" w:hAnsi="Arial" w:cs="Arial"/>
          <w:color w:val="7B7B7B" w:themeColor="accent3" w:themeShade="BF"/>
          <w:sz w:val="22"/>
          <w:szCs w:val="22"/>
          <w:lang w:val="en-GB"/>
        </w:rPr>
        <w:t xml:space="preserve">. A worldwide freezing order is not </w:t>
      </w:r>
      <w:proofErr w:type="gramStart"/>
      <w:r w:rsidR="00C70F75">
        <w:rPr>
          <w:rFonts w:ascii="Arial" w:hAnsi="Arial" w:cs="Arial"/>
          <w:color w:val="7B7B7B" w:themeColor="accent3" w:themeShade="BF"/>
          <w:sz w:val="22"/>
          <w:szCs w:val="22"/>
          <w:lang w:val="en-GB"/>
        </w:rPr>
        <w:t>necessary</w:t>
      </w:r>
      <w:proofErr w:type="gramEnd"/>
      <w:r w:rsidR="00C70F75">
        <w:rPr>
          <w:rFonts w:ascii="Arial" w:hAnsi="Arial" w:cs="Arial"/>
          <w:color w:val="7B7B7B" w:themeColor="accent3" w:themeShade="BF"/>
          <w:sz w:val="22"/>
          <w:szCs w:val="22"/>
          <w:lang w:val="en-GB"/>
        </w:rPr>
        <w:t xml:space="preserve"> due to the need to balance interests of local and foreign creditors. The court must determine appropriate relief that relates to the assets of the debtor in a particular jurisdiction.</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lastRenderedPageBreak/>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w:t>
      </w:r>
      <w:r w:rsidRPr="009B5832">
        <w:rPr>
          <w:rFonts w:ascii="Arial" w:hAnsi="Arial" w:cs="Arial"/>
          <w:color w:val="000000"/>
          <w:sz w:val="22"/>
          <w:szCs w:val="22"/>
          <w:lang w:val="en-GB" w:eastAsia="en-GB"/>
        </w:rPr>
        <w:lastRenderedPageBreak/>
        <w:t>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AD9A53E" w14:textId="194F3734" w:rsidR="009868F0" w:rsidRDefault="00387106"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641CFF">
        <w:rPr>
          <w:rFonts w:ascii="Arial" w:hAnsi="Arial" w:cs="Arial"/>
          <w:color w:val="7B7B7B" w:themeColor="accent3" w:themeShade="BF"/>
          <w:sz w:val="22"/>
          <w:szCs w:val="22"/>
          <w:lang w:val="en-GB"/>
        </w:rPr>
        <w:t xml:space="preserve">4.1.1 This bank’s liquidation is not a foreign proceeding within the meaning of article 2(a) of the MLCBI. Although liquidation is specifically mentioned in article 2(a) as one of the </w:t>
      </w:r>
      <w:proofErr w:type="gramStart"/>
      <w:r w:rsidR="00641CFF">
        <w:rPr>
          <w:rFonts w:ascii="Arial" w:hAnsi="Arial" w:cs="Arial"/>
          <w:color w:val="7B7B7B" w:themeColor="accent3" w:themeShade="BF"/>
          <w:sz w:val="22"/>
          <w:szCs w:val="22"/>
          <w:lang w:val="en-GB"/>
        </w:rPr>
        <w:t xml:space="preserve">proceedings </w:t>
      </w:r>
      <w:r w:rsidR="00E00119">
        <w:rPr>
          <w:rFonts w:ascii="Arial" w:hAnsi="Arial" w:cs="Arial"/>
          <w:color w:val="7B7B7B" w:themeColor="accent3" w:themeShade="BF"/>
          <w:sz w:val="22"/>
          <w:szCs w:val="22"/>
          <w:lang w:val="en-GB"/>
        </w:rPr>
        <w:t xml:space="preserve"> that</w:t>
      </w:r>
      <w:proofErr w:type="gramEnd"/>
      <w:r w:rsidR="00E00119">
        <w:rPr>
          <w:rFonts w:ascii="Arial" w:hAnsi="Arial" w:cs="Arial"/>
          <w:color w:val="7B7B7B" w:themeColor="accent3" w:themeShade="BF"/>
          <w:sz w:val="22"/>
          <w:szCs w:val="22"/>
          <w:lang w:val="en-GB"/>
        </w:rPr>
        <w:t xml:space="preserve"> may be recognised, there are other </w:t>
      </w:r>
      <w:r w:rsidR="009868F0">
        <w:rPr>
          <w:rFonts w:ascii="Arial" w:hAnsi="Arial" w:cs="Arial"/>
          <w:color w:val="7B7B7B" w:themeColor="accent3" w:themeShade="BF"/>
          <w:sz w:val="22"/>
          <w:szCs w:val="22"/>
          <w:lang w:val="en-GB"/>
        </w:rPr>
        <w:t>criteria</w:t>
      </w:r>
      <w:r w:rsidR="00E00119">
        <w:rPr>
          <w:rFonts w:ascii="Arial" w:hAnsi="Arial" w:cs="Arial"/>
          <w:color w:val="7B7B7B" w:themeColor="accent3" w:themeShade="BF"/>
          <w:sz w:val="22"/>
          <w:szCs w:val="22"/>
          <w:lang w:val="en-GB"/>
        </w:rPr>
        <w:t xml:space="preserve"> that need to be met. There are that the proceeding should be collective judicial or administrative pursuant to the law relating to insolvency</w:t>
      </w:r>
      <w:r w:rsidR="009868F0">
        <w:rPr>
          <w:rFonts w:ascii="Arial" w:hAnsi="Arial" w:cs="Arial"/>
          <w:color w:val="7B7B7B" w:themeColor="accent3" w:themeShade="BF"/>
          <w:sz w:val="22"/>
          <w:szCs w:val="22"/>
          <w:lang w:val="en-GB"/>
        </w:rPr>
        <w:t xml:space="preserve"> in which the assets and affairs of the debtor are subject to control or supervision by a foreign court. </w:t>
      </w:r>
    </w:p>
    <w:p w14:paraId="0F058270" w14:textId="77777777" w:rsidR="007A040D" w:rsidRDefault="007A040D" w:rsidP="00707FC8">
      <w:pPr>
        <w:jc w:val="both"/>
        <w:rPr>
          <w:rFonts w:ascii="Arial" w:hAnsi="Arial" w:cs="Arial"/>
          <w:color w:val="7B7B7B" w:themeColor="accent3" w:themeShade="BF"/>
          <w:sz w:val="22"/>
          <w:szCs w:val="22"/>
          <w:lang w:val="en-GB"/>
        </w:rPr>
      </w:pPr>
    </w:p>
    <w:p w14:paraId="4B91050E" w14:textId="16C188B5" w:rsidR="007A040D" w:rsidRDefault="009868F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liquidation is not a collective proceeding. There is nothing in the facts that indicates participation of other creditors. Articles 34-36 of the DGF Law point to a unilateral process that excludes other creditors</w:t>
      </w:r>
      <w:r w:rsidR="007A040D">
        <w:rPr>
          <w:rFonts w:ascii="Arial" w:hAnsi="Arial" w:cs="Arial"/>
          <w:color w:val="7B7B7B" w:themeColor="accent3" w:themeShade="BF"/>
          <w:sz w:val="22"/>
          <w:szCs w:val="22"/>
          <w:lang w:val="en-GB"/>
        </w:rPr>
        <w:t>.</w:t>
      </w:r>
    </w:p>
    <w:p w14:paraId="19A63BC2" w14:textId="77777777" w:rsidR="007A040D" w:rsidRDefault="007A040D" w:rsidP="00707FC8">
      <w:pPr>
        <w:jc w:val="both"/>
        <w:rPr>
          <w:rFonts w:ascii="Arial" w:hAnsi="Arial" w:cs="Arial"/>
          <w:color w:val="7B7B7B" w:themeColor="accent3" w:themeShade="BF"/>
          <w:sz w:val="22"/>
          <w:szCs w:val="22"/>
          <w:lang w:val="en-GB"/>
        </w:rPr>
      </w:pPr>
    </w:p>
    <w:p w14:paraId="72FE7D77" w14:textId="77777777" w:rsidR="007A040D" w:rsidRDefault="007A040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LBBA and DGF Law are not insolvency laws. They contain for processes similar to insolvency process but there are aspects of these processes that are fundamentally different from insolvency processes. </w:t>
      </w:r>
    </w:p>
    <w:p w14:paraId="74D4BF00" w14:textId="77777777" w:rsidR="007A040D" w:rsidRDefault="007A040D" w:rsidP="00707FC8">
      <w:pPr>
        <w:jc w:val="both"/>
        <w:rPr>
          <w:rFonts w:ascii="Arial" w:hAnsi="Arial" w:cs="Arial"/>
          <w:color w:val="7B7B7B" w:themeColor="accent3" w:themeShade="BF"/>
          <w:sz w:val="22"/>
          <w:szCs w:val="22"/>
          <w:lang w:val="en-GB"/>
        </w:rPr>
      </w:pPr>
    </w:p>
    <w:p w14:paraId="34FD48F6" w14:textId="77777777" w:rsidR="00F33BF1" w:rsidRDefault="007A040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there is nothing in the facts that indicates the proceedings are subject to control or supervision by a court. </w:t>
      </w:r>
      <w:r w:rsidR="00F33BF1">
        <w:rPr>
          <w:rFonts w:ascii="Arial" w:hAnsi="Arial" w:cs="Arial"/>
          <w:color w:val="7B7B7B" w:themeColor="accent3" w:themeShade="BF"/>
          <w:sz w:val="22"/>
          <w:szCs w:val="22"/>
          <w:lang w:val="en-GB"/>
        </w:rPr>
        <w:t xml:space="preserve"> Both the NBA and the DGF are acting pursuant to powers granted by statute.</w:t>
      </w:r>
    </w:p>
    <w:p w14:paraId="2AA2107A" w14:textId="77777777" w:rsidR="00F33BF1" w:rsidRDefault="00F33BF1" w:rsidP="00707FC8">
      <w:pPr>
        <w:jc w:val="both"/>
        <w:rPr>
          <w:rFonts w:ascii="Arial" w:hAnsi="Arial" w:cs="Arial"/>
          <w:color w:val="7B7B7B" w:themeColor="accent3" w:themeShade="BF"/>
          <w:sz w:val="22"/>
          <w:szCs w:val="22"/>
          <w:lang w:val="en-GB"/>
        </w:rPr>
      </w:pPr>
    </w:p>
    <w:p w14:paraId="1FA5CCCC" w14:textId="77777777" w:rsidR="00F33BF1" w:rsidRDefault="00F33BF1" w:rsidP="00707FC8">
      <w:pPr>
        <w:jc w:val="both"/>
        <w:rPr>
          <w:rFonts w:ascii="Arial" w:hAnsi="Arial" w:cs="Arial"/>
          <w:color w:val="7B7B7B" w:themeColor="accent3" w:themeShade="BF"/>
          <w:sz w:val="22"/>
          <w:szCs w:val="22"/>
          <w:lang w:val="en-GB"/>
        </w:rPr>
      </w:pPr>
    </w:p>
    <w:p w14:paraId="2B03AE12" w14:textId="77777777" w:rsidR="00F33BF1" w:rsidRDefault="00F33BF1" w:rsidP="00707FC8">
      <w:pPr>
        <w:jc w:val="both"/>
        <w:rPr>
          <w:rFonts w:ascii="Arial" w:hAnsi="Arial" w:cs="Arial"/>
          <w:color w:val="7B7B7B" w:themeColor="accent3" w:themeShade="BF"/>
          <w:sz w:val="22"/>
          <w:szCs w:val="22"/>
          <w:lang w:val="en-GB"/>
        </w:rPr>
      </w:pPr>
    </w:p>
    <w:p w14:paraId="6E6B9AA4" w14:textId="06EA8356" w:rsidR="00387106" w:rsidRPr="009B5832" w:rsidRDefault="00F33BF1"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4.1.2 </w:t>
      </w:r>
      <w:r w:rsidR="00507F98">
        <w:rPr>
          <w:rFonts w:ascii="Arial" w:hAnsi="Arial" w:cs="Arial"/>
          <w:color w:val="7B7B7B" w:themeColor="accent3" w:themeShade="BF"/>
          <w:sz w:val="22"/>
          <w:szCs w:val="22"/>
          <w:lang w:val="en-GB"/>
        </w:rPr>
        <w:t xml:space="preserve">Article 2(a) of the MLCBI defines a foreign representative as a person or body, including one appointed on an interim basis, authorised in a foreign proceeding to administer the reorganisation or the liquidation of the debtor’s assets or affairs or to act as a representative of the foreign proceeding. </w:t>
      </w:r>
      <w:r w:rsidR="00406D0C">
        <w:rPr>
          <w:rFonts w:ascii="Arial" w:hAnsi="Arial" w:cs="Arial"/>
          <w:color w:val="7B7B7B" w:themeColor="accent3" w:themeShade="BF"/>
          <w:sz w:val="22"/>
          <w:szCs w:val="22"/>
          <w:lang w:val="en-GB"/>
        </w:rPr>
        <w:t xml:space="preserve">Article 2(a) does require the foreign representative to be appointed by court. </w:t>
      </w:r>
      <w:r w:rsidR="00C835E9">
        <w:rPr>
          <w:rFonts w:ascii="Arial" w:hAnsi="Arial" w:cs="Arial"/>
          <w:color w:val="7B7B7B" w:themeColor="accent3" w:themeShade="BF"/>
          <w:sz w:val="22"/>
          <w:szCs w:val="22"/>
          <w:lang w:val="en-GB"/>
        </w:rPr>
        <w:t xml:space="preserve">This position is confirmed by Article 17 which provides the factors to take into account when recognising a foreign proceeding that include in subsection (1)(b), a requirement for the foreign representative to be a person or body within the meaning of article 2(d). </w:t>
      </w:r>
      <w:r w:rsidR="00406D0C">
        <w:rPr>
          <w:rFonts w:ascii="Arial" w:hAnsi="Arial" w:cs="Arial"/>
          <w:color w:val="7B7B7B" w:themeColor="accent3" w:themeShade="BF"/>
          <w:sz w:val="22"/>
          <w:szCs w:val="22"/>
          <w:lang w:val="en-GB"/>
        </w:rPr>
        <w:t xml:space="preserve">DGF as liquidator is </w:t>
      </w:r>
      <w:r w:rsidR="00507F98">
        <w:rPr>
          <w:rFonts w:ascii="Arial" w:hAnsi="Arial" w:cs="Arial"/>
          <w:color w:val="7B7B7B" w:themeColor="accent3" w:themeShade="BF"/>
          <w:sz w:val="22"/>
          <w:szCs w:val="22"/>
          <w:lang w:val="en-GB"/>
        </w:rPr>
        <w:t xml:space="preserve">eligible </w:t>
      </w:r>
      <w:r w:rsidR="00C835E9">
        <w:rPr>
          <w:rFonts w:ascii="Arial" w:hAnsi="Arial" w:cs="Arial"/>
          <w:color w:val="7B7B7B" w:themeColor="accent3" w:themeShade="BF"/>
          <w:sz w:val="22"/>
          <w:szCs w:val="22"/>
          <w:lang w:val="en-GB"/>
        </w:rPr>
        <w:t xml:space="preserve">for recognition </w:t>
      </w:r>
      <w:proofErr w:type="gramStart"/>
      <w:r w:rsidR="00C835E9">
        <w:rPr>
          <w:rFonts w:ascii="Arial" w:hAnsi="Arial" w:cs="Arial"/>
          <w:color w:val="7B7B7B" w:themeColor="accent3" w:themeShade="BF"/>
          <w:sz w:val="22"/>
          <w:szCs w:val="22"/>
          <w:lang w:val="en-GB"/>
        </w:rPr>
        <w:t xml:space="preserve">as </w:t>
      </w:r>
      <w:r w:rsidR="00406D0C">
        <w:rPr>
          <w:rFonts w:ascii="Arial" w:hAnsi="Arial" w:cs="Arial"/>
          <w:color w:val="7B7B7B" w:themeColor="accent3" w:themeShade="BF"/>
          <w:sz w:val="22"/>
          <w:szCs w:val="22"/>
          <w:lang w:val="en-GB"/>
        </w:rPr>
        <w:t xml:space="preserve"> foreign</w:t>
      </w:r>
      <w:proofErr w:type="gramEnd"/>
      <w:r w:rsidR="00406D0C">
        <w:rPr>
          <w:rFonts w:ascii="Arial" w:hAnsi="Arial" w:cs="Arial"/>
          <w:color w:val="7B7B7B" w:themeColor="accent3" w:themeShade="BF"/>
          <w:sz w:val="22"/>
          <w:szCs w:val="22"/>
          <w:lang w:val="en-GB"/>
        </w:rPr>
        <w:t xml:space="preserve"> representative. However, Ms. G. appears to have limited roles and powers and therefore she would not be in position to exercise all powers of a foreign representative if recognised as such. The instrument appointing her excludes </w:t>
      </w:r>
      <w:r w:rsidR="00406D0C">
        <w:rPr>
          <w:rFonts w:ascii="Arial" w:hAnsi="Arial" w:cs="Arial"/>
          <w:color w:val="7B7B7B" w:themeColor="accent3" w:themeShade="BF"/>
          <w:sz w:val="22"/>
          <w:szCs w:val="22"/>
          <w:lang w:val="en-GB"/>
        </w:rPr>
        <w:lastRenderedPageBreak/>
        <w:t xml:space="preserve">powers to claim for damages and claim from other creditors. </w:t>
      </w:r>
      <w:r w:rsidR="00A67D57">
        <w:rPr>
          <w:rFonts w:ascii="Arial" w:hAnsi="Arial" w:cs="Arial"/>
          <w:color w:val="7B7B7B" w:themeColor="accent3" w:themeShade="BF"/>
          <w:sz w:val="22"/>
          <w:szCs w:val="22"/>
          <w:lang w:val="en-GB"/>
        </w:rPr>
        <w:t>For example, Ms. G.’s ability to pursue actions under article 23 would be limited.</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E6F1" w14:textId="77777777" w:rsidR="00E73555" w:rsidRDefault="00E73555" w:rsidP="00241B44">
      <w:r>
        <w:separator/>
      </w:r>
    </w:p>
  </w:endnote>
  <w:endnote w:type="continuationSeparator" w:id="0">
    <w:p w14:paraId="2C9DEB1A" w14:textId="77777777" w:rsidR="00E73555" w:rsidRDefault="00E735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22010F1" w:rsidR="0036760B" w:rsidRPr="00784B4B" w:rsidRDefault="0096288B" w:rsidP="0036760B">
    <w:pPr>
      <w:pStyle w:val="Footer"/>
      <w:ind w:right="360" w:firstLine="360"/>
      <w:rPr>
        <w:rFonts w:ascii="Arial" w:hAnsi="Arial" w:cs="Arial"/>
        <w:sz w:val="18"/>
        <w:szCs w:val="18"/>
      </w:rPr>
    </w:pPr>
    <w:r>
      <w:t>202122-508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FAE" w14:textId="77777777" w:rsidR="0096288B" w:rsidRDefault="009628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BF21" w14:textId="77777777" w:rsidR="00E73555" w:rsidRDefault="00E73555" w:rsidP="00241B44">
      <w:r>
        <w:separator/>
      </w:r>
    </w:p>
  </w:footnote>
  <w:footnote w:type="continuationSeparator" w:id="0">
    <w:p w14:paraId="23C37621" w14:textId="77777777" w:rsidR="00E73555" w:rsidRDefault="00E7355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B228" w14:textId="77777777" w:rsidR="0096288B" w:rsidRDefault="00962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AFD1" w14:textId="77777777" w:rsidR="0096288B" w:rsidRDefault="0096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35E" w14:textId="77777777" w:rsidR="0096288B" w:rsidRDefault="0096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B1073"/>
    <w:multiLevelType w:val="hybridMultilevel"/>
    <w:tmpl w:val="A846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7"/>
  </w:num>
  <w:num w:numId="4">
    <w:abstractNumId w:val="36"/>
  </w:num>
  <w:num w:numId="5">
    <w:abstractNumId w:val="7"/>
  </w:num>
  <w:num w:numId="6">
    <w:abstractNumId w:val="34"/>
  </w:num>
  <w:num w:numId="7">
    <w:abstractNumId w:val="14"/>
  </w:num>
  <w:num w:numId="8">
    <w:abstractNumId w:val="29"/>
  </w:num>
  <w:num w:numId="9">
    <w:abstractNumId w:val="17"/>
  </w:num>
  <w:num w:numId="10">
    <w:abstractNumId w:val="10"/>
  </w:num>
  <w:num w:numId="11">
    <w:abstractNumId w:val="19"/>
  </w:num>
  <w:num w:numId="12">
    <w:abstractNumId w:val="33"/>
  </w:num>
  <w:num w:numId="13">
    <w:abstractNumId w:val="5"/>
  </w:num>
  <w:num w:numId="14">
    <w:abstractNumId w:val="25"/>
  </w:num>
  <w:num w:numId="15">
    <w:abstractNumId w:val="11"/>
  </w:num>
  <w:num w:numId="16">
    <w:abstractNumId w:val="12"/>
  </w:num>
  <w:num w:numId="17">
    <w:abstractNumId w:val="21"/>
  </w:num>
  <w:num w:numId="18">
    <w:abstractNumId w:val="6"/>
  </w:num>
  <w:num w:numId="19">
    <w:abstractNumId w:val="20"/>
  </w:num>
  <w:num w:numId="20">
    <w:abstractNumId w:val="39"/>
  </w:num>
  <w:num w:numId="21">
    <w:abstractNumId w:val="13"/>
  </w:num>
  <w:num w:numId="22">
    <w:abstractNumId w:val="32"/>
  </w:num>
  <w:num w:numId="23">
    <w:abstractNumId w:val="37"/>
  </w:num>
  <w:num w:numId="24">
    <w:abstractNumId w:val="31"/>
  </w:num>
  <w:num w:numId="25">
    <w:abstractNumId w:val="24"/>
  </w:num>
  <w:num w:numId="26">
    <w:abstractNumId w:val="38"/>
  </w:num>
  <w:num w:numId="27">
    <w:abstractNumId w:val="35"/>
  </w:num>
  <w:num w:numId="28">
    <w:abstractNumId w:val="8"/>
  </w:num>
  <w:num w:numId="29">
    <w:abstractNumId w:val="9"/>
  </w:num>
  <w:num w:numId="30">
    <w:abstractNumId w:val="22"/>
  </w:num>
  <w:num w:numId="31">
    <w:abstractNumId w:val="2"/>
  </w:num>
  <w:num w:numId="32">
    <w:abstractNumId w:val="23"/>
  </w:num>
  <w:num w:numId="33">
    <w:abstractNumId w:val="0"/>
  </w:num>
  <w:num w:numId="34">
    <w:abstractNumId w:val="28"/>
  </w:num>
  <w:num w:numId="35">
    <w:abstractNumId w:val="16"/>
  </w:num>
  <w:num w:numId="36">
    <w:abstractNumId w:val="30"/>
  </w:num>
  <w:num w:numId="37">
    <w:abstractNumId w:val="18"/>
  </w:num>
  <w:num w:numId="38">
    <w:abstractNumId w:val="26"/>
  </w:num>
  <w:num w:numId="39">
    <w:abstractNumId w:val="4"/>
  </w:num>
  <w:num w:numId="40">
    <w:abstractNumId w:val="15"/>
  </w:num>
  <w:num w:numId="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1E11"/>
    <w:rsid w:val="000077DD"/>
    <w:rsid w:val="00010BA0"/>
    <w:rsid w:val="00010E79"/>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86076"/>
    <w:rsid w:val="00093BE8"/>
    <w:rsid w:val="00096BBD"/>
    <w:rsid w:val="000A68ED"/>
    <w:rsid w:val="000A79B8"/>
    <w:rsid w:val="000B4FEB"/>
    <w:rsid w:val="000B5FF1"/>
    <w:rsid w:val="000B609F"/>
    <w:rsid w:val="000C147F"/>
    <w:rsid w:val="000C6BB9"/>
    <w:rsid w:val="000D55A8"/>
    <w:rsid w:val="000E4841"/>
    <w:rsid w:val="000E623E"/>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1618"/>
    <w:rsid w:val="001D4862"/>
    <w:rsid w:val="001E25B9"/>
    <w:rsid w:val="001E49E0"/>
    <w:rsid w:val="001E7B5A"/>
    <w:rsid w:val="001F7412"/>
    <w:rsid w:val="00201874"/>
    <w:rsid w:val="00202133"/>
    <w:rsid w:val="0020264E"/>
    <w:rsid w:val="0020725B"/>
    <w:rsid w:val="002175BA"/>
    <w:rsid w:val="0022599E"/>
    <w:rsid w:val="002305E8"/>
    <w:rsid w:val="0023198D"/>
    <w:rsid w:val="002321EC"/>
    <w:rsid w:val="0023317E"/>
    <w:rsid w:val="00234F2C"/>
    <w:rsid w:val="00236D1E"/>
    <w:rsid w:val="00240B0E"/>
    <w:rsid w:val="0024116D"/>
    <w:rsid w:val="002415F9"/>
    <w:rsid w:val="00241B44"/>
    <w:rsid w:val="00245EFB"/>
    <w:rsid w:val="00250E19"/>
    <w:rsid w:val="0025386E"/>
    <w:rsid w:val="002638B0"/>
    <w:rsid w:val="00264C0E"/>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B1CA4"/>
    <w:rsid w:val="002C13C8"/>
    <w:rsid w:val="002C3547"/>
    <w:rsid w:val="002D0021"/>
    <w:rsid w:val="002D3473"/>
    <w:rsid w:val="002D5C95"/>
    <w:rsid w:val="002E00F8"/>
    <w:rsid w:val="002E1BB5"/>
    <w:rsid w:val="002E2322"/>
    <w:rsid w:val="002E38E2"/>
    <w:rsid w:val="002E4574"/>
    <w:rsid w:val="002F1956"/>
    <w:rsid w:val="002F3440"/>
    <w:rsid w:val="002F4EC0"/>
    <w:rsid w:val="002F71BE"/>
    <w:rsid w:val="002F75A3"/>
    <w:rsid w:val="00303C2F"/>
    <w:rsid w:val="003127AE"/>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01F6"/>
    <w:rsid w:val="0035045C"/>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438"/>
    <w:rsid w:val="003A051E"/>
    <w:rsid w:val="003A2FEE"/>
    <w:rsid w:val="003A4C5F"/>
    <w:rsid w:val="003B1310"/>
    <w:rsid w:val="003B170F"/>
    <w:rsid w:val="003B3C5F"/>
    <w:rsid w:val="003C1B43"/>
    <w:rsid w:val="003C4471"/>
    <w:rsid w:val="003C66B1"/>
    <w:rsid w:val="003D0A6D"/>
    <w:rsid w:val="003E0B16"/>
    <w:rsid w:val="003E67D1"/>
    <w:rsid w:val="003E7B8B"/>
    <w:rsid w:val="00405DC1"/>
    <w:rsid w:val="00406D0C"/>
    <w:rsid w:val="0040710D"/>
    <w:rsid w:val="0041139B"/>
    <w:rsid w:val="00413D3A"/>
    <w:rsid w:val="00415F1F"/>
    <w:rsid w:val="0042108F"/>
    <w:rsid w:val="00422242"/>
    <w:rsid w:val="00424D07"/>
    <w:rsid w:val="004278DC"/>
    <w:rsid w:val="00430FED"/>
    <w:rsid w:val="00434A8C"/>
    <w:rsid w:val="00435583"/>
    <w:rsid w:val="00436113"/>
    <w:rsid w:val="00437297"/>
    <w:rsid w:val="00442ED9"/>
    <w:rsid w:val="00443403"/>
    <w:rsid w:val="00444284"/>
    <w:rsid w:val="00445CE6"/>
    <w:rsid w:val="00451D2B"/>
    <w:rsid w:val="004534C2"/>
    <w:rsid w:val="0045446F"/>
    <w:rsid w:val="0045683E"/>
    <w:rsid w:val="00461DF6"/>
    <w:rsid w:val="0047025B"/>
    <w:rsid w:val="00473684"/>
    <w:rsid w:val="00491675"/>
    <w:rsid w:val="004934F3"/>
    <w:rsid w:val="00493855"/>
    <w:rsid w:val="0049508F"/>
    <w:rsid w:val="004A171E"/>
    <w:rsid w:val="004A57DD"/>
    <w:rsid w:val="004A7B51"/>
    <w:rsid w:val="004A7D71"/>
    <w:rsid w:val="004A7EF3"/>
    <w:rsid w:val="004B11FD"/>
    <w:rsid w:val="004B23A2"/>
    <w:rsid w:val="004D030A"/>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07F98"/>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93853"/>
    <w:rsid w:val="005A0CCA"/>
    <w:rsid w:val="005A726D"/>
    <w:rsid w:val="005B67AC"/>
    <w:rsid w:val="005C031D"/>
    <w:rsid w:val="005C2724"/>
    <w:rsid w:val="005C2C94"/>
    <w:rsid w:val="005C4865"/>
    <w:rsid w:val="005D43E0"/>
    <w:rsid w:val="005D58A3"/>
    <w:rsid w:val="005E1B79"/>
    <w:rsid w:val="005E5C28"/>
    <w:rsid w:val="005F026D"/>
    <w:rsid w:val="005F21F4"/>
    <w:rsid w:val="005F2D0B"/>
    <w:rsid w:val="005F4B31"/>
    <w:rsid w:val="00610388"/>
    <w:rsid w:val="00612215"/>
    <w:rsid w:val="00612CA5"/>
    <w:rsid w:val="006153EC"/>
    <w:rsid w:val="00620806"/>
    <w:rsid w:val="00621A17"/>
    <w:rsid w:val="00622586"/>
    <w:rsid w:val="00622C2B"/>
    <w:rsid w:val="00622DCB"/>
    <w:rsid w:val="006263D6"/>
    <w:rsid w:val="00627CC9"/>
    <w:rsid w:val="00627E7B"/>
    <w:rsid w:val="00630542"/>
    <w:rsid w:val="00632E44"/>
    <w:rsid w:val="00633D64"/>
    <w:rsid w:val="00634622"/>
    <w:rsid w:val="00636808"/>
    <w:rsid w:val="00641002"/>
    <w:rsid w:val="00641515"/>
    <w:rsid w:val="00641CFF"/>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6FBD"/>
    <w:rsid w:val="006D6BD5"/>
    <w:rsid w:val="006E303F"/>
    <w:rsid w:val="006E481A"/>
    <w:rsid w:val="006E5298"/>
    <w:rsid w:val="006F2CE3"/>
    <w:rsid w:val="006F734A"/>
    <w:rsid w:val="006F783E"/>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A040D"/>
    <w:rsid w:val="007B3AC7"/>
    <w:rsid w:val="007B431D"/>
    <w:rsid w:val="007C1FCC"/>
    <w:rsid w:val="007C32A8"/>
    <w:rsid w:val="007C3313"/>
    <w:rsid w:val="007C3FE5"/>
    <w:rsid w:val="007C5302"/>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004F"/>
    <w:rsid w:val="00822764"/>
    <w:rsid w:val="0082483F"/>
    <w:rsid w:val="008264CB"/>
    <w:rsid w:val="008279C0"/>
    <w:rsid w:val="00833A50"/>
    <w:rsid w:val="00835FD1"/>
    <w:rsid w:val="0084683C"/>
    <w:rsid w:val="00853A74"/>
    <w:rsid w:val="00860E61"/>
    <w:rsid w:val="008723F3"/>
    <w:rsid w:val="00881DE6"/>
    <w:rsid w:val="008837A6"/>
    <w:rsid w:val="0089145D"/>
    <w:rsid w:val="008A0C6E"/>
    <w:rsid w:val="008A1487"/>
    <w:rsid w:val="008A4DF2"/>
    <w:rsid w:val="008A6CFE"/>
    <w:rsid w:val="008A7470"/>
    <w:rsid w:val="008A77DB"/>
    <w:rsid w:val="008B1A08"/>
    <w:rsid w:val="008B2DE3"/>
    <w:rsid w:val="008B5333"/>
    <w:rsid w:val="008B6223"/>
    <w:rsid w:val="008C66E0"/>
    <w:rsid w:val="008D7789"/>
    <w:rsid w:val="008E1224"/>
    <w:rsid w:val="008E2DFA"/>
    <w:rsid w:val="008E3339"/>
    <w:rsid w:val="008E549B"/>
    <w:rsid w:val="008F18EF"/>
    <w:rsid w:val="008F20FC"/>
    <w:rsid w:val="008F2B24"/>
    <w:rsid w:val="008F4E54"/>
    <w:rsid w:val="008F5FFE"/>
    <w:rsid w:val="0090421A"/>
    <w:rsid w:val="00905A43"/>
    <w:rsid w:val="00912C79"/>
    <w:rsid w:val="009260A2"/>
    <w:rsid w:val="00930C77"/>
    <w:rsid w:val="00942123"/>
    <w:rsid w:val="00951031"/>
    <w:rsid w:val="0095207B"/>
    <w:rsid w:val="00956085"/>
    <w:rsid w:val="00957951"/>
    <w:rsid w:val="00962045"/>
    <w:rsid w:val="0096288B"/>
    <w:rsid w:val="009634F7"/>
    <w:rsid w:val="00967EDA"/>
    <w:rsid w:val="00970146"/>
    <w:rsid w:val="00970897"/>
    <w:rsid w:val="00971CD5"/>
    <w:rsid w:val="00980314"/>
    <w:rsid w:val="009816D0"/>
    <w:rsid w:val="0098689B"/>
    <w:rsid w:val="009868F0"/>
    <w:rsid w:val="00991428"/>
    <w:rsid w:val="00992676"/>
    <w:rsid w:val="00996691"/>
    <w:rsid w:val="009A12C9"/>
    <w:rsid w:val="009A4880"/>
    <w:rsid w:val="009A7865"/>
    <w:rsid w:val="009B0723"/>
    <w:rsid w:val="009B07AD"/>
    <w:rsid w:val="009B0883"/>
    <w:rsid w:val="009B15E2"/>
    <w:rsid w:val="009B5832"/>
    <w:rsid w:val="009B594C"/>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4634"/>
    <w:rsid w:val="00A27A7A"/>
    <w:rsid w:val="00A30A06"/>
    <w:rsid w:val="00A321D1"/>
    <w:rsid w:val="00A407EF"/>
    <w:rsid w:val="00A46B4C"/>
    <w:rsid w:val="00A5117B"/>
    <w:rsid w:val="00A54689"/>
    <w:rsid w:val="00A60074"/>
    <w:rsid w:val="00A6627C"/>
    <w:rsid w:val="00A67D57"/>
    <w:rsid w:val="00A71019"/>
    <w:rsid w:val="00A81029"/>
    <w:rsid w:val="00A83CB5"/>
    <w:rsid w:val="00A86A16"/>
    <w:rsid w:val="00A96489"/>
    <w:rsid w:val="00AA3A42"/>
    <w:rsid w:val="00AA5311"/>
    <w:rsid w:val="00AB685C"/>
    <w:rsid w:val="00AB6C2D"/>
    <w:rsid w:val="00AC08F7"/>
    <w:rsid w:val="00AC23E7"/>
    <w:rsid w:val="00AC3839"/>
    <w:rsid w:val="00AC7082"/>
    <w:rsid w:val="00AD3FEA"/>
    <w:rsid w:val="00AD7BBD"/>
    <w:rsid w:val="00AF228E"/>
    <w:rsid w:val="00B04137"/>
    <w:rsid w:val="00B11D19"/>
    <w:rsid w:val="00B12936"/>
    <w:rsid w:val="00B14819"/>
    <w:rsid w:val="00B17AA9"/>
    <w:rsid w:val="00B32DE4"/>
    <w:rsid w:val="00B33578"/>
    <w:rsid w:val="00B34856"/>
    <w:rsid w:val="00B370C3"/>
    <w:rsid w:val="00B411AE"/>
    <w:rsid w:val="00B60190"/>
    <w:rsid w:val="00B61419"/>
    <w:rsid w:val="00B72F5F"/>
    <w:rsid w:val="00B736DF"/>
    <w:rsid w:val="00B74FBD"/>
    <w:rsid w:val="00B82586"/>
    <w:rsid w:val="00B829A3"/>
    <w:rsid w:val="00B86DB1"/>
    <w:rsid w:val="00B87869"/>
    <w:rsid w:val="00B95CAD"/>
    <w:rsid w:val="00BA0E44"/>
    <w:rsid w:val="00BA474F"/>
    <w:rsid w:val="00BA47C5"/>
    <w:rsid w:val="00BB0F2B"/>
    <w:rsid w:val="00BB4C57"/>
    <w:rsid w:val="00BC0F11"/>
    <w:rsid w:val="00BE1A50"/>
    <w:rsid w:val="00BE490B"/>
    <w:rsid w:val="00BE6C44"/>
    <w:rsid w:val="00BF1096"/>
    <w:rsid w:val="00BF14A3"/>
    <w:rsid w:val="00BF1909"/>
    <w:rsid w:val="00BF50F7"/>
    <w:rsid w:val="00BF71F3"/>
    <w:rsid w:val="00C02F29"/>
    <w:rsid w:val="00C0388B"/>
    <w:rsid w:val="00C10C13"/>
    <w:rsid w:val="00C17111"/>
    <w:rsid w:val="00C20747"/>
    <w:rsid w:val="00C20AFE"/>
    <w:rsid w:val="00C22A25"/>
    <w:rsid w:val="00C23B79"/>
    <w:rsid w:val="00C33D50"/>
    <w:rsid w:val="00C35671"/>
    <w:rsid w:val="00C35B77"/>
    <w:rsid w:val="00C36716"/>
    <w:rsid w:val="00C370D3"/>
    <w:rsid w:val="00C376EB"/>
    <w:rsid w:val="00C4003A"/>
    <w:rsid w:val="00C41AEA"/>
    <w:rsid w:val="00C46EC1"/>
    <w:rsid w:val="00C504E5"/>
    <w:rsid w:val="00C52D77"/>
    <w:rsid w:val="00C53E2C"/>
    <w:rsid w:val="00C550C8"/>
    <w:rsid w:val="00C56B61"/>
    <w:rsid w:val="00C606C3"/>
    <w:rsid w:val="00C620F4"/>
    <w:rsid w:val="00C67ECE"/>
    <w:rsid w:val="00C70F75"/>
    <w:rsid w:val="00C72848"/>
    <w:rsid w:val="00C7736C"/>
    <w:rsid w:val="00C809B1"/>
    <w:rsid w:val="00C82D87"/>
    <w:rsid w:val="00C835E9"/>
    <w:rsid w:val="00C841ED"/>
    <w:rsid w:val="00C85F17"/>
    <w:rsid w:val="00C8712A"/>
    <w:rsid w:val="00C91324"/>
    <w:rsid w:val="00C963D3"/>
    <w:rsid w:val="00CA6E0D"/>
    <w:rsid w:val="00CB2CBB"/>
    <w:rsid w:val="00CB664F"/>
    <w:rsid w:val="00CB7CAC"/>
    <w:rsid w:val="00CC0EA0"/>
    <w:rsid w:val="00CC5335"/>
    <w:rsid w:val="00CC5BA4"/>
    <w:rsid w:val="00CC70BB"/>
    <w:rsid w:val="00CD4998"/>
    <w:rsid w:val="00CE1035"/>
    <w:rsid w:val="00CF2819"/>
    <w:rsid w:val="00CF4F9D"/>
    <w:rsid w:val="00CF5448"/>
    <w:rsid w:val="00CF70DC"/>
    <w:rsid w:val="00D144C4"/>
    <w:rsid w:val="00D148DC"/>
    <w:rsid w:val="00D17FDC"/>
    <w:rsid w:val="00D266F7"/>
    <w:rsid w:val="00D444C5"/>
    <w:rsid w:val="00D45AEA"/>
    <w:rsid w:val="00D53E7F"/>
    <w:rsid w:val="00D551DB"/>
    <w:rsid w:val="00D56A37"/>
    <w:rsid w:val="00D57202"/>
    <w:rsid w:val="00D63EFD"/>
    <w:rsid w:val="00D64826"/>
    <w:rsid w:val="00D71B4B"/>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119"/>
    <w:rsid w:val="00E00C00"/>
    <w:rsid w:val="00E04A7C"/>
    <w:rsid w:val="00E059FB"/>
    <w:rsid w:val="00E069C4"/>
    <w:rsid w:val="00E07275"/>
    <w:rsid w:val="00E07866"/>
    <w:rsid w:val="00E07C5A"/>
    <w:rsid w:val="00E15BA9"/>
    <w:rsid w:val="00E26E19"/>
    <w:rsid w:val="00E31DF3"/>
    <w:rsid w:val="00E321B7"/>
    <w:rsid w:val="00E32814"/>
    <w:rsid w:val="00E33486"/>
    <w:rsid w:val="00E450A4"/>
    <w:rsid w:val="00E506BE"/>
    <w:rsid w:val="00E55547"/>
    <w:rsid w:val="00E57410"/>
    <w:rsid w:val="00E6302B"/>
    <w:rsid w:val="00E6452F"/>
    <w:rsid w:val="00E64619"/>
    <w:rsid w:val="00E64F45"/>
    <w:rsid w:val="00E6742D"/>
    <w:rsid w:val="00E71CB0"/>
    <w:rsid w:val="00E73529"/>
    <w:rsid w:val="00E73555"/>
    <w:rsid w:val="00E77C3D"/>
    <w:rsid w:val="00E850FE"/>
    <w:rsid w:val="00E909F0"/>
    <w:rsid w:val="00E90D47"/>
    <w:rsid w:val="00E93993"/>
    <w:rsid w:val="00E9597C"/>
    <w:rsid w:val="00EA0913"/>
    <w:rsid w:val="00EA0A2F"/>
    <w:rsid w:val="00EB146B"/>
    <w:rsid w:val="00EB45AC"/>
    <w:rsid w:val="00EC25BE"/>
    <w:rsid w:val="00EC2AEA"/>
    <w:rsid w:val="00EC7B11"/>
    <w:rsid w:val="00EC7F95"/>
    <w:rsid w:val="00ED0BC4"/>
    <w:rsid w:val="00ED13F1"/>
    <w:rsid w:val="00ED3771"/>
    <w:rsid w:val="00ED6A32"/>
    <w:rsid w:val="00EE4971"/>
    <w:rsid w:val="00EF090E"/>
    <w:rsid w:val="00EF485D"/>
    <w:rsid w:val="00F033DA"/>
    <w:rsid w:val="00F11AAB"/>
    <w:rsid w:val="00F13FB1"/>
    <w:rsid w:val="00F17C87"/>
    <w:rsid w:val="00F223E7"/>
    <w:rsid w:val="00F2288D"/>
    <w:rsid w:val="00F25779"/>
    <w:rsid w:val="00F2750A"/>
    <w:rsid w:val="00F27CD8"/>
    <w:rsid w:val="00F30351"/>
    <w:rsid w:val="00F3323E"/>
    <w:rsid w:val="00F33BF1"/>
    <w:rsid w:val="00F341F4"/>
    <w:rsid w:val="00F34F9D"/>
    <w:rsid w:val="00F35CCE"/>
    <w:rsid w:val="00F55241"/>
    <w:rsid w:val="00F5524B"/>
    <w:rsid w:val="00F60538"/>
    <w:rsid w:val="00F61DD2"/>
    <w:rsid w:val="00F6523A"/>
    <w:rsid w:val="00F66AFF"/>
    <w:rsid w:val="00F71433"/>
    <w:rsid w:val="00F7241A"/>
    <w:rsid w:val="00F80292"/>
    <w:rsid w:val="00F80A29"/>
    <w:rsid w:val="00F83E76"/>
    <w:rsid w:val="00F90A57"/>
    <w:rsid w:val="00F97C5B"/>
    <w:rsid w:val="00FA05D2"/>
    <w:rsid w:val="00FA14EC"/>
    <w:rsid w:val="00FA359A"/>
    <w:rsid w:val="00FA3D50"/>
    <w:rsid w:val="00FB009F"/>
    <w:rsid w:val="00FB25B0"/>
    <w:rsid w:val="00FB6136"/>
    <w:rsid w:val="00FB660D"/>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16</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winifred</cp:lastModifiedBy>
  <cp:revision>18</cp:revision>
  <cp:lastPrinted>2019-08-27T05:42:00Z</cp:lastPrinted>
  <dcterms:created xsi:type="dcterms:W3CDTF">2022-02-02T06:08:00Z</dcterms:created>
  <dcterms:modified xsi:type="dcterms:W3CDTF">2022-03-01T12:47:00Z</dcterms:modified>
</cp:coreProperties>
</file>