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16FC8BC" w:rsidR="004B23A2" w:rsidRDefault="006D4625" w:rsidP="00524728">
      <w:pPr>
        <w:jc w:val="center"/>
        <w:rPr>
          <w:rFonts w:ascii="Arial" w:hAnsi="Arial" w:cs="Arial"/>
          <w:b/>
          <w:sz w:val="22"/>
          <w:szCs w:val="22"/>
          <w:lang w:val="en-GB"/>
        </w:rPr>
      </w:pPr>
      <w:r>
        <w:rPr>
          <w:rFonts w:ascii="Arial" w:hAnsi="Arial" w:cs="Arial"/>
          <w:b/>
          <w:sz w:val="22"/>
          <w:szCs w:val="22"/>
          <w:lang w:val="en-GB"/>
        </w:rPr>
        <w:t xml:space="preserve"> </w:t>
      </w:r>
      <w:r w:rsidR="007D0192">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proofErr w:type="spellStart"/>
      <w:r w:rsidR="002903A7" w:rsidRPr="007D0192">
        <w:rPr>
          <w:rFonts w:ascii="Arial" w:hAnsi="Arial" w:cs="Arial"/>
          <w:b/>
          <w:color w:val="000000" w:themeColor="text1"/>
          <w:sz w:val="24"/>
          <w:lang w:val="en-GB"/>
        </w:rPr>
        <w:t>3A</w:t>
      </w:r>
      <w:proofErr w:type="spellEnd"/>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proofErr w:type="spellStart"/>
      <w:r>
        <w:rPr>
          <w:rFonts w:ascii="Arial" w:hAnsi="Arial" w:cs="Arial"/>
          <w:b/>
          <w:color w:val="767171" w:themeColor="background2" w:themeShade="80"/>
          <w:sz w:val="22"/>
          <w:szCs w:val="22"/>
          <w:lang w:val="en-GB"/>
        </w:rPr>
        <w:t>3A</w:t>
      </w:r>
      <w:proofErr w:type="spellEnd"/>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proofErr w:type="spellStart"/>
      <w:r>
        <w:rPr>
          <w:rFonts w:ascii="Arial" w:hAnsi="Arial" w:cs="Arial"/>
          <w:b/>
          <w:color w:val="767171" w:themeColor="background2" w:themeShade="80"/>
          <w:sz w:val="22"/>
          <w:szCs w:val="22"/>
          <w:lang w:val="en-GB"/>
        </w:rPr>
        <w:t>3A</w:t>
      </w:r>
      <w:proofErr w:type="spellEnd"/>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w:t>
      </w:r>
      <w:proofErr w:type="spellStart"/>
      <w:r w:rsidRPr="00BF1C6F">
        <w:rPr>
          <w:rFonts w:ascii="Arial" w:hAnsi="Arial" w:cs="Arial"/>
          <w:sz w:val="22"/>
          <w:szCs w:val="22"/>
          <w:lang w:val="en-GB"/>
        </w:rPr>
        <w:t>A4</w:t>
      </w:r>
      <w:proofErr w:type="spellEnd"/>
      <w:r w:rsidRPr="00BF1C6F">
        <w:rPr>
          <w:rFonts w:ascii="Arial" w:hAnsi="Arial" w:cs="Arial"/>
          <w:sz w:val="22"/>
          <w:szCs w:val="22"/>
          <w:lang w:val="en-GB"/>
        </w:rPr>
        <w:t xml:space="preserve">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w:t>
      </w:r>
      <w:proofErr w:type="spellStart"/>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proofErr w:type="spellEnd"/>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proofErr w:type="spellStart"/>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proofErr w:type="spellEnd"/>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proofErr w:type="spellStart"/>
      <w:r w:rsidR="00DA1D45">
        <w:rPr>
          <w:rFonts w:ascii="Arial" w:hAnsi="Arial" w:cs="Arial"/>
          <w:bCs/>
          <w:sz w:val="22"/>
          <w:szCs w:val="22"/>
          <w:lang w:val="en-GB"/>
        </w:rPr>
        <w:t>3</w:t>
      </w:r>
      <w:r>
        <w:rPr>
          <w:rFonts w:ascii="Arial" w:hAnsi="Arial" w:cs="Arial"/>
          <w:bCs/>
          <w:sz w:val="22"/>
          <w:szCs w:val="22"/>
          <w:lang w:val="en-GB"/>
        </w:rPr>
        <w:t>A</w:t>
      </w:r>
      <w:proofErr w:type="spellEnd"/>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proofErr w:type="spellStart"/>
      <w:r w:rsidR="00DA1D45">
        <w:rPr>
          <w:rFonts w:ascii="Arial" w:hAnsi="Arial" w:cs="Arial"/>
          <w:sz w:val="22"/>
          <w:szCs w:val="22"/>
          <w:lang w:val="en-GB"/>
        </w:rPr>
        <w:t>3A</w:t>
      </w:r>
      <w:proofErr w:type="spellEnd"/>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1A2703" w:rsidRDefault="007B0809" w:rsidP="004F49B5">
      <w:pPr>
        <w:pStyle w:val="AODocTxt"/>
        <w:numPr>
          <w:ilvl w:val="0"/>
          <w:numId w:val="2"/>
        </w:numPr>
        <w:spacing w:before="0" w:line="240" w:lineRule="auto"/>
        <w:ind w:left="426"/>
        <w:rPr>
          <w:rFonts w:ascii="Arial" w:hAnsi="Arial" w:cs="Arial"/>
          <w:highlight w:val="yellow"/>
        </w:rPr>
      </w:pPr>
      <w:r w:rsidRPr="001A2703">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AC717C" w:rsidRDefault="007B0809" w:rsidP="004F49B5">
      <w:pPr>
        <w:pStyle w:val="AODocTxt"/>
        <w:numPr>
          <w:ilvl w:val="0"/>
          <w:numId w:val="3"/>
        </w:numPr>
        <w:spacing w:before="0" w:line="240" w:lineRule="auto"/>
        <w:ind w:left="426"/>
        <w:rPr>
          <w:rFonts w:ascii="Arial" w:hAnsi="Arial" w:cs="Arial"/>
          <w:highlight w:val="yellow"/>
        </w:rPr>
      </w:pPr>
      <w:r w:rsidRPr="00AC717C">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3528DC" w:rsidRDefault="007B0809" w:rsidP="004F49B5">
      <w:pPr>
        <w:pStyle w:val="AODocTxt"/>
        <w:numPr>
          <w:ilvl w:val="0"/>
          <w:numId w:val="4"/>
        </w:numPr>
        <w:spacing w:before="0" w:line="240" w:lineRule="auto"/>
        <w:ind w:left="426"/>
        <w:rPr>
          <w:rFonts w:ascii="Arial" w:hAnsi="Arial" w:cs="Arial"/>
          <w:highlight w:val="yellow"/>
        </w:rPr>
      </w:pPr>
      <w:r w:rsidRPr="003528DC">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32089C">
        <w:rPr>
          <w:rFonts w:ascii="Arial" w:hAnsi="Arial" w:cs="Arial"/>
          <w:highlight w:val="yellow"/>
        </w:rPr>
        <w:t>A pre-pack cannot be used if the debtor wishes to reject executory contracts</w:t>
      </w:r>
      <w:r w:rsidRPr="00E12EC4">
        <w:rPr>
          <w:rFonts w:ascii="Arial" w:hAnsi="Arial" w:cs="Arial"/>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w:t>
      </w:r>
      <w:proofErr w:type="spellStart"/>
      <w:r w:rsidRPr="007B0809">
        <w:rPr>
          <w:rFonts w:ascii="Arial" w:hAnsi="Arial" w:cs="Arial"/>
        </w:rPr>
        <w:t>cramdowns</w:t>
      </w:r>
      <w:proofErr w:type="spellEnd"/>
      <w:r w:rsidRPr="007B0809">
        <w:rPr>
          <w:rFonts w:ascii="Arial" w:hAnsi="Arial" w:cs="Arial"/>
        </w:rPr>
        <w:t xml:space="preserve">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Because </w:t>
      </w:r>
      <w:proofErr w:type="spellStart"/>
      <w:r w:rsidRPr="007B0809">
        <w:rPr>
          <w:rFonts w:ascii="Arial" w:hAnsi="Arial" w:cs="Arial"/>
        </w:rPr>
        <w:t>cramdowns</w:t>
      </w:r>
      <w:proofErr w:type="spellEnd"/>
      <w:r w:rsidRPr="007B0809">
        <w:rPr>
          <w:rFonts w:ascii="Arial" w:hAnsi="Arial" w:cs="Arial"/>
        </w:rPr>
        <w:t xml:space="preserve">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A84A90" w:rsidRDefault="007B0809" w:rsidP="004F49B5">
      <w:pPr>
        <w:pStyle w:val="AODocTxt"/>
        <w:numPr>
          <w:ilvl w:val="0"/>
          <w:numId w:val="6"/>
        </w:numPr>
        <w:spacing w:before="0" w:line="240" w:lineRule="auto"/>
        <w:ind w:left="426"/>
        <w:rPr>
          <w:rFonts w:ascii="Arial" w:hAnsi="Arial" w:cs="Arial"/>
          <w:highlight w:val="yellow"/>
        </w:rPr>
      </w:pPr>
      <w:r w:rsidRPr="00A84A90">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w:t>
      </w:r>
      <w:proofErr w:type="spellStart"/>
      <w:r w:rsidRPr="007B0809">
        <w:rPr>
          <w:rFonts w:ascii="Arial" w:hAnsi="Arial" w:cs="Arial"/>
        </w:rPr>
        <w:t>cramdown</w:t>
      </w:r>
      <w:proofErr w:type="spellEnd"/>
      <w:r w:rsidRPr="007B0809">
        <w:rPr>
          <w:rFonts w:ascii="Arial" w:hAnsi="Arial" w:cs="Arial"/>
        </w:rPr>
        <w:t xml:space="preserve">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w:t>
      </w:r>
      <w:proofErr w:type="spellStart"/>
      <w:r w:rsidRPr="007B0809">
        <w:rPr>
          <w:rFonts w:ascii="Arial" w:hAnsi="Arial" w:cs="Arial"/>
        </w:rPr>
        <w:t>cramdown</w:t>
      </w:r>
      <w:proofErr w:type="spellEnd"/>
      <w:r w:rsidRPr="007B0809">
        <w:rPr>
          <w:rFonts w:ascii="Arial" w:hAnsi="Arial" w:cs="Arial"/>
        </w:rPr>
        <w:t xml:space="preserve">.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6C1784" w:rsidRDefault="007B0809" w:rsidP="004F49B5">
      <w:pPr>
        <w:pStyle w:val="AODocTxt"/>
        <w:numPr>
          <w:ilvl w:val="0"/>
          <w:numId w:val="7"/>
        </w:numPr>
        <w:spacing w:before="0" w:line="240" w:lineRule="auto"/>
        <w:ind w:left="426"/>
        <w:rPr>
          <w:rFonts w:ascii="Arial" w:hAnsi="Arial" w:cs="Arial"/>
          <w:highlight w:val="yellow"/>
        </w:rPr>
      </w:pPr>
      <w:r w:rsidRPr="006C1784">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AE4E33" w:rsidRDefault="007B0809" w:rsidP="004F49B5">
      <w:pPr>
        <w:pStyle w:val="AODocTxt"/>
        <w:numPr>
          <w:ilvl w:val="0"/>
          <w:numId w:val="8"/>
        </w:numPr>
        <w:spacing w:before="0" w:line="240" w:lineRule="auto"/>
        <w:ind w:left="426"/>
        <w:rPr>
          <w:rFonts w:ascii="Arial" w:hAnsi="Arial" w:cs="Arial"/>
          <w:highlight w:val="yellow"/>
        </w:rPr>
      </w:pPr>
      <w:r w:rsidRPr="00AE4E33">
        <w:rPr>
          <w:rFonts w:ascii="Arial" w:hAnsi="Arial" w:cs="Arial"/>
          <w:highlight w:val="yellow"/>
        </w:rPr>
        <w:t>The automatic stay applies upon the filing of a petition for recognition.</w:t>
      </w:r>
      <w:r w:rsidR="00F92140" w:rsidRPr="00AE4E33">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D92F3E" w:rsidRDefault="007B0809" w:rsidP="004F49B5">
      <w:pPr>
        <w:pStyle w:val="AODocTxt"/>
        <w:numPr>
          <w:ilvl w:val="0"/>
          <w:numId w:val="9"/>
        </w:numPr>
        <w:spacing w:before="0" w:line="240" w:lineRule="auto"/>
        <w:ind w:left="426"/>
        <w:rPr>
          <w:rFonts w:ascii="Arial" w:hAnsi="Arial" w:cs="Arial"/>
        </w:rPr>
      </w:pPr>
      <w:r w:rsidRPr="00D92F3E">
        <w:rPr>
          <w:rFonts w:ascii="Arial" w:hAnsi="Arial" w:cs="Arial"/>
        </w:rPr>
        <w:t>A creditor’s lien on assets sold in a 363 sale attaches to the proceeds of the sale.</w:t>
      </w:r>
      <w:r w:rsidR="00F92140" w:rsidRPr="00D92F3E">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D92F3E" w:rsidRDefault="007B0809" w:rsidP="004F49B5">
      <w:pPr>
        <w:pStyle w:val="AODocTxt"/>
        <w:numPr>
          <w:ilvl w:val="0"/>
          <w:numId w:val="9"/>
        </w:numPr>
        <w:spacing w:before="0" w:line="240" w:lineRule="auto"/>
        <w:ind w:left="426"/>
        <w:rPr>
          <w:rFonts w:ascii="Arial" w:hAnsi="Arial" w:cs="Arial"/>
          <w:highlight w:val="yellow"/>
        </w:rPr>
      </w:pPr>
      <w:r w:rsidRPr="00D92F3E">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593D33" w:rsidRDefault="007B0809" w:rsidP="004F49B5">
      <w:pPr>
        <w:pStyle w:val="AODocTxt"/>
        <w:numPr>
          <w:ilvl w:val="0"/>
          <w:numId w:val="10"/>
        </w:numPr>
        <w:spacing w:before="0" w:line="240" w:lineRule="auto"/>
        <w:ind w:left="426"/>
        <w:rPr>
          <w:rFonts w:ascii="Arial" w:hAnsi="Arial" w:cs="Arial"/>
          <w:highlight w:val="yellow"/>
        </w:rPr>
      </w:pPr>
      <w:r w:rsidRPr="00593D33">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214A34">
        <w:rPr>
          <w:rFonts w:ascii="Arial" w:hAnsi="Arial" w:cs="Arial"/>
          <w:highlight w:val="yellow"/>
        </w:rPr>
        <w:t>All of the above</w:t>
      </w:r>
      <w:r w:rsidRPr="00E12EC4">
        <w:rPr>
          <w:rFonts w:ascii="Arial" w:hAnsi="Arial" w:cs="Arial"/>
        </w:rPr>
        <w:t>.</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58FEB5F3" w:rsidR="00E12EC4" w:rsidRDefault="00A34D3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petition for bankruptcy may be brought by a debtor in terms of the relevant and applicable chapter by filing a petition.  The voluntary petition form does not require the debtor to be or claim to be insolvent.  In other words, no allegation of insolvency is required.</w:t>
      </w:r>
    </w:p>
    <w:p w14:paraId="3E971274" w14:textId="510458AE" w:rsidR="0037081C" w:rsidRDefault="0037081C" w:rsidP="00E12EC4">
      <w:pPr>
        <w:jc w:val="both"/>
        <w:rPr>
          <w:rFonts w:ascii="Arial" w:hAnsi="Arial" w:cs="Arial"/>
          <w:color w:val="7B7B7B" w:themeColor="accent3" w:themeShade="BF"/>
          <w:sz w:val="22"/>
          <w:szCs w:val="22"/>
          <w:lang w:val="en-GB"/>
        </w:rPr>
      </w:pPr>
    </w:p>
    <w:p w14:paraId="2EFB5850" w14:textId="4E6BCAF3" w:rsidR="00323167" w:rsidRDefault="0037081C" w:rsidP="0037081C">
      <w:pPr>
        <w:jc w:val="both"/>
        <w:rPr>
          <w:rFonts w:ascii="Arial" w:hAnsi="Arial" w:cs="Arial"/>
        </w:rPr>
      </w:pPr>
      <w:r>
        <w:rPr>
          <w:rFonts w:ascii="Arial" w:hAnsi="Arial" w:cs="Arial"/>
          <w:color w:val="7B7B7B" w:themeColor="accent3" w:themeShade="BF"/>
          <w:sz w:val="22"/>
          <w:szCs w:val="22"/>
          <w:lang w:val="en-GB"/>
        </w:rPr>
        <w:t xml:space="preserve">Whereas an involuntary petition </w:t>
      </w:r>
      <w:r w:rsidR="00E44919">
        <w:rPr>
          <w:rFonts w:ascii="Arial" w:hAnsi="Arial" w:cs="Arial"/>
          <w:color w:val="7B7B7B" w:themeColor="accent3" w:themeShade="BF"/>
          <w:sz w:val="22"/>
          <w:szCs w:val="22"/>
          <w:lang w:val="en-GB"/>
        </w:rPr>
        <w:t xml:space="preserve">is brought by a creditor and </w:t>
      </w:r>
      <w:r>
        <w:rPr>
          <w:rFonts w:ascii="Arial" w:hAnsi="Arial" w:cs="Arial"/>
          <w:color w:val="7B7B7B" w:themeColor="accent3" w:themeShade="BF"/>
          <w:sz w:val="22"/>
          <w:szCs w:val="22"/>
          <w:lang w:val="en-GB"/>
        </w:rPr>
        <w:t xml:space="preserve">requires an allegation of insolvency to be made.  In other words the creditors are required to allege either that the debtor is generally not paying its debts as and when they become due, unless they are the subject of a </w:t>
      </w:r>
      <w:r w:rsidRPr="00492C25">
        <w:rPr>
          <w:rFonts w:ascii="Arial" w:hAnsi="Arial" w:cs="Arial"/>
          <w:i/>
          <w:color w:val="7B7B7B" w:themeColor="accent3" w:themeShade="BF"/>
          <w:sz w:val="22"/>
          <w:szCs w:val="22"/>
          <w:lang w:val="en-GB"/>
        </w:rPr>
        <w:t>bona fide</w:t>
      </w:r>
      <w:r>
        <w:rPr>
          <w:rFonts w:ascii="Arial" w:hAnsi="Arial" w:cs="Arial"/>
          <w:color w:val="7B7B7B" w:themeColor="accent3" w:themeShade="BF"/>
          <w:sz w:val="22"/>
          <w:szCs w:val="22"/>
          <w:lang w:val="en-GB"/>
        </w:rPr>
        <w:t xml:space="preserve"> dispute as to liability or an amount or that, “</w:t>
      </w:r>
      <w:r>
        <w:rPr>
          <w:rFonts w:ascii="Arial" w:hAnsi="Arial" w:cs="Arial"/>
          <w:i/>
          <w:color w:val="7B7B7B" w:themeColor="accent3" w:themeShade="BF"/>
          <w:sz w:val="22"/>
          <w:szCs w:val="22"/>
          <w:lang w:val="en-GB"/>
        </w:rPr>
        <w:t>within 120 days before the filing of this petition, a custodian, other than a trustee, receiver, or an agent appointed or authorised to take charge of less than substantially all of the property of the debtor for the purpose of enforcing a lien against such property, was appointed or took possession</w:t>
      </w:r>
      <w:r>
        <w:rPr>
          <w:rFonts w:ascii="Arial" w:hAnsi="Arial" w:cs="Arial"/>
          <w:color w:val="7B7B7B" w:themeColor="accent3" w:themeShade="BF"/>
          <w:sz w:val="22"/>
          <w:szCs w:val="22"/>
          <w:lang w:val="en-GB"/>
        </w:rPr>
        <w:t>”.</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740C7F05" w14:textId="6352D348" w:rsidR="00323167" w:rsidRDefault="007B0F97" w:rsidP="008D6C8C">
      <w:pPr>
        <w:jc w:val="both"/>
        <w:rPr>
          <w:rFonts w:ascii="Arial" w:hAnsi="Arial" w:cs="Arial"/>
        </w:rPr>
      </w:pPr>
      <w:r>
        <w:rPr>
          <w:rFonts w:ascii="Arial" w:hAnsi="Arial" w:cs="Arial"/>
          <w:color w:val="7B7B7B" w:themeColor="accent3" w:themeShade="BF"/>
          <w:sz w:val="22"/>
          <w:szCs w:val="22"/>
          <w:lang w:val="en-GB"/>
        </w:rPr>
        <w:t>An act which violates the automatic stay constitutes contempt of court and is void or voidable, depending on the circuit in which the bankruptcy is pending due to a circuit split on the issue.  Ignorance of the notice of the filing of the petition, is no excuse.  Failure to lift the stay may result in contempt sanctions being imposed against the party who violated the stay.  The sanction may include payment of the debtor’s attorney’s fees and requiring the violator to take steps to reinstate the status quo or undo the effect of its violation. In circumstances where the court may be of the view that the violator may not act expeditiously, it may impose co</w:t>
      </w:r>
      <w:r w:rsidR="008D6C8C">
        <w:rPr>
          <w:rFonts w:ascii="Arial" w:hAnsi="Arial" w:cs="Arial"/>
          <w:color w:val="7B7B7B" w:themeColor="accent3" w:themeShade="BF"/>
          <w:sz w:val="22"/>
          <w:szCs w:val="22"/>
          <w:lang w:val="en-GB"/>
        </w:rPr>
        <w:t>ercive contempt sanctions such as a daily fine to be paid to the court until the stay violation has been rectified.</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3E10BDED" w:rsidR="00E12EC4" w:rsidRDefault="008341A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 xml:space="preserve">A claim is considered impaired under the following </w:t>
      </w:r>
      <w:r w:rsidR="00666CE9">
        <w:rPr>
          <w:rFonts w:ascii="Arial" w:hAnsi="Arial" w:cs="Arial"/>
          <w:color w:val="7B7B7B" w:themeColor="accent3" w:themeShade="BF"/>
          <w:sz w:val="22"/>
          <w:szCs w:val="22"/>
          <w:lang w:val="en-GB"/>
        </w:rPr>
        <w:t>circumstances</w:t>
      </w:r>
      <w:r>
        <w:rPr>
          <w:rFonts w:ascii="Arial" w:hAnsi="Arial" w:cs="Arial"/>
          <w:color w:val="7B7B7B" w:themeColor="accent3" w:themeShade="BF"/>
          <w:sz w:val="22"/>
          <w:szCs w:val="22"/>
          <w:lang w:val="en-GB"/>
        </w:rPr>
        <w:t>:</w:t>
      </w:r>
    </w:p>
    <w:p w14:paraId="139B054A" w14:textId="25BD05D8" w:rsidR="00666CE9" w:rsidRDefault="00666CE9" w:rsidP="00E12EC4">
      <w:pPr>
        <w:jc w:val="both"/>
        <w:rPr>
          <w:rFonts w:ascii="Arial" w:hAnsi="Arial" w:cs="Arial"/>
          <w:color w:val="7B7B7B" w:themeColor="accent3" w:themeShade="BF"/>
          <w:sz w:val="22"/>
          <w:szCs w:val="22"/>
          <w:lang w:val="en-GB"/>
        </w:rPr>
      </w:pPr>
    </w:p>
    <w:p w14:paraId="5F96002A" w14:textId="24D74988" w:rsidR="00666CE9" w:rsidRDefault="00666CE9" w:rsidP="00920D7E">
      <w:pPr>
        <w:ind w:left="1440" w:hanging="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1.1</w:t>
      </w:r>
      <w:r>
        <w:rPr>
          <w:rFonts w:ascii="Arial" w:hAnsi="Arial" w:cs="Arial"/>
          <w:color w:val="7B7B7B" w:themeColor="accent3" w:themeShade="BF"/>
          <w:sz w:val="22"/>
          <w:szCs w:val="22"/>
          <w:lang w:val="en-GB"/>
        </w:rPr>
        <w:tab/>
      </w:r>
      <w:r w:rsidR="00817358">
        <w:rPr>
          <w:rFonts w:ascii="Arial" w:hAnsi="Arial" w:cs="Arial"/>
          <w:color w:val="7B7B7B" w:themeColor="accent3" w:themeShade="BF"/>
          <w:sz w:val="22"/>
          <w:szCs w:val="22"/>
          <w:lang w:val="en-GB"/>
        </w:rPr>
        <w:t>where the holder will get less than 100% of its claim</w:t>
      </w:r>
      <w:r w:rsidR="00FF7333">
        <w:rPr>
          <w:rFonts w:ascii="Arial" w:hAnsi="Arial" w:cs="Arial"/>
          <w:color w:val="7B7B7B" w:themeColor="accent3" w:themeShade="BF"/>
          <w:sz w:val="22"/>
          <w:szCs w:val="22"/>
          <w:lang w:val="en-GB"/>
        </w:rPr>
        <w:t xml:space="preserve"> (</w:t>
      </w:r>
      <w:proofErr w:type="spellStart"/>
      <w:r w:rsidR="00FF7333">
        <w:rPr>
          <w:rFonts w:ascii="Arial" w:hAnsi="Arial" w:cs="Arial"/>
          <w:color w:val="7B7B7B" w:themeColor="accent3" w:themeShade="BF"/>
          <w:sz w:val="22"/>
          <w:szCs w:val="22"/>
          <w:lang w:val="en-GB"/>
        </w:rPr>
        <w:t>i.e</w:t>
      </w:r>
      <w:proofErr w:type="spellEnd"/>
      <w:r w:rsidR="00FF7333">
        <w:rPr>
          <w:rFonts w:ascii="Arial" w:hAnsi="Arial" w:cs="Arial"/>
          <w:color w:val="7B7B7B" w:themeColor="accent3" w:themeShade="BF"/>
          <w:sz w:val="22"/>
          <w:szCs w:val="22"/>
          <w:lang w:val="en-GB"/>
        </w:rPr>
        <w:t xml:space="preserve"> </w:t>
      </w:r>
      <w:r w:rsidR="00751AC2">
        <w:rPr>
          <w:rFonts w:ascii="Arial" w:hAnsi="Arial" w:cs="Arial"/>
          <w:color w:val="7B7B7B" w:themeColor="accent3" w:themeShade="BF"/>
          <w:sz w:val="22"/>
          <w:szCs w:val="22"/>
          <w:lang w:val="en-GB"/>
        </w:rPr>
        <w:t>where</w:t>
      </w:r>
      <w:r w:rsidR="008E7571">
        <w:rPr>
          <w:rFonts w:ascii="Arial" w:hAnsi="Arial" w:cs="Arial"/>
          <w:color w:val="7B7B7B" w:themeColor="accent3" w:themeShade="BF"/>
          <w:sz w:val="22"/>
          <w:szCs w:val="22"/>
          <w:lang w:val="en-GB"/>
        </w:rPr>
        <w:t xml:space="preserve"> the holder </w:t>
      </w:r>
      <w:r w:rsidR="00751AC2">
        <w:rPr>
          <w:rFonts w:ascii="Arial" w:hAnsi="Arial" w:cs="Arial"/>
          <w:color w:val="7B7B7B" w:themeColor="accent3" w:themeShade="BF"/>
          <w:sz w:val="22"/>
          <w:szCs w:val="22"/>
          <w:lang w:val="en-GB"/>
        </w:rPr>
        <w:t>will take a “hair cut”);</w:t>
      </w:r>
    </w:p>
    <w:p w14:paraId="5FDE5771" w14:textId="6BE8DAA1" w:rsidR="00A618D2" w:rsidRDefault="00A618D2" w:rsidP="00920D7E">
      <w:pPr>
        <w:ind w:left="1440" w:hanging="1440"/>
        <w:jc w:val="both"/>
        <w:rPr>
          <w:rFonts w:ascii="Arial" w:hAnsi="Arial" w:cs="Arial"/>
          <w:color w:val="7B7B7B" w:themeColor="accent3" w:themeShade="BF"/>
          <w:sz w:val="22"/>
          <w:szCs w:val="22"/>
          <w:lang w:val="en-GB"/>
        </w:rPr>
      </w:pPr>
    </w:p>
    <w:p w14:paraId="5F1837F1" w14:textId="1B29D233" w:rsidR="00A618D2" w:rsidRDefault="00A618D2" w:rsidP="00920D7E">
      <w:pPr>
        <w:ind w:left="1440" w:hanging="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1.2</w:t>
      </w:r>
      <w:r>
        <w:rPr>
          <w:rFonts w:ascii="Arial" w:hAnsi="Arial" w:cs="Arial"/>
          <w:color w:val="7B7B7B" w:themeColor="accent3" w:themeShade="BF"/>
          <w:sz w:val="22"/>
          <w:szCs w:val="22"/>
          <w:lang w:val="en-GB"/>
        </w:rPr>
        <w:tab/>
      </w:r>
      <w:r w:rsidR="00D46513">
        <w:rPr>
          <w:rFonts w:ascii="Arial" w:hAnsi="Arial" w:cs="Arial"/>
          <w:color w:val="7B7B7B" w:themeColor="accent3" w:themeShade="BF"/>
          <w:sz w:val="22"/>
          <w:szCs w:val="22"/>
          <w:lang w:val="en-GB"/>
        </w:rPr>
        <w:t xml:space="preserve">where there will be a delay in </w:t>
      </w:r>
      <w:r w:rsidR="006E10CE">
        <w:rPr>
          <w:rFonts w:ascii="Arial" w:hAnsi="Arial" w:cs="Arial"/>
          <w:color w:val="7B7B7B" w:themeColor="accent3" w:themeShade="BF"/>
          <w:sz w:val="22"/>
          <w:szCs w:val="22"/>
          <w:lang w:val="en-GB"/>
        </w:rPr>
        <w:t>receiving</w:t>
      </w:r>
      <w:r w:rsidR="00D46513">
        <w:rPr>
          <w:rFonts w:ascii="Arial" w:hAnsi="Arial" w:cs="Arial"/>
          <w:color w:val="7B7B7B" w:themeColor="accent3" w:themeShade="BF"/>
          <w:sz w:val="22"/>
          <w:szCs w:val="22"/>
          <w:lang w:val="en-GB"/>
        </w:rPr>
        <w:t xml:space="preserve"> full </w:t>
      </w:r>
      <w:r w:rsidR="006E10CE">
        <w:rPr>
          <w:rFonts w:ascii="Arial" w:hAnsi="Arial" w:cs="Arial"/>
          <w:color w:val="7B7B7B" w:themeColor="accent3" w:themeShade="BF"/>
          <w:sz w:val="22"/>
          <w:szCs w:val="22"/>
          <w:lang w:val="en-GB"/>
        </w:rPr>
        <w:t>payment</w:t>
      </w:r>
      <w:r w:rsidR="00D46513">
        <w:rPr>
          <w:rFonts w:ascii="Arial" w:hAnsi="Arial" w:cs="Arial"/>
          <w:color w:val="7B7B7B" w:themeColor="accent3" w:themeShade="BF"/>
          <w:sz w:val="22"/>
          <w:szCs w:val="22"/>
          <w:lang w:val="en-GB"/>
        </w:rPr>
        <w:t xml:space="preserve"> after the effective date of the</w:t>
      </w:r>
      <w:r w:rsidR="006E10CE">
        <w:rPr>
          <w:rFonts w:ascii="Arial" w:hAnsi="Arial" w:cs="Arial"/>
          <w:color w:val="7B7B7B" w:themeColor="accent3" w:themeShade="BF"/>
          <w:sz w:val="22"/>
          <w:szCs w:val="22"/>
          <w:lang w:val="en-GB"/>
        </w:rPr>
        <w:t xml:space="preserve"> plan</w:t>
      </w:r>
      <w:r w:rsidR="00F347B7">
        <w:rPr>
          <w:rFonts w:ascii="Arial" w:hAnsi="Arial" w:cs="Arial"/>
          <w:color w:val="7B7B7B" w:themeColor="accent3" w:themeShade="BF"/>
          <w:sz w:val="22"/>
          <w:szCs w:val="22"/>
          <w:lang w:val="en-GB"/>
        </w:rPr>
        <w:t>.</w:t>
      </w:r>
    </w:p>
    <w:p w14:paraId="2E71BF74" w14:textId="77777777" w:rsidR="00F347B7" w:rsidRDefault="00F347B7" w:rsidP="00920D7E">
      <w:pPr>
        <w:ind w:left="1440" w:hanging="1440"/>
        <w:jc w:val="both"/>
        <w:rPr>
          <w:rFonts w:ascii="Arial" w:hAnsi="Arial" w:cs="Arial"/>
          <w:color w:val="7B7B7B" w:themeColor="accent3" w:themeShade="BF"/>
          <w:sz w:val="22"/>
          <w:szCs w:val="22"/>
          <w:lang w:val="en-GB"/>
        </w:rPr>
      </w:pPr>
    </w:p>
    <w:p w14:paraId="57C46EF3" w14:textId="7AEF944B" w:rsidR="00F347B7" w:rsidRDefault="00F347B7" w:rsidP="00F347B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r>
      <w:r w:rsidR="00947B71">
        <w:rPr>
          <w:rFonts w:ascii="Arial" w:hAnsi="Arial" w:cs="Arial"/>
          <w:color w:val="7B7B7B" w:themeColor="accent3" w:themeShade="BF"/>
          <w:sz w:val="22"/>
          <w:szCs w:val="22"/>
          <w:lang w:val="en-GB"/>
        </w:rPr>
        <w:t xml:space="preserve">A holder of an </w:t>
      </w:r>
      <w:r w:rsidR="00EE6F0B">
        <w:rPr>
          <w:rFonts w:ascii="Arial" w:hAnsi="Arial" w:cs="Arial"/>
          <w:color w:val="7B7B7B" w:themeColor="accent3" w:themeShade="BF"/>
          <w:sz w:val="22"/>
          <w:szCs w:val="22"/>
          <w:lang w:val="en-GB"/>
        </w:rPr>
        <w:t>impaired</w:t>
      </w:r>
      <w:r w:rsidR="00947B71">
        <w:rPr>
          <w:rFonts w:ascii="Arial" w:hAnsi="Arial" w:cs="Arial"/>
          <w:color w:val="7B7B7B" w:themeColor="accent3" w:themeShade="BF"/>
          <w:sz w:val="22"/>
          <w:szCs w:val="22"/>
          <w:lang w:val="en-GB"/>
        </w:rPr>
        <w:t xml:space="preserve"> claim is precluded from voting on plan where</w:t>
      </w:r>
      <w:r w:rsidR="003A40E5">
        <w:rPr>
          <w:rFonts w:ascii="Arial" w:hAnsi="Arial" w:cs="Arial"/>
          <w:color w:val="7B7B7B" w:themeColor="accent3" w:themeShade="BF"/>
          <w:sz w:val="22"/>
          <w:szCs w:val="22"/>
          <w:lang w:val="en-GB"/>
        </w:rPr>
        <w:t>...</w:t>
      </w:r>
      <w:r w:rsidR="00C9248B">
        <w:rPr>
          <w:rFonts w:ascii="Arial" w:hAnsi="Arial" w:cs="Arial"/>
          <w:color w:val="7B7B7B" w:themeColor="accent3" w:themeShade="BF"/>
          <w:sz w:val="22"/>
          <w:szCs w:val="22"/>
          <w:lang w:val="en-GB"/>
        </w:rPr>
        <w:t>..</w:t>
      </w:r>
    </w:p>
    <w:p w14:paraId="5D4A01A2" w14:textId="1CA41497" w:rsidR="00A618D2" w:rsidRDefault="00A618D2" w:rsidP="00920D7E">
      <w:pPr>
        <w:ind w:left="1440" w:hanging="1440"/>
        <w:jc w:val="both"/>
        <w:rPr>
          <w:rFonts w:ascii="Arial" w:hAnsi="Arial" w:cs="Arial"/>
          <w:color w:val="7B7B7B" w:themeColor="accent3" w:themeShade="BF"/>
          <w:sz w:val="22"/>
          <w:szCs w:val="22"/>
          <w:lang w:val="en-GB"/>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95EC8AD" w:rsidR="00E12EC4" w:rsidRDefault="007F2172"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w:t>
      </w:r>
      <w:r w:rsidR="00435CAD">
        <w:rPr>
          <w:rFonts w:ascii="Arial" w:hAnsi="Arial" w:cs="Arial"/>
          <w:color w:val="7B7B7B" w:themeColor="accent3" w:themeShade="BF"/>
          <w:sz w:val="22"/>
          <w:szCs w:val="22"/>
          <w:lang w:val="en-GB"/>
        </w:rPr>
        <w:t>re</w:t>
      </w:r>
      <w:r>
        <w:rPr>
          <w:rFonts w:ascii="Arial" w:hAnsi="Arial" w:cs="Arial"/>
          <w:color w:val="7B7B7B" w:themeColor="accent3" w:themeShade="BF"/>
          <w:sz w:val="22"/>
          <w:szCs w:val="22"/>
          <w:lang w:val="en-GB"/>
        </w:rPr>
        <w:t>nce</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03B7F9A9" w:rsidR="005B2A9B" w:rsidRPr="00FF5098" w:rsidRDefault="00435CAD"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w:t>
      </w:r>
    </w:p>
    <w:p w14:paraId="76059889" w14:textId="6B9EA960" w:rsidR="00DC359F" w:rsidRDefault="00DC359F"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419CF219" w:rsidR="005B2A9B" w:rsidRPr="00FF5098" w:rsidRDefault="00435CAD"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Actual Fraudulent </w:t>
      </w:r>
      <w:r w:rsidR="00EF41D7">
        <w:rPr>
          <w:rFonts w:ascii="Arial" w:hAnsi="Arial" w:cs="Arial"/>
          <w:color w:val="7B7B7B" w:themeColor="accent3" w:themeShade="BF"/>
          <w:sz w:val="22"/>
          <w:szCs w:val="22"/>
          <w:lang w:val="en-GB"/>
        </w:rPr>
        <w:t xml:space="preserve">Conveyances </w:t>
      </w:r>
    </w:p>
    <w:p w14:paraId="6A32F1E1" w14:textId="3F7C4098" w:rsidR="00323167" w:rsidRDefault="00323167"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188DF1F6" w:rsidR="005B2A9B" w:rsidRPr="009F7B25" w:rsidRDefault="009F7B25" w:rsidP="005B2A9B">
      <w:pPr>
        <w:jc w:val="both"/>
        <w:rPr>
          <w:rFonts w:ascii="Arial" w:hAnsi="Arial" w:cs="Arial"/>
          <w:i/>
          <w:color w:val="7B7B7B" w:themeColor="accent3" w:themeShade="BF"/>
          <w:sz w:val="22"/>
          <w:szCs w:val="22"/>
          <w:lang w:val="en-GB"/>
        </w:rPr>
      </w:pPr>
      <w:r w:rsidRPr="009F7B25">
        <w:rPr>
          <w:rFonts w:ascii="Arial" w:hAnsi="Arial" w:cs="Arial"/>
          <w:i/>
          <w:color w:val="7B7B7B" w:themeColor="accent3" w:themeShade="BF"/>
          <w:sz w:val="22"/>
          <w:szCs w:val="22"/>
          <w:lang w:val="en-GB"/>
        </w:rPr>
        <w:t>Introduction</w:t>
      </w:r>
    </w:p>
    <w:p w14:paraId="1888195A" w14:textId="258828BB" w:rsidR="009F7B25" w:rsidRDefault="009F7B25" w:rsidP="005B2A9B">
      <w:pPr>
        <w:jc w:val="both"/>
        <w:rPr>
          <w:rFonts w:ascii="Arial" w:hAnsi="Arial" w:cs="Arial"/>
          <w:color w:val="7B7B7B" w:themeColor="accent3" w:themeShade="BF"/>
          <w:sz w:val="22"/>
          <w:szCs w:val="22"/>
          <w:lang w:val="en-GB"/>
        </w:rPr>
      </w:pPr>
    </w:p>
    <w:p w14:paraId="738F42C1" w14:textId="1ACBF931" w:rsidR="009F7B25" w:rsidRDefault="006769DD" w:rsidP="006769DD">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r>
      <w:r w:rsidR="009F7B25">
        <w:rPr>
          <w:rFonts w:ascii="Arial" w:hAnsi="Arial" w:cs="Arial"/>
          <w:color w:val="7B7B7B" w:themeColor="accent3" w:themeShade="BF"/>
          <w:sz w:val="22"/>
          <w:szCs w:val="22"/>
          <w:lang w:val="en-GB"/>
        </w:rPr>
        <w:t>In order to answer this question, I will first look at the legal po</w:t>
      </w:r>
      <w:r w:rsidR="00221BE1">
        <w:rPr>
          <w:rFonts w:ascii="Arial" w:hAnsi="Arial" w:cs="Arial"/>
          <w:color w:val="7B7B7B" w:themeColor="accent3" w:themeShade="BF"/>
          <w:sz w:val="22"/>
          <w:szCs w:val="22"/>
          <w:lang w:val="en-GB"/>
        </w:rPr>
        <w:t xml:space="preserve">sition before Stern v Marshall </w:t>
      </w:r>
      <w:r w:rsidR="00FB7379">
        <w:rPr>
          <w:rFonts w:ascii="Arial" w:hAnsi="Arial" w:cs="Arial"/>
          <w:color w:val="7B7B7B" w:themeColor="accent3" w:themeShade="BF"/>
          <w:sz w:val="22"/>
          <w:szCs w:val="22"/>
          <w:lang w:val="en-GB"/>
        </w:rPr>
        <w:t>(</w:t>
      </w:r>
      <w:r w:rsidR="00221BE1">
        <w:rPr>
          <w:rFonts w:ascii="Arial" w:hAnsi="Arial" w:cs="Arial"/>
          <w:color w:val="7B7B7B" w:themeColor="accent3" w:themeShade="BF"/>
          <w:sz w:val="22"/>
          <w:szCs w:val="22"/>
          <w:lang w:val="en-GB"/>
        </w:rPr>
        <w:t>“</w:t>
      </w:r>
      <w:r w:rsidR="00FB7379">
        <w:rPr>
          <w:rFonts w:ascii="Arial" w:hAnsi="Arial" w:cs="Arial"/>
          <w:b/>
          <w:i/>
          <w:color w:val="7B7B7B" w:themeColor="accent3" w:themeShade="BF"/>
          <w:sz w:val="22"/>
          <w:szCs w:val="22"/>
          <w:lang w:val="en-GB"/>
        </w:rPr>
        <w:t>Stern</w:t>
      </w:r>
      <w:r w:rsidR="00221BE1" w:rsidRPr="00221BE1">
        <w:rPr>
          <w:rFonts w:ascii="Arial" w:hAnsi="Arial" w:cs="Arial"/>
          <w:color w:val="7B7B7B" w:themeColor="accent3" w:themeShade="BF"/>
          <w:sz w:val="22"/>
          <w:szCs w:val="22"/>
          <w:lang w:val="en-GB"/>
        </w:rPr>
        <w:t>”</w:t>
      </w:r>
      <w:r w:rsidR="00FB7379">
        <w:rPr>
          <w:rFonts w:ascii="Arial" w:hAnsi="Arial" w:cs="Arial"/>
          <w:color w:val="7B7B7B" w:themeColor="accent3" w:themeShade="BF"/>
          <w:sz w:val="22"/>
          <w:szCs w:val="22"/>
          <w:lang w:val="en-GB"/>
        </w:rPr>
        <w:t>)</w:t>
      </w:r>
      <w:r w:rsidR="009F7B25">
        <w:rPr>
          <w:rFonts w:ascii="Arial" w:hAnsi="Arial" w:cs="Arial"/>
          <w:color w:val="7B7B7B" w:themeColor="accent3" w:themeShade="BF"/>
          <w:sz w:val="22"/>
          <w:szCs w:val="22"/>
          <w:lang w:val="en-GB"/>
        </w:rPr>
        <w:t>.  Secondly</w:t>
      </w:r>
      <w:r w:rsidR="00FB7379">
        <w:rPr>
          <w:rFonts w:ascii="Arial" w:hAnsi="Arial" w:cs="Arial"/>
          <w:color w:val="7B7B7B" w:themeColor="accent3" w:themeShade="BF"/>
          <w:sz w:val="22"/>
          <w:szCs w:val="22"/>
          <w:lang w:val="en-GB"/>
        </w:rPr>
        <w:t>,</w:t>
      </w:r>
      <w:r w:rsidR="009F7B25">
        <w:rPr>
          <w:rFonts w:ascii="Arial" w:hAnsi="Arial" w:cs="Arial"/>
          <w:color w:val="7B7B7B" w:themeColor="accent3" w:themeShade="BF"/>
          <w:sz w:val="22"/>
          <w:szCs w:val="22"/>
          <w:lang w:val="en-GB"/>
        </w:rPr>
        <w:t xml:space="preserve"> I will analyse the facts in </w:t>
      </w:r>
      <w:r w:rsidR="009F7B25" w:rsidRPr="00221BE1">
        <w:rPr>
          <w:rFonts w:ascii="Arial" w:hAnsi="Arial" w:cs="Arial"/>
          <w:i/>
          <w:color w:val="7B7B7B" w:themeColor="accent3" w:themeShade="BF"/>
          <w:sz w:val="22"/>
          <w:szCs w:val="22"/>
          <w:lang w:val="en-GB"/>
        </w:rPr>
        <w:t>Stern</w:t>
      </w:r>
      <w:r w:rsidR="00FB7379">
        <w:rPr>
          <w:rFonts w:ascii="Arial" w:hAnsi="Arial" w:cs="Arial"/>
          <w:color w:val="7B7B7B" w:themeColor="accent3" w:themeShade="BF"/>
          <w:sz w:val="22"/>
          <w:szCs w:val="22"/>
          <w:lang w:val="en-GB"/>
        </w:rPr>
        <w:t xml:space="preserve"> and its legal principles.  Lastly, I will look at the implications of Ster</w:t>
      </w:r>
      <w:r w:rsidR="00E54704">
        <w:rPr>
          <w:rFonts w:ascii="Arial" w:hAnsi="Arial" w:cs="Arial"/>
          <w:color w:val="7B7B7B" w:themeColor="accent3" w:themeShade="BF"/>
          <w:sz w:val="22"/>
          <w:szCs w:val="22"/>
          <w:lang w:val="en-GB"/>
        </w:rPr>
        <w:t xml:space="preserve">n: </w:t>
      </w:r>
      <w:r w:rsidR="00E54704">
        <w:rPr>
          <w:rFonts w:ascii="Arial" w:hAnsi="Arial" w:cs="Arial"/>
          <w:color w:val="7B7B7B" w:themeColor="accent3" w:themeShade="BF"/>
          <w:sz w:val="22"/>
          <w:szCs w:val="22"/>
          <w:lang w:val="en-GB"/>
        </w:rPr>
        <w:t>It would appear that Stern exacerbated the complication surrounding the jurisdiction of bankruptcy courts</w:t>
      </w:r>
      <w:r w:rsidR="00B11EC7">
        <w:rPr>
          <w:rFonts w:ascii="Arial" w:hAnsi="Arial" w:cs="Arial"/>
          <w:color w:val="7B7B7B" w:themeColor="accent3" w:themeShade="BF"/>
          <w:sz w:val="22"/>
          <w:szCs w:val="22"/>
          <w:lang w:val="en-GB"/>
        </w:rPr>
        <w:t xml:space="preserve">. </w:t>
      </w:r>
    </w:p>
    <w:p w14:paraId="0CC65051" w14:textId="520E1EAA" w:rsidR="00FB7379" w:rsidRDefault="00FB7379" w:rsidP="005B2A9B">
      <w:pPr>
        <w:jc w:val="both"/>
        <w:rPr>
          <w:rFonts w:ascii="Arial" w:hAnsi="Arial" w:cs="Arial"/>
          <w:color w:val="7B7B7B" w:themeColor="accent3" w:themeShade="BF"/>
          <w:sz w:val="22"/>
          <w:szCs w:val="22"/>
          <w:lang w:val="en-GB"/>
        </w:rPr>
      </w:pPr>
    </w:p>
    <w:p w14:paraId="02BB473D" w14:textId="0709260B" w:rsidR="00FB7379" w:rsidRPr="00FB7379" w:rsidRDefault="00FB7379" w:rsidP="005B2A9B">
      <w:pPr>
        <w:jc w:val="both"/>
        <w:rPr>
          <w:rFonts w:ascii="Arial" w:hAnsi="Arial" w:cs="Arial"/>
          <w:i/>
          <w:color w:val="7B7B7B" w:themeColor="accent3" w:themeShade="BF"/>
          <w:sz w:val="22"/>
          <w:szCs w:val="22"/>
          <w:lang w:val="en-GB"/>
        </w:rPr>
      </w:pPr>
      <w:r w:rsidRPr="00FB7379">
        <w:rPr>
          <w:rFonts w:ascii="Arial" w:hAnsi="Arial" w:cs="Arial"/>
          <w:i/>
          <w:color w:val="7B7B7B" w:themeColor="accent3" w:themeShade="BF"/>
          <w:sz w:val="22"/>
          <w:szCs w:val="22"/>
          <w:lang w:val="en-GB"/>
        </w:rPr>
        <w:t>The position before Stern</w:t>
      </w:r>
    </w:p>
    <w:p w14:paraId="050521B5" w14:textId="11ED6924" w:rsidR="00FB7379" w:rsidRDefault="00FB7379" w:rsidP="005B2A9B">
      <w:pPr>
        <w:jc w:val="both"/>
        <w:rPr>
          <w:rFonts w:ascii="Arial" w:hAnsi="Arial" w:cs="Arial"/>
          <w:color w:val="7B7B7B" w:themeColor="accent3" w:themeShade="BF"/>
          <w:sz w:val="22"/>
          <w:szCs w:val="22"/>
          <w:lang w:val="en-GB"/>
        </w:rPr>
      </w:pPr>
    </w:p>
    <w:p w14:paraId="5BE7354F" w14:textId="61A8CFE3" w:rsidR="00FB7379" w:rsidRDefault="006769DD" w:rsidP="006769DD">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r>
      <w:r w:rsidR="00FB7379">
        <w:rPr>
          <w:rFonts w:ascii="Arial" w:hAnsi="Arial" w:cs="Arial"/>
          <w:color w:val="7B7B7B" w:themeColor="accent3" w:themeShade="BF"/>
          <w:sz w:val="22"/>
          <w:szCs w:val="22"/>
          <w:lang w:val="en-GB"/>
        </w:rPr>
        <w:t>Unlike most other federal courts</w:t>
      </w:r>
      <w:r w:rsidR="004B7251">
        <w:rPr>
          <w:rFonts w:ascii="Arial" w:hAnsi="Arial" w:cs="Arial"/>
          <w:color w:val="7B7B7B" w:themeColor="accent3" w:themeShade="BF"/>
          <w:sz w:val="22"/>
          <w:szCs w:val="22"/>
          <w:lang w:val="en-GB"/>
        </w:rPr>
        <w:t xml:space="preserve"> which are established by Article (iii) of the US Constitution, the bankruptcy courts are creatures of statute.  That is to say, bankruptcy courts are established in terms of the 1978 Bankruptcy Code.  </w:t>
      </w:r>
      <w:r w:rsidR="00E579EC">
        <w:rPr>
          <w:rFonts w:ascii="Arial" w:hAnsi="Arial" w:cs="Arial"/>
          <w:color w:val="7B7B7B" w:themeColor="accent3" w:themeShade="BF"/>
          <w:sz w:val="22"/>
          <w:szCs w:val="22"/>
          <w:lang w:val="en-GB"/>
        </w:rPr>
        <w:t xml:space="preserve">It bears flagging to note that Article (iii) courts are established in terms of the </w:t>
      </w:r>
      <w:r w:rsidR="00741ADC">
        <w:rPr>
          <w:rFonts w:ascii="Arial" w:hAnsi="Arial" w:cs="Arial"/>
          <w:color w:val="7B7B7B" w:themeColor="accent3" w:themeShade="BF"/>
          <w:sz w:val="22"/>
          <w:szCs w:val="22"/>
          <w:lang w:val="en-GB"/>
        </w:rPr>
        <w:t xml:space="preserve">constitution. </w:t>
      </w:r>
      <w:r w:rsidR="004B7251">
        <w:rPr>
          <w:rFonts w:ascii="Arial" w:hAnsi="Arial" w:cs="Arial"/>
          <w:color w:val="7B7B7B" w:themeColor="accent3" w:themeShade="BF"/>
          <w:sz w:val="22"/>
          <w:szCs w:val="22"/>
          <w:lang w:val="en-GB"/>
        </w:rPr>
        <w:t>There is a line of cases where the US Supreme Court held that judges who have not been appointed in terms of Article (iii), cannot exercise jurisdiction over matters subject to Article (iii).  Such judges include bankruptcy judges.</w:t>
      </w:r>
    </w:p>
    <w:p w14:paraId="68E64AA4" w14:textId="41535FB4" w:rsidR="004B7251" w:rsidRDefault="004B7251" w:rsidP="006769DD">
      <w:pPr>
        <w:ind w:left="709" w:hanging="709"/>
        <w:jc w:val="both"/>
        <w:rPr>
          <w:rFonts w:ascii="Arial" w:hAnsi="Arial" w:cs="Arial"/>
          <w:color w:val="7B7B7B" w:themeColor="accent3" w:themeShade="BF"/>
          <w:sz w:val="22"/>
          <w:szCs w:val="22"/>
          <w:lang w:val="en-GB"/>
        </w:rPr>
      </w:pPr>
    </w:p>
    <w:p w14:paraId="368B528F" w14:textId="00728F5E" w:rsidR="004B7251" w:rsidRDefault="006769DD" w:rsidP="006769DD">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3.</w:t>
      </w:r>
      <w:r>
        <w:rPr>
          <w:rFonts w:ascii="Arial" w:hAnsi="Arial" w:cs="Arial"/>
          <w:color w:val="7B7B7B" w:themeColor="accent3" w:themeShade="BF"/>
          <w:sz w:val="22"/>
          <w:szCs w:val="22"/>
          <w:lang w:val="en-GB"/>
        </w:rPr>
        <w:tab/>
      </w:r>
      <w:r w:rsidR="00741ADC">
        <w:rPr>
          <w:rFonts w:ascii="Arial" w:hAnsi="Arial" w:cs="Arial"/>
          <w:color w:val="7B7B7B" w:themeColor="accent3" w:themeShade="BF"/>
          <w:sz w:val="22"/>
          <w:szCs w:val="22"/>
          <w:lang w:val="en-GB"/>
        </w:rPr>
        <w:t>Accordingly, t</w:t>
      </w:r>
      <w:r w:rsidR="004B7251">
        <w:rPr>
          <w:rFonts w:ascii="Arial" w:hAnsi="Arial" w:cs="Arial"/>
          <w:color w:val="7B7B7B" w:themeColor="accent3" w:themeShade="BF"/>
          <w:sz w:val="22"/>
          <w:szCs w:val="22"/>
          <w:lang w:val="en-GB"/>
        </w:rPr>
        <w:t>he Supreme Court set aside</w:t>
      </w:r>
      <w:r>
        <w:rPr>
          <w:rFonts w:ascii="Arial" w:hAnsi="Arial" w:cs="Arial"/>
          <w:color w:val="7B7B7B" w:themeColor="accent3" w:themeShade="BF"/>
          <w:sz w:val="22"/>
          <w:szCs w:val="22"/>
          <w:lang w:val="en-GB"/>
        </w:rPr>
        <w:t xml:space="preserve"> the jurisdictional provisions of the 1978 Bankruptcy Code as unconstitutional on the basis that issues that arise in and relate to bankruptcy proceedings involve statutory and contractual rights which would otherwise fall within the jurisdiction of Article (iii) courts which are established in terms of the constitution.  As a result, </w:t>
      </w:r>
      <w:r w:rsidR="000F4346">
        <w:rPr>
          <w:rFonts w:ascii="Arial" w:hAnsi="Arial" w:cs="Arial"/>
          <w:color w:val="7B7B7B" w:themeColor="accent3" w:themeShade="BF"/>
          <w:sz w:val="22"/>
          <w:szCs w:val="22"/>
          <w:lang w:val="en-GB"/>
        </w:rPr>
        <w:t>new provisions were enacted in order to give jurisdiction over bankruptcy proceedings to district courts and allow them to</w:t>
      </w:r>
      <w:r w:rsidR="00E14C79">
        <w:rPr>
          <w:rFonts w:ascii="Arial" w:hAnsi="Arial" w:cs="Arial"/>
          <w:color w:val="7B7B7B" w:themeColor="accent3" w:themeShade="BF"/>
          <w:sz w:val="22"/>
          <w:szCs w:val="22"/>
          <w:lang w:val="en-GB"/>
        </w:rPr>
        <w:t xml:space="preserve"> (in turn)</w:t>
      </w:r>
      <w:r w:rsidR="000F4346">
        <w:rPr>
          <w:rFonts w:ascii="Arial" w:hAnsi="Arial" w:cs="Arial"/>
          <w:color w:val="7B7B7B" w:themeColor="accent3" w:themeShade="BF"/>
          <w:sz w:val="22"/>
          <w:szCs w:val="22"/>
          <w:lang w:val="en-GB"/>
        </w:rPr>
        <w:t xml:space="preserve"> refer such proceedings to bankruptcy courts of their district.</w:t>
      </w:r>
    </w:p>
    <w:p w14:paraId="474BE8AA" w14:textId="33783D12" w:rsidR="000F4346" w:rsidRDefault="000F4346" w:rsidP="006769DD">
      <w:pPr>
        <w:ind w:left="709" w:hanging="709"/>
        <w:jc w:val="both"/>
        <w:rPr>
          <w:rFonts w:ascii="Arial" w:hAnsi="Arial" w:cs="Arial"/>
          <w:color w:val="7B7B7B" w:themeColor="accent3" w:themeShade="BF"/>
          <w:sz w:val="22"/>
          <w:szCs w:val="22"/>
          <w:lang w:val="en-GB"/>
        </w:rPr>
      </w:pPr>
    </w:p>
    <w:p w14:paraId="26CBBCB9" w14:textId="7658DB51" w:rsidR="000F4346" w:rsidRDefault="000F4346" w:rsidP="006769DD">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t>The statute which makes provision for the aforesaid referral, distinguishes between “</w:t>
      </w:r>
      <w:r w:rsidR="00CD749C">
        <w:rPr>
          <w:rFonts w:ascii="Arial" w:hAnsi="Arial" w:cs="Arial"/>
          <w:i/>
          <w:color w:val="7B7B7B" w:themeColor="accent3" w:themeShade="BF"/>
          <w:sz w:val="22"/>
          <w:szCs w:val="22"/>
          <w:lang w:val="en-GB"/>
        </w:rPr>
        <w:t>core</w:t>
      </w:r>
      <w:r>
        <w:rPr>
          <w:rFonts w:ascii="Arial" w:hAnsi="Arial" w:cs="Arial"/>
          <w:color w:val="7B7B7B" w:themeColor="accent3" w:themeShade="BF"/>
          <w:sz w:val="22"/>
          <w:szCs w:val="22"/>
          <w:lang w:val="en-GB"/>
        </w:rPr>
        <w:t>”</w:t>
      </w:r>
      <w:r w:rsidR="00B31DB3">
        <w:rPr>
          <w:rFonts w:ascii="Arial" w:hAnsi="Arial" w:cs="Arial"/>
          <w:color w:val="7B7B7B" w:themeColor="accent3" w:themeShade="BF"/>
          <w:sz w:val="22"/>
          <w:szCs w:val="22"/>
          <w:lang w:val="en-GB"/>
        </w:rPr>
        <w:t xml:space="preserve"> and “</w:t>
      </w:r>
      <w:r w:rsidR="00CD749C">
        <w:rPr>
          <w:rFonts w:ascii="Arial" w:hAnsi="Arial" w:cs="Arial"/>
          <w:i/>
          <w:color w:val="7B7B7B" w:themeColor="accent3" w:themeShade="BF"/>
          <w:sz w:val="22"/>
          <w:szCs w:val="22"/>
          <w:lang w:val="en-GB"/>
        </w:rPr>
        <w:t>non-core</w:t>
      </w:r>
      <w:r w:rsidR="00B31DB3">
        <w:rPr>
          <w:rFonts w:ascii="Arial" w:hAnsi="Arial" w:cs="Arial"/>
          <w:color w:val="7B7B7B" w:themeColor="accent3" w:themeShade="BF"/>
          <w:sz w:val="22"/>
          <w:szCs w:val="22"/>
          <w:lang w:val="en-GB"/>
        </w:rPr>
        <w:t>” matters and allows bankruptcy judges</w:t>
      </w:r>
      <w:r w:rsidR="00CD749C">
        <w:rPr>
          <w:rFonts w:ascii="Arial" w:hAnsi="Arial" w:cs="Arial"/>
          <w:color w:val="7B7B7B" w:themeColor="accent3" w:themeShade="BF"/>
          <w:sz w:val="22"/>
          <w:szCs w:val="22"/>
          <w:lang w:val="en-GB"/>
        </w:rPr>
        <w:t xml:space="preserve"> to hear and determine only core</w:t>
      </w:r>
      <w:r w:rsidR="00B31DB3">
        <w:rPr>
          <w:rFonts w:ascii="Arial" w:hAnsi="Arial" w:cs="Arial"/>
          <w:color w:val="7B7B7B" w:themeColor="accent3" w:themeShade="BF"/>
          <w:sz w:val="22"/>
          <w:szCs w:val="22"/>
          <w:lang w:val="en-GB"/>
        </w:rPr>
        <w:t xml:space="preserve"> proceedings.  Although the bankruptcy court may hear</w:t>
      </w:r>
      <w:r w:rsidR="00CD749C">
        <w:rPr>
          <w:rFonts w:ascii="Arial" w:hAnsi="Arial" w:cs="Arial"/>
          <w:color w:val="7B7B7B" w:themeColor="accent3" w:themeShade="BF"/>
          <w:sz w:val="22"/>
          <w:szCs w:val="22"/>
          <w:lang w:val="en-GB"/>
        </w:rPr>
        <w:t xml:space="preserve"> non-core</w:t>
      </w:r>
      <w:r w:rsidR="00A1260A">
        <w:rPr>
          <w:rFonts w:ascii="Arial" w:hAnsi="Arial" w:cs="Arial"/>
          <w:color w:val="7B7B7B" w:themeColor="accent3" w:themeShade="BF"/>
          <w:sz w:val="22"/>
          <w:szCs w:val="22"/>
          <w:lang w:val="en-GB"/>
        </w:rPr>
        <w:t xml:space="preserve"> proceedings and if they are sufficiently related to a bankruptcy proceeding, they are precluded from making a final determination: instead, it can only submit proposed findings of fact and conclusions of law to the district court, to which interested parties may object</w:t>
      </w:r>
      <w:r w:rsidR="007C65F4">
        <w:rPr>
          <w:rFonts w:ascii="Arial" w:hAnsi="Arial" w:cs="Arial"/>
          <w:color w:val="7B7B7B" w:themeColor="accent3" w:themeShade="BF"/>
          <w:sz w:val="22"/>
          <w:szCs w:val="22"/>
          <w:lang w:val="en-GB"/>
        </w:rPr>
        <w:t>, for the district court’s final decision.  That is why it is critical at the commencement of each motion or pleading, for the parties to indicate wh</w:t>
      </w:r>
      <w:r w:rsidR="00D620FD">
        <w:rPr>
          <w:rFonts w:ascii="Arial" w:hAnsi="Arial" w:cs="Arial"/>
          <w:color w:val="7B7B7B" w:themeColor="accent3" w:themeShade="BF"/>
          <w:sz w:val="22"/>
          <w:szCs w:val="22"/>
          <w:lang w:val="en-GB"/>
        </w:rPr>
        <w:t>ether the matter at hand is core or non-core</w:t>
      </w:r>
      <w:r w:rsidR="007C65F4">
        <w:rPr>
          <w:rFonts w:ascii="Arial" w:hAnsi="Arial" w:cs="Arial"/>
          <w:color w:val="7B7B7B" w:themeColor="accent3" w:themeShade="BF"/>
          <w:sz w:val="22"/>
          <w:szCs w:val="22"/>
          <w:lang w:val="en-GB"/>
        </w:rPr>
        <w:t>, to enable the bankruptcy court to establish the scope and ambit of its jurisdiction and power to render a final order or judgment.</w:t>
      </w:r>
    </w:p>
    <w:p w14:paraId="639D42CB" w14:textId="2D188DD8" w:rsidR="009408FB" w:rsidRDefault="009408FB" w:rsidP="006769DD">
      <w:pPr>
        <w:ind w:left="709" w:hanging="709"/>
        <w:jc w:val="both"/>
        <w:rPr>
          <w:rFonts w:ascii="Arial" w:hAnsi="Arial" w:cs="Arial"/>
          <w:color w:val="7B7B7B" w:themeColor="accent3" w:themeShade="BF"/>
          <w:sz w:val="22"/>
          <w:szCs w:val="22"/>
          <w:lang w:val="en-GB"/>
        </w:rPr>
      </w:pPr>
    </w:p>
    <w:p w14:paraId="220655E3" w14:textId="5BE2DF3C" w:rsidR="009408FB" w:rsidRDefault="009408FB" w:rsidP="006769DD">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w:t>
      </w:r>
      <w:r>
        <w:rPr>
          <w:rFonts w:ascii="Arial" w:hAnsi="Arial" w:cs="Arial"/>
          <w:color w:val="7B7B7B" w:themeColor="accent3" w:themeShade="BF"/>
          <w:sz w:val="22"/>
          <w:szCs w:val="22"/>
          <w:lang w:val="en-GB"/>
        </w:rPr>
        <w:tab/>
        <w:t>After the 1984 amendments to the Bankruptcy Code, the bankruptcy court’s jurisdiction to re</w:t>
      </w:r>
      <w:r w:rsidR="001171D1">
        <w:rPr>
          <w:rFonts w:ascii="Arial" w:hAnsi="Arial" w:cs="Arial"/>
          <w:color w:val="7B7B7B" w:themeColor="accent3" w:themeShade="BF"/>
          <w:sz w:val="22"/>
          <w:szCs w:val="22"/>
          <w:lang w:val="en-GB"/>
        </w:rPr>
        <w:t>solve issues which arose in core</w:t>
      </w:r>
      <w:r>
        <w:rPr>
          <w:rFonts w:ascii="Arial" w:hAnsi="Arial" w:cs="Arial"/>
          <w:color w:val="7B7B7B" w:themeColor="accent3" w:themeShade="BF"/>
          <w:sz w:val="22"/>
          <w:szCs w:val="22"/>
          <w:lang w:val="en-GB"/>
        </w:rPr>
        <w:t xml:space="preserve"> proceedings appeared trite and settled and that is why the spotlight was </w:t>
      </w:r>
      <w:r w:rsidR="004B3D31">
        <w:rPr>
          <w:rFonts w:ascii="Arial" w:hAnsi="Arial" w:cs="Arial"/>
          <w:color w:val="7B7B7B" w:themeColor="accent3" w:themeShade="BF"/>
          <w:sz w:val="22"/>
          <w:szCs w:val="22"/>
          <w:lang w:val="en-GB"/>
        </w:rPr>
        <w:t xml:space="preserve">accordingly </w:t>
      </w:r>
      <w:r>
        <w:rPr>
          <w:rFonts w:ascii="Arial" w:hAnsi="Arial" w:cs="Arial"/>
          <w:color w:val="7B7B7B" w:themeColor="accent3" w:themeShade="BF"/>
          <w:sz w:val="22"/>
          <w:szCs w:val="22"/>
          <w:lang w:val="en-GB"/>
        </w:rPr>
        <w:t>shone</w:t>
      </w:r>
      <w:r w:rsidR="00E40083">
        <w:rPr>
          <w:rFonts w:ascii="Arial" w:hAnsi="Arial" w:cs="Arial"/>
          <w:color w:val="7B7B7B" w:themeColor="accent3" w:themeShade="BF"/>
          <w:sz w:val="22"/>
          <w:szCs w:val="22"/>
          <w:lang w:val="en-GB"/>
        </w:rPr>
        <w:t xml:space="preserve"> in the distinction between core and non-core</w:t>
      </w:r>
      <w:r>
        <w:rPr>
          <w:rFonts w:ascii="Arial" w:hAnsi="Arial" w:cs="Arial"/>
          <w:color w:val="7B7B7B" w:themeColor="accent3" w:themeShade="BF"/>
          <w:sz w:val="22"/>
          <w:szCs w:val="22"/>
          <w:lang w:val="en-GB"/>
        </w:rPr>
        <w:t xml:space="preserve"> matters</w:t>
      </w:r>
      <w:r w:rsidR="004B3D31">
        <w:rPr>
          <w:rFonts w:ascii="Arial" w:hAnsi="Arial" w:cs="Arial"/>
          <w:color w:val="7B7B7B" w:themeColor="accent3" w:themeShade="BF"/>
          <w:sz w:val="22"/>
          <w:szCs w:val="22"/>
          <w:lang w:val="en-GB"/>
        </w:rPr>
        <w:t>, which, it would appear, required some attention and development</w:t>
      </w:r>
      <w:r>
        <w:rPr>
          <w:rFonts w:ascii="Arial" w:hAnsi="Arial" w:cs="Arial"/>
          <w:color w:val="7B7B7B" w:themeColor="accent3" w:themeShade="BF"/>
          <w:sz w:val="22"/>
          <w:szCs w:val="22"/>
          <w:lang w:val="en-GB"/>
        </w:rPr>
        <w:t xml:space="preserve">.  I will now turn to </w:t>
      </w:r>
      <w:r w:rsidR="008D6B0A">
        <w:rPr>
          <w:rFonts w:ascii="Arial" w:hAnsi="Arial" w:cs="Arial"/>
          <w:color w:val="7B7B7B" w:themeColor="accent3" w:themeShade="BF"/>
          <w:sz w:val="22"/>
          <w:szCs w:val="22"/>
          <w:lang w:val="en-GB"/>
        </w:rPr>
        <w:t xml:space="preserve">deal with </w:t>
      </w:r>
      <w:r w:rsidRPr="008D6B0A">
        <w:rPr>
          <w:rFonts w:ascii="Arial" w:hAnsi="Arial" w:cs="Arial"/>
          <w:i/>
          <w:color w:val="7B7B7B" w:themeColor="accent3" w:themeShade="BF"/>
          <w:sz w:val="22"/>
          <w:szCs w:val="22"/>
          <w:lang w:val="en-GB"/>
        </w:rPr>
        <w:t>Stern</w:t>
      </w:r>
      <w:r>
        <w:rPr>
          <w:rFonts w:ascii="Arial" w:hAnsi="Arial" w:cs="Arial"/>
          <w:color w:val="7B7B7B" w:themeColor="accent3" w:themeShade="BF"/>
          <w:sz w:val="22"/>
          <w:szCs w:val="22"/>
          <w:lang w:val="en-GB"/>
        </w:rPr>
        <w:t xml:space="preserve"> which understandably </w:t>
      </w:r>
      <w:r w:rsidR="009132C7">
        <w:rPr>
          <w:rFonts w:ascii="Arial" w:hAnsi="Arial" w:cs="Arial"/>
          <w:color w:val="7B7B7B" w:themeColor="accent3" w:themeShade="BF"/>
          <w:sz w:val="22"/>
          <w:szCs w:val="22"/>
          <w:lang w:val="en-GB"/>
        </w:rPr>
        <w:t xml:space="preserve">“unpleasantly” </w:t>
      </w:r>
      <w:r>
        <w:rPr>
          <w:rFonts w:ascii="Arial" w:hAnsi="Arial" w:cs="Arial"/>
          <w:color w:val="7B7B7B" w:themeColor="accent3" w:themeShade="BF"/>
          <w:sz w:val="22"/>
          <w:szCs w:val="22"/>
          <w:lang w:val="en-GB"/>
        </w:rPr>
        <w:t>surprised the bankruptcy industry.</w:t>
      </w:r>
    </w:p>
    <w:p w14:paraId="633C93C8" w14:textId="71116405" w:rsidR="009408FB" w:rsidRDefault="009408FB" w:rsidP="006769DD">
      <w:pPr>
        <w:ind w:left="709" w:hanging="709"/>
        <w:jc w:val="both"/>
        <w:rPr>
          <w:rFonts w:ascii="Arial" w:hAnsi="Arial" w:cs="Arial"/>
          <w:color w:val="7B7B7B" w:themeColor="accent3" w:themeShade="BF"/>
          <w:sz w:val="22"/>
          <w:szCs w:val="22"/>
          <w:lang w:val="en-GB"/>
        </w:rPr>
      </w:pPr>
    </w:p>
    <w:p w14:paraId="4336FD9E" w14:textId="7266A838" w:rsidR="009408FB" w:rsidRPr="009408FB" w:rsidRDefault="009408FB" w:rsidP="006769DD">
      <w:pPr>
        <w:ind w:left="709" w:hanging="709"/>
        <w:jc w:val="both"/>
        <w:rPr>
          <w:rFonts w:ascii="Arial" w:hAnsi="Arial" w:cs="Arial"/>
          <w:i/>
          <w:color w:val="7B7B7B" w:themeColor="accent3" w:themeShade="BF"/>
          <w:sz w:val="22"/>
          <w:szCs w:val="22"/>
          <w:lang w:val="en-GB"/>
        </w:rPr>
      </w:pPr>
      <w:r w:rsidRPr="009408FB">
        <w:rPr>
          <w:rFonts w:ascii="Arial" w:hAnsi="Arial" w:cs="Arial"/>
          <w:i/>
          <w:color w:val="7B7B7B" w:themeColor="accent3" w:themeShade="BF"/>
          <w:sz w:val="22"/>
          <w:szCs w:val="22"/>
          <w:lang w:val="en-GB"/>
        </w:rPr>
        <w:t>Stern v Marshall</w:t>
      </w:r>
    </w:p>
    <w:p w14:paraId="67505325" w14:textId="53C5B2EB" w:rsidR="009408FB" w:rsidRDefault="009408FB" w:rsidP="006769DD">
      <w:pPr>
        <w:ind w:left="709" w:hanging="709"/>
        <w:jc w:val="both"/>
        <w:rPr>
          <w:rFonts w:ascii="Arial" w:hAnsi="Arial" w:cs="Arial"/>
          <w:color w:val="7B7B7B" w:themeColor="accent3" w:themeShade="BF"/>
          <w:sz w:val="22"/>
          <w:szCs w:val="22"/>
          <w:lang w:val="en-GB"/>
        </w:rPr>
      </w:pPr>
    </w:p>
    <w:p w14:paraId="626DB0A5" w14:textId="06063375" w:rsidR="009408FB" w:rsidRDefault="009408FB" w:rsidP="006769DD">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6.</w:t>
      </w:r>
      <w:r>
        <w:rPr>
          <w:rFonts w:ascii="Arial" w:hAnsi="Arial" w:cs="Arial"/>
          <w:color w:val="7B7B7B" w:themeColor="accent3" w:themeShade="BF"/>
          <w:sz w:val="22"/>
          <w:szCs w:val="22"/>
          <w:lang w:val="en-GB"/>
        </w:rPr>
        <w:tab/>
      </w:r>
      <w:r w:rsidR="002D099A">
        <w:rPr>
          <w:rFonts w:ascii="Arial" w:hAnsi="Arial" w:cs="Arial"/>
          <w:color w:val="7B7B7B" w:themeColor="accent3" w:themeShade="BF"/>
          <w:sz w:val="22"/>
          <w:szCs w:val="22"/>
          <w:lang w:val="en-GB"/>
        </w:rPr>
        <w:t xml:space="preserve">In 2011, the US Supreme Court of Appeal held, in </w:t>
      </w:r>
      <w:r w:rsidR="002D099A" w:rsidRPr="005F25FF">
        <w:rPr>
          <w:rFonts w:ascii="Arial" w:hAnsi="Arial" w:cs="Arial"/>
          <w:i/>
          <w:color w:val="7B7B7B" w:themeColor="accent3" w:themeShade="BF"/>
          <w:sz w:val="22"/>
          <w:szCs w:val="22"/>
          <w:lang w:val="en-GB"/>
        </w:rPr>
        <w:t>Stern</w:t>
      </w:r>
      <w:r w:rsidR="00E33EBC">
        <w:rPr>
          <w:rFonts w:ascii="Arial" w:hAnsi="Arial" w:cs="Arial"/>
          <w:color w:val="7B7B7B" w:themeColor="accent3" w:themeShade="BF"/>
          <w:sz w:val="22"/>
          <w:szCs w:val="22"/>
          <w:lang w:val="en-GB"/>
        </w:rPr>
        <w:t>, that even in core</w:t>
      </w:r>
      <w:r w:rsidR="002D099A">
        <w:rPr>
          <w:rFonts w:ascii="Arial" w:hAnsi="Arial" w:cs="Arial"/>
          <w:color w:val="7B7B7B" w:themeColor="accent3" w:themeShade="BF"/>
          <w:sz w:val="22"/>
          <w:szCs w:val="22"/>
          <w:lang w:val="en-GB"/>
        </w:rPr>
        <w:t xml:space="preserve"> proceedings, a bankruptcy court cannot issue final orders which violate or encroach upon Article (iii) jurisdiction. </w:t>
      </w:r>
      <w:r w:rsidR="00E33EBC">
        <w:rPr>
          <w:rFonts w:ascii="Arial" w:hAnsi="Arial" w:cs="Arial"/>
          <w:color w:val="7B7B7B" w:themeColor="accent3" w:themeShade="BF"/>
          <w:sz w:val="22"/>
          <w:szCs w:val="22"/>
          <w:lang w:val="en-GB"/>
        </w:rPr>
        <w:t xml:space="preserve">One </w:t>
      </w:r>
      <w:r w:rsidR="00B94F67">
        <w:rPr>
          <w:rFonts w:ascii="Arial" w:hAnsi="Arial" w:cs="Arial"/>
          <w:color w:val="7B7B7B" w:themeColor="accent3" w:themeShade="BF"/>
          <w:sz w:val="22"/>
          <w:szCs w:val="22"/>
          <w:lang w:val="en-GB"/>
        </w:rPr>
        <w:t xml:space="preserve">would have </w:t>
      </w:r>
      <w:r w:rsidR="0066527A">
        <w:rPr>
          <w:rFonts w:ascii="Arial" w:hAnsi="Arial" w:cs="Arial"/>
          <w:color w:val="7B7B7B" w:themeColor="accent3" w:themeShade="BF"/>
          <w:sz w:val="22"/>
          <w:szCs w:val="22"/>
          <w:lang w:val="en-GB"/>
        </w:rPr>
        <w:t>expected</w:t>
      </w:r>
      <w:r w:rsidR="00B94F67">
        <w:rPr>
          <w:rFonts w:ascii="Arial" w:hAnsi="Arial" w:cs="Arial"/>
          <w:color w:val="7B7B7B" w:themeColor="accent3" w:themeShade="BF"/>
          <w:sz w:val="22"/>
          <w:szCs w:val="22"/>
          <w:lang w:val="en-GB"/>
        </w:rPr>
        <w:t xml:space="preserve"> </w:t>
      </w:r>
      <w:r w:rsidR="0066527A">
        <w:rPr>
          <w:rFonts w:ascii="Arial" w:hAnsi="Arial" w:cs="Arial"/>
          <w:color w:val="7B7B7B" w:themeColor="accent3" w:themeShade="BF"/>
          <w:sz w:val="22"/>
          <w:szCs w:val="22"/>
          <w:lang w:val="en-GB"/>
        </w:rPr>
        <w:t>bankruptcy</w:t>
      </w:r>
      <w:r w:rsidR="00B94F67">
        <w:rPr>
          <w:rFonts w:ascii="Arial" w:hAnsi="Arial" w:cs="Arial"/>
          <w:color w:val="7B7B7B" w:themeColor="accent3" w:themeShade="BF"/>
          <w:sz w:val="22"/>
          <w:szCs w:val="22"/>
          <w:lang w:val="en-GB"/>
        </w:rPr>
        <w:t xml:space="preserve"> courts to have the power to issue final orders at least in core</w:t>
      </w:r>
      <w:r w:rsidR="0066527A">
        <w:rPr>
          <w:rFonts w:ascii="Arial" w:hAnsi="Arial" w:cs="Arial"/>
          <w:color w:val="7B7B7B" w:themeColor="accent3" w:themeShade="BF"/>
          <w:sz w:val="22"/>
          <w:szCs w:val="22"/>
          <w:lang w:val="en-GB"/>
        </w:rPr>
        <w:t xml:space="preserve"> proceedings. </w:t>
      </w:r>
      <w:r w:rsidR="002D099A">
        <w:rPr>
          <w:rFonts w:ascii="Arial" w:hAnsi="Arial" w:cs="Arial"/>
          <w:color w:val="7B7B7B" w:themeColor="accent3" w:themeShade="BF"/>
          <w:sz w:val="22"/>
          <w:szCs w:val="22"/>
          <w:lang w:val="en-GB"/>
        </w:rPr>
        <w:t xml:space="preserve"> </w:t>
      </w:r>
      <w:r w:rsidR="0066527A">
        <w:rPr>
          <w:rFonts w:ascii="Arial" w:hAnsi="Arial" w:cs="Arial"/>
          <w:color w:val="7B7B7B" w:themeColor="accent3" w:themeShade="BF"/>
          <w:sz w:val="22"/>
          <w:szCs w:val="22"/>
          <w:lang w:val="en-GB"/>
        </w:rPr>
        <w:t xml:space="preserve">The brief </w:t>
      </w:r>
      <w:r w:rsidR="00615C25">
        <w:rPr>
          <w:rFonts w:ascii="Arial" w:hAnsi="Arial" w:cs="Arial"/>
          <w:color w:val="7B7B7B" w:themeColor="accent3" w:themeShade="BF"/>
          <w:sz w:val="22"/>
          <w:szCs w:val="22"/>
          <w:lang w:val="en-GB"/>
        </w:rPr>
        <w:t>facts</w:t>
      </w:r>
      <w:r w:rsidR="007C61DA">
        <w:rPr>
          <w:rFonts w:ascii="Arial" w:hAnsi="Arial" w:cs="Arial"/>
          <w:color w:val="7B7B7B" w:themeColor="accent3" w:themeShade="BF"/>
          <w:sz w:val="22"/>
          <w:szCs w:val="22"/>
          <w:lang w:val="en-GB"/>
        </w:rPr>
        <w:t xml:space="preserve"> of</w:t>
      </w:r>
      <w:r w:rsidR="0066527A">
        <w:rPr>
          <w:rFonts w:ascii="Arial" w:hAnsi="Arial" w:cs="Arial"/>
          <w:color w:val="7B7B7B" w:themeColor="accent3" w:themeShade="BF"/>
          <w:sz w:val="22"/>
          <w:szCs w:val="22"/>
          <w:lang w:val="en-GB"/>
        </w:rPr>
        <w:t xml:space="preserve"> </w:t>
      </w:r>
      <w:r w:rsidR="0066527A" w:rsidRPr="007C61DA">
        <w:rPr>
          <w:rFonts w:ascii="Arial" w:hAnsi="Arial" w:cs="Arial"/>
          <w:i/>
          <w:color w:val="7B7B7B" w:themeColor="accent3" w:themeShade="BF"/>
          <w:sz w:val="22"/>
          <w:szCs w:val="22"/>
          <w:lang w:val="en-GB"/>
        </w:rPr>
        <w:t>Stern</w:t>
      </w:r>
      <w:r w:rsidR="0066527A">
        <w:rPr>
          <w:rFonts w:ascii="Arial" w:hAnsi="Arial" w:cs="Arial"/>
          <w:color w:val="7B7B7B" w:themeColor="accent3" w:themeShade="BF"/>
          <w:sz w:val="22"/>
          <w:szCs w:val="22"/>
          <w:lang w:val="en-GB"/>
        </w:rPr>
        <w:t xml:space="preserve"> bear </w:t>
      </w:r>
      <w:r w:rsidR="00026C2E">
        <w:rPr>
          <w:rFonts w:ascii="Arial" w:hAnsi="Arial" w:cs="Arial"/>
          <w:color w:val="7B7B7B" w:themeColor="accent3" w:themeShade="BF"/>
          <w:sz w:val="22"/>
          <w:szCs w:val="22"/>
          <w:lang w:val="en-GB"/>
        </w:rPr>
        <w:t xml:space="preserve">mentioning to contextualise matters. </w:t>
      </w:r>
      <w:r w:rsidR="002D099A">
        <w:rPr>
          <w:rFonts w:ascii="Arial" w:hAnsi="Arial" w:cs="Arial"/>
          <w:color w:val="7B7B7B" w:themeColor="accent3" w:themeShade="BF"/>
          <w:sz w:val="22"/>
          <w:szCs w:val="22"/>
          <w:lang w:val="en-GB"/>
        </w:rPr>
        <w:t xml:space="preserve">In that case, a bankruptcy claim had been filed against the debtor and the </w:t>
      </w:r>
      <w:r w:rsidR="00640012">
        <w:rPr>
          <w:rFonts w:ascii="Arial" w:hAnsi="Arial" w:cs="Arial"/>
          <w:color w:val="7B7B7B" w:themeColor="accent3" w:themeShade="BF"/>
          <w:sz w:val="22"/>
          <w:szCs w:val="22"/>
          <w:lang w:val="en-GB"/>
        </w:rPr>
        <w:t>debtor counter</w:t>
      </w:r>
      <w:r w:rsidR="002D099A">
        <w:rPr>
          <w:rFonts w:ascii="Arial" w:hAnsi="Arial" w:cs="Arial"/>
          <w:color w:val="7B7B7B" w:themeColor="accent3" w:themeShade="BF"/>
          <w:sz w:val="22"/>
          <w:szCs w:val="22"/>
          <w:lang w:val="en-GB"/>
        </w:rPr>
        <w:t>claimed</w:t>
      </w:r>
      <w:r w:rsidR="00640012">
        <w:rPr>
          <w:rFonts w:ascii="Arial" w:hAnsi="Arial" w:cs="Arial"/>
          <w:color w:val="7B7B7B" w:themeColor="accent3" w:themeShade="BF"/>
          <w:sz w:val="22"/>
          <w:szCs w:val="22"/>
          <w:lang w:val="en-GB"/>
        </w:rPr>
        <w:t>.  T</w:t>
      </w:r>
      <w:r w:rsidR="002D099A">
        <w:rPr>
          <w:rFonts w:ascii="Arial" w:hAnsi="Arial" w:cs="Arial"/>
          <w:color w:val="7B7B7B" w:themeColor="accent3" w:themeShade="BF"/>
          <w:sz w:val="22"/>
          <w:szCs w:val="22"/>
          <w:lang w:val="en-GB"/>
        </w:rPr>
        <w:t xml:space="preserve">he </w:t>
      </w:r>
      <w:r w:rsidR="00640012">
        <w:rPr>
          <w:rFonts w:ascii="Arial" w:hAnsi="Arial" w:cs="Arial"/>
          <w:color w:val="7B7B7B" w:themeColor="accent3" w:themeShade="BF"/>
          <w:sz w:val="22"/>
          <w:szCs w:val="22"/>
          <w:lang w:val="en-GB"/>
        </w:rPr>
        <w:t>issues in the counterclaim were a subject of a separate state court proceedings.  The bankruptcy court issued its judgment first in terms of which USD 400 million to the debtor was awarded to the debtor.  The state court case continued whilst the bankruptcy judgment was appealed</w:t>
      </w:r>
      <w:r w:rsidR="00B07ACB">
        <w:rPr>
          <w:rFonts w:ascii="Arial" w:hAnsi="Arial" w:cs="Arial"/>
          <w:color w:val="7B7B7B" w:themeColor="accent3" w:themeShade="BF"/>
          <w:sz w:val="22"/>
          <w:szCs w:val="22"/>
          <w:lang w:val="en-GB"/>
        </w:rPr>
        <w:t xml:space="preserve"> to the district court.  The bankruptcy judgment was appealed to the district court, whilst the state court case continued. The state court jury verdict in favour of the claimant issued before the district court’s judgment </w:t>
      </w:r>
      <w:r w:rsidR="006E07B9">
        <w:rPr>
          <w:rFonts w:ascii="Arial" w:hAnsi="Arial" w:cs="Arial"/>
          <w:color w:val="7B7B7B" w:themeColor="accent3" w:themeShade="BF"/>
          <w:sz w:val="22"/>
          <w:szCs w:val="22"/>
          <w:lang w:val="en-GB"/>
        </w:rPr>
        <w:t>confirming the bankruptcy court.  Although 28 USC section 157 provid</w:t>
      </w:r>
      <w:r w:rsidR="00D6619B">
        <w:rPr>
          <w:rFonts w:ascii="Arial" w:hAnsi="Arial" w:cs="Arial"/>
          <w:color w:val="7B7B7B" w:themeColor="accent3" w:themeShade="BF"/>
          <w:sz w:val="22"/>
          <w:szCs w:val="22"/>
          <w:lang w:val="en-GB"/>
        </w:rPr>
        <w:t>es that a counterclaim is a core</w:t>
      </w:r>
      <w:r w:rsidR="006E07B9">
        <w:rPr>
          <w:rFonts w:ascii="Arial" w:hAnsi="Arial" w:cs="Arial"/>
          <w:color w:val="7B7B7B" w:themeColor="accent3" w:themeShade="BF"/>
          <w:sz w:val="22"/>
          <w:szCs w:val="22"/>
          <w:lang w:val="en-GB"/>
        </w:rPr>
        <w:t xml:space="preserve"> proceeding as to which a bankruptcy court can issue a final order, the US Supreme Court held that the bankruptcy court’s issuance of a final order over a state law claim was unconstitutional under Article (iii).  Therefore, the jury verdict was the first</w:t>
      </w:r>
      <w:r w:rsidR="001C4CF3">
        <w:rPr>
          <w:rFonts w:ascii="Arial" w:hAnsi="Arial" w:cs="Arial"/>
          <w:color w:val="7B7B7B" w:themeColor="accent3" w:themeShade="BF"/>
          <w:sz w:val="22"/>
          <w:szCs w:val="22"/>
          <w:lang w:val="en-GB"/>
        </w:rPr>
        <w:t xml:space="preserve"> final judgment and was dispositive of the issues.</w:t>
      </w:r>
    </w:p>
    <w:p w14:paraId="17A6D16E" w14:textId="762AE6F1" w:rsidR="001C4CF3" w:rsidRDefault="001C4CF3" w:rsidP="006769DD">
      <w:pPr>
        <w:ind w:left="709" w:hanging="709"/>
        <w:jc w:val="both"/>
        <w:rPr>
          <w:rFonts w:ascii="Arial" w:hAnsi="Arial" w:cs="Arial"/>
          <w:color w:val="7B7B7B" w:themeColor="accent3" w:themeShade="BF"/>
          <w:sz w:val="22"/>
          <w:szCs w:val="22"/>
          <w:lang w:val="en-GB"/>
        </w:rPr>
      </w:pPr>
    </w:p>
    <w:p w14:paraId="66EAA635" w14:textId="227D85A4" w:rsidR="001C4CF3" w:rsidRPr="00FF5098" w:rsidRDefault="001C4CF3" w:rsidP="006769DD">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7.</w:t>
      </w:r>
      <w:r>
        <w:rPr>
          <w:rFonts w:ascii="Arial" w:hAnsi="Arial" w:cs="Arial"/>
          <w:color w:val="7B7B7B" w:themeColor="accent3" w:themeShade="BF"/>
          <w:sz w:val="22"/>
          <w:szCs w:val="22"/>
          <w:lang w:val="en-GB"/>
        </w:rPr>
        <w:tab/>
        <w:t xml:space="preserve">It would </w:t>
      </w:r>
      <w:r w:rsidR="00D6619B">
        <w:rPr>
          <w:rFonts w:ascii="Arial" w:hAnsi="Arial" w:cs="Arial"/>
          <w:color w:val="7B7B7B" w:themeColor="accent3" w:themeShade="BF"/>
          <w:sz w:val="22"/>
          <w:szCs w:val="22"/>
          <w:lang w:val="en-GB"/>
        </w:rPr>
        <w:t xml:space="preserve">thus </w:t>
      </w:r>
      <w:r>
        <w:rPr>
          <w:rFonts w:ascii="Arial" w:hAnsi="Arial" w:cs="Arial"/>
          <w:color w:val="7B7B7B" w:themeColor="accent3" w:themeShade="BF"/>
          <w:sz w:val="22"/>
          <w:szCs w:val="22"/>
          <w:lang w:val="en-GB"/>
        </w:rPr>
        <w:t xml:space="preserve">appear that Stern exacerbated the complication surrounding the jurisdiction of bankruptcy courts.  Fortunately, </w:t>
      </w:r>
      <w:r w:rsidR="0013128F">
        <w:rPr>
          <w:rFonts w:ascii="Arial" w:hAnsi="Arial" w:cs="Arial"/>
          <w:color w:val="7B7B7B" w:themeColor="accent3" w:themeShade="BF"/>
          <w:sz w:val="22"/>
          <w:szCs w:val="22"/>
          <w:lang w:val="en-GB"/>
        </w:rPr>
        <w:t>subsequent US Supreme Court rulings and amendments to the bankruptcy rules have provided more guidance.  As district courts have exclusive jurisdiction to adjudicate a petition commencing bankruptcy proceedings, a bankruptcy court may exercise a district court’s delegated authority to issue a final order on a motion challenging the validity of a petition.  The US Supreme Court held that bankru</w:t>
      </w:r>
      <w:r w:rsidR="002015B1">
        <w:rPr>
          <w:rFonts w:ascii="Arial" w:hAnsi="Arial" w:cs="Arial"/>
          <w:color w:val="7B7B7B" w:themeColor="accent3" w:themeShade="BF"/>
          <w:sz w:val="22"/>
          <w:szCs w:val="22"/>
          <w:lang w:val="en-GB"/>
        </w:rPr>
        <w:t>ptcy judges may determine a core</w:t>
      </w:r>
      <w:r w:rsidR="0013128F">
        <w:rPr>
          <w:rFonts w:ascii="Arial" w:hAnsi="Arial" w:cs="Arial"/>
          <w:color w:val="7B7B7B" w:themeColor="accent3" w:themeShade="BF"/>
          <w:sz w:val="22"/>
          <w:szCs w:val="22"/>
          <w:lang w:val="en-GB"/>
        </w:rPr>
        <w:t xml:space="preserve"> proceeding over which they lack constitutional authority by issuing a report and recommendation for review by the district court, which is the same procedure ap</w:t>
      </w:r>
      <w:r w:rsidR="002015B1">
        <w:rPr>
          <w:rFonts w:ascii="Arial" w:hAnsi="Arial" w:cs="Arial"/>
          <w:color w:val="7B7B7B" w:themeColor="accent3" w:themeShade="BF"/>
          <w:sz w:val="22"/>
          <w:szCs w:val="22"/>
          <w:lang w:val="en-GB"/>
        </w:rPr>
        <w:t>plicable in relation to non-core</w:t>
      </w:r>
      <w:r w:rsidR="0013128F">
        <w:rPr>
          <w:rFonts w:ascii="Arial" w:hAnsi="Arial" w:cs="Arial"/>
          <w:color w:val="7B7B7B" w:themeColor="accent3" w:themeShade="BF"/>
          <w:sz w:val="22"/>
          <w:szCs w:val="22"/>
          <w:lang w:val="en-GB"/>
        </w:rPr>
        <w:t xml:space="preserve"> proceedings, all, with the consent of the parties, may issue final orders.  The </w:t>
      </w:r>
      <w:r w:rsidR="0013128F">
        <w:rPr>
          <w:rFonts w:ascii="Arial" w:hAnsi="Arial" w:cs="Arial"/>
          <w:color w:val="7B7B7B" w:themeColor="accent3" w:themeShade="BF"/>
          <w:sz w:val="22"/>
          <w:szCs w:val="22"/>
          <w:lang w:val="en-GB"/>
        </w:rPr>
        <w:lastRenderedPageBreak/>
        <w:t xml:space="preserve">bankruptcy rules have </w:t>
      </w:r>
      <w:r w:rsidR="002D1C7B">
        <w:rPr>
          <w:rFonts w:ascii="Arial" w:hAnsi="Arial" w:cs="Arial"/>
          <w:color w:val="7B7B7B" w:themeColor="accent3" w:themeShade="BF"/>
          <w:sz w:val="22"/>
          <w:szCs w:val="22"/>
          <w:lang w:val="en-GB"/>
        </w:rPr>
        <w:t>codified or implemented these rules by requiring litigants to state in their pleadings whether they consent to the entry of final orders or judgments by the bankruptcy court and by allowing a district court that determines that a bankruptcy court did not have jurisdiction to enter a final order to treat its order as proposed findings of fact and conclusions of law.</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0B6FB08E" w:rsidR="005B2A9B" w:rsidRDefault="009B6877" w:rsidP="005B2A9B">
      <w:pPr>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Introduction</w:t>
      </w:r>
    </w:p>
    <w:p w14:paraId="56D4E810" w14:textId="3F05EA99" w:rsidR="009B6877" w:rsidRDefault="009B6877" w:rsidP="005B2A9B">
      <w:pPr>
        <w:jc w:val="both"/>
        <w:rPr>
          <w:rFonts w:ascii="Arial" w:hAnsi="Arial" w:cs="Arial"/>
          <w:color w:val="7B7B7B" w:themeColor="accent3" w:themeShade="BF"/>
          <w:sz w:val="22"/>
          <w:szCs w:val="22"/>
          <w:lang w:val="en-GB"/>
        </w:rPr>
      </w:pPr>
    </w:p>
    <w:p w14:paraId="6105C61F" w14:textId="4581F5BA" w:rsidR="009B6877" w:rsidRDefault="0016618D" w:rsidP="0016618D">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r>
      <w:r w:rsidR="009B6877">
        <w:rPr>
          <w:rFonts w:ascii="Arial" w:hAnsi="Arial" w:cs="Arial"/>
          <w:color w:val="7B7B7B" w:themeColor="accent3" w:themeShade="BF"/>
          <w:sz w:val="22"/>
          <w:szCs w:val="22"/>
          <w:lang w:val="en-GB"/>
        </w:rPr>
        <w:t xml:space="preserve">In order to contextualise matters and for sake of completion, I will first deal with Article 23 of the Model Law insofar as it relates to the powers which are afforded to a foreign representative upon recognition of </w:t>
      </w:r>
      <w:r w:rsidR="00B558C3">
        <w:rPr>
          <w:rFonts w:ascii="Arial" w:hAnsi="Arial" w:cs="Arial"/>
          <w:color w:val="7B7B7B" w:themeColor="accent3" w:themeShade="BF"/>
          <w:sz w:val="22"/>
          <w:szCs w:val="22"/>
          <w:lang w:val="en-GB"/>
        </w:rPr>
        <w:t>foreign proceedings with respect to avoidance actions.  Thereafter I will address the provision</w:t>
      </w:r>
      <w:r w:rsidR="00302773">
        <w:rPr>
          <w:rFonts w:ascii="Arial" w:hAnsi="Arial" w:cs="Arial"/>
          <w:color w:val="7B7B7B" w:themeColor="accent3" w:themeShade="BF"/>
          <w:sz w:val="22"/>
          <w:szCs w:val="22"/>
          <w:lang w:val="en-GB"/>
        </w:rPr>
        <w:t>s</w:t>
      </w:r>
      <w:r w:rsidR="00B558C3">
        <w:rPr>
          <w:rFonts w:ascii="Arial" w:hAnsi="Arial" w:cs="Arial"/>
          <w:color w:val="7B7B7B" w:themeColor="accent3" w:themeShade="BF"/>
          <w:sz w:val="22"/>
          <w:szCs w:val="22"/>
          <w:lang w:val="en-GB"/>
        </w:rPr>
        <w:t xml:space="preserve"> of the Bankruptcy Code which may not be invoked by a foreign representative in a chapter 15 proceeding.  I will then conclude with the two ways that a foreign representative can obtain equivalent relief.</w:t>
      </w:r>
    </w:p>
    <w:p w14:paraId="167FEDA8" w14:textId="00BE27A8" w:rsidR="00B558C3" w:rsidRDefault="00B558C3" w:rsidP="005B2A9B">
      <w:pPr>
        <w:jc w:val="both"/>
        <w:rPr>
          <w:rFonts w:ascii="Arial" w:hAnsi="Arial" w:cs="Arial"/>
          <w:color w:val="7B7B7B" w:themeColor="accent3" w:themeShade="BF"/>
          <w:sz w:val="22"/>
          <w:szCs w:val="22"/>
          <w:lang w:val="en-GB"/>
        </w:rPr>
      </w:pPr>
    </w:p>
    <w:p w14:paraId="1A03F7CE" w14:textId="52380355" w:rsidR="00B558C3" w:rsidRPr="000E40CC" w:rsidRDefault="000E40CC" w:rsidP="005B2A9B">
      <w:pPr>
        <w:jc w:val="both"/>
        <w:rPr>
          <w:rFonts w:ascii="Arial" w:hAnsi="Arial" w:cs="Arial"/>
          <w:i/>
          <w:color w:val="7B7B7B" w:themeColor="accent3" w:themeShade="BF"/>
          <w:sz w:val="22"/>
          <w:szCs w:val="22"/>
          <w:lang w:val="en-GB"/>
        </w:rPr>
      </w:pPr>
      <w:r w:rsidRPr="000E40CC">
        <w:rPr>
          <w:rFonts w:ascii="Arial" w:hAnsi="Arial" w:cs="Arial"/>
          <w:i/>
          <w:color w:val="7B7B7B" w:themeColor="accent3" w:themeShade="BF"/>
          <w:sz w:val="22"/>
          <w:szCs w:val="22"/>
          <w:lang w:val="en-GB"/>
        </w:rPr>
        <w:t>Article 23 of the Model Law</w:t>
      </w:r>
    </w:p>
    <w:p w14:paraId="49E4A57A" w14:textId="213C0BE7" w:rsidR="000E40CC" w:rsidRDefault="000E40CC" w:rsidP="005B2A9B">
      <w:pPr>
        <w:jc w:val="both"/>
        <w:rPr>
          <w:rFonts w:ascii="Arial" w:hAnsi="Arial" w:cs="Arial"/>
          <w:color w:val="7B7B7B" w:themeColor="accent3" w:themeShade="BF"/>
          <w:sz w:val="22"/>
          <w:szCs w:val="22"/>
          <w:lang w:val="en-GB"/>
        </w:rPr>
      </w:pPr>
    </w:p>
    <w:p w14:paraId="17A173EA" w14:textId="7736CF21" w:rsidR="000E40CC" w:rsidRDefault="0016618D" w:rsidP="0016618D">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r>
      <w:r w:rsidR="000E40CC">
        <w:rPr>
          <w:rFonts w:ascii="Arial" w:hAnsi="Arial" w:cs="Arial"/>
          <w:color w:val="7B7B7B" w:themeColor="accent3" w:themeShade="BF"/>
          <w:sz w:val="22"/>
          <w:szCs w:val="22"/>
          <w:lang w:val="en-GB"/>
        </w:rPr>
        <w:t>Unfortunately, the Model Law does not prescribe the powers which should be given to a foreign representative in respect of avoidance actions (i.e. actions to avoid acts detrimental to creditors).  Instead, it provides that the enacting legislature should “</w:t>
      </w:r>
      <w:r w:rsidR="000E40CC">
        <w:rPr>
          <w:rFonts w:ascii="Arial" w:hAnsi="Arial" w:cs="Arial"/>
          <w:i/>
          <w:color w:val="7B7B7B" w:themeColor="accent3" w:themeShade="BF"/>
          <w:sz w:val="22"/>
          <w:szCs w:val="22"/>
          <w:lang w:val="en-GB"/>
        </w:rPr>
        <w:t>refer to the types of actions to avoid or otherwise render ineffective acts detrimental to creditors that are available in this State to a person or body administering a reorganisation or liquidation</w:t>
      </w:r>
      <w:r w:rsidR="000E40CC">
        <w:rPr>
          <w:rFonts w:ascii="Arial" w:hAnsi="Arial" w:cs="Arial"/>
          <w:color w:val="7B7B7B" w:themeColor="accent3" w:themeShade="BF"/>
          <w:sz w:val="22"/>
          <w:szCs w:val="22"/>
          <w:lang w:val="en-GB"/>
        </w:rPr>
        <w:t>”.  It is said that reference to “</w:t>
      </w:r>
      <w:r w:rsidR="002F34DB">
        <w:rPr>
          <w:rFonts w:ascii="Arial" w:hAnsi="Arial" w:cs="Arial"/>
          <w:i/>
          <w:color w:val="7B7B7B" w:themeColor="accent3" w:themeShade="BF"/>
          <w:sz w:val="22"/>
          <w:szCs w:val="22"/>
          <w:lang w:val="en-GB"/>
        </w:rPr>
        <w:t>in this state</w:t>
      </w:r>
      <w:r w:rsidR="000E40CC">
        <w:rPr>
          <w:rFonts w:ascii="Arial" w:hAnsi="Arial" w:cs="Arial"/>
          <w:color w:val="7B7B7B" w:themeColor="accent3" w:themeShade="BF"/>
          <w:sz w:val="22"/>
          <w:szCs w:val="22"/>
          <w:lang w:val="en-GB"/>
        </w:rPr>
        <w:t>”</w:t>
      </w:r>
      <w:r w:rsidR="00396238">
        <w:rPr>
          <w:rFonts w:ascii="Arial" w:hAnsi="Arial" w:cs="Arial"/>
          <w:color w:val="7B7B7B" w:themeColor="accent3" w:themeShade="BF"/>
          <w:sz w:val="22"/>
          <w:szCs w:val="22"/>
          <w:lang w:val="en-GB"/>
        </w:rPr>
        <w:t xml:space="preserve"> is to the enacting jurisdiction and therefore means that the avoiding actions available to a foreign representative will only be those that a local debtor or trustee would be able to use.  That is to say, a foreign representative will not be able to invoke avoiding actions which are not available to a local debtor or trustee.  It bears flagging</w:t>
      </w:r>
      <w:r w:rsidR="00E947AE">
        <w:rPr>
          <w:rFonts w:ascii="Arial" w:hAnsi="Arial" w:cs="Arial"/>
          <w:color w:val="7B7B7B" w:themeColor="accent3" w:themeShade="BF"/>
          <w:sz w:val="22"/>
          <w:szCs w:val="22"/>
          <w:lang w:val="en-GB"/>
        </w:rPr>
        <w:t xml:space="preserve"> that surprisingly, despite chapter 15 having a close resemblance with the Model Law in many respects, it excludes from the rights granted to foreign representatives the right to invoke avoidance powers legislated for in the Bankruptcy Code.  Chapter 15 has been widely interpreted only to be of application to the use of Bankruptcy Code’s powers of avoidance of preferences and fraudulent conveyancers and not to preclude a foreign representative from seeking to avoid pre-petition transactions under other applicable US or foreign law.  It is correctly held that this </w:t>
      </w:r>
      <w:r w:rsidR="00A5033F">
        <w:rPr>
          <w:rFonts w:ascii="Arial" w:hAnsi="Arial" w:cs="Arial"/>
          <w:color w:val="7B7B7B" w:themeColor="accent3" w:themeShade="BF"/>
          <w:sz w:val="22"/>
          <w:szCs w:val="22"/>
          <w:lang w:val="en-GB"/>
        </w:rPr>
        <w:t xml:space="preserve">is </w:t>
      </w:r>
      <w:r w:rsidR="00E947AE">
        <w:rPr>
          <w:rFonts w:ascii="Arial" w:hAnsi="Arial" w:cs="Arial"/>
          <w:color w:val="7B7B7B" w:themeColor="accent3" w:themeShade="BF"/>
          <w:sz w:val="22"/>
          <w:szCs w:val="22"/>
          <w:lang w:val="en-GB"/>
        </w:rPr>
        <w:t>consistent with the practice in cases under section 304 of the Bankruptcy Code which predates the enactment of chapter 15.  But the exclusion referred to above does not constitute the end of the road for a foreign representative who wishes to obtain equivalent relief.  I address this below.</w:t>
      </w:r>
    </w:p>
    <w:p w14:paraId="3150B2E0" w14:textId="083EAEB3" w:rsidR="00E947AE" w:rsidRDefault="00E947AE" w:rsidP="005B2A9B">
      <w:pPr>
        <w:jc w:val="both"/>
        <w:rPr>
          <w:rFonts w:ascii="Arial" w:hAnsi="Arial" w:cs="Arial"/>
          <w:color w:val="7B7B7B" w:themeColor="accent3" w:themeShade="BF"/>
          <w:sz w:val="22"/>
          <w:szCs w:val="22"/>
          <w:lang w:val="en-GB"/>
        </w:rPr>
      </w:pPr>
    </w:p>
    <w:p w14:paraId="30036812" w14:textId="48797B06" w:rsidR="0016618D" w:rsidRDefault="0016618D" w:rsidP="005B2A9B">
      <w:pPr>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Two ways that a foreign representative can obtain equivalent relief</w:t>
      </w:r>
    </w:p>
    <w:p w14:paraId="77716D11" w14:textId="466F3A07" w:rsidR="0016618D" w:rsidRDefault="0016618D" w:rsidP="005B2A9B">
      <w:pPr>
        <w:jc w:val="both"/>
        <w:rPr>
          <w:rFonts w:ascii="Arial" w:hAnsi="Arial" w:cs="Arial"/>
          <w:i/>
          <w:color w:val="7B7B7B" w:themeColor="accent3" w:themeShade="BF"/>
          <w:sz w:val="22"/>
          <w:szCs w:val="22"/>
          <w:lang w:val="en-GB"/>
        </w:rPr>
      </w:pPr>
    </w:p>
    <w:p w14:paraId="4844DDA4" w14:textId="5D796A7E" w:rsidR="00DC359F" w:rsidRDefault="0016618D" w:rsidP="00B83764">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t>A foreign representative is entitled only to invoke the Bankruptcy Code</w:t>
      </w:r>
      <w:r w:rsidR="00B83764">
        <w:rPr>
          <w:rFonts w:ascii="Arial" w:hAnsi="Arial" w:cs="Arial"/>
          <w:color w:val="7B7B7B" w:themeColor="accent3" w:themeShade="BF"/>
          <w:sz w:val="22"/>
          <w:szCs w:val="22"/>
          <w:lang w:val="en-GB"/>
        </w:rPr>
        <w:t xml:space="preserve"> avoidance powers in a plenary</w:t>
      </w:r>
      <w:r w:rsidR="00276754">
        <w:rPr>
          <w:rFonts w:ascii="Arial" w:hAnsi="Arial" w:cs="Arial"/>
          <w:color w:val="7B7B7B" w:themeColor="accent3" w:themeShade="BF"/>
          <w:sz w:val="22"/>
          <w:szCs w:val="22"/>
          <w:lang w:val="en-GB"/>
        </w:rPr>
        <w:t xml:space="preserve"> proceeding such as chapter 7 or 11.  In this regard, in certain circumstances, such a proceeding would have been initiated by a debtor or its creditors prior to the involvement of the foreign representative.  In other uncommon circumstances</w:t>
      </w:r>
      <w:r w:rsidR="00C037C1">
        <w:rPr>
          <w:rFonts w:ascii="Arial" w:hAnsi="Arial" w:cs="Arial"/>
          <w:color w:val="7B7B7B" w:themeColor="accent3" w:themeShade="BF"/>
          <w:sz w:val="22"/>
          <w:szCs w:val="22"/>
          <w:lang w:val="en-GB"/>
        </w:rPr>
        <w:t>, the foreign representative may choose</w:t>
      </w:r>
      <w:r w:rsidR="00000DC8">
        <w:rPr>
          <w:rFonts w:ascii="Arial" w:hAnsi="Arial" w:cs="Arial"/>
          <w:color w:val="7B7B7B" w:themeColor="accent3" w:themeShade="BF"/>
          <w:sz w:val="22"/>
          <w:szCs w:val="22"/>
          <w:lang w:val="en-GB"/>
        </w:rPr>
        <w:t xml:space="preserve"> to initiate</w:t>
      </w:r>
      <w:r w:rsidR="00B83764">
        <w:rPr>
          <w:rFonts w:ascii="Arial" w:hAnsi="Arial" w:cs="Arial"/>
          <w:color w:val="7B7B7B" w:themeColor="accent3" w:themeShade="BF"/>
          <w:sz w:val="22"/>
          <w:szCs w:val="22"/>
          <w:lang w:val="en-GB"/>
        </w:rPr>
        <w:t xml:space="preserve"> a plenary proceeding under the Bankruptcy Code after recognition of the foreign proceeding under chapter 15. However, in that case, the scope and ambit of the plenary proceeding is restricted to the debtor’s US assets and will be co-ordinated with a foreign proceeding.  </w:t>
      </w:r>
      <w:r w:rsidR="00B83764">
        <w:rPr>
          <w:rFonts w:ascii="Arial" w:hAnsi="Arial" w:cs="Arial"/>
          <w:color w:val="7B7B7B" w:themeColor="accent3" w:themeShade="BF"/>
          <w:sz w:val="22"/>
          <w:szCs w:val="22"/>
          <w:lang w:val="en-GB"/>
        </w:rPr>
        <w:lastRenderedPageBreak/>
        <w:t>Additionally, a foreign representative may also be desirous of initiating plenary proceedings to obtain access to the Bankruptcy Code’s avoiding powers where relief under  applicable law is unsatisfactory (i.e. where the claim has prescribed or time barred or where applicable law does not permit claims for constructive fraudulent conveyance).</w:t>
      </w:r>
    </w:p>
    <w:p w14:paraId="04EBA657" w14:textId="77777777" w:rsidR="009C2639" w:rsidRDefault="009C2639" w:rsidP="00B83764">
      <w:pPr>
        <w:ind w:left="709" w:hanging="709"/>
        <w:jc w:val="both"/>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6BECAAB5" w:rsidR="005B2A9B" w:rsidRPr="00054C01" w:rsidRDefault="00054C01" w:rsidP="005B2A9B">
      <w:pPr>
        <w:jc w:val="both"/>
        <w:rPr>
          <w:rFonts w:ascii="Arial" w:hAnsi="Arial" w:cs="Arial"/>
          <w:i/>
          <w:color w:val="7B7B7B" w:themeColor="accent3" w:themeShade="BF"/>
          <w:sz w:val="22"/>
          <w:szCs w:val="22"/>
          <w:lang w:val="en-GB"/>
        </w:rPr>
      </w:pPr>
      <w:r w:rsidRPr="00054C01">
        <w:rPr>
          <w:rFonts w:ascii="Arial" w:hAnsi="Arial" w:cs="Arial"/>
          <w:i/>
          <w:color w:val="7B7B7B" w:themeColor="accent3" w:themeShade="BF"/>
          <w:sz w:val="22"/>
          <w:szCs w:val="22"/>
          <w:lang w:val="en-GB"/>
        </w:rPr>
        <w:t>Differences between interlocutory and final orders</w:t>
      </w:r>
    </w:p>
    <w:p w14:paraId="715DCBC6" w14:textId="022E77CF" w:rsidR="00054C01" w:rsidRDefault="00054C01" w:rsidP="005B2A9B">
      <w:pPr>
        <w:jc w:val="both"/>
        <w:rPr>
          <w:rFonts w:ascii="Arial" w:hAnsi="Arial" w:cs="Arial"/>
          <w:color w:val="7B7B7B" w:themeColor="accent3" w:themeShade="BF"/>
          <w:sz w:val="22"/>
          <w:szCs w:val="22"/>
          <w:lang w:val="en-GB"/>
        </w:rPr>
      </w:pPr>
    </w:p>
    <w:p w14:paraId="3DB0E7B2" w14:textId="77777777" w:rsidR="0011357B" w:rsidRDefault="00054C01" w:rsidP="00054C01">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Final orders are those which are final in effect and are dispositive of all issues in dispute.  On the other hand</w:t>
      </w:r>
      <w:r w:rsidR="00D5415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interlocutory orders are not final in effect in the sense that they are interim in nature and are not dispositive of all the issues or claims in dispute.</w:t>
      </w:r>
      <w:r w:rsidR="005B40B9">
        <w:rPr>
          <w:rFonts w:ascii="Arial" w:hAnsi="Arial" w:cs="Arial"/>
          <w:color w:val="7B7B7B" w:themeColor="accent3" w:themeShade="BF"/>
          <w:sz w:val="22"/>
          <w:szCs w:val="22"/>
          <w:lang w:val="en-GB"/>
        </w:rPr>
        <w:t xml:space="preserve">  </w:t>
      </w:r>
    </w:p>
    <w:p w14:paraId="542783A5" w14:textId="77777777" w:rsidR="0011357B" w:rsidRDefault="0011357B" w:rsidP="00054C01">
      <w:pPr>
        <w:ind w:left="709" w:hanging="709"/>
        <w:jc w:val="both"/>
        <w:rPr>
          <w:rFonts w:ascii="Arial" w:hAnsi="Arial" w:cs="Arial"/>
          <w:color w:val="7B7B7B" w:themeColor="accent3" w:themeShade="BF"/>
          <w:sz w:val="22"/>
          <w:szCs w:val="22"/>
          <w:lang w:val="en-GB"/>
        </w:rPr>
      </w:pPr>
    </w:p>
    <w:p w14:paraId="4BB6ECDB" w14:textId="6BB1EA50" w:rsidR="00054C01" w:rsidRDefault="0011357B" w:rsidP="00054C01">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r>
      <w:r w:rsidR="005B40B9">
        <w:rPr>
          <w:rFonts w:ascii="Arial" w:hAnsi="Arial" w:cs="Arial"/>
          <w:color w:val="7B7B7B" w:themeColor="accent3" w:themeShade="BF"/>
          <w:sz w:val="22"/>
          <w:szCs w:val="22"/>
          <w:lang w:val="en-GB"/>
        </w:rPr>
        <w:t>Having said that, the distinction between interlocutory and final orders is not always clear in circumstances where a court resolves not just claims between two parties but an issue of “</w:t>
      </w:r>
      <w:r w:rsidR="005B40B9">
        <w:rPr>
          <w:rFonts w:ascii="Arial" w:hAnsi="Arial" w:cs="Arial"/>
          <w:i/>
          <w:color w:val="7B7B7B" w:themeColor="accent3" w:themeShade="BF"/>
          <w:sz w:val="22"/>
          <w:szCs w:val="22"/>
          <w:lang w:val="en-GB"/>
        </w:rPr>
        <w:t>board applicability</w:t>
      </w:r>
      <w:r w:rsidR="00B4087E">
        <w:rPr>
          <w:rFonts w:ascii="Arial" w:hAnsi="Arial" w:cs="Arial"/>
          <w:color w:val="7B7B7B" w:themeColor="accent3" w:themeShade="BF"/>
          <w:sz w:val="22"/>
          <w:szCs w:val="22"/>
          <w:lang w:val="en-GB"/>
        </w:rPr>
        <w:t>”</w:t>
      </w:r>
      <w:r w:rsidR="005B40B9">
        <w:rPr>
          <w:rFonts w:ascii="Arial" w:hAnsi="Arial" w:cs="Arial"/>
          <w:i/>
          <w:color w:val="7B7B7B" w:themeColor="accent3" w:themeShade="BF"/>
          <w:sz w:val="22"/>
          <w:szCs w:val="22"/>
          <w:lang w:val="en-GB"/>
        </w:rPr>
        <w:t xml:space="preserve">, </w:t>
      </w:r>
      <w:r w:rsidR="005B40B9" w:rsidRPr="00B4087E">
        <w:rPr>
          <w:rFonts w:ascii="Arial" w:hAnsi="Arial" w:cs="Arial"/>
          <w:color w:val="7B7B7B" w:themeColor="accent3" w:themeShade="BF"/>
          <w:sz w:val="22"/>
          <w:szCs w:val="22"/>
          <w:lang w:val="en-GB"/>
        </w:rPr>
        <w:t xml:space="preserve">such </w:t>
      </w:r>
      <w:r w:rsidR="00B4087E" w:rsidRPr="00B4087E">
        <w:rPr>
          <w:rFonts w:ascii="Arial" w:hAnsi="Arial" w:cs="Arial"/>
          <w:color w:val="7B7B7B" w:themeColor="accent3" w:themeShade="BF"/>
          <w:sz w:val="22"/>
          <w:szCs w:val="22"/>
          <w:lang w:val="en-GB"/>
        </w:rPr>
        <w:t>as the post-</w:t>
      </w:r>
      <w:r w:rsidR="005B40B9" w:rsidRPr="00B4087E">
        <w:rPr>
          <w:rFonts w:ascii="Arial" w:hAnsi="Arial" w:cs="Arial"/>
          <w:color w:val="7B7B7B" w:themeColor="accent3" w:themeShade="BF"/>
          <w:sz w:val="22"/>
          <w:szCs w:val="22"/>
          <w:lang w:val="en-GB"/>
        </w:rPr>
        <w:t>petition interest rate applicable to the debtor’s obligations.  With this in mind, the US Supreme Court has held that a bankruptcy order resolving a discreet dispute is a final order for appeals purposes</w:t>
      </w:r>
      <w:r w:rsidR="00B4087E">
        <w:rPr>
          <w:rFonts w:ascii="Arial" w:hAnsi="Arial" w:cs="Arial"/>
          <w:color w:val="7B7B7B" w:themeColor="accent3" w:themeShade="BF"/>
          <w:sz w:val="22"/>
          <w:szCs w:val="22"/>
          <w:lang w:val="en-GB"/>
        </w:rPr>
        <w:t>.</w:t>
      </w:r>
    </w:p>
    <w:p w14:paraId="2376E63E" w14:textId="4F79AE1E" w:rsidR="00741C89" w:rsidRDefault="00741C89" w:rsidP="00054C01">
      <w:pPr>
        <w:ind w:left="709" w:hanging="709"/>
        <w:jc w:val="both"/>
        <w:rPr>
          <w:rFonts w:ascii="Arial" w:hAnsi="Arial" w:cs="Arial"/>
          <w:color w:val="7B7B7B" w:themeColor="accent3" w:themeShade="BF"/>
          <w:sz w:val="22"/>
          <w:szCs w:val="22"/>
          <w:lang w:val="en-GB"/>
        </w:rPr>
      </w:pPr>
    </w:p>
    <w:p w14:paraId="0A198AEB" w14:textId="24C182C2" w:rsidR="00741C89" w:rsidRDefault="00741C89" w:rsidP="00054C01">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t>An order that is constitutionally final because the bankruptcy court had authority to entertain it, is not final for purposes of appeal if it does not resolve the entire issue in dispute.  By the same token, an order that resolves an entire dispute and thus would be final for purposes of appeal may not be final in the constitutional sense if the parties have not consented to the bankruptcy court’s jurisdiction.</w:t>
      </w:r>
    </w:p>
    <w:p w14:paraId="51900EED" w14:textId="121E9EEB" w:rsidR="00054C01" w:rsidRDefault="00054C01" w:rsidP="00054C01">
      <w:pPr>
        <w:ind w:left="709" w:hanging="709"/>
        <w:jc w:val="both"/>
        <w:rPr>
          <w:rFonts w:ascii="Arial" w:hAnsi="Arial" w:cs="Arial"/>
          <w:color w:val="7B7B7B" w:themeColor="accent3" w:themeShade="BF"/>
          <w:sz w:val="22"/>
          <w:szCs w:val="22"/>
          <w:lang w:val="en-GB"/>
        </w:rPr>
      </w:pPr>
    </w:p>
    <w:p w14:paraId="3BC35C63" w14:textId="650DBDCD" w:rsidR="00054C01" w:rsidRPr="005B40B9" w:rsidRDefault="00D5415A" w:rsidP="00054C01">
      <w:pPr>
        <w:ind w:left="709" w:hanging="709"/>
        <w:jc w:val="both"/>
        <w:rPr>
          <w:rFonts w:ascii="Arial" w:hAnsi="Arial" w:cs="Arial"/>
          <w:i/>
          <w:color w:val="7B7B7B" w:themeColor="accent3" w:themeShade="BF"/>
          <w:sz w:val="22"/>
          <w:szCs w:val="22"/>
          <w:lang w:val="en-GB"/>
        </w:rPr>
      </w:pPr>
      <w:r w:rsidRPr="005B40B9">
        <w:rPr>
          <w:rFonts w:ascii="Arial" w:hAnsi="Arial" w:cs="Arial"/>
          <w:i/>
          <w:color w:val="7B7B7B" w:themeColor="accent3" w:themeShade="BF"/>
          <w:sz w:val="22"/>
          <w:szCs w:val="22"/>
          <w:lang w:val="en-GB"/>
        </w:rPr>
        <w:t>How interlocutory and final orders may be appealed</w:t>
      </w:r>
    </w:p>
    <w:p w14:paraId="5B3760ED" w14:textId="79341A83" w:rsidR="00D5415A" w:rsidRDefault="00D5415A" w:rsidP="00054C01">
      <w:pPr>
        <w:ind w:left="709" w:hanging="709"/>
        <w:jc w:val="both"/>
        <w:rPr>
          <w:rFonts w:ascii="Arial" w:hAnsi="Arial" w:cs="Arial"/>
          <w:color w:val="7B7B7B" w:themeColor="accent3" w:themeShade="BF"/>
          <w:sz w:val="22"/>
          <w:szCs w:val="22"/>
          <w:lang w:val="en-GB"/>
        </w:rPr>
      </w:pPr>
    </w:p>
    <w:p w14:paraId="5EEA09E6" w14:textId="5FEA02EF" w:rsidR="00D5415A" w:rsidRDefault="00BF4869" w:rsidP="00054C01">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r>
      <w:r w:rsidR="00D5415A">
        <w:rPr>
          <w:rFonts w:ascii="Arial" w:hAnsi="Arial" w:cs="Arial"/>
          <w:color w:val="7B7B7B" w:themeColor="accent3" w:themeShade="BF"/>
          <w:sz w:val="22"/>
          <w:szCs w:val="22"/>
          <w:lang w:val="en-GB"/>
        </w:rPr>
        <w:t>Final orders may be appealed as of right. On the other hand, interlocutory orders may only be appealed with the permission of the appellate court.  The position is no different in the context of bankruptcy proceedings, save to state that orders extending the period of exclusivity to propose a plan are appealable as of right (2</w:t>
      </w:r>
      <w:r w:rsidR="009D077D">
        <w:rPr>
          <w:rFonts w:ascii="Arial" w:hAnsi="Arial" w:cs="Arial"/>
          <w:color w:val="7B7B7B" w:themeColor="accent3" w:themeShade="BF"/>
          <w:sz w:val="22"/>
          <w:szCs w:val="22"/>
          <w:lang w:val="en-GB"/>
        </w:rPr>
        <w:t>8</w:t>
      </w:r>
      <w:r w:rsidR="0011357B">
        <w:rPr>
          <w:rFonts w:ascii="Arial" w:hAnsi="Arial" w:cs="Arial"/>
          <w:color w:val="7B7B7B" w:themeColor="accent3" w:themeShade="BF"/>
          <w:sz w:val="22"/>
          <w:szCs w:val="22"/>
          <w:lang w:val="en-GB"/>
        </w:rPr>
        <w:t>)</w:t>
      </w:r>
      <w:r w:rsidR="009D077D">
        <w:rPr>
          <w:rFonts w:ascii="Arial" w:hAnsi="Arial" w:cs="Arial"/>
          <w:color w:val="7B7B7B" w:themeColor="accent3" w:themeShade="BF"/>
          <w:sz w:val="22"/>
          <w:szCs w:val="22"/>
          <w:lang w:val="en-GB"/>
        </w:rPr>
        <w:t xml:space="preserve"> USC, </w:t>
      </w:r>
      <w:proofErr w:type="spellStart"/>
      <w:r w:rsidR="009D077D">
        <w:rPr>
          <w:rFonts w:ascii="Arial" w:hAnsi="Arial" w:cs="Arial"/>
          <w:color w:val="7B7B7B" w:themeColor="accent3" w:themeShade="BF"/>
          <w:sz w:val="22"/>
          <w:szCs w:val="22"/>
          <w:lang w:val="en-GB"/>
        </w:rPr>
        <w:t>s158</w:t>
      </w:r>
      <w:proofErr w:type="spellEnd"/>
      <w:r w:rsidR="009D077D">
        <w:rPr>
          <w:rFonts w:ascii="Arial" w:hAnsi="Arial" w:cs="Arial"/>
          <w:color w:val="7B7B7B" w:themeColor="accent3" w:themeShade="BF"/>
          <w:sz w:val="22"/>
          <w:szCs w:val="22"/>
          <w:lang w:val="en-GB"/>
        </w:rPr>
        <w:t>(a)(2)</w:t>
      </w:r>
      <w:r w:rsidR="0011357B">
        <w:rPr>
          <w:rFonts w:ascii="Arial" w:hAnsi="Arial" w:cs="Arial"/>
          <w:color w:val="7B7B7B" w:themeColor="accent3" w:themeShade="BF"/>
          <w:sz w:val="22"/>
          <w:szCs w:val="22"/>
          <w:lang w:val="en-GB"/>
        </w:rPr>
        <w:t>.</w:t>
      </w:r>
    </w:p>
    <w:p w14:paraId="2F7F6D82" w14:textId="3F95BCD0" w:rsidR="00BF4869" w:rsidRDefault="00BF4869" w:rsidP="00054C01">
      <w:pPr>
        <w:ind w:left="709" w:hanging="709"/>
        <w:jc w:val="both"/>
        <w:rPr>
          <w:rFonts w:ascii="Arial" w:hAnsi="Arial" w:cs="Arial"/>
          <w:color w:val="7B7B7B" w:themeColor="accent3" w:themeShade="BF"/>
          <w:sz w:val="22"/>
          <w:szCs w:val="22"/>
          <w:lang w:val="en-GB"/>
        </w:rPr>
      </w:pPr>
    </w:p>
    <w:p w14:paraId="6E795931" w14:textId="100A7384" w:rsidR="00BF4869" w:rsidRPr="00982E7B" w:rsidRDefault="00982E7B" w:rsidP="00054C01">
      <w:pPr>
        <w:ind w:left="709" w:hanging="709"/>
        <w:jc w:val="both"/>
        <w:rPr>
          <w:rFonts w:ascii="Arial" w:hAnsi="Arial" w:cs="Arial"/>
          <w:i/>
          <w:color w:val="7B7B7B" w:themeColor="accent3" w:themeShade="BF"/>
          <w:sz w:val="22"/>
          <w:szCs w:val="22"/>
          <w:lang w:val="en-GB"/>
        </w:rPr>
      </w:pPr>
      <w:r w:rsidRPr="00982E7B">
        <w:rPr>
          <w:rFonts w:ascii="Arial" w:hAnsi="Arial" w:cs="Arial"/>
          <w:i/>
          <w:color w:val="7B7B7B" w:themeColor="accent3" w:themeShade="BF"/>
          <w:sz w:val="22"/>
          <w:szCs w:val="22"/>
          <w:lang w:val="en-GB"/>
        </w:rPr>
        <w:t>Which courts hear direct appeals from bankruptcy court orders?</w:t>
      </w:r>
    </w:p>
    <w:p w14:paraId="7BFE3743" w14:textId="1794A13B" w:rsidR="00982E7B" w:rsidRDefault="00982E7B" w:rsidP="00054C01">
      <w:pPr>
        <w:ind w:left="709" w:hanging="709"/>
        <w:jc w:val="both"/>
        <w:rPr>
          <w:rFonts w:ascii="Arial" w:hAnsi="Arial" w:cs="Arial"/>
          <w:color w:val="7B7B7B" w:themeColor="accent3" w:themeShade="BF"/>
          <w:sz w:val="22"/>
          <w:szCs w:val="22"/>
          <w:lang w:val="en-GB"/>
        </w:rPr>
      </w:pPr>
    </w:p>
    <w:p w14:paraId="61EA3F29" w14:textId="24FD771F" w:rsidR="00DC359F" w:rsidRDefault="00982E7B" w:rsidP="00D504F6">
      <w:pPr>
        <w:ind w:left="709" w:hanging="709"/>
        <w:jc w:val="both"/>
        <w:rPr>
          <w:rFonts w:ascii="Arial" w:hAnsi="Arial" w:cs="Arial"/>
        </w:rPr>
      </w:pPr>
      <w:r>
        <w:rPr>
          <w:rFonts w:ascii="Arial" w:hAnsi="Arial" w:cs="Arial"/>
          <w:color w:val="7B7B7B" w:themeColor="accent3" w:themeShade="BF"/>
          <w:sz w:val="22"/>
          <w:szCs w:val="22"/>
          <w:lang w:val="en-GB"/>
        </w:rPr>
        <w:t>5.</w:t>
      </w:r>
      <w:r>
        <w:rPr>
          <w:rFonts w:ascii="Arial" w:hAnsi="Arial" w:cs="Arial"/>
          <w:color w:val="7B7B7B" w:themeColor="accent3" w:themeShade="BF"/>
          <w:sz w:val="22"/>
          <w:szCs w:val="22"/>
          <w:lang w:val="en-GB"/>
        </w:rPr>
        <w:tab/>
        <w:t>As a general rule</w:t>
      </w:r>
      <w:r w:rsidR="001233ED">
        <w:rPr>
          <w:rFonts w:ascii="Arial" w:hAnsi="Arial" w:cs="Arial"/>
          <w:color w:val="7B7B7B" w:themeColor="accent3" w:themeShade="BF"/>
          <w:sz w:val="22"/>
          <w:szCs w:val="22"/>
          <w:lang w:val="en-GB"/>
        </w:rPr>
        <w:t>, appeals from bankruptcy court decisions are heard by the district court for the district in which they sit.  Having said that, in some circuits, bankruptcy appeals are heard by a bankruptcy appellate panel (“</w:t>
      </w:r>
      <w:r w:rsidR="001233ED">
        <w:rPr>
          <w:rFonts w:ascii="Arial" w:hAnsi="Arial" w:cs="Arial"/>
          <w:b/>
          <w:i/>
          <w:color w:val="7B7B7B" w:themeColor="accent3" w:themeShade="BF"/>
          <w:sz w:val="22"/>
          <w:szCs w:val="22"/>
          <w:lang w:val="en-GB"/>
        </w:rPr>
        <w:t>the BAP</w:t>
      </w:r>
      <w:r w:rsidR="001233ED">
        <w:rPr>
          <w:rFonts w:ascii="Arial" w:hAnsi="Arial" w:cs="Arial"/>
          <w:color w:val="7B7B7B" w:themeColor="accent3" w:themeShade="BF"/>
          <w:sz w:val="22"/>
          <w:szCs w:val="22"/>
          <w:lang w:val="en-GB"/>
        </w:rPr>
        <w:t>”)</w:t>
      </w:r>
      <w:r w:rsidR="004A1D4D">
        <w:rPr>
          <w:rFonts w:ascii="Arial" w:hAnsi="Arial" w:cs="Arial"/>
          <w:color w:val="7B7B7B" w:themeColor="accent3" w:themeShade="BF"/>
          <w:sz w:val="22"/>
          <w:szCs w:val="22"/>
          <w:lang w:val="en-GB"/>
        </w:rPr>
        <w:t>.  The BAP consists of judges of bankruptcy courts within the circuit.  It bears flagging that in those circuits, a party has an election to ask that the appeal be heard by the district court instead.  From the district court or the BAP, there is a further appeal of right (provided the initial order was one from which an appeal or right was available) to the circuit court of appeals.  It is therefore an appeal</w:t>
      </w:r>
      <w:r w:rsidR="00D504F6">
        <w:rPr>
          <w:rFonts w:ascii="Arial" w:hAnsi="Arial" w:cs="Arial"/>
          <w:color w:val="7B7B7B" w:themeColor="accent3" w:themeShade="BF"/>
          <w:sz w:val="22"/>
          <w:szCs w:val="22"/>
          <w:lang w:val="en-GB"/>
        </w:rPr>
        <w:t xml:space="preserve"> from a bankruptcy court to go directly to the court of appeals: where the bankruptcy court or district court certifies that either the appeal raises a question of law in respect of which there is no controlling decision of the circuit or the US Supreme Court, or requires resolving conflicting controlling decisions or immediate appeal may materially advance the progress of the case.  The court of appeal is empowered with the discretion whether to accept such a case.</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lastRenderedPageBreak/>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1093CDB4" w:rsidR="005B2A9B" w:rsidRPr="001E0FEA" w:rsidRDefault="001E0FEA" w:rsidP="005B2A9B">
      <w:pPr>
        <w:jc w:val="both"/>
        <w:rPr>
          <w:rFonts w:ascii="Arial" w:hAnsi="Arial" w:cs="Arial"/>
          <w:i/>
          <w:color w:val="7B7B7B" w:themeColor="accent3" w:themeShade="BF"/>
          <w:sz w:val="22"/>
          <w:szCs w:val="22"/>
          <w:lang w:val="en-GB"/>
        </w:rPr>
      </w:pPr>
      <w:r w:rsidRPr="001E0FEA">
        <w:rPr>
          <w:rFonts w:ascii="Arial" w:hAnsi="Arial" w:cs="Arial"/>
          <w:i/>
          <w:color w:val="7B7B7B" w:themeColor="accent3" w:themeShade="BF"/>
          <w:sz w:val="22"/>
          <w:szCs w:val="22"/>
          <w:lang w:val="en-GB"/>
        </w:rPr>
        <w:t>Delaware corporations directors fiduciary duties in the ordinary course of business</w:t>
      </w:r>
    </w:p>
    <w:p w14:paraId="114725F2" w14:textId="1EE3BCC0" w:rsidR="001E0FEA" w:rsidRDefault="001E0FEA" w:rsidP="005B2A9B">
      <w:pPr>
        <w:jc w:val="both"/>
        <w:rPr>
          <w:rFonts w:ascii="Arial" w:hAnsi="Arial" w:cs="Arial"/>
          <w:color w:val="7B7B7B" w:themeColor="accent3" w:themeShade="BF"/>
          <w:sz w:val="22"/>
          <w:szCs w:val="22"/>
          <w:lang w:val="en-GB"/>
        </w:rPr>
      </w:pPr>
    </w:p>
    <w:p w14:paraId="21CCD530" w14:textId="3B5DE294" w:rsidR="001E0FEA" w:rsidRDefault="001E0FE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To contextualise matters, it is important to note that:-</w:t>
      </w:r>
    </w:p>
    <w:p w14:paraId="1BCA0A14" w14:textId="17EE77A3" w:rsidR="001E0FEA" w:rsidRDefault="001E0FEA" w:rsidP="005B2A9B">
      <w:pPr>
        <w:jc w:val="both"/>
        <w:rPr>
          <w:rFonts w:ascii="Arial" w:hAnsi="Arial" w:cs="Arial"/>
          <w:color w:val="7B7B7B" w:themeColor="accent3" w:themeShade="BF"/>
          <w:sz w:val="22"/>
          <w:szCs w:val="22"/>
          <w:lang w:val="en-GB"/>
        </w:rPr>
      </w:pPr>
    </w:p>
    <w:p w14:paraId="327062F6" w14:textId="137C5173" w:rsidR="001E0FEA" w:rsidRDefault="001E0FEA" w:rsidP="001E0FEA">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1.1</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director liability is based on the state law of the state of incorporation of the corporation in question;</w:t>
      </w:r>
    </w:p>
    <w:p w14:paraId="234D5763" w14:textId="271A90F4" w:rsidR="001E0FEA" w:rsidRDefault="001E0FEA" w:rsidP="001E0FEA">
      <w:pPr>
        <w:ind w:left="1418" w:hanging="1418"/>
        <w:jc w:val="both"/>
        <w:rPr>
          <w:rFonts w:ascii="Arial" w:hAnsi="Arial" w:cs="Arial"/>
          <w:color w:val="7B7B7B" w:themeColor="accent3" w:themeShade="BF"/>
          <w:sz w:val="22"/>
          <w:szCs w:val="22"/>
          <w:lang w:val="en-GB"/>
        </w:rPr>
      </w:pPr>
    </w:p>
    <w:p w14:paraId="4137B443" w14:textId="19E971B3" w:rsidR="001E0FEA" w:rsidRDefault="001E0FEA" w:rsidP="001E0FEA">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1.2</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 xml:space="preserve">many other US states have </w:t>
      </w:r>
      <w:r w:rsidR="00A02DA9">
        <w:rPr>
          <w:rFonts w:ascii="Arial" w:hAnsi="Arial" w:cs="Arial"/>
          <w:color w:val="7B7B7B" w:themeColor="accent3" w:themeShade="BF"/>
          <w:sz w:val="22"/>
          <w:szCs w:val="22"/>
          <w:lang w:val="en-GB"/>
        </w:rPr>
        <w:t>based their corporate laws on the Delaware’s legislation;</w:t>
      </w:r>
    </w:p>
    <w:p w14:paraId="2BBBA5A3" w14:textId="553665DB" w:rsidR="00A02DA9" w:rsidRDefault="00A02DA9" w:rsidP="001E0FEA">
      <w:pPr>
        <w:ind w:left="1418" w:hanging="1418"/>
        <w:jc w:val="both"/>
        <w:rPr>
          <w:rFonts w:ascii="Arial" w:hAnsi="Arial" w:cs="Arial"/>
          <w:color w:val="7B7B7B" w:themeColor="accent3" w:themeShade="BF"/>
          <w:sz w:val="22"/>
          <w:szCs w:val="22"/>
          <w:lang w:val="en-GB"/>
        </w:rPr>
      </w:pPr>
    </w:p>
    <w:p w14:paraId="22EE6338" w14:textId="7B12780A" w:rsidR="00A02DA9" w:rsidRDefault="00A02DA9" w:rsidP="001E0FEA">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1.3</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according to the D</w:t>
      </w:r>
      <w:r w:rsidR="00294D74">
        <w:rPr>
          <w:rFonts w:ascii="Arial" w:hAnsi="Arial" w:cs="Arial"/>
          <w:color w:val="7B7B7B" w:themeColor="accent3" w:themeShade="BF"/>
          <w:sz w:val="22"/>
          <w:szCs w:val="22"/>
          <w:lang w:val="en-GB"/>
        </w:rPr>
        <w:t>elaware S</w:t>
      </w:r>
      <w:r>
        <w:rPr>
          <w:rFonts w:ascii="Arial" w:hAnsi="Arial" w:cs="Arial"/>
          <w:color w:val="7B7B7B" w:themeColor="accent3" w:themeShade="BF"/>
          <w:sz w:val="22"/>
          <w:szCs w:val="22"/>
          <w:lang w:val="en-GB"/>
        </w:rPr>
        <w:t>ecretary o</w:t>
      </w:r>
      <w:r w:rsidR="00294D74">
        <w:rPr>
          <w:rFonts w:ascii="Arial" w:hAnsi="Arial" w:cs="Arial"/>
          <w:color w:val="7B7B7B" w:themeColor="accent3" w:themeShade="BF"/>
          <w:sz w:val="22"/>
          <w:szCs w:val="22"/>
          <w:lang w:val="en-GB"/>
        </w:rPr>
        <w:t>f S</w:t>
      </w:r>
      <w:r>
        <w:rPr>
          <w:rFonts w:ascii="Arial" w:hAnsi="Arial" w:cs="Arial"/>
          <w:color w:val="7B7B7B" w:themeColor="accent3" w:themeShade="BF"/>
          <w:sz w:val="22"/>
          <w:szCs w:val="22"/>
          <w:lang w:val="en-GB"/>
        </w:rPr>
        <w:t>tate’s division of corporations, over two thirds of all Fortune 500 companies, and 1.3 million companies in total, are incorporated in Delaware as of 2018;</w:t>
      </w:r>
    </w:p>
    <w:p w14:paraId="33A81F44" w14:textId="41B36105" w:rsidR="00A02DA9" w:rsidRDefault="00A02DA9" w:rsidP="001E0FEA">
      <w:pPr>
        <w:ind w:left="1418" w:hanging="1418"/>
        <w:jc w:val="both"/>
        <w:rPr>
          <w:rFonts w:ascii="Arial" w:hAnsi="Arial" w:cs="Arial"/>
          <w:color w:val="7B7B7B" w:themeColor="accent3" w:themeShade="BF"/>
          <w:sz w:val="22"/>
          <w:szCs w:val="22"/>
          <w:lang w:val="en-GB"/>
        </w:rPr>
      </w:pPr>
    </w:p>
    <w:p w14:paraId="199DDD2D" w14:textId="3179D86E" w:rsidR="00A02DA9" w:rsidRDefault="00A02DA9" w:rsidP="001E0FEA">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1.4</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That is why Delaware is regarded as the leading US jurisdiction for corporate law.  Having laid the foundation, I now turn to deal with the fiduciary duties attaching to directors of Delaware corporations in the ordinary course of business.</w:t>
      </w:r>
    </w:p>
    <w:p w14:paraId="2A70D43F" w14:textId="2FFCB752" w:rsidR="0034225C" w:rsidRDefault="0034225C" w:rsidP="001E0FEA">
      <w:pPr>
        <w:ind w:left="1418" w:hanging="1418"/>
        <w:jc w:val="both"/>
        <w:rPr>
          <w:rFonts w:ascii="Arial" w:hAnsi="Arial" w:cs="Arial"/>
          <w:color w:val="7B7B7B" w:themeColor="accent3" w:themeShade="BF"/>
          <w:sz w:val="22"/>
          <w:szCs w:val="22"/>
          <w:lang w:val="en-GB"/>
        </w:rPr>
      </w:pPr>
    </w:p>
    <w:p w14:paraId="0D1192A5" w14:textId="1C5DC4E9" w:rsidR="0034225C" w:rsidRDefault="0034225C" w:rsidP="0034225C">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Generally, US director liability is not as broad as it is in other jurisdictions.  On this score, directors owe a fiduciary duty of loyalty to the corporation’s best interest and a duty of care in educate</w:t>
      </w:r>
      <w:r w:rsidR="00183DCC">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decision making, but are immune from liability for errors of judgment by the business judgment rule.  The business judgment rule entails that the board of directors is presumed to have acted in good faith on the basis of reasonable information available to it.  However the presumption is not absolute or </w:t>
      </w:r>
      <w:proofErr w:type="spellStart"/>
      <w:r>
        <w:rPr>
          <w:rFonts w:ascii="Arial" w:hAnsi="Arial" w:cs="Arial"/>
          <w:color w:val="7B7B7B" w:themeColor="accent3" w:themeShade="BF"/>
          <w:sz w:val="22"/>
          <w:szCs w:val="22"/>
          <w:lang w:val="en-GB"/>
        </w:rPr>
        <w:t>irrebut</w:t>
      </w:r>
      <w:r w:rsidR="00CC1050">
        <w:rPr>
          <w:rFonts w:ascii="Arial" w:hAnsi="Arial" w:cs="Arial"/>
          <w:color w:val="7B7B7B" w:themeColor="accent3" w:themeShade="BF"/>
          <w:sz w:val="22"/>
          <w:szCs w:val="22"/>
          <w:lang w:val="en-GB"/>
        </w:rPr>
        <w:t>tabl</w:t>
      </w:r>
      <w:r>
        <w:rPr>
          <w:rFonts w:ascii="Arial" w:hAnsi="Arial" w:cs="Arial"/>
          <w:color w:val="7B7B7B" w:themeColor="accent3" w:themeShade="BF"/>
          <w:sz w:val="22"/>
          <w:szCs w:val="22"/>
          <w:lang w:val="en-GB"/>
        </w:rPr>
        <w:t>e</w:t>
      </w:r>
      <w:proofErr w:type="spellEnd"/>
      <w:r>
        <w:rPr>
          <w:rFonts w:ascii="Arial" w:hAnsi="Arial" w:cs="Arial"/>
          <w:color w:val="7B7B7B" w:themeColor="accent3" w:themeShade="BF"/>
          <w:sz w:val="22"/>
          <w:szCs w:val="22"/>
          <w:lang w:val="en-GB"/>
        </w:rPr>
        <w:t xml:space="preserve">.  </w:t>
      </w:r>
      <w:r w:rsidR="00CC1050">
        <w:rPr>
          <w:rFonts w:ascii="Arial" w:hAnsi="Arial" w:cs="Arial"/>
          <w:color w:val="7B7B7B" w:themeColor="accent3" w:themeShade="BF"/>
          <w:sz w:val="22"/>
          <w:szCs w:val="22"/>
          <w:lang w:val="en-GB"/>
        </w:rPr>
        <w:t>It may be rebutted only by showing that the majority of the board in fact</w:t>
      </w:r>
      <w:r w:rsidR="00183DCC">
        <w:rPr>
          <w:rFonts w:ascii="Arial" w:hAnsi="Arial" w:cs="Arial"/>
          <w:color w:val="7B7B7B" w:themeColor="accent3" w:themeShade="BF"/>
          <w:sz w:val="22"/>
          <w:szCs w:val="22"/>
          <w:lang w:val="en-GB"/>
        </w:rPr>
        <w:t xml:space="preserve"> were not reasonably informed or t</w:t>
      </w:r>
      <w:r w:rsidR="00CC1050">
        <w:rPr>
          <w:rFonts w:ascii="Arial" w:hAnsi="Arial" w:cs="Arial"/>
          <w:color w:val="7B7B7B" w:themeColor="accent3" w:themeShade="BF"/>
          <w:sz w:val="22"/>
          <w:szCs w:val="22"/>
          <w:lang w:val="en-GB"/>
        </w:rPr>
        <w:t>hey did not honestly believe that their decision was in the corporation’s best interest, or were not acting in good faith.  Whilst it may be objectively established on the facts that the majority of the board in fact were not reasonable informed, it may prove difficult to show that the majority of the board did not honestly believe that their decision was in the corporation’s best interest or were not acting in good faith, because the</w:t>
      </w:r>
      <w:r w:rsidR="00F709DB">
        <w:rPr>
          <w:rFonts w:ascii="Arial" w:hAnsi="Arial" w:cs="Arial"/>
          <w:color w:val="7B7B7B" w:themeColor="accent3" w:themeShade="BF"/>
          <w:sz w:val="22"/>
          <w:szCs w:val="22"/>
          <w:lang w:val="en-GB"/>
        </w:rPr>
        <w:t xml:space="preserve"> latter two grounds suggests subjectivity or one</w:t>
      </w:r>
      <w:r w:rsidR="00A61995">
        <w:rPr>
          <w:rFonts w:ascii="Arial" w:hAnsi="Arial" w:cs="Arial"/>
          <w:color w:val="7B7B7B" w:themeColor="accent3" w:themeShade="BF"/>
          <w:sz w:val="22"/>
          <w:szCs w:val="22"/>
          <w:lang w:val="en-GB"/>
        </w:rPr>
        <w:t>s</w:t>
      </w:r>
      <w:r w:rsidR="00F709DB">
        <w:rPr>
          <w:rFonts w:ascii="Arial" w:hAnsi="Arial" w:cs="Arial"/>
          <w:color w:val="7B7B7B" w:themeColor="accent3" w:themeShade="BF"/>
          <w:sz w:val="22"/>
          <w:szCs w:val="22"/>
          <w:lang w:val="en-GB"/>
        </w:rPr>
        <w:t xml:space="preserve"> state of mind which is not easy to establish.  Having said that, if the party seeking to hold the directors liable for breach of the aforesaid fiduciary duties is unable to rebut the aforesaid presumptions, he will have to show gross negligence on the part of the directors.  It bear</w:t>
      </w:r>
      <w:r w:rsidR="00E56A60">
        <w:rPr>
          <w:rFonts w:ascii="Arial" w:hAnsi="Arial" w:cs="Arial"/>
          <w:color w:val="7B7B7B" w:themeColor="accent3" w:themeShade="BF"/>
          <w:sz w:val="22"/>
          <w:szCs w:val="22"/>
          <w:lang w:val="en-GB"/>
        </w:rPr>
        <w:t>s mentioning that the protection of directors immunity from liability may be enshrined in the corporation’s certificate of incorporation in relation to a breach of the duty of care.  However, such protection may not be provided for in the certificate of incorporation in relation to a breach for their duty of loyalty.  However, the business judgment rule is not available where the transaction is approved by a board majority having an interest or a controlling shareholder on both sides of the transaction.  In that case, transaction will be void unless the entire fairness standard is satisfied.</w:t>
      </w:r>
    </w:p>
    <w:p w14:paraId="0DB3B618" w14:textId="35666151" w:rsidR="00E56A60" w:rsidRDefault="00E56A60" w:rsidP="0034225C">
      <w:pPr>
        <w:ind w:left="709" w:hanging="709"/>
        <w:jc w:val="both"/>
        <w:rPr>
          <w:rFonts w:ascii="Arial" w:hAnsi="Arial" w:cs="Arial"/>
          <w:color w:val="7B7B7B" w:themeColor="accent3" w:themeShade="BF"/>
          <w:sz w:val="22"/>
          <w:szCs w:val="22"/>
          <w:lang w:val="en-GB"/>
        </w:rPr>
      </w:pPr>
    </w:p>
    <w:p w14:paraId="7B86A709" w14:textId="77777777" w:rsidR="000A5BE5" w:rsidRDefault="00E56A60" w:rsidP="0034225C">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t xml:space="preserve">The directors’ duties are owed to the corporation and its shareholders.  </w:t>
      </w:r>
    </w:p>
    <w:p w14:paraId="180EF1AD" w14:textId="77777777" w:rsidR="000A5BE5" w:rsidRDefault="000A5BE5" w:rsidP="0034225C">
      <w:pPr>
        <w:ind w:left="709" w:hanging="709"/>
        <w:jc w:val="both"/>
        <w:rPr>
          <w:rFonts w:ascii="Arial" w:hAnsi="Arial" w:cs="Arial"/>
          <w:color w:val="7B7B7B" w:themeColor="accent3" w:themeShade="BF"/>
          <w:sz w:val="22"/>
          <w:szCs w:val="22"/>
          <w:lang w:val="en-GB"/>
        </w:rPr>
      </w:pPr>
    </w:p>
    <w:p w14:paraId="5379A217" w14:textId="3A2C26B0" w:rsidR="000A5BE5" w:rsidRDefault="000A5BE5" w:rsidP="0034225C">
      <w:pPr>
        <w:ind w:left="709" w:hanging="709"/>
        <w:jc w:val="both"/>
        <w:rPr>
          <w:rFonts w:ascii="Arial" w:hAnsi="Arial" w:cs="Arial"/>
          <w:i/>
          <w:color w:val="7B7B7B" w:themeColor="accent3" w:themeShade="BF"/>
          <w:sz w:val="22"/>
          <w:szCs w:val="22"/>
          <w:lang w:val="en-GB"/>
        </w:rPr>
      </w:pPr>
      <w:r w:rsidRPr="000A5BE5">
        <w:rPr>
          <w:rFonts w:ascii="Arial" w:hAnsi="Arial" w:cs="Arial"/>
          <w:b/>
          <w:i/>
          <w:color w:val="7B7B7B" w:themeColor="accent3" w:themeShade="BF"/>
          <w:sz w:val="22"/>
          <w:szCs w:val="22"/>
          <w:lang w:val="en-GB"/>
        </w:rPr>
        <w:t>Duties owed when corporation is potentially or actually insolvent</w:t>
      </w:r>
    </w:p>
    <w:p w14:paraId="0D0BBB06" w14:textId="77777777" w:rsidR="000A5BE5" w:rsidRPr="000A5BE5" w:rsidRDefault="000A5BE5" w:rsidP="0034225C">
      <w:pPr>
        <w:ind w:left="709" w:hanging="709"/>
        <w:jc w:val="both"/>
        <w:rPr>
          <w:rFonts w:ascii="Arial" w:hAnsi="Arial" w:cs="Arial"/>
          <w:i/>
          <w:color w:val="7B7B7B" w:themeColor="accent3" w:themeShade="BF"/>
          <w:sz w:val="22"/>
          <w:szCs w:val="22"/>
          <w:lang w:val="en-GB"/>
        </w:rPr>
      </w:pPr>
    </w:p>
    <w:p w14:paraId="33B01DF1" w14:textId="3854A60E" w:rsidR="00E56A60" w:rsidRPr="00FF5098" w:rsidRDefault="000A5BE5" w:rsidP="000A5BE5">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r>
      <w:r w:rsidR="00E56A60">
        <w:rPr>
          <w:rFonts w:ascii="Arial" w:hAnsi="Arial" w:cs="Arial"/>
          <w:color w:val="7B7B7B" w:themeColor="accent3" w:themeShade="BF"/>
          <w:sz w:val="22"/>
          <w:szCs w:val="22"/>
          <w:lang w:val="en-GB"/>
        </w:rPr>
        <w:t xml:space="preserve">Corporation’s creditors unfortunately are not owed such duties, even where the corporation is potentially insolvent with the result that the shareholders will not receive anything in bankruptcy.  In the case of North Am Catholic Educational Programming Foundation, </w:t>
      </w:r>
      <w:proofErr w:type="spellStart"/>
      <w:r w:rsidR="00E56A60">
        <w:rPr>
          <w:rFonts w:ascii="Arial" w:hAnsi="Arial" w:cs="Arial"/>
          <w:color w:val="7B7B7B" w:themeColor="accent3" w:themeShade="BF"/>
          <w:sz w:val="22"/>
          <w:szCs w:val="22"/>
          <w:lang w:val="en-GB"/>
        </w:rPr>
        <w:t>Inc</w:t>
      </w:r>
      <w:proofErr w:type="spellEnd"/>
      <w:r w:rsidR="00E56A60">
        <w:rPr>
          <w:rFonts w:ascii="Arial" w:hAnsi="Arial" w:cs="Arial"/>
          <w:color w:val="7B7B7B" w:themeColor="accent3" w:themeShade="BF"/>
          <w:sz w:val="22"/>
          <w:szCs w:val="22"/>
          <w:lang w:val="en-GB"/>
        </w:rPr>
        <w:t xml:space="preserve"> v </w:t>
      </w:r>
      <w:proofErr w:type="spellStart"/>
      <w:r w:rsidR="00E56A60">
        <w:rPr>
          <w:rFonts w:ascii="Arial" w:hAnsi="Arial" w:cs="Arial"/>
          <w:color w:val="7B7B7B" w:themeColor="accent3" w:themeShade="BF"/>
          <w:sz w:val="22"/>
          <w:szCs w:val="22"/>
          <w:lang w:val="en-GB"/>
        </w:rPr>
        <w:t>G</w:t>
      </w:r>
      <w:r w:rsidR="00BF28D6">
        <w:rPr>
          <w:rFonts w:ascii="Arial" w:hAnsi="Arial" w:cs="Arial"/>
          <w:color w:val="7B7B7B" w:themeColor="accent3" w:themeShade="BF"/>
          <w:sz w:val="22"/>
          <w:szCs w:val="22"/>
          <w:lang w:val="en-GB"/>
        </w:rPr>
        <w:t>heewalla</w:t>
      </w:r>
      <w:proofErr w:type="spellEnd"/>
      <w:r w:rsidR="00BF28D6">
        <w:rPr>
          <w:rFonts w:ascii="Arial" w:hAnsi="Arial" w:cs="Arial"/>
          <w:color w:val="7B7B7B" w:themeColor="accent3" w:themeShade="BF"/>
          <w:sz w:val="22"/>
          <w:szCs w:val="22"/>
          <w:lang w:val="en-GB"/>
        </w:rPr>
        <w:t xml:space="preserve"> 930 </w:t>
      </w:r>
      <w:proofErr w:type="spellStart"/>
      <w:r w:rsidR="00BF28D6">
        <w:rPr>
          <w:rFonts w:ascii="Arial" w:hAnsi="Arial" w:cs="Arial"/>
          <w:color w:val="7B7B7B" w:themeColor="accent3" w:themeShade="BF"/>
          <w:sz w:val="22"/>
          <w:szCs w:val="22"/>
          <w:lang w:val="en-GB"/>
        </w:rPr>
        <w:t>A.2d</w:t>
      </w:r>
      <w:proofErr w:type="spellEnd"/>
      <w:r w:rsidR="00BF28D6">
        <w:rPr>
          <w:rFonts w:ascii="Arial" w:hAnsi="Arial" w:cs="Arial"/>
          <w:color w:val="7B7B7B" w:themeColor="accent3" w:themeShade="BF"/>
          <w:sz w:val="22"/>
          <w:szCs w:val="22"/>
          <w:lang w:val="en-GB"/>
        </w:rPr>
        <w:t xml:space="preserve"> 92,103 (Del 2007), the </w:t>
      </w:r>
      <w:proofErr w:type="spellStart"/>
      <w:r w:rsidR="00BF28D6">
        <w:rPr>
          <w:rFonts w:ascii="Arial" w:hAnsi="Arial" w:cs="Arial"/>
          <w:color w:val="7B7B7B" w:themeColor="accent3" w:themeShade="BF"/>
          <w:sz w:val="22"/>
          <w:szCs w:val="22"/>
          <w:lang w:val="en-GB"/>
        </w:rPr>
        <w:t>SCA</w:t>
      </w:r>
      <w:proofErr w:type="spellEnd"/>
      <w:r w:rsidR="00BF28D6">
        <w:rPr>
          <w:rFonts w:ascii="Arial" w:hAnsi="Arial" w:cs="Arial"/>
          <w:color w:val="7B7B7B" w:themeColor="accent3" w:themeShade="BF"/>
          <w:sz w:val="22"/>
          <w:szCs w:val="22"/>
          <w:lang w:val="en-GB"/>
        </w:rPr>
        <w:t xml:space="preserve"> held that “</w:t>
      </w:r>
      <w:r w:rsidR="00E766E1">
        <w:rPr>
          <w:rFonts w:ascii="Arial" w:hAnsi="Arial" w:cs="Arial"/>
          <w:i/>
          <w:color w:val="7B7B7B" w:themeColor="accent3" w:themeShade="BF"/>
          <w:sz w:val="22"/>
          <w:szCs w:val="22"/>
          <w:lang w:val="en-GB"/>
        </w:rPr>
        <w:t xml:space="preserve">Individual </w:t>
      </w:r>
      <w:r w:rsidR="00E766E1">
        <w:rPr>
          <w:rFonts w:ascii="Arial" w:hAnsi="Arial" w:cs="Arial"/>
          <w:i/>
          <w:color w:val="7B7B7B" w:themeColor="accent3" w:themeShade="BF"/>
          <w:sz w:val="22"/>
          <w:szCs w:val="22"/>
          <w:lang w:val="en-GB"/>
        </w:rPr>
        <w:lastRenderedPageBreak/>
        <w:t>creditors of an insolve</w:t>
      </w:r>
      <w:r w:rsidR="00BA05EB">
        <w:rPr>
          <w:rFonts w:ascii="Arial" w:hAnsi="Arial" w:cs="Arial"/>
          <w:i/>
          <w:color w:val="7B7B7B" w:themeColor="accent3" w:themeShade="BF"/>
          <w:sz w:val="22"/>
          <w:szCs w:val="22"/>
          <w:lang w:val="en-GB"/>
        </w:rPr>
        <w:t>nt corporation have no right to assert</w:t>
      </w:r>
      <w:r w:rsidR="001D68CB">
        <w:rPr>
          <w:rFonts w:ascii="Arial" w:hAnsi="Arial" w:cs="Arial"/>
          <w:i/>
          <w:color w:val="7B7B7B" w:themeColor="accent3" w:themeShade="BF"/>
          <w:sz w:val="22"/>
          <w:szCs w:val="22"/>
          <w:lang w:val="en-GB"/>
        </w:rPr>
        <w:t xml:space="preserve"> direct claims for breach of fiduciary duty against corporate directors.  Creditors may nonetheless protect their interest by bringing derivative claims on behalf of the solvent corporation…</w:t>
      </w:r>
      <w:r w:rsidR="00D22B8F">
        <w:rPr>
          <w:rFonts w:ascii="Arial" w:hAnsi="Arial" w:cs="Arial"/>
          <w:color w:val="7B7B7B" w:themeColor="accent3" w:themeShade="BF"/>
          <w:sz w:val="22"/>
          <w:szCs w:val="22"/>
          <w:lang w:val="en-GB"/>
        </w:rPr>
        <w:t>”.  This decision thus</w:t>
      </w:r>
      <w:r w:rsidR="00840071">
        <w:rPr>
          <w:rFonts w:ascii="Arial" w:hAnsi="Arial" w:cs="Arial"/>
          <w:color w:val="7B7B7B" w:themeColor="accent3" w:themeShade="BF"/>
          <w:sz w:val="22"/>
          <w:szCs w:val="22"/>
          <w:lang w:val="en-GB"/>
        </w:rPr>
        <w:t xml:space="preserve"> settled the issue whether or not directors or duties to creditors when a company is operating under insolvent circumstances or where it is actually insolvent.  In the case of </w:t>
      </w:r>
      <w:proofErr w:type="spellStart"/>
      <w:r w:rsidR="00840071">
        <w:rPr>
          <w:rFonts w:ascii="Arial" w:hAnsi="Arial" w:cs="Arial"/>
          <w:color w:val="7B7B7B" w:themeColor="accent3" w:themeShade="BF"/>
          <w:sz w:val="22"/>
          <w:szCs w:val="22"/>
          <w:lang w:val="en-GB"/>
        </w:rPr>
        <w:t>Trenwic</w:t>
      </w:r>
      <w:proofErr w:type="spellEnd"/>
      <w:r w:rsidR="00840071">
        <w:rPr>
          <w:rFonts w:ascii="Arial" w:hAnsi="Arial" w:cs="Arial"/>
          <w:color w:val="7B7B7B" w:themeColor="accent3" w:themeShade="BF"/>
          <w:sz w:val="22"/>
          <w:szCs w:val="22"/>
          <w:lang w:val="en-GB"/>
        </w:rPr>
        <w:t xml:space="preserve"> Am </w:t>
      </w:r>
      <w:proofErr w:type="spellStart"/>
      <w:r w:rsidR="00840071">
        <w:rPr>
          <w:rFonts w:ascii="Arial" w:hAnsi="Arial" w:cs="Arial"/>
          <w:color w:val="7B7B7B" w:themeColor="accent3" w:themeShade="BF"/>
          <w:sz w:val="22"/>
          <w:szCs w:val="22"/>
          <w:lang w:val="en-GB"/>
        </w:rPr>
        <w:t>Litig</w:t>
      </w:r>
      <w:proofErr w:type="spellEnd"/>
      <w:r w:rsidR="00840071">
        <w:rPr>
          <w:rFonts w:ascii="Arial" w:hAnsi="Arial" w:cs="Arial"/>
          <w:color w:val="7B7B7B" w:themeColor="accent3" w:themeShade="BF"/>
          <w:sz w:val="22"/>
          <w:szCs w:val="22"/>
          <w:lang w:val="en-GB"/>
        </w:rPr>
        <w:t xml:space="preserve"> Trust c Ernst and Young, LLP, </w:t>
      </w:r>
      <w:proofErr w:type="spellStart"/>
      <w:r w:rsidR="00840071">
        <w:rPr>
          <w:rFonts w:ascii="Arial" w:hAnsi="Arial" w:cs="Arial"/>
          <w:color w:val="7B7B7B" w:themeColor="accent3" w:themeShade="BF"/>
          <w:sz w:val="22"/>
          <w:szCs w:val="22"/>
          <w:lang w:val="en-GB"/>
        </w:rPr>
        <w:t>906A.2d</w:t>
      </w:r>
      <w:proofErr w:type="spellEnd"/>
      <w:r w:rsidR="00840071">
        <w:rPr>
          <w:rFonts w:ascii="Arial" w:hAnsi="Arial" w:cs="Arial"/>
          <w:color w:val="7B7B7B" w:themeColor="accent3" w:themeShade="BF"/>
          <w:sz w:val="22"/>
          <w:szCs w:val="22"/>
          <w:lang w:val="en-GB"/>
        </w:rPr>
        <w:t xml:space="preserve"> 168 (Del </w:t>
      </w:r>
      <w:proofErr w:type="spellStart"/>
      <w:r w:rsidR="00840071">
        <w:rPr>
          <w:rFonts w:ascii="Arial" w:hAnsi="Arial" w:cs="Arial"/>
          <w:color w:val="7B7B7B" w:themeColor="accent3" w:themeShade="BF"/>
          <w:sz w:val="22"/>
          <w:szCs w:val="22"/>
          <w:lang w:val="en-GB"/>
        </w:rPr>
        <w:t>Ch</w:t>
      </w:r>
      <w:proofErr w:type="spellEnd"/>
      <w:r w:rsidR="00840071">
        <w:rPr>
          <w:rFonts w:ascii="Arial" w:hAnsi="Arial" w:cs="Arial"/>
          <w:color w:val="7B7B7B" w:themeColor="accent3" w:themeShade="BF"/>
          <w:sz w:val="22"/>
          <w:szCs w:val="22"/>
          <w:lang w:val="en-GB"/>
        </w:rPr>
        <w:t xml:space="preserve"> 2006) where it was held that “</w:t>
      </w:r>
      <w:r w:rsidR="00552196">
        <w:rPr>
          <w:rFonts w:ascii="Arial" w:hAnsi="Arial" w:cs="Arial"/>
          <w:i/>
          <w:color w:val="7B7B7B" w:themeColor="accent3" w:themeShade="BF"/>
          <w:sz w:val="22"/>
          <w:szCs w:val="22"/>
          <w:lang w:val="en-GB"/>
        </w:rPr>
        <w:t>Delaware law imposes no absolute obligation on the board of a company that is unable to pay its bills to cease operations and to liquidate.  Even when the company is insolvent, the board may pursue, in good faith, strategies to maximise the value of the firm</w:t>
      </w:r>
      <w:r w:rsidR="00840071">
        <w:rPr>
          <w:rFonts w:ascii="Arial" w:hAnsi="Arial" w:cs="Arial"/>
          <w:color w:val="7B7B7B" w:themeColor="accent3" w:themeShade="BF"/>
          <w:sz w:val="22"/>
          <w:szCs w:val="22"/>
          <w:lang w:val="en-GB"/>
        </w:rPr>
        <w:t>”</w:t>
      </w:r>
      <w:r w:rsidR="00552196">
        <w:rPr>
          <w:rFonts w:ascii="Arial" w:hAnsi="Arial" w:cs="Arial"/>
          <w:color w:val="7B7B7B" w:themeColor="accent3" w:themeShade="BF"/>
          <w:sz w:val="22"/>
          <w:szCs w:val="22"/>
          <w:lang w:val="en-GB"/>
        </w:rPr>
        <w:t>.  That is why it is said that there is no equivalent under US law of the concept of “</w:t>
      </w:r>
      <w:r w:rsidR="00552196">
        <w:rPr>
          <w:rFonts w:ascii="Arial" w:hAnsi="Arial" w:cs="Arial"/>
          <w:i/>
          <w:color w:val="7B7B7B" w:themeColor="accent3" w:themeShade="BF"/>
          <w:sz w:val="22"/>
          <w:szCs w:val="22"/>
          <w:lang w:val="en-GB"/>
        </w:rPr>
        <w:t>wrongful trading</w:t>
      </w:r>
      <w:r w:rsidR="00552196">
        <w:rPr>
          <w:rFonts w:ascii="Arial" w:hAnsi="Arial" w:cs="Arial"/>
          <w:color w:val="7B7B7B" w:themeColor="accent3" w:themeShade="BF"/>
          <w:sz w:val="22"/>
          <w:szCs w:val="22"/>
          <w:lang w:val="en-GB"/>
        </w:rPr>
        <w:t>” or “</w:t>
      </w:r>
      <w:r w:rsidR="00552196">
        <w:rPr>
          <w:rFonts w:ascii="Arial" w:hAnsi="Arial" w:cs="Arial"/>
          <w:i/>
          <w:color w:val="7B7B7B" w:themeColor="accent3" w:themeShade="BF"/>
          <w:sz w:val="22"/>
          <w:szCs w:val="22"/>
          <w:lang w:val="en-GB"/>
        </w:rPr>
        <w:t>deepening insolvency</w:t>
      </w:r>
      <w:r w:rsidR="00552196">
        <w:rPr>
          <w:rFonts w:ascii="Arial" w:hAnsi="Arial" w:cs="Arial"/>
          <w:color w:val="7B7B7B" w:themeColor="accent3" w:themeShade="BF"/>
          <w:sz w:val="22"/>
          <w:szCs w:val="22"/>
          <w:lang w:val="en-GB"/>
        </w:rPr>
        <w:t xml:space="preserve">”. </w:t>
      </w:r>
    </w:p>
    <w:p w14:paraId="6D9F18C4" w14:textId="66F24CA5" w:rsidR="00323167" w:rsidRDefault="00323167"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07C48F1E" w:rsidR="005B2A9B" w:rsidRDefault="002A0D42" w:rsidP="00A10509">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r>
      <w:r w:rsidR="000360AA">
        <w:rPr>
          <w:rFonts w:ascii="Arial" w:hAnsi="Arial" w:cs="Arial"/>
          <w:color w:val="7B7B7B" w:themeColor="accent3" w:themeShade="BF"/>
          <w:sz w:val="22"/>
          <w:szCs w:val="22"/>
          <w:lang w:val="en-GB"/>
        </w:rPr>
        <w:t xml:space="preserve">An English scheme of arrangement could be granted recognition under US chapter 15 because it meets the definition of a foreign proceeding as defined in the </w:t>
      </w:r>
      <w:r>
        <w:rPr>
          <w:rFonts w:ascii="Arial" w:hAnsi="Arial" w:cs="Arial"/>
          <w:color w:val="7B7B7B" w:themeColor="accent3" w:themeShade="BF"/>
          <w:sz w:val="22"/>
          <w:szCs w:val="22"/>
          <w:lang w:val="en-GB"/>
        </w:rPr>
        <w:t>Bankruptcy Code and have been granted recognition.  The definition of a foreign proceeding is “</w:t>
      </w:r>
      <w:r>
        <w:rPr>
          <w:rFonts w:ascii="Arial" w:hAnsi="Arial" w:cs="Arial"/>
          <w:i/>
          <w:color w:val="7B7B7B" w:themeColor="accent3" w:themeShade="BF"/>
          <w:sz w:val="22"/>
          <w:szCs w:val="22"/>
          <w:lang w:val="en-GB"/>
        </w:rPr>
        <w:t>a collective judicial or administrative proceeding in a foreign country … under a law relating to insolvency or adjustment of debt in which proceeding the assets and affairs of the debtor are subject to control or supervision by a foreign court, for the purpose of reorganisation or liquidation</w:t>
      </w:r>
      <w:r>
        <w:rPr>
          <w:rFonts w:ascii="Arial" w:hAnsi="Arial" w:cs="Arial"/>
          <w:color w:val="7B7B7B" w:themeColor="accent3" w:themeShade="BF"/>
          <w:sz w:val="22"/>
          <w:szCs w:val="22"/>
          <w:lang w:val="en-GB"/>
        </w:rPr>
        <w:t>”.</w:t>
      </w:r>
    </w:p>
    <w:p w14:paraId="1AB32C45" w14:textId="6FD4D60E" w:rsidR="002A0D42" w:rsidRDefault="002A0D42" w:rsidP="00A10509">
      <w:pPr>
        <w:ind w:left="709" w:hanging="709"/>
        <w:jc w:val="both"/>
        <w:rPr>
          <w:rFonts w:ascii="Arial" w:hAnsi="Arial" w:cs="Arial"/>
          <w:color w:val="7B7B7B" w:themeColor="accent3" w:themeShade="BF"/>
          <w:sz w:val="22"/>
          <w:szCs w:val="22"/>
          <w:lang w:val="en-GB"/>
        </w:rPr>
      </w:pPr>
    </w:p>
    <w:p w14:paraId="2C6FF013" w14:textId="570C5CB1" w:rsidR="00323167" w:rsidRDefault="002A0D42" w:rsidP="00A10509">
      <w:pPr>
        <w:ind w:left="709" w:hanging="709"/>
        <w:jc w:val="both"/>
        <w:rPr>
          <w:rFonts w:ascii="Arial" w:hAnsi="Arial" w:cs="Arial"/>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 xml:space="preserve">If the English scheme of arrangement is commenced in Greece where it is </w:t>
      </w:r>
      <w:r w:rsidR="00863CAC">
        <w:rPr>
          <w:rFonts w:ascii="Arial" w:hAnsi="Arial" w:cs="Arial"/>
          <w:color w:val="7B7B7B" w:themeColor="accent3" w:themeShade="BF"/>
          <w:sz w:val="22"/>
          <w:szCs w:val="22"/>
          <w:lang w:val="en-GB"/>
        </w:rPr>
        <w:t>incorporated and has a principal</w:t>
      </w:r>
      <w:r>
        <w:rPr>
          <w:rFonts w:ascii="Arial" w:hAnsi="Arial" w:cs="Arial"/>
          <w:color w:val="7B7B7B" w:themeColor="accent3" w:themeShade="BF"/>
          <w:sz w:val="22"/>
          <w:szCs w:val="22"/>
          <w:lang w:val="en-GB"/>
        </w:rPr>
        <w:t xml:space="preserve"> place of business, the English scheme of arrangement may be recognised as a foreign main proceeding.  That is because a debtor’s </w:t>
      </w:r>
      <w:proofErr w:type="spellStart"/>
      <w:r w:rsidR="00FB0CF5">
        <w:rPr>
          <w:rFonts w:ascii="Arial" w:hAnsi="Arial" w:cs="Arial"/>
          <w:color w:val="7B7B7B" w:themeColor="accent3" w:themeShade="BF"/>
          <w:sz w:val="22"/>
          <w:szCs w:val="22"/>
          <w:lang w:val="en-GB"/>
        </w:rPr>
        <w:t>Comi</w:t>
      </w:r>
      <w:proofErr w:type="spellEnd"/>
      <w:r w:rsidR="00FB0CF5">
        <w:rPr>
          <w:rFonts w:ascii="Arial" w:hAnsi="Arial" w:cs="Arial"/>
          <w:color w:val="7B7B7B" w:themeColor="accent3" w:themeShade="BF"/>
          <w:sz w:val="22"/>
          <w:szCs w:val="22"/>
          <w:lang w:val="en-GB"/>
        </w:rPr>
        <w:t xml:space="preserve"> is presumed to be its place of</w:t>
      </w:r>
      <w:r w:rsidR="00B57CA7">
        <w:rPr>
          <w:rFonts w:ascii="Arial" w:hAnsi="Arial" w:cs="Arial"/>
          <w:color w:val="7B7B7B" w:themeColor="accent3" w:themeShade="BF"/>
          <w:sz w:val="22"/>
          <w:szCs w:val="22"/>
          <w:lang w:val="en-GB"/>
        </w:rPr>
        <w:t xml:space="preserve"> incorporation (i.e. Greece) and its principal place of business (i.e. Greece). It is also an important</w:t>
      </w:r>
      <w:r w:rsidR="00FB0CF5">
        <w:rPr>
          <w:rFonts w:ascii="Arial" w:hAnsi="Arial" w:cs="Arial"/>
          <w:color w:val="7B7B7B" w:themeColor="accent3" w:themeShade="BF"/>
          <w:sz w:val="22"/>
          <w:szCs w:val="22"/>
          <w:lang w:val="en-GB"/>
        </w:rPr>
        <w:t xml:space="preserve"> </w:t>
      </w:r>
      <w:r w:rsidR="00B57CA7">
        <w:rPr>
          <w:rFonts w:ascii="Arial" w:hAnsi="Arial" w:cs="Arial"/>
          <w:color w:val="7B7B7B" w:themeColor="accent3" w:themeShade="BF"/>
          <w:sz w:val="22"/>
          <w:szCs w:val="22"/>
          <w:lang w:val="en-GB"/>
        </w:rPr>
        <w:t>determining fact.  But the place of incorporation</w:t>
      </w:r>
      <w:r w:rsidR="00762F23">
        <w:rPr>
          <w:rFonts w:ascii="Arial" w:hAnsi="Arial" w:cs="Arial"/>
          <w:color w:val="7B7B7B" w:themeColor="accent3" w:themeShade="BF"/>
          <w:sz w:val="22"/>
          <w:szCs w:val="22"/>
          <w:lang w:val="en-GB"/>
        </w:rPr>
        <w:t xml:space="preserve"> presumption is not </w:t>
      </w:r>
      <w:proofErr w:type="spellStart"/>
      <w:r w:rsidR="00762F23">
        <w:rPr>
          <w:rFonts w:ascii="Arial" w:hAnsi="Arial" w:cs="Arial"/>
          <w:color w:val="7B7B7B" w:themeColor="accent3" w:themeShade="BF"/>
          <w:sz w:val="22"/>
          <w:szCs w:val="22"/>
          <w:lang w:val="en-GB"/>
        </w:rPr>
        <w:t>irrebuttable</w:t>
      </w:r>
      <w:proofErr w:type="spellEnd"/>
      <w:r w:rsidR="00762F23">
        <w:rPr>
          <w:rFonts w:ascii="Arial" w:hAnsi="Arial" w:cs="Arial"/>
          <w:color w:val="7B7B7B" w:themeColor="accent3" w:themeShade="BF"/>
          <w:sz w:val="22"/>
          <w:szCs w:val="22"/>
          <w:lang w:val="en-GB"/>
        </w:rPr>
        <w:t>.  It could be rebutted by analysing the location of the headquarters, location of management, location of primary assets, location of a majority of debto</w:t>
      </w:r>
      <w:r w:rsidR="00A95F40">
        <w:rPr>
          <w:rFonts w:ascii="Arial" w:hAnsi="Arial" w:cs="Arial"/>
          <w:color w:val="7B7B7B" w:themeColor="accent3" w:themeShade="BF"/>
          <w:sz w:val="22"/>
          <w:szCs w:val="22"/>
          <w:lang w:val="en-GB"/>
        </w:rPr>
        <w:t>r’s creditors or a majority of the creditors that will be affected by the relief</w:t>
      </w:r>
      <w:r w:rsidR="00075920">
        <w:rPr>
          <w:rFonts w:ascii="Arial" w:hAnsi="Arial" w:cs="Arial"/>
          <w:color w:val="7B7B7B" w:themeColor="accent3" w:themeShade="BF"/>
          <w:sz w:val="22"/>
          <w:szCs w:val="22"/>
          <w:lang w:val="en-GB"/>
        </w:rPr>
        <w:t xml:space="preserve"> requested by the foreign representative and the jurisdiction whose law will apply to most disputes.  Because </w:t>
      </w:r>
      <w:r w:rsidR="00075920">
        <w:rPr>
          <w:rFonts w:ascii="Arial" w:hAnsi="Arial" w:cs="Arial"/>
          <w:i/>
          <w:color w:val="7B7B7B" w:themeColor="accent3" w:themeShade="BF"/>
          <w:sz w:val="22"/>
          <w:szCs w:val="22"/>
          <w:lang w:val="en-GB"/>
        </w:rPr>
        <w:t>inter alia</w:t>
      </w:r>
      <w:r w:rsidR="00075920">
        <w:rPr>
          <w:rFonts w:ascii="Arial" w:hAnsi="Arial" w:cs="Arial"/>
          <w:color w:val="7B7B7B" w:themeColor="accent3" w:themeShade="BF"/>
          <w:sz w:val="22"/>
          <w:szCs w:val="22"/>
          <w:lang w:val="en-GB"/>
        </w:rPr>
        <w:t>, the facts of our case are silent as to the location of headquarters and location of management and the location of Gambling</w:t>
      </w:r>
      <w:r w:rsidR="00354798">
        <w:rPr>
          <w:rFonts w:ascii="Arial" w:hAnsi="Arial" w:cs="Arial"/>
          <w:color w:val="7B7B7B" w:themeColor="accent3" w:themeShade="BF"/>
          <w:sz w:val="22"/>
          <w:szCs w:val="22"/>
          <w:lang w:val="en-GB"/>
        </w:rPr>
        <w:t xml:space="preserve"> Corporation’s primary assets (i.e. casinos and betting parlours) are scattered in many international cities</w:t>
      </w:r>
      <w:r w:rsidR="0060521C">
        <w:rPr>
          <w:rFonts w:ascii="Arial" w:hAnsi="Arial" w:cs="Arial"/>
          <w:color w:val="7B7B7B" w:themeColor="accent3" w:themeShade="BF"/>
          <w:sz w:val="22"/>
          <w:szCs w:val="22"/>
          <w:lang w:val="en-GB"/>
        </w:rPr>
        <w:t xml:space="preserve"> including Athens, Las Vegas, London and Macau, the presumption remains undisturbed</w:t>
      </w:r>
      <w:r w:rsidR="00410697">
        <w:rPr>
          <w:rFonts w:ascii="Arial" w:hAnsi="Arial" w:cs="Arial"/>
          <w:color w:val="7B7B7B" w:themeColor="accent3" w:themeShade="BF"/>
          <w:sz w:val="22"/>
          <w:szCs w:val="22"/>
          <w:lang w:val="en-GB"/>
        </w:rPr>
        <w:t>, in my view</w:t>
      </w:r>
      <w:r w:rsidR="0060521C">
        <w:rPr>
          <w:rFonts w:ascii="Arial" w:hAnsi="Arial" w:cs="Arial"/>
          <w:color w:val="7B7B7B" w:themeColor="accent3" w:themeShade="BF"/>
          <w:sz w:val="22"/>
          <w:szCs w:val="22"/>
          <w:lang w:val="en-GB"/>
        </w:rPr>
        <w:t xml:space="preserve">.  This means, on my analysis, the </w:t>
      </w:r>
      <w:proofErr w:type="spellStart"/>
      <w:r w:rsidR="0060521C">
        <w:rPr>
          <w:rFonts w:ascii="Arial" w:hAnsi="Arial" w:cs="Arial"/>
          <w:color w:val="7B7B7B" w:themeColor="accent3" w:themeShade="BF"/>
          <w:sz w:val="22"/>
          <w:szCs w:val="22"/>
          <w:lang w:val="en-GB"/>
        </w:rPr>
        <w:t>Comi</w:t>
      </w:r>
      <w:proofErr w:type="spellEnd"/>
      <w:r w:rsidR="0060521C">
        <w:rPr>
          <w:rFonts w:ascii="Arial" w:hAnsi="Arial" w:cs="Arial"/>
          <w:color w:val="7B7B7B" w:themeColor="accent3" w:themeShade="BF"/>
          <w:sz w:val="22"/>
          <w:szCs w:val="22"/>
          <w:lang w:val="en-GB"/>
        </w:rPr>
        <w:t xml:space="preserve"> remains in Greece, with the result that if the scheme of arrangement was commenced in Greece, it would be recognised as a </w:t>
      </w:r>
      <w:r w:rsidR="00A10509">
        <w:rPr>
          <w:rFonts w:ascii="Arial" w:hAnsi="Arial" w:cs="Arial"/>
          <w:color w:val="7B7B7B" w:themeColor="accent3" w:themeShade="BF"/>
          <w:sz w:val="22"/>
          <w:szCs w:val="22"/>
          <w:lang w:val="en-GB"/>
        </w:rPr>
        <w:t xml:space="preserve"> foreign main proceeding under chapter 15.</w:t>
      </w: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w:t>
      </w:r>
      <w:r w:rsidRPr="00323167">
        <w:rPr>
          <w:rFonts w:ascii="Arial" w:hAnsi="Arial" w:cs="Arial"/>
        </w:rPr>
        <w:lastRenderedPageBreak/>
        <w:t xml:space="preserve">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0EB084C4" w:rsidR="005B2A9B" w:rsidRDefault="00F17AB5" w:rsidP="00F17AB5">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r>
      <w:r w:rsidR="00E86CB2">
        <w:rPr>
          <w:rFonts w:ascii="Arial" w:hAnsi="Arial" w:cs="Arial"/>
          <w:color w:val="7B7B7B" w:themeColor="accent3" w:themeShade="BF"/>
          <w:sz w:val="22"/>
          <w:szCs w:val="22"/>
          <w:lang w:val="en-GB"/>
        </w:rPr>
        <w:t>The issue that arises in this question is the nature and scope of the stay which comes into effect immediately on the filing of a chapter 11 petition.  It bears flagging that the scope of the automatic stay is extremely broad and has a worldwide effect.  Thus it applies to any interference with  the property of the estate anywhere in the world.</w:t>
      </w:r>
    </w:p>
    <w:p w14:paraId="7B1AB271" w14:textId="788559FF" w:rsidR="00E86CB2" w:rsidRDefault="00E86CB2" w:rsidP="00F17AB5">
      <w:pPr>
        <w:ind w:left="709" w:hanging="709"/>
        <w:jc w:val="both"/>
        <w:rPr>
          <w:rFonts w:ascii="Arial" w:hAnsi="Arial" w:cs="Arial"/>
          <w:color w:val="7B7B7B" w:themeColor="accent3" w:themeShade="BF"/>
          <w:sz w:val="22"/>
          <w:szCs w:val="22"/>
          <w:lang w:val="en-GB"/>
        </w:rPr>
      </w:pPr>
    </w:p>
    <w:p w14:paraId="2EDA731D" w14:textId="075B2D1F" w:rsidR="00E86CB2" w:rsidRDefault="00F17AB5" w:rsidP="00F17AB5">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r>
      <w:proofErr w:type="spellStart"/>
      <w:r w:rsidR="00E86CB2">
        <w:rPr>
          <w:rFonts w:ascii="Arial" w:hAnsi="Arial" w:cs="Arial"/>
          <w:color w:val="7B7B7B" w:themeColor="accent3" w:themeShade="BF"/>
          <w:sz w:val="22"/>
          <w:szCs w:val="22"/>
          <w:lang w:val="en-GB"/>
        </w:rPr>
        <w:t>S</w:t>
      </w:r>
      <w:r w:rsidR="003F109A">
        <w:rPr>
          <w:rFonts w:ascii="Arial" w:hAnsi="Arial" w:cs="Arial"/>
          <w:color w:val="7B7B7B" w:themeColor="accent3" w:themeShade="BF"/>
          <w:sz w:val="22"/>
          <w:szCs w:val="22"/>
          <w:lang w:val="en-GB"/>
        </w:rPr>
        <w:t>hipC</w:t>
      </w:r>
      <w:r w:rsidR="00E86CB2">
        <w:rPr>
          <w:rFonts w:ascii="Arial" w:hAnsi="Arial" w:cs="Arial"/>
          <w:color w:val="7B7B7B" w:themeColor="accent3" w:themeShade="BF"/>
          <w:sz w:val="22"/>
          <w:szCs w:val="22"/>
          <w:lang w:val="en-GB"/>
        </w:rPr>
        <w:t>o</w:t>
      </w:r>
      <w:r w:rsidR="003F109A">
        <w:rPr>
          <w:rFonts w:ascii="Arial" w:hAnsi="Arial" w:cs="Arial"/>
          <w:color w:val="7B7B7B" w:themeColor="accent3" w:themeShade="BF"/>
          <w:sz w:val="22"/>
          <w:szCs w:val="22"/>
          <w:lang w:val="en-GB"/>
        </w:rPr>
        <w:t>’s</w:t>
      </w:r>
      <w:proofErr w:type="spellEnd"/>
      <w:r w:rsidR="003F109A">
        <w:rPr>
          <w:rFonts w:ascii="Arial" w:hAnsi="Arial" w:cs="Arial"/>
          <w:color w:val="7B7B7B" w:themeColor="accent3" w:themeShade="BF"/>
          <w:sz w:val="22"/>
          <w:szCs w:val="22"/>
          <w:lang w:val="en-GB"/>
        </w:rPr>
        <w:t xml:space="preserve"> claim of breach of contract lawsui</w:t>
      </w:r>
      <w:r w:rsidR="00410697">
        <w:rPr>
          <w:rFonts w:ascii="Arial" w:hAnsi="Arial" w:cs="Arial"/>
          <w:color w:val="7B7B7B" w:themeColor="accent3" w:themeShade="BF"/>
          <w:sz w:val="22"/>
          <w:szCs w:val="22"/>
          <w:lang w:val="en-GB"/>
        </w:rPr>
        <w:t>t for USD 1 billion in damage would be</w:t>
      </w:r>
      <w:r w:rsidR="003F109A">
        <w:rPr>
          <w:rFonts w:ascii="Arial" w:hAnsi="Arial" w:cs="Arial"/>
          <w:color w:val="7B7B7B" w:themeColor="accent3" w:themeShade="BF"/>
          <w:sz w:val="22"/>
          <w:szCs w:val="22"/>
          <w:lang w:val="en-GB"/>
        </w:rPr>
        <w:t xml:space="preserve"> prohibited as it is litigation on pre-petition claim.</w:t>
      </w:r>
    </w:p>
    <w:p w14:paraId="2D34518B" w14:textId="15273DE6" w:rsidR="003F109A" w:rsidRDefault="003F109A" w:rsidP="00F17AB5">
      <w:pPr>
        <w:ind w:left="709" w:hanging="709"/>
        <w:jc w:val="both"/>
        <w:rPr>
          <w:rFonts w:ascii="Arial" w:hAnsi="Arial" w:cs="Arial"/>
          <w:color w:val="7B7B7B" w:themeColor="accent3" w:themeShade="BF"/>
          <w:sz w:val="22"/>
          <w:szCs w:val="22"/>
          <w:lang w:val="en-GB"/>
        </w:rPr>
      </w:pPr>
    </w:p>
    <w:p w14:paraId="6EBC2575" w14:textId="77777777" w:rsidR="00611B4E" w:rsidRDefault="00F17AB5" w:rsidP="00F17AB5">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r>
      <w:r w:rsidR="003F109A">
        <w:rPr>
          <w:rFonts w:ascii="Arial" w:hAnsi="Arial" w:cs="Arial"/>
          <w:color w:val="7B7B7B" w:themeColor="accent3" w:themeShade="BF"/>
          <w:sz w:val="22"/>
          <w:szCs w:val="22"/>
          <w:lang w:val="en-GB"/>
        </w:rPr>
        <w:t xml:space="preserve">The US Department of </w:t>
      </w:r>
      <w:r w:rsidR="0084532B">
        <w:rPr>
          <w:rFonts w:ascii="Arial" w:hAnsi="Arial" w:cs="Arial"/>
          <w:color w:val="7B7B7B" w:themeColor="accent3" w:themeShade="BF"/>
          <w:sz w:val="22"/>
          <w:szCs w:val="22"/>
          <w:lang w:val="en-GB"/>
        </w:rPr>
        <w:t>Justice’s inves</w:t>
      </w:r>
      <w:r w:rsidR="00611B4E">
        <w:rPr>
          <w:rFonts w:ascii="Arial" w:hAnsi="Arial" w:cs="Arial"/>
          <w:color w:val="7B7B7B" w:themeColor="accent3" w:themeShade="BF"/>
          <w:sz w:val="22"/>
          <w:szCs w:val="22"/>
          <w:lang w:val="en-GB"/>
        </w:rPr>
        <w:t>tigation is not affected by the</w:t>
      </w:r>
      <w:r w:rsidR="0084532B">
        <w:rPr>
          <w:rFonts w:ascii="Arial" w:hAnsi="Arial" w:cs="Arial"/>
          <w:color w:val="7B7B7B" w:themeColor="accent3" w:themeShade="BF"/>
          <w:sz w:val="22"/>
          <w:szCs w:val="22"/>
          <w:lang w:val="en-GB"/>
        </w:rPr>
        <w:t xml:space="preserve"> stay (i.e. it is not barred) as it is a regulatory investigation.  </w:t>
      </w:r>
    </w:p>
    <w:p w14:paraId="05B55E71" w14:textId="77777777" w:rsidR="00611B4E" w:rsidRDefault="00611B4E" w:rsidP="00F17AB5">
      <w:pPr>
        <w:ind w:left="709" w:hanging="709"/>
        <w:jc w:val="both"/>
        <w:rPr>
          <w:rFonts w:ascii="Arial" w:hAnsi="Arial" w:cs="Arial"/>
          <w:color w:val="7B7B7B" w:themeColor="accent3" w:themeShade="BF"/>
          <w:sz w:val="22"/>
          <w:szCs w:val="22"/>
          <w:lang w:val="en-GB"/>
        </w:rPr>
      </w:pPr>
    </w:p>
    <w:p w14:paraId="1D7E51DC" w14:textId="36D76BD1" w:rsidR="003F109A" w:rsidRDefault="00611B4E" w:rsidP="00F17AB5">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r>
      <w:r w:rsidR="0084532B">
        <w:rPr>
          <w:rFonts w:ascii="Arial" w:hAnsi="Arial" w:cs="Arial"/>
          <w:color w:val="7B7B7B" w:themeColor="accent3" w:themeShade="BF"/>
          <w:sz w:val="22"/>
          <w:szCs w:val="22"/>
          <w:lang w:val="en-GB"/>
        </w:rPr>
        <w:t>The USA banks’ threat to foreclose on an Oil Corp refinery located in the Philippines is also</w:t>
      </w:r>
      <w:r w:rsidR="009E3D68">
        <w:rPr>
          <w:rFonts w:ascii="Arial" w:hAnsi="Arial" w:cs="Arial"/>
          <w:color w:val="7B7B7B" w:themeColor="accent3" w:themeShade="BF"/>
          <w:sz w:val="22"/>
          <w:szCs w:val="22"/>
          <w:lang w:val="en-GB"/>
        </w:rPr>
        <w:t xml:space="preserve"> prohibited because it is an act to obtain possession or control of the property of Oil Corp’s estate, </w:t>
      </w:r>
      <w:r w:rsidR="009E3D68" w:rsidRPr="00611B4E">
        <w:rPr>
          <w:rFonts w:ascii="Arial" w:hAnsi="Arial" w:cs="Arial"/>
          <w:i/>
          <w:color w:val="7B7B7B" w:themeColor="accent3" w:themeShade="BF"/>
          <w:sz w:val="22"/>
          <w:szCs w:val="22"/>
          <w:u w:val="single"/>
          <w:lang w:val="en-GB"/>
        </w:rPr>
        <w:t>alternatively</w:t>
      </w:r>
      <w:r>
        <w:rPr>
          <w:rFonts w:ascii="Arial" w:hAnsi="Arial" w:cs="Arial"/>
          <w:color w:val="7B7B7B" w:themeColor="accent3" w:themeShade="BF"/>
          <w:sz w:val="22"/>
          <w:szCs w:val="22"/>
          <w:lang w:val="en-GB"/>
        </w:rPr>
        <w:t>, it can be argued that it is constitutes</w:t>
      </w:r>
      <w:r w:rsidR="009E3D68">
        <w:rPr>
          <w:rFonts w:ascii="Arial" w:hAnsi="Arial" w:cs="Arial"/>
          <w:color w:val="7B7B7B" w:themeColor="accent3" w:themeShade="BF"/>
          <w:sz w:val="22"/>
          <w:szCs w:val="22"/>
          <w:lang w:val="en-GB"/>
        </w:rPr>
        <w:t xml:space="preserve"> perfection or enforcement of a lien against property</w:t>
      </w:r>
      <w:r w:rsidR="00F17AB5">
        <w:rPr>
          <w:rFonts w:ascii="Arial" w:hAnsi="Arial" w:cs="Arial"/>
          <w:color w:val="7B7B7B" w:themeColor="accent3" w:themeShade="BF"/>
          <w:sz w:val="22"/>
          <w:szCs w:val="22"/>
          <w:lang w:val="en-GB"/>
        </w:rPr>
        <w:t xml:space="preserve"> of the estate of account of a pre-petition claim.</w:t>
      </w:r>
    </w:p>
    <w:p w14:paraId="20769D90" w14:textId="047F6CE9" w:rsidR="00F17AB5" w:rsidRDefault="00F17AB5" w:rsidP="00F17AB5">
      <w:pPr>
        <w:ind w:left="709" w:hanging="709"/>
        <w:jc w:val="both"/>
        <w:rPr>
          <w:rFonts w:ascii="Arial" w:hAnsi="Arial" w:cs="Arial"/>
          <w:color w:val="7B7B7B" w:themeColor="accent3" w:themeShade="BF"/>
          <w:sz w:val="22"/>
          <w:szCs w:val="22"/>
          <w:lang w:val="en-GB"/>
        </w:rPr>
      </w:pPr>
    </w:p>
    <w:p w14:paraId="6742B999" w14:textId="7D3015F3" w:rsidR="00323167" w:rsidRDefault="00D707F2" w:rsidP="004E3D33">
      <w:pPr>
        <w:ind w:left="709" w:hanging="709"/>
        <w:jc w:val="both"/>
        <w:rPr>
          <w:rFonts w:ascii="Arial" w:hAnsi="Arial" w:cs="Arial"/>
        </w:rPr>
      </w:pPr>
      <w:r>
        <w:rPr>
          <w:rFonts w:ascii="Arial" w:hAnsi="Arial" w:cs="Arial"/>
          <w:color w:val="7B7B7B" w:themeColor="accent3" w:themeShade="BF"/>
          <w:sz w:val="22"/>
          <w:szCs w:val="22"/>
          <w:lang w:val="en-GB"/>
        </w:rPr>
        <w:t>5</w:t>
      </w:r>
      <w:r w:rsidR="00F17AB5">
        <w:rPr>
          <w:rFonts w:ascii="Arial" w:hAnsi="Arial" w:cs="Arial"/>
          <w:color w:val="7B7B7B" w:themeColor="accent3" w:themeShade="BF"/>
          <w:sz w:val="22"/>
          <w:szCs w:val="22"/>
          <w:lang w:val="en-GB"/>
        </w:rPr>
        <w:t>.</w:t>
      </w:r>
      <w:r w:rsidR="00F17AB5">
        <w:rPr>
          <w:rFonts w:ascii="Arial" w:hAnsi="Arial" w:cs="Arial"/>
          <w:color w:val="7B7B7B" w:themeColor="accent3" w:themeShade="BF"/>
          <w:sz w:val="22"/>
          <w:szCs w:val="22"/>
          <w:lang w:val="en-GB"/>
        </w:rPr>
        <w:tab/>
        <w:t>The landlord may not be precluded from evicting Oil Corp from its Texas office space where the landlord can show that it is a non-residential property (which is the case) and where the lease has expired</w:t>
      </w:r>
      <w:r w:rsidR="00422600">
        <w:rPr>
          <w:rFonts w:ascii="Arial" w:hAnsi="Arial" w:cs="Arial"/>
          <w:color w:val="7B7B7B" w:themeColor="accent3" w:themeShade="BF"/>
          <w:sz w:val="22"/>
          <w:szCs w:val="22"/>
          <w:lang w:val="en-GB"/>
        </w:rPr>
        <w:t xml:space="preserve"> (and/or cancelled)</w:t>
      </w:r>
      <w:r w:rsidR="00F17AB5">
        <w:rPr>
          <w:rFonts w:ascii="Arial" w:hAnsi="Arial" w:cs="Arial"/>
          <w:color w:val="7B7B7B" w:themeColor="accent3" w:themeShade="BF"/>
          <w:sz w:val="22"/>
          <w:szCs w:val="22"/>
          <w:lang w:val="en-GB"/>
        </w:rPr>
        <w:t>.</w:t>
      </w: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7D5FEB50" w:rsidR="005B2A9B" w:rsidRPr="00672796" w:rsidRDefault="00672796" w:rsidP="005B2A9B">
      <w:pPr>
        <w:jc w:val="both"/>
        <w:rPr>
          <w:rFonts w:ascii="Arial" w:hAnsi="Arial" w:cs="Arial"/>
          <w:i/>
          <w:color w:val="7B7B7B" w:themeColor="accent3" w:themeShade="BF"/>
          <w:sz w:val="22"/>
          <w:szCs w:val="22"/>
          <w:u w:val="single"/>
          <w:lang w:val="en-GB"/>
        </w:rPr>
      </w:pPr>
      <w:r>
        <w:rPr>
          <w:rFonts w:ascii="Arial" w:hAnsi="Arial" w:cs="Arial"/>
          <w:i/>
          <w:color w:val="7B7B7B" w:themeColor="accent3" w:themeShade="BF"/>
          <w:sz w:val="22"/>
          <w:szCs w:val="22"/>
          <w:u w:val="single"/>
          <w:lang w:val="en-GB"/>
        </w:rPr>
        <w:t>Can Oil Corp</w:t>
      </w:r>
      <w:r w:rsidR="00A2725A">
        <w:rPr>
          <w:rFonts w:ascii="Arial" w:hAnsi="Arial" w:cs="Arial"/>
          <w:i/>
          <w:color w:val="7B7B7B" w:themeColor="accent3" w:themeShade="BF"/>
          <w:sz w:val="22"/>
          <w:szCs w:val="22"/>
          <w:u w:val="single"/>
          <w:lang w:val="en-GB"/>
        </w:rPr>
        <w:t xml:space="preserve"> assume and assign the trademark license without Plastic Corp’s consent</w:t>
      </w:r>
      <w:r w:rsidR="00A2725A" w:rsidRPr="00980E0F">
        <w:rPr>
          <w:rFonts w:ascii="Arial" w:hAnsi="Arial" w:cs="Arial"/>
          <w:i/>
          <w:color w:val="7B7B7B" w:themeColor="accent3" w:themeShade="BF"/>
          <w:sz w:val="22"/>
          <w:szCs w:val="22"/>
          <w:lang w:val="en-GB"/>
        </w:rPr>
        <w:t>?</w:t>
      </w:r>
    </w:p>
    <w:p w14:paraId="691B977A" w14:textId="3EA2BD76"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44B3203" w14:textId="693C08FC" w:rsidR="00A2725A" w:rsidRDefault="00730A6E" w:rsidP="00730A6E">
      <w:pPr>
        <w:autoSpaceDE w:val="0"/>
        <w:autoSpaceDN w:val="0"/>
        <w:adjustRightInd w:val="0"/>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w:t>
      </w:r>
      <w:r>
        <w:rPr>
          <w:rFonts w:ascii="Arial" w:hAnsi="Arial" w:cs="Arial"/>
          <w:color w:val="808080" w:themeColor="background1" w:themeShade="80"/>
          <w:sz w:val="22"/>
          <w:szCs w:val="22"/>
          <w:lang w:val="en-GB"/>
        </w:rPr>
        <w:tab/>
      </w:r>
      <w:r w:rsidR="00A2725A">
        <w:rPr>
          <w:rFonts w:ascii="Arial" w:hAnsi="Arial" w:cs="Arial"/>
          <w:color w:val="808080" w:themeColor="background1" w:themeShade="80"/>
          <w:sz w:val="22"/>
          <w:szCs w:val="22"/>
          <w:lang w:val="en-GB"/>
        </w:rPr>
        <w:t xml:space="preserve">Oil Corp cannot assume and assign the trademark license without Plastic Corp’s consent because intellectual property licensing law provides that the </w:t>
      </w:r>
      <w:r w:rsidR="002A199D">
        <w:rPr>
          <w:rFonts w:ascii="Arial" w:hAnsi="Arial" w:cs="Arial"/>
          <w:color w:val="808080" w:themeColor="background1" w:themeShade="80"/>
          <w:sz w:val="22"/>
          <w:szCs w:val="22"/>
          <w:lang w:val="en-GB"/>
        </w:rPr>
        <w:t xml:space="preserve">counter party (i.e. Plastic Corp) cannot be compelled to accept performance from a transferee.  As the prohibition is formulated as precluding </w:t>
      </w:r>
      <w:r w:rsidR="00F2596F">
        <w:rPr>
          <w:rFonts w:ascii="Arial" w:hAnsi="Arial" w:cs="Arial"/>
          <w:color w:val="808080" w:themeColor="background1" w:themeShade="80"/>
          <w:sz w:val="22"/>
          <w:szCs w:val="22"/>
          <w:lang w:val="en-GB"/>
        </w:rPr>
        <w:t>or barring ei</w:t>
      </w:r>
      <w:r w:rsidR="00CD471C">
        <w:rPr>
          <w:rFonts w:ascii="Arial" w:hAnsi="Arial" w:cs="Arial"/>
          <w:color w:val="808080" w:themeColor="background1" w:themeShade="80"/>
          <w:sz w:val="22"/>
          <w:szCs w:val="22"/>
          <w:lang w:val="en-GB"/>
        </w:rPr>
        <w:t>ther assumption or assignment, s</w:t>
      </w:r>
      <w:r w:rsidR="00F2596F">
        <w:rPr>
          <w:rFonts w:ascii="Arial" w:hAnsi="Arial" w:cs="Arial"/>
          <w:color w:val="808080" w:themeColor="background1" w:themeShade="80"/>
          <w:sz w:val="22"/>
          <w:szCs w:val="22"/>
          <w:lang w:val="en-GB"/>
        </w:rPr>
        <w:t>ome courts have held that a debtor may no</w:t>
      </w:r>
      <w:r w:rsidR="00CD471C">
        <w:rPr>
          <w:rFonts w:ascii="Arial" w:hAnsi="Arial" w:cs="Arial"/>
          <w:color w:val="808080" w:themeColor="background1" w:themeShade="80"/>
          <w:sz w:val="22"/>
          <w:szCs w:val="22"/>
          <w:lang w:val="en-GB"/>
        </w:rPr>
        <w:t xml:space="preserve">t assume an executory </w:t>
      </w:r>
      <w:r w:rsidR="00C60DEE">
        <w:rPr>
          <w:rFonts w:ascii="Arial" w:hAnsi="Arial" w:cs="Arial"/>
          <w:color w:val="808080" w:themeColor="background1" w:themeShade="80"/>
          <w:sz w:val="22"/>
          <w:szCs w:val="22"/>
          <w:lang w:val="en-GB"/>
        </w:rPr>
        <w:t>contract</w:t>
      </w:r>
      <w:bookmarkStart w:id="1" w:name="_GoBack"/>
      <w:bookmarkEnd w:id="1"/>
      <w:r w:rsidR="00F2596F">
        <w:rPr>
          <w:rFonts w:ascii="Arial" w:hAnsi="Arial" w:cs="Arial"/>
          <w:color w:val="808080" w:themeColor="background1" w:themeShade="80"/>
          <w:sz w:val="22"/>
          <w:szCs w:val="22"/>
          <w:lang w:val="en-GB"/>
        </w:rPr>
        <w:t xml:space="preserve"> that it would not be permitted to assign, in terms of </w:t>
      </w:r>
      <w:r w:rsidR="00F2596F" w:rsidRPr="00C60DEE">
        <w:rPr>
          <w:rFonts w:ascii="Arial" w:hAnsi="Arial" w:cs="Arial"/>
          <w:i/>
          <w:color w:val="808080" w:themeColor="background1" w:themeShade="80"/>
          <w:sz w:val="22"/>
          <w:szCs w:val="22"/>
          <w:lang w:val="en-GB"/>
        </w:rPr>
        <w:t>the hypothetical test</w:t>
      </w:r>
      <w:r w:rsidR="00F2596F">
        <w:rPr>
          <w:rFonts w:ascii="Arial" w:hAnsi="Arial" w:cs="Arial"/>
          <w:color w:val="808080" w:themeColor="background1" w:themeShade="80"/>
          <w:sz w:val="22"/>
          <w:szCs w:val="22"/>
          <w:lang w:val="en-GB"/>
        </w:rPr>
        <w:t xml:space="preserve">.  That is to say that Oil Corp may be precluded from assuming and continuing performing under a pre-petition </w:t>
      </w:r>
      <w:r w:rsidR="00CD471C">
        <w:rPr>
          <w:rFonts w:ascii="Arial" w:hAnsi="Arial" w:cs="Arial"/>
          <w:color w:val="808080" w:themeColor="background1" w:themeShade="80"/>
          <w:sz w:val="22"/>
          <w:szCs w:val="22"/>
          <w:lang w:val="en-GB"/>
        </w:rPr>
        <w:t xml:space="preserve">trademark </w:t>
      </w:r>
      <w:r w:rsidR="00F2596F">
        <w:rPr>
          <w:rFonts w:ascii="Arial" w:hAnsi="Arial" w:cs="Arial"/>
          <w:color w:val="808080" w:themeColor="background1" w:themeShade="80"/>
          <w:sz w:val="22"/>
          <w:szCs w:val="22"/>
          <w:lang w:val="en-GB"/>
        </w:rPr>
        <w:t xml:space="preserve">license without Plastic Corp’s consent.  For sake of completion, it bears flagging that others have held that this rule applies only where the debtor actually intends to assign the agreement.  This is regarded as </w:t>
      </w:r>
      <w:r w:rsidR="00F2596F" w:rsidRPr="00C60DEE">
        <w:rPr>
          <w:rFonts w:ascii="Arial" w:hAnsi="Arial" w:cs="Arial"/>
          <w:i/>
          <w:color w:val="808080" w:themeColor="background1" w:themeShade="80"/>
          <w:sz w:val="22"/>
          <w:szCs w:val="22"/>
          <w:lang w:val="en-GB"/>
        </w:rPr>
        <w:t>the actual test</w:t>
      </w:r>
      <w:r w:rsidR="00F2596F">
        <w:rPr>
          <w:rFonts w:ascii="Arial" w:hAnsi="Arial" w:cs="Arial"/>
          <w:color w:val="808080" w:themeColor="background1" w:themeShade="80"/>
          <w:sz w:val="22"/>
          <w:szCs w:val="22"/>
          <w:lang w:val="en-GB"/>
        </w:rPr>
        <w:t xml:space="preserve">.  In fact as Oil </w:t>
      </w:r>
      <w:r w:rsidR="00F2596F">
        <w:rPr>
          <w:rFonts w:ascii="Arial" w:hAnsi="Arial" w:cs="Arial"/>
          <w:color w:val="808080" w:themeColor="background1" w:themeShade="80"/>
          <w:sz w:val="22"/>
          <w:szCs w:val="22"/>
          <w:lang w:val="en-GB"/>
        </w:rPr>
        <w:lastRenderedPageBreak/>
        <w:t>Corp is desirous of assigning the trademark license to a third party purchaser, it would in any event be struck and hindered by the actual test.</w:t>
      </w:r>
    </w:p>
    <w:p w14:paraId="61B8A18D" w14:textId="77777777" w:rsidR="00730A6E" w:rsidRDefault="00730A6E" w:rsidP="00730A6E">
      <w:pPr>
        <w:autoSpaceDE w:val="0"/>
        <w:autoSpaceDN w:val="0"/>
        <w:adjustRightInd w:val="0"/>
        <w:ind w:left="709" w:hanging="709"/>
        <w:jc w:val="both"/>
        <w:rPr>
          <w:rFonts w:ascii="Arial" w:hAnsi="Arial" w:cs="Arial"/>
          <w:color w:val="808080" w:themeColor="background1" w:themeShade="80"/>
          <w:sz w:val="22"/>
          <w:szCs w:val="22"/>
          <w:lang w:val="en-GB"/>
        </w:rPr>
      </w:pPr>
    </w:p>
    <w:p w14:paraId="2CA2B556" w14:textId="6991C9C1" w:rsidR="00980E0F" w:rsidRDefault="00980E0F" w:rsidP="00323167">
      <w:pPr>
        <w:autoSpaceDE w:val="0"/>
        <w:autoSpaceDN w:val="0"/>
        <w:adjustRightInd w:val="0"/>
        <w:jc w:val="both"/>
        <w:rPr>
          <w:rFonts w:ascii="Arial" w:hAnsi="Arial" w:cs="Arial"/>
          <w:color w:val="808080" w:themeColor="background1" w:themeShade="80"/>
          <w:sz w:val="22"/>
          <w:szCs w:val="22"/>
          <w:lang w:val="en-GB"/>
        </w:rPr>
      </w:pPr>
    </w:p>
    <w:p w14:paraId="18F5D778" w14:textId="3635D430" w:rsidR="00980E0F" w:rsidRDefault="00980E0F" w:rsidP="0032316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i/>
          <w:color w:val="808080" w:themeColor="background1" w:themeShade="80"/>
          <w:sz w:val="22"/>
          <w:szCs w:val="22"/>
          <w:u w:val="single"/>
          <w:lang w:val="en-GB"/>
        </w:rPr>
        <w:t>Can Oil Corp reject its patent licenses so that the purchaser has the exclusive right to use the patents</w:t>
      </w:r>
      <w:r w:rsidRPr="00980E0F">
        <w:rPr>
          <w:rFonts w:ascii="Arial" w:hAnsi="Arial" w:cs="Arial"/>
          <w:i/>
          <w:color w:val="808080" w:themeColor="background1" w:themeShade="80"/>
          <w:sz w:val="22"/>
          <w:szCs w:val="22"/>
          <w:lang w:val="en-GB"/>
        </w:rPr>
        <w:t>?</w:t>
      </w:r>
    </w:p>
    <w:p w14:paraId="4A19FBB8" w14:textId="4E7D6087" w:rsidR="00980E0F" w:rsidRDefault="00980E0F" w:rsidP="00323167">
      <w:pPr>
        <w:autoSpaceDE w:val="0"/>
        <w:autoSpaceDN w:val="0"/>
        <w:adjustRightInd w:val="0"/>
        <w:jc w:val="both"/>
        <w:rPr>
          <w:rFonts w:ascii="Arial" w:hAnsi="Arial" w:cs="Arial"/>
          <w:color w:val="808080" w:themeColor="background1" w:themeShade="80"/>
          <w:sz w:val="22"/>
          <w:szCs w:val="22"/>
          <w:lang w:val="en-GB"/>
        </w:rPr>
      </w:pPr>
    </w:p>
    <w:p w14:paraId="3AED01EC" w14:textId="6B0183F2" w:rsidR="00980E0F" w:rsidRDefault="00730A6E" w:rsidP="00730A6E">
      <w:pPr>
        <w:autoSpaceDE w:val="0"/>
        <w:autoSpaceDN w:val="0"/>
        <w:adjustRightInd w:val="0"/>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2.</w:t>
      </w:r>
      <w:r>
        <w:rPr>
          <w:rFonts w:ascii="Arial" w:hAnsi="Arial" w:cs="Arial"/>
          <w:color w:val="808080" w:themeColor="background1" w:themeShade="80"/>
          <w:sz w:val="22"/>
          <w:szCs w:val="22"/>
          <w:lang w:val="en-GB"/>
        </w:rPr>
        <w:tab/>
      </w:r>
      <w:r w:rsidR="00980E0F">
        <w:rPr>
          <w:rFonts w:ascii="Arial" w:hAnsi="Arial" w:cs="Arial"/>
          <w:color w:val="808080" w:themeColor="background1" w:themeShade="80"/>
          <w:sz w:val="22"/>
          <w:szCs w:val="22"/>
          <w:lang w:val="en-GB"/>
        </w:rPr>
        <w:t>Oil Corp can reject the patent licenses without the consent of Plastic Corp because counter party consent is not necessary for purposes of rejecting patent licenses.  However, having rejected the patent licenses, Oil Corp will not be able to grant exclusive use of the patent to the purchaser, especially without the consent of Plastic Corp who is the licensee of the patents.</w:t>
      </w:r>
    </w:p>
    <w:p w14:paraId="342FD187" w14:textId="35929830" w:rsidR="00730A6E" w:rsidRDefault="00730A6E" w:rsidP="00730A6E">
      <w:pPr>
        <w:autoSpaceDE w:val="0"/>
        <w:autoSpaceDN w:val="0"/>
        <w:adjustRightInd w:val="0"/>
        <w:ind w:left="709" w:hanging="709"/>
        <w:jc w:val="both"/>
        <w:rPr>
          <w:rFonts w:ascii="Arial" w:hAnsi="Arial" w:cs="Arial"/>
          <w:color w:val="808080" w:themeColor="background1" w:themeShade="80"/>
          <w:sz w:val="22"/>
          <w:szCs w:val="22"/>
          <w:lang w:val="en-GB"/>
        </w:rPr>
      </w:pPr>
    </w:p>
    <w:p w14:paraId="53E5326B" w14:textId="5FCAC071" w:rsidR="00730A6E" w:rsidRDefault="00730A6E" w:rsidP="001055D7">
      <w:pPr>
        <w:autoSpaceDE w:val="0"/>
        <w:autoSpaceDN w:val="0"/>
        <w:adjustRightInd w:val="0"/>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u w:val="single"/>
          <w:lang w:val="en-GB"/>
        </w:rPr>
        <w:t xml:space="preserve">Can Oil Corp sell the manufacturing facility free and clear of the </w:t>
      </w:r>
      <w:r w:rsidR="001055D7">
        <w:rPr>
          <w:rFonts w:ascii="Arial" w:hAnsi="Arial" w:cs="Arial"/>
          <w:i/>
          <w:color w:val="808080" w:themeColor="background1" w:themeShade="80"/>
          <w:sz w:val="22"/>
          <w:szCs w:val="22"/>
          <w:u w:val="single"/>
          <w:lang w:val="en-GB"/>
        </w:rPr>
        <w:t>USA Bank lien without consent of the USA Bank</w:t>
      </w:r>
      <w:r w:rsidR="001055D7">
        <w:rPr>
          <w:rFonts w:ascii="Arial" w:hAnsi="Arial" w:cs="Arial"/>
          <w:i/>
          <w:color w:val="808080" w:themeColor="background1" w:themeShade="80"/>
          <w:sz w:val="22"/>
          <w:szCs w:val="22"/>
          <w:lang w:val="en-GB"/>
        </w:rPr>
        <w:t>?</w:t>
      </w:r>
    </w:p>
    <w:p w14:paraId="00459BED" w14:textId="1CDEB75F" w:rsidR="001055D7" w:rsidRDefault="001055D7" w:rsidP="001055D7">
      <w:pPr>
        <w:autoSpaceDE w:val="0"/>
        <w:autoSpaceDN w:val="0"/>
        <w:adjustRightInd w:val="0"/>
        <w:jc w:val="both"/>
        <w:rPr>
          <w:rFonts w:ascii="Arial" w:hAnsi="Arial" w:cs="Arial"/>
          <w:i/>
          <w:color w:val="808080" w:themeColor="background1" w:themeShade="80"/>
          <w:sz w:val="22"/>
          <w:szCs w:val="22"/>
          <w:lang w:val="en-GB"/>
        </w:rPr>
      </w:pPr>
    </w:p>
    <w:p w14:paraId="272D7B53" w14:textId="2FBE9BED" w:rsidR="001055D7" w:rsidRDefault="001055D7" w:rsidP="009E18FC">
      <w:pPr>
        <w:autoSpaceDE w:val="0"/>
        <w:autoSpaceDN w:val="0"/>
        <w:adjustRightInd w:val="0"/>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3.</w:t>
      </w:r>
      <w:r>
        <w:rPr>
          <w:rFonts w:ascii="Arial" w:hAnsi="Arial" w:cs="Arial"/>
          <w:color w:val="808080" w:themeColor="background1" w:themeShade="80"/>
          <w:sz w:val="22"/>
          <w:szCs w:val="22"/>
          <w:lang w:val="en-GB"/>
        </w:rPr>
        <w:tab/>
        <w:t xml:space="preserve">No.  That is because a 363 sale permits a debtor to sell an asset free and clear of </w:t>
      </w:r>
      <w:r w:rsidR="009E18FC">
        <w:rPr>
          <w:rFonts w:ascii="Arial" w:hAnsi="Arial" w:cs="Arial"/>
          <w:color w:val="808080" w:themeColor="background1" w:themeShade="80"/>
          <w:sz w:val="22"/>
          <w:szCs w:val="22"/>
          <w:lang w:val="en-GB"/>
        </w:rPr>
        <w:t xml:space="preserve">encumbrances and </w:t>
      </w:r>
      <w:r w:rsidR="00B734D6">
        <w:rPr>
          <w:rFonts w:ascii="Arial" w:hAnsi="Arial" w:cs="Arial"/>
          <w:color w:val="808080" w:themeColor="background1" w:themeShade="80"/>
          <w:sz w:val="22"/>
          <w:szCs w:val="22"/>
          <w:lang w:val="en-GB"/>
        </w:rPr>
        <w:t>a creditor’s lien on assets sold in a 363 sale attaches to the proceeds of the sale.</w:t>
      </w:r>
      <w:r>
        <w:rPr>
          <w:rFonts w:ascii="Arial" w:hAnsi="Arial" w:cs="Arial"/>
          <w:color w:val="808080" w:themeColor="background1" w:themeShade="80"/>
          <w:sz w:val="22"/>
          <w:szCs w:val="22"/>
          <w:lang w:val="en-GB"/>
        </w:rPr>
        <w:t xml:space="preserve"> </w:t>
      </w: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63289A1E"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DA6548">
          <w:rPr>
            <w:rStyle w:val="PageNumber"/>
            <w:rFonts w:ascii="Arial" w:hAnsi="Arial" w:cs="Arial"/>
            <w:b/>
            <w:noProof/>
            <w:sz w:val="22"/>
            <w:szCs w:val="22"/>
          </w:rPr>
          <w:t>8</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14EA3E1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9D7591">
          <w:rPr>
            <w:rStyle w:val="PageNumber"/>
            <w:rFonts w:ascii="Arial" w:hAnsi="Arial" w:cs="Arial"/>
            <w:noProof/>
            <w:sz w:val="18"/>
            <w:szCs w:val="18"/>
          </w:rPr>
          <w:t>14</w:t>
        </w:r>
        <w:r w:rsidRPr="009B4976">
          <w:rPr>
            <w:rStyle w:val="PageNumber"/>
            <w:rFonts w:ascii="Arial" w:hAnsi="Arial" w:cs="Arial"/>
            <w:sz w:val="18"/>
            <w:szCs w:val="18"/>
          </w:rPr>
          <w:fldChar w:fldCharType="end"/>
        </w:r>
      </w:p>
    </w:sdtContent>
  </w:sdt>
  <w:p w14:paraId="30F05E79" w14:textId="6CC312A6" w:rsidR="00241FA3" w:rsidRPr="009B4976" w:rsidRDefault="00A6003B" w:rsidP="009B4976">
    <w:pPr>
      <w:pStyle w:val="Footer"/>
      <w:ind w:right="360"/>
      <w:rPr>
        <w:rFonts w:ascii="Arial" w:hAnsi="Arial" w:cs="Arial"/>
        <w:sz w:val="18"/>
        <w:szCs w:val="18"/>
        <w:lang w:val="en-GB"/>
      </w:rPr>
    </w:pPr>
    <w:proofErr w:type="spellStart"/>
    <w:r>
      <w:rPr>
        <w:rFonts w:ascii="Arial" w:hAnsi="Arial" w:cs="Arial"/>
        <w:sz w:val="18"/>
        <w:szCs w:val="18"/>
        <w:lang w:val="en-GB"/>
      </w:rPr>
      <w:t>202021IFU-289</w:t>
    </w:r>
    <w:r w:rsidR="0073158B" w:rsidRPr="009B4976">
      <w:rPr>
        <w:rFonts w:ascii="Arial" w:hAnsi="Arial" w:cs="Arial"/>
        <w:sz w:val="18"/>
        <w:szCs w:val="18"/>
        <w:lang w:val="en-GB"/>
      </w:rPr>
      <w:t>.assessment</w:t>
    </w:r>
    <w:r w:rsidR="00610AC7">
      <w:rPr>
        <w:rFonts w:ascii="Arial" w:hAnsi="Arial" w:cs="Arial"/>
        <w:sz w:val="18"/>
        <w:szCs w:val="18"/>
        <w:lang w:val="en-GB"/>
      </w:rPr>
      <w:t>3A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DC8"/>
    <w:rsid w:val="00001870"/>
    <w:rsid w:val="00004FDE"/>
    <w:rsid w:val="00010BA0"/>
    <w:rsid w:val="0001655B"/>
    <w:rsid w:val="00020557"/>
    <w:rsid w:val="00021FC2"/>
    <w:rsid w:val="00022E00"/>
    <w:rsid w:val="000250C7"/>
    <w:rsid w:val="00026C2E"/>
    <w:rsid w:val="00026F16"/>
    <w:rsid w:val="000360AA"/>
    <w:rsid w:val="00037621"/>
    <w:rsid w:val="00037671"/>
    <w:rsid w:val="00041F46"/>
    <w:rsid w:val="000428A8"/>
    <w:rsid w:val="00044D46"/>
    <w:rsid w:val="00045088"/>
    <w:rsid w:val="00045904"/>
    <w:rsid w:val="000502FD"/>
    <w:rsid w:val="00054C01"/>
    <w:rsid w:val="00061CD0"/>
    <w:rsid w:val="00065166"/>
    <w:rsid w:val="00075920"/>
    <w:rsid w:val="00082609"/>
    <w:rsid w:val="000851CC"/>
    <w:rsid w:val="00093BE8"/>
    <w:rsid w:val="00097B45"/>
    <w:rsid w:val="000A407B"/>
    <w:rsid w:val="000A5BE5"/>
    <w:rsid w:val="000A636A"/>
    <w:rsid w:val="000A68ED"/>
    <w:rsid w:val="000B280C"/>
    <w:rsid w:val="000B2F0B"/>
    <w:rsid w:val="000B5FF1"/>
    <w:rsid w:val="000B609F"/>
    <w:rsid w:val="000B7668"/>
    <w:rsid w:val="000C4C5B"/>
    <w:rsid w:val="000D55A8"/>
    <w:rsid w:val="000E40CC"/>
    <w:rsid w:val="000E4841"/>
    <w:rsid w:val="000F1677"/>
    <w:rsid w:val="000F3D6C"/>
    <w:rsid w:val="000F4346"/>
    <w:rsid w:val="000F7FC2"/>
    <w:rsid w:val="00101707"/>
    <w:rsid w:val="00102CC9"/>
    <w:rsid w:val="00105183"/>
    <w:rsid w:val="001055D7"/>
    <w:rsid w:val="0011357B"/>
    <w:rsid w:val="0011473D"/>
    <w:rsid w:val="00115C85"/>
    <w:rsid w:val="001171D1"/>
    <w:rsid w:val="0012224B"/>
    <w:rsid w:val="001233ED"/>
    <w:rsid w:val="00123855"/>
    <w:rsid w:val="00126A4D"/>
    <w:rsid w:val="0013128F"/>
    <w:rsid w:val="0014171F"/>
    <w:rsid w:val="0014622C"/>
    <w:rsid w:val="00152348"/>
    <w:rsid w:val="0015456D"/>
    <w:rsid w:val="00155FA2"/>
    <w:rsid w:val="00160679"/>
    <w:rsid w:val="00161F1B"/>
    <w:rsid w:val="00162829"/>
    <w:rsid w:val="0016618D"/>
    <w:rsid w:val="00180548"/>
    <w:rsid w:val="00180AC4"/>
    <w:rsid w:val="00180CCE"/>
    <w:rsid w:val="0018267A"/>
    <w:rsid w:val="00182779"/>
    <w:rsid w:val="001830DF"/>
    <w:rsid w:val="00183AFD"/>
    <w:rsid w:val="00183DCC"/>
    <w:rsid w:val="001926FE"/>
    <w:rsid w:val="001966D9"/>
    <w:rsid w:val="001A2703"/>
    <w:rsid w:val="001A7E9A"/>
    <w:rsid w:val="001B0F70"/>
    <w:rsid w:val="001B5016"/>
    <w:rsid w:val="001C2441"/>
    <w:rsid w:val="001C45FC"/>
    <w:rsid w:val="001C4CF3"/>
    <w:rsid w:val="001D0469"/>
    <w:rsid w:val="001D4862"/>
    <w:rsid w:val="001D68CB"/>
    <w:rsid w:val="001E0FEA"/>
    <w:rsid w:val="001E25B9"/>
    <w:rsid w:val="001E49E0"/>
    <w:rsid w:val="001E7B5A"/>
    <w:rsid w:val="001F3A47"/>
    <w:rsid w:val="001F7412"/>
    <w:rsid w:val="002015B1"/>
    <w:rsid w:val="00202DFE"/>
    <w:rsid w:val="00206985"/>
    <w:rsid w:val="0020725B"/>
    <w:rsid w:val="002110F1"/>
    <w:rsid w:val="0021430D"/>
    <w:rsid w:val="00214A34"/>
    <w:rsid w:val="00221BE1"/>
    <w:rsid w:val="00223917"/>
    <w:rsid w:val="0024116D"/>
    <w:rsid w:val="00241B44"/>
    <w:rsid w:val="00241FA3"/>
    <w:rsid w:val="00245EFB"/>
    <w:rsid w:val="0025386E"/>
    <w:rsid w:val="00256B74"/>
    <w:rsid w:val="002638B0"/>
    <w:rsid w:val="0026509B"/>
    <w:rsid w:val="0026647A"/>
    <w:rsid w:val="002668D3"/>
    <w:rsid w:val="0027037F"/>
    <w:rsid w:val="0027299F"/>
    <w:rsid w:val="00276754"/>
    <w:rsid w:val="00284EBE"/>
    <w:rsid w:val="002903A7"/>
    <w:rsid w:val="00291AAD"/>
    <w:rsid w:val="0029433F"/>
    <w:rsid w:val="00294829"/>
    <w:rsid w:val="00294D74"/>
    <w:rsid w:val="0029690F"/>
    <w:rsid w:val="00297C8A"/>
    <w:rsid w:val="002A0D42"/>
    <w:rsid w:val="002A199D"/>
    <w:rsid w:val="002A2A60"/>
    <w:rsid w:val="002A37BB"/>
    <w:rsid w:val="002B1C45"/>
    <w:rsid w:val="002C0121"/>
    <w:rsid w:val="002C13C8"/>
    <w:rsid w:val="002C3547"/>
    <w:rsid w:val="002D0021"/>
    <w:rsid w:val="002D099A"/>
    <w:rsid w:val="002D1C7B"/>
    <w:rsid w:val="002D299D"/>
    <w:rsid w:val="002D3473"/>
    <w:rsid w:val="002D6789"/>
    <w:rsid w:val="002D78C5"/>
    <w:rsid w:val="002F1956"/>
    <w:rsid w:val="002F3440"/>
    <w:rsid w:val="002F34DB"/>
    <w:rsid w:val="002F75A3"/>
    <w:rsid w:val="00301D2B"/>
    <w:rsid w:val="00302773"/>
    <w:rsid w:val="00303C2F"/>
    <w:rsid w:val="003144EF"/>
    <w:rsid w:val="0032089C"/>
    <w:rsid w:val="00323167"/>
    <w:rsid w:val="00326292"/>
    <w:rsid w:val="00326415"/>
    <w:rsid w:val="00330937"/>
    <w:rsid w:val="00330F31"/>
    <w:rsid w:val="00334648"/>
    <w:rsid w:val="00335916"/>
    <w:rsid w:val="0033768C"/>
    <w:rsid w:val="00337938"/>
    <w:rsid w:val="00340769"/>
    <w:rsid w:val="00341AA6"/>
    <w:rsid w:val="0034225C"/>
    <w:rsid w:val="003424C9"/>
    <w:rsid w:val="00345CA8"/>
    <w:rsid w:val="003502EB"/>
    <w:rsid w:val="003528DC"/>
    <w:rsid w:val="00354798"/>
    <w:rsid w:val="00361A0A"/>
    <w:rsid w:val="00364836"/>
    <w:rsid w:val="0036565C"/>
    <w:rsid w:val="0036625E"/>
    <w:rsid w:val="0037081C"/>
    <w:rsid w:val="0037465A"/>
    <w:rsid w:val="00382C98"/>
    <w:rsid w:val="0038533C"/>
    <w:rsid w:val="00386568"/>
    <w:rsid w:val="00390B57"/>
    <w:rsid w:val="003948D5"/>
    <w:rsid w:val="00396238"/>
    <w:rsid w:val="00396821"/>
    <w:rsid w:val="00397D3A"/>
    <w:rsid w:val="003A051E"/>
    <w:rsid w:val="003A40E5"/>
    <w:rsid w:val="003A75F4"/>
    <w:rsid w:val="003B170F"/>
    <w:rsid w:val="003B3C5F"/>
    <w:rsid w:val="003B7184"/>
    <w:rsid w:val="003C4471"/>
    <w:rsid w:val="003C53FE"/>
    <w:rsid w:val="003D0A6D"/>
    <w:rsid w:val="003E0B16"/>
    <w:rsid w:val="003E67D1"/>
    <w:rsid w:val="003F109A"/>
    <w:rsid w:val="003F50F9"/>
    <w:rsid w:val="003F678C"/>
    <w:rsid w:val="00404329"/>
    <w:rsid w:val="00405DC1"/>
    <w:rsid w:val="00410697"/>
    <w:rsid w:val="00415F1F"/>
    <w:rsid w:val="0041740D"/>
    <w:rsid w:val="0042108F"/>
    <w:rsid w:val="0042211A"/>
    <w:rsid w:val="00422600"/>
    <w:rsid w:val="004248F6"/>
    <w:rsid w:val="00425EC2"/>
    <w:rsid w:val="004273B0"/>
    <w:rsid w:val="00427B3E"/>
    <w:rsid w:val="00430FED"/>
    <w:rsid w:val="00434A8C"/>
    <w:rsid w:val="00435CAD"/>
    <w:rsid w:val="00437297"/>
    <w:rsid w:val="00444284"/>
    <w:rsid w:val="00445CE6"/>
    <w:rsid w:val="004534C2"/>
    <w:rsid w:val="0045446F"/>
    <w:rsid w:val="00455018"/>
    <w:rsid w:val="0045683E"/>
    <w:rsid w:val="00460978"/>
    <w:rsid w:val="00470DF6"/>
    <w:rsid w:val="0047572E"/>
    <w:rsid w:val="00477C72"/>
    <w:rsid w:val="00491675"/>
    <w:rsid w:val="00492C25"/>
    <w:rsid w:val="00493855"/>
    <w:rsid w:val="00495E79"/>
    <w:rsid w:val="004A1D4D"/>
    <w:rsid w:val="004A57DD"/>
    <w:rsid w:val="004A5A01"/>
    <w:rsid w:val="004A7B51"/>
    <w:rsid w:val="004A7D71"/>
    <w:rsid w:val="004A7EF3"/>
    <w:rsid w:val="004B11FD"/>
    <w:rsid w:val="004B23A2"/>
    <w:rsid w:val="004B3D31"/>
    <w:rsid w:val="004B7251"/>
    <w:rsid w:val="004B7CAC"/>
    <w:rsid w:val="004D0E4C"/>
    <w:rsid w:val="004D1A5A"/>
    <w:rsid w:val="004D2FFF"/>
    <w:rsid w:val="004D3721"/>
    <w:rsid w:val="004D64F9"/>
    <w:rsid w:val="004E3A6B"/>
    <w:rsid w:val="004E3D33"/>
    <w:rsid w:val="004E5AF5"/>
    <w:rsid w:val="004E622C"/>
    <w:rsid w:val="004F49B5"/>
    <w:rsid w:val="004F5FDF"/>
    <w:rsid w:val="004F7B99"/>
    <w:rsid w:val="005157AD"/>
    <w:rsid w:val="00515810"/>
    <w:rsid w:val="005177FE"/>
    <w:rsid w:val="0052263B"/>
    <w:rsid w:val="005232FE"/>
    <w:rsid w:val="00524728"/>
    <w:rsid w:val="005331CA"/>
    <w:rsid w:val="00537970"/>
    <w:rsid w:val="00540E3A"/>
    <w:rsid w:val="00544127"/>
    <w:rsid w:val="005463A9"/>
    <w:rsid w:val="00546759"/>
    <w:rsid w:val="00552196"/>
    <w:rsid w:val="00553EB2"/>
    <w:rsid w:val="00560534"/>
    <w:rsid w:val="0056391B"/>
    <w:rsid w:val="005650E2"/>
    <w:rsid w:val="00567AD7"/>
    <w:rsid w:val="00571613"/>
    <w:rsid w:val="005754CD"/>
    <w:rsid w:val="00575B2D"/>
    <w:rsid w:val="005833D0"/>
    <w:rsid w:val="00583D8E"/>
    <w:rsid w:val="005846F3"/>
    <w:rsid w:val="0058622F"/>
    <w:rsid w:val="00587019"/>
    <w:rsid w:val="00592F82"/>
    <w:rsid w:val="00593D33"/>
    <w:rsid w:val="005954DB"/>
    <w:rsid w:val="005A0CCA"/>
    <w:rsid w:val="005A6FF2"/>
    <w:rsid w:val="005A726D"/>
    <w:rsid w:val="005B2A9B"/>
    <w:rsid w:val="005B40B9"/>
    <w:rsid w:val="005B41D4"/>
    <w:rsid w:val="005B4248"/>
    <w:rsid w:val="005B67AC"/>
    <w:rsid w:val="005B79F4"/>
    <w:rsid w:val="005C29EA"/>
    <w:rsid w:val="005D1293"/>
    <w:rsid w:val="005D43E0"/>
    <w:rsid w:val="005D58A3"/>
    <w:rsid w:val="005D6642"/>
    <w:rsid w:val="005E1B79"/>
    <w:rsid w:val="005E6076"/>
    <w:rsid w:val="005E7008"/>
    <w:rsid w:val="005F026D"/>
    <w:rsid w:val="005F25FF"/>
    <w:rsid w:val="005F2AEA"/>
    <w:rsid w:val="005F2D0B"/>
    <w:rsid w:val="005F4B31"/>
    <w:rsid w:val="00601419"/>
    <w:rsid w:val="0060521C"/>
    <w:rsid w:val="00610388"/>
    <w:rsid w:val="00610AC7"/>
    <w:rsid w:val="00611B4E"/>
    <w:rsid w:val="00612CA5"/>
    <w:rsid w:val="006153EC"/>
    <w:rsid w:val="00615C25"/>
    <w:rsid w:val="00621A17"/>
    <w:rsid w:val="006245E3"/>
    <w:rsid w:val="0062478D"/>
    <w:rsid w:val="00627CC9"/>
    <w:rsid w:val="00627E7B"/>
    <w:rsid w:val="00630542"/>
    <w:rsid w:val="00632E44"/>
    <w:rsid w:val="00634622"/>
    <w:rsid w:val="00635ACC"/>
    <w:rsid w:val="00636808"/>
    <w:rsid w:val="00640012"/>
    <w:rsid w:val="00641515"/>
    <w:rsid w:val="00645031"/>
    <w:rsid w:val="00654C2F"/>
    <w:rsid w:val="00657087"/>
    <w:rsid w:val="00660210"/>
    <w:rsid w:val="006639DB"/>
    <w:rsid w:val="0066527A"/>
    <w:rsid w:val="006661EF"/>
    <w:rsid w:val="00666CE9"/>
    <w:rsid w:val="00672796"/>
    <w:rsid w:val="006769DD"/>
    <w:rsid w:val="00677AEB"/>
    <w:rsid w:val="00680EF2"/>
    <w:rsid w:val="00687A1D"/>
    <w:rsid w:val="00687A49"/>
    <w:rsid w:val="006912DA"/>
    <w:rsid w:val="00697EA1"/>
    <w:rsid w:val="006A2646"/>
    <w:rsid w:val="006A6530"/>
    <w:rsid w:val="006A71F1"/>
    <w:rsid w:val="006B3571"/>
    <w:rsid w:val="006B435A"/>
    <w:rsid w:val="006B4C64"/>
    <w:rsid w:val="006C1784"/>
    <w:rsid w:val="006D3E9F"/>
    <w:rsid w:val="006D4625"/>
    <w:rsid w:val="006D6BD5"/>
    <w:rsid w:val="006E07B9"/>
    <w:rsid w:val="006E10CE"/>
    <w:rsid w:val="006E481A"/>
    <w:rsid w:val="006E4C0F"/>
    <w:rsid w:val="006E5298"/>
    <w:rsid w:val="006F2FBC"/>
    <w:rsid w:val="006F4A78"/>
    <w:rsid w:val="006F734A"/>
    <w:rsid w:val="00700D83"/>
    <w:rsid w:val="00704852"/>
    <w:rsid w:val="007074E9"/>
    <w:rsid w:val="00713DA4"/>
    <w:rsid w:val="00714BF1"/>
    <w:rsid w:val="00717C2C"/>
    <w:rsid w:val="00721383"/>
    <w:rsid w:val="00730911"/>
    <w:rsid w:val="00730A6E"/>
    <w:rsid w:val="00730BF1"/>
    <w:rsid w:val="0073158B"/>
    <w:rsid w:val="007333CC"/>
    <w:rsid w:val="0073399A"/>
    <w:rsid w:val="00741845"/>
    <w:rsid w:val="00741ADC"/>
    <w:rsid w:val="00741C89"/>
    <w:rsid w:val="00751AC2"/>
    <w:rsid w:val="00753A72"/>
    <w:rsid w:val="007603F5"/>
    <w:rsid w:val="00762F23"/>
    <w:rsid w:val="00764DB0"/>
    <w:rsid w:val="0076764D"/>
    <w:rsid w:val="0077498C"/>
    <w:rsid w:val="00777C53"/>
    <w:rsid w:val="007809BC"/>
    <w:rsid w:val="00782247"/>
    <w:rsid w:val="00784128"/>
    <w:rsid w:val="00787BCC"/>
    <w:rsid w:val="00793173"/>
    <w:rsid w:val="00794C11"/>
    <w:rsid w:val="007A2A33"/>
    <w:rsid w:val="007A3097"/>
    <w:rsid w:val="007B0809"/>
    <w:rsid w:val="007B0F97"/>
    <w:rsid w:val="007B5C89"/>
    <w:rsid w:val="007C1FCC"/>
    <w:rsid w:val="007C61DA"/>
    <w:rsid w:val="007C6201"/>
    <w:rsid w:val="007C65F4"/>
    <w:rsid w:val="007D0192"/>
    <w:rsid w:val="007D7C92"/>
    <w:rsid w:val="007E1154"/>
    <w:rsid w:val="007E47C1"/>
    <w:rsid w:val="007E6BA4"/>
    <w:rsid w:val="007F12AB"/>
    <w:rsid w:val="007F2172"/>
    <w:rsid w:val="007F2F4B"/>
    <w:rsid w:val="007F41F8"/>
    <w:rsid w:val="007F659B"/>
    <w:rsid w:val="007F7622"/>
    <w:rsid w:val="0080454E"/>
    <w:rsid w:val="00804C32"/>
    <w:rsid w:val="00805305"/>
    <w:rsid w:val="00806302"/>
    <w:rsid w:val="00807119"/>
    <w:rsid w:val="00812CCD"/>
    <w:rsid w:val="00817358"/>
    <w:rsid w:val="0082483F"/>
    <w:rsid w:val="008279C0"/>
    <w:rsid w:val="008341A6"/>
    <w:rsid w:val="00834F92"/>
    <w:rsid w:val="00840071"/>
    <w:rsid w:val="0084532B"/>
    <w:rsid w:val="00853429"/>
    <w:rsid w:val="00863CAC"/>
    <w:rsid w:val="008723F3"/>
    <w:rsid w:val="00881DE6"/>
    <w:rsid w:val="008837A6"/>
    <w:rsid w:val="0089145D"/>
    <w:rsid w:val="00895EF1"/>
    <w:rsid w:val="008A4DF2"/>
    <w:rsid w:val="008A6CFE"/>
    <w:rsid w:val="008A771D"/>
    <w:rsid w:val="008B5333"/>
    <w:rsid w:val="008B6223"/>
    <w:rsid w:val="008C66E0"/>
    <w:rsid w:val="008D11A3"/>
    <w:rsid w:val="008D6B0A"/>
    <w:rsid w:val="008D6C8C"/>
    <w:rsid w:val="008E0BF3"/>
    <w:rsid w:val="008E30EA"/>
    <w:rsid w:val="008E3339"/>
    <w:rsid w:val="008E4136"/>
    <w:rsid w:val="008E7571"/>
    <w:rsid w:val="008F099A"/>
    <w:rsid w:val="008F20FC"/>
    <w:rsid w:val="008F5FFE"/>
    <w:rsid w:val="00902FA7"/>
    <w:rsid w:val="00905A43"/>
    <w:rsid w:val="00912C79"/>
    <w:rsid w:val="009132C7"/>
    <w:rsid w:val="00920D7E"/>
    <w:rsid w:val="00921B8C"/>
    <w:rsid w:val="0092565E"/>
    <w:rsid w:val="0093467C"/>
    <w:rsid w:val="00934924"/>
    <w:rsid w:val="00937B46"/>
    <w:rsid w:val="009408FB"/>
    <w:rsid w:val="00942123"/>
    <w:rsid w:val="00947B71"/>
    <w:rsid w:val="0095207B"/>
    <w:rsid w:val="00962045"/>
    <w:rsid w:val="00980E0F"/>
    <w:rsid w:val="00980E61"/>
    <w:rsid w:val="0098247F"/>
    <w:rsid w:val="009827D4"/>
    <w:rsid w:val="00982E7B"/>
    <w:rsid w:val="00985B93"/>
    <w:rsid w:val="00991428"/>
    <w:rsid w:val="00992676"/>
    <w:rsid w:val="009954B2"/>
    <w:rsid w:val="00996691"/>
    <w:rsid w:val="009A17B3"/>
    <w:rsid w:val="009A6A04"/>
    <w:rsid w:val="009B0723"/>
    <w:rsid w:val="009B07AD"/>
    <w:rsid w:val="009B0883"/>
    <w:rsid w:val="009B15E2"/>
    <w:rsid w:val="009B4976"/>
    <w:rsid w:val="009B6877"/>
    <w:rsid w:val="009C0B8E"/>
    <w:rsid w:val="009C1BC8"/>
    <w:rsid w:val="009C2442"/>
    <w:rsid w:val="009C2639"/>
    <w:rsid w:val="009C7B67"/>
    <w:rsid w:val="009D077D"/>
    <w:rsid w:val="009D0811"/>
    <w:rsid w:val="009D0EE1"/>
    <w:rsid w:val="009D405A"/>
    <w:rsid w:val="009D7591"/>
    <w:rsid w:val="009E18FC"/>
    <w:rsid w:val="009E2AEB"/>
    <w:rsid w:val="009E2E27"/>
    <w:rsid w:val="009E3D68"/>
    <w:rsid w:val="009E45DF"/>
    <w:rsid w:val="009E4DE3"/>
    <w:rsid w:val="009E7208"/>
    <w:rsid w:val="009F275E"/>
    <w:rsid w:val="009F7B25"/>
    <w:rsid w:val="00A024E7"/>
    <w:rsid w:val="00A02DA9"/>
    <w:rsid w:val="00A047EE"/>
    <w:rsid w:val="00A10509"/>
    <w:rsid w:val="00A1260A"/>
    <w:rsid w:val="00A2274A"/>
    <w:rsid w:val="00A235B7"/>
    <w:rsid w:val="00A2725A"/>
    <w:rsid w:val="00A27A7A"/>
    <w:rsid w:val="00A3165E"/>
    <w:rsid w:val="00A34ABE"/>
    <w:rsid w:val="00A34D38"/>
    <w:rsid w:val="00A407EF"/>
    <w:rsid w:val="00A4096F"/>
    <w:rsid w:val="00A46B4C"/>
    <w:rsid w:val="00A5033F"/>
    <w:rsid w:val="00A507DB"/>
    <w:rsid w:val="00A5117B"/>
    <w:rsid w:val="00A56311"/>
    <w:rsid w:val="00A56D34"/>
    <w:rsid w:val="00A6003B"/>
    <w:rsid w:val="00A60074"/>
    <w:rsid w:val="00A601DB"/>
    <w:rsid w:val="00A618D2"/>
    <w:rsid w:val="00A61995"/>
    <w:rsid w:val="00A6627C"/>
    <w:rsid w:val="00A71019"/>
    <w:rsid w:val="00A81029"/>
    <w:rsid w:val="00A84A90"/>
    <w:rsid w:val="00A94F58"/>
    <w:rsid w:val="00A95463"/>
    <w:rsid w:val="00A95F40"/>
    <w:rsid w:val="00A96489"/>
    <w:rsid w:val="00AA6704"/>
    <w:rsid w:val="00AA7BE3"/>
    <w:rsid w:val="00AB1B65"/>
    <w:rsid w:val="00AB2425"/>
    <w:rsid w:val="00AB685C"/>
    <w:rsid w:val="00AB6C2D"/>
    <w:rsid w:val="00AC08F7"/>
    <w:rsid w:val="00AC3839"/>
    <w:rsid w:val="00AC7082"/>
    <w:rsid w:val="00AC717C"/>
    <w:rsid w:val="00AD4BE8"/>
    <w:rsid w:val="00AE4E33"/>
    <w:rsid w:val="00AF1963"/>
    <w:rsid w:val="00AF228E"/>
    <w:rsid w:val="00B016A8"/>
    <w:rsid w:val="00B07ACB"/>
    <w:rsid w:val="00B10961"/>
    <w:rsid w:val="00B11EC7"/>
    <w:rsid w:val="00B14819"/>
    <w:rsid w:val="00B15E2F"/>
    <w:rsid w:val="00B17AA9"/>
    <w:rsid w:val="00B27E6E"/>
    <w:rsid w:val="00B31DB3"/>
    <w:rsid w:val="00B4087E"/>
    <w:rsid w:val="00B44713"/>
    <w:rsid w:val="00B51EE1"/>
    <w:rsid w:val="00B54DCB"/>
    <w:rsid w:val="00B558C3"/>
    <w:rsid w:val="00B56103"/>
    <w:rsid w:val="00B57CA7"/>
    <w:rsid w:val="00B6019A"/>
    <w:rsid w:val="00B64929"/>
    <w:rsid w:val="00B65584"/>
    <w:rsid w:val="00B734D6"/>
    <w:rsid w:val="00B736DF"/>
    <w:rsid w:val="00B743D6"/>
    <w:rsid w:val="00B74FBD"/>
    <w:rsid w:val="00B7684F"/>
    <w:rsid w:val="00B77F46"/>
    <w:rsid w:val="00B81A17"/>
    <w:rsid w:val="00B82586"/>
    <w:rsid w:val="00B829A3"/>
    <w:rsid w:val="00B83764"/>
    <w:rsid w:val="00B86DB1"/>
    <w:rsid w:val="00B87869"/>
    <w:rsid w:val="00B94F67"/>
    <w:rsid w:val="00B9639B"/>
    <w:rsid w:val="00BA05EB"/>
    <w:rsid w:val="00BA31A5"/>
    <w:rsid w:val="00BB0F2B"/>
    <w:rsid w:val="00BB4004"/>
    <w:rsid w:val="00BB7DAF"/>
    <w:rsid w:val="00BC57E4"/>
    <w:rsid w:val="00BD4A58"/>
    <w:rsid w:val="00BD4FC5"/>
    <w:rsid w:val="00BD7337"/>
    <w:rsid w:val="00BE4C80"/>
    <w:rsid w:val="00BE4FF3"/>
    <w:rsid w:val="00BF28D6"/>
    <w:rsid w:val="00BF4138"/>
    <w:rsid w:val="00BF4869"/>
    <w:rsid w:val="00BF50F7"/>
    <w:rsid w:val="00C00D00"/>
    <w:rsid w:val="00C01477"/>
    <w:rsid w:val="00C02F29"/>
    <w:rsid w:val="00C037C1"/>
    <w:rsid w:val="00C174D4"/>
    <w:rsid w:val="00C20AFE"/>
    <w:rsid w:val="00C22A25"/>
    <w:rsid w:val="00C242CC"/>
    <w:rsid w:val="00C35671"/>
    <w:rsid w:val="00C35B77"/>
    <w:rsid w:val="00C362AA"/>
    <w:rsid w:val="00C376EB"/>
    <w:rsid w:val="00C43A10"/>
    <w:rsid w:val="00C46A92"/>
    <w:rsid w:val="00C46EC1"/>
    <w:rsid w:val="00C52796"/>
    <w:rsid w:val="00C53E2C"/>
    <w:rsid w:val="00C550C8"/>
    <w:rsid w:val="00C56B61"/>
    <w:rsid w:val="00C606C3"/>
    <w:rsid w:val="00C60DEE"/>
    <w:rsid w:val="00C620F4"/>
    <w:rsid w:val="00C651D6"/>
    <w:rsid w:val="00C65E4F"/>
    <w:rsid w:val="00C72848"/>
    <w:rsid w:val="00C7736C"/>
    <w:rsid w:val="00C82D87"/>
    <w:rsid w:val="00C8712A"/>
    <w:rsid w:val="00C87E0A"/>
    <w:rsid w:val="00C902C8"/>
    <w:rsid w:val="00C919D1"/>
    <w:rsid w:val="00C9248B"/>
    <w:rsid w:val="00C963D3"/>
    <w:rsid w:val="00CA164B"/>
    <w:rsid w:val="00CB1983"/>
    <w:rsid w:val="00CB2CBB"/>
    <w:rsid w:val="00CB6578"/>
    <w:rsid w:val="00CB7CAC"/>
    <w:rsid w:val="00CC1050"/>
    <w:rsid w:val="00CC175B"/>
    <w:rsid w:val="00CC4818"/>
    <w:rsid w:val="00CC5335"/>
    <w:rsid w:val="00CC5786"/>
    <w:rsid w:val="00CC5BA4"/>
    <w:rsid w:val="00CC5FDA"/>
    <w:rsid w:val="00CD471C"/>
    <w:rsid w:val="00CD4998"/>
    <w:rsid w:val="00CD749C"/>
    <w:rsid w:val="00CE1035"/>
    <w:rsid w:val="00CE6E50"/>
    <w:rsid w:val="00CF2819"/>
    <w:rsid w:val="00CF4F9D"/>
    <w:rsid w:val="00CF70DC"/>
    <w:rsid w:val="00D041E0"/>
    <w:rsid w:val="00D14336"/>
    <w:rsid w:val="00D148DC"/>
    <w:rsid w:val="00D17FDC"/>
    <w:rsid w:val="00D21021"/>
    <w:rsid w:val="00D21D8C"/>
    <w:rsid w:val="00D22B8F"/>
    <w:rsid w:val="00D316F2"/>
    <w:rsid w:val="00D46513"/>
    <w:rsid w:val="00D4676C"/>
    <w:rsid w:val="00D504F6"/>
    <w:rsid w:val="00D53719"/>
    <w:rsid w:val="00D5415A"/>
    <w:rsid w:val="00D620FD"/>
    <w:rsid w:val="00D63EFD"/>
    <w:rsid w:val="00D6619B"/>
    <w:rsid w:val="00D707F2"/>
    <w:rsid w:val="00D84752"/>
    <w:rsid w:val="00D86B3B"/>
    <w:rsid w:val="00D8748A"/>
    <w:rsid w:val="00D92F3E"/>
    <w:rsid w:val="00D93196"/>
    <w:rsid w:val="00DA0DC0"/>
    <w:rsid w:val="00DA1D45"/>
    <w:rsid w:val="00DA6548"/>
    <w:rsid w:val="00DA7F1E"/>
    <w:rsid w:val="00DB243C"/>
    <w:rsid w:val="00DB482A"/>
    <w:rsid w:val="00DB4E85"/>
    <w:rsid w:val="00DB50FB"/>
    <w:rsid w:val="00DB56F2"/>
    <w:rsid w:val="00DB6EF5"/>
    <w:rsid w:val="00DC2B2E"/>
    <w:rsid w:val="00DC3089"/>
    <w:rsid w:val="00DC359F"/>
    <w:rsid w:val="00DC4420"/>
    <w:rsid w:val="00DD0802"/>
    <w:rsid w:val="00DD2E11"/>
    <w:rsid w:val="00DD4B2A"/>
    <w:rsid w:val="00DE03AF"/>
    <w:rsid w:val="00DE121C"/>
    <w:rsid w:val="00DE21CD"/>
    <w:rsid w:val="00DE26B8"/>
    <w:rsid w:val="00DE5357"/>
    <w:rsid w:val="00DE6633"/>
    <w:rsid w:val="00DF158F"/>
    <w:rsid w:val="00DF1A33"/>
    <w:rsid w:val="00DF5275"/>
    <w:rsid w:val="00DF75F8"/>
    <w:rsid w:val="00DF7A3A"/>
    <w:rsid w:val="00E00C00"/>
    <w:rsid w:val="00E07C5A"/>
    <w:rsid w:val="00E12EC4"/>
    <w:rsid w:val="00E14C79"/>
    <w:rsid w:val="00E15BA9"/>
    <w:rsid w:val="00E26E10"/>
    <w:rsid w:val="00E26E19"/>
    <w:rsid w:val="00E30E60"/>
    <w:rsid w:val="00E31DF3"/>
    <w:rsid w:val="00E33EBC"/>
    <w:rsid w:val="00E40083"/>
    <w:rsid w:val="00E44919"/>
    <w:rsid w:val="00E4506A"/>
    <w:rsid w:val="00E450A4"/>
    <w:rsid w:val="00E506BE"/>
    <w:rsid w:val="00E513D0"/>
    <w:rsid w:val="00E53520"/>
    <w:rsid w:val="00E54704"/>
    <w:rsid w:val="00E55547"/>
    <w:rsid w:val="00E56296"/>
    <w:rsid w:val="00E56A60"/>
    <w:rsid w:val="00E579EC"/>
    <w:rsid w:val="00E6302B"/>
    <w:rsid w:val="00E6452F"/>
    <w:rsid w:val="00E64743"/>
    <w:rsid w:val="00E64F45"/>
    <w:rsid w:val="00E6742D"/>
    <w:rsid w:val="00E71CB0"/>
    <w:rsid w:val="00E766E1"/>
    <w:rsid w:val="00E77C3D"/>
    <w:rsid w:val="00E86CB2"/>
    <w:rsid w:val="00E90991"/>
    <w:rsid w:val="00E909F0"/>
    <w:rsid w:val="00E90D47"/>
    <w:rsid w:val="00E935EA"/>
    <w:rsid w:val="00E93993"/>
    <w:rsid w:val="00E947AE"/>
    <w:rsid w:val="00E9597C"/>
    <w:rsid w:val="00EA0913"/>
    <w:rsid w:val="00EA5B00"/>
    <w:rsid w:val="00EB146B"/>
    <w:rsid w:val="00EB45AC"/>
    <w:rsid w:val="00EC1A0D"/>
    <w:rsid w:val="00EC441F"/>
    <w:rsid w:val="00EC4755"/>
    <w:rsid w:val="00ED0BC4"/>
    <w:rsid w:val="00ED11D5"/>
    <w:rsid w:val="00ED20F6"/>
    <w:rsid w:val="00ED447D"/>
    <w:rsid w:val="00ED738F"/>
    <w:rsid w:val="00ED74BC"/>
    <w:rsid w:val="00EE0063"/>
    <w:rsid w:val="00EE4971"/>
    <w:rsid w:val="00EE6F0B"/>
    <w:rsid w:val="00EF090E"/>
    <w:rsid w:val="00EF41D7"/>
    <w:rsid w:val="00EF5572"/>
    <w:rsid w:val="00EF5ADE"/>
    <w:rsid w:val="00EF7B64"/>
    <w:rsid w:val="00F033DA"/>
    <w:rsid w:val="00F13691"/>
    <w:rsid w:val="00F13FB1"/>
    <w:rsid w:val="00F17AB5"/>
    <w:rsid w:val="00F2596F"/>
    <w:rsid w:val="00F27CD8"/>
    <w:rsid w:val="00F30351"/>
    <w:rsid w:val="00F30F34"/>
    <w:rsid w:val="00F3323E"/>
    <w:rsid w:val="00F341F4"/>
    <w:rsid w:val="00F347B7"/>
    <w:rsid w:val="00F34F9D"/>
    <w:rsid w:val="00F35CCE"/>
    <w:rsid w:val="00F429FF"/>
    <w:rsid w:val="00F53EB8"/>
    <w:rsid w:val="00F5524B"/>
    <w:rsid w:val="00F60538"/>
    <w:rsid w:val="00F61DD2"/>
    <w:rsid w:val="00F66AFF"/>
    <w:rsid w:val="00F709DB"/>
    <w:rsid w:val="00F71433"/>
    <w:rsid w:val="00F808F6"/>
    <w:rsid w:val="00F85092"/>
    <w:rsid w:val="00F92140"/>
    <w:rsid w:val="00F93D0F"/>
    <w:rsid w:val="00F97C5B"/>
    <w:rsid w:val="00FA3D50"/>
    <w:rsid w:val="00FB0CF5"/>
    <w:rsid w:val="00FB7379"/>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1E4"/>
    <w:rsid w:val="00FE45A4"/>
    <w:rsid w:val="00FE5DB8"/>
    <w:rsid w:val="00FF296F"/>
    <w:rsid w:val="00FF5E23"/>
    <w:rsid w:val="00FF7333"/>
    <w:rsid w:val="00FF73D9"/>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F60C0D9F9CE45830288B8746F4EA4" ma:contentTypeVersion="11" ma:contentTypeDescription="Create a new document." ma:contentTypeScope="" ma:versionID="54613693b44262a72666a734ae5af7d2">
  <xsd:schema xmlns:xsd="http://www.w3.org/2001/XMLSchema" xmlns:xs="http://www.w3.org/2001/XMLSchema" xmlns:p="http://schemas.microsoft.com/office/2006/metadata/properties" xmlns:ns2="90610fcc-e982-41a4-a4fe-4b865b7bfcbd" xmlns:ns3="8ef4461b-0a7f-4cb5-a62f-253dbf3b05ed" targetNamespace="http://schemas.microsoft.com/office/2006/metadata/properties" ma:root="true" ma:fieldsID="103b09d75a47700290dcfea48737be11" ns2:_="" ns3:_="">
    <xsd:import namespace="90610fcc-e982-41a4-a4fe-4b865b7bfcbd"/>
    <xsd:import namespace="8ef4461b-0a7f-4cb5-a62f-253dbf3b0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10fcc-e982-41a4-a4fe-4b865b7bfc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f4461b-0a7f-4cb5-a62f-253dbf3b05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0610fcc-e982-41a4-a4fe-4b865b7bfcbd">FLXBUHLED-739507188-8057</_dlc_DocId>
    <_dlc_DocIdUrl xmlns="90610fcc-e982-41a4-a4fe-4b865b7bfcbd">
      <Url>https://fluxmans.sharepoint.com/sites/FLX-GRP-BuhleDuma/_layouts/15/DocIdRedir.aspx?ID=FLXBUHLED-739507188-8057</Url>
      <Description>FLXBUHLED-739507188-8057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2202-5BF1-44D9-A18C-DCEBBC4CA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10fcc-e982-41a4-a4fe-4b865b7bfcbd"/>
    <ds:schemaRef ds:uri="8ef4461b-0a7f-4cb5-a62f-253dbf3b0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F8170-9DC4-4493-AEFF-4B06BAB0BDA1}">
  <ds:schemaRefs>
    <ds:schemaRef ds:uri="http://schemas.microsoft.com/sharepoint/events"/>
  </ds:schemaRefs>
</ds:datastoreItem>
</file>

<file path=customXml/itemProps3.xml><?xml version="1.0" encoding="utf-8"?>
<ds:datastoreItem xmlns:ds="http://schemas.openxmlformats.org/officeDocument/2006/customXml" ds:itemID="{247CF5B4-3492-4677-86A9-67BD056D4028}">
  <ds:schemaRefs>
    <ds:schemaRef ds:uri="http://schemas.microsoft.com/sharepoint/v3/contenttype/forms"/>
  </ds:schemaRefs>
</ds:datastoreItem>
</file>

<file path=customXml/itemProps4.xml><?xml version="1.0" encoding="utf-8"?>
<ds:datastoreItem xmlns:ds="http://schemas.openxmlformats.org/officeDocument/2006/customXml" ds:itemID="{651FA035-3144-4E9D-B6D7-8B1C40DBB835}">
  <ds:schemaRefs>
    <ds:schemaRef ds:uri="http://purl.org/dc/elements/1.1/"/>
    <ds:schemaRef ds:uri="http://schemas.microsoft.com/office/2006/metadata/properties"/>
    <ds:schemaRef ds:uri="8ef4461b-0a7f-4cb5-a62f-253dbf3b05ed"/>
    <ds:schemaRef ds:uri="90610fcc-e982-41a4-a4fe-4b865b7bfcbd"/>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7091977-244F-4DE8-9DEF-36EFA28C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14</Pages>
  <Words>5544</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202021IFU-289.assessment3A</vt:lpstr>
    </vt:vector>
  </TitlesOfParts>
  <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202021IFU-289.assessment3A</dc:title>
  <dc:subject/>
  <dc:creator>Microsoft Office User</dc:creator>
  <cp:keywords/>
  <dc:description/>
  <cp:lastModifiedBy>Buhle Duma</cp:lastModifiedBy>
  <cp:revision>176</cp:revision>
  <cp:lastPrinted>2022-02-04T12:13:00Z</cp:lastPrinted>
  <dcterms:created xsi:type="dcterms:W3CDTF">2022-02-04T12:19:00Z</dcterms:created>
  <dcterms:modified xsi:type="dcterms:W3CDTF">2022-03-01T12:21:00Z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0x010100990F60C0D9F9CE45830288B8746F4EA4</vt:lpwstr>
  </property>
  <property fmtid="{D5CDD505-2E9C-101B-9397-08002B2CF9AE}" pid="3" name="_dlc_DocIdItemGuid">
    <vt:lpwstr>d7f48521-2bff-47f8-a823-db506a9b6668</vt:lpwstr>
  </property>
  <property fmtid="{D5CDD505-2E9C-101B-9397-08002B2CF9AE}" pid="4" name="Order">
    <vt:r8>802900</vt:r8>
  </property>
</Properties>
</file>