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 xml:space="preserve">SUMMATIVE (FORMAL) </w:t>
      </w:r>
      <w:r w:rsidR="009D0811" w:rsidRPr="00F62E7A">
        <w:rPr>
          <w:rFonts w:ascii="Arial" w:hAnsi="Arial" w:cs="Arial"/>
          <w:b/>
          <w:color w:val="000000" w:themeColor="text1"/>
          <w:lang w:val="en-GB"/>
        </w:rPr>
        <w:t xml:space="preserve">ASSESSMENT: MODULE </w:t>
      </w:r>
      <w:r w:rsidR="002903A7" w:rsidRPr="00F62E7A">
        <w:rPr>
          <w:rFonts w:ascii="Arial" w:hAnsi="Arial" w:cs="Arial"/>
          <w:b/>
          <w:color w:val="000000" w:themeColor="text1"/>
          <w:lang w:val="en-GB"/>
        </w:rPr>
        <w:t>3</w:t>
      </w:r>
      <w:r w:rsidR="002356EA" w:rsidRPr="00F62E7A">
        <w:rPr>
          <w:rFonts w:ascii="Arial" w:hAnsi="Arial" w:cs="Arial"/>
          <w:b/>
          <w:color w:val="000000" w:themeColor="text1"/>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 xml:space="preserve">THE </w:t>
      </w:r>
      <w:r w:rsidR="002903A7" w:rsidRPr="00F62E7A">
        <w:rPr>
          <w:rFonts w:ascii="Arial" w:hAnsi="Arial" w:cs="Arial"/>
          <w:b/>
          <w:color w:val="000000" w:themeColor="text1"/>
          <w:lang w:val="en-GB"/>
        </w:rPr>
        <w:t xml:space="preserve">INSOLVENCY SYSTEM OF THE UNITED </w:t>
      </w:r>
      <w:r w:rsidR="002356EA" w:rsidRPr="00F62E7A">
        <w:rPr>
          <w:rFonts w:ascii="Arial" w:hAnsi="Arial" w:cs="Arial"/>
          <w:b/>
          <w:color w:val="000000" w:themeColor="text1"/>
          <w:lang w:val="en-GB"/>
        </w:rPr>
        <w:t>KINGDOM</w:t>
      </w:r>
      <w:r w:rsidR="007A5171" w:rsidRPr="00F62E7A">
        <w:rPr>
          <w:rFonts w:ascii="Arial" w:hAnsi="Arial" w:cs="Arial"/>
          <w:b/>
          <w:color w:val="000000" w:themeColor="text1"/>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rPr>
        <w:t>[student</w:t>
      </w:r>
      <w:r w:rsidR="00F62E7A">
        <w:rPr>
          <w:rFonts w:ascii="Arial" w:hAnsi="Arial" w:cs="Arial"/>
          <w:b/>
          <w:bCs/>
          <w:sz w:val="22"/>
          <w:szCs w:val="22"/>
          <w:lang w:val="en-GB"/>
        </w:rPr>
        <w:t>ID</w:t>
      </w:r>
      <w:r w:rsidRPr="00BF1C6F">
        <w:rPr>
          <w:rFonts w:ascii="Arial" w:hAnsi="Arial" w:cs="Arial"/>
          <w:b/>
          <w:bCs/>
          <w:sz w:val="22"/>
          <w:szCs w:val="22"/>
          <w:lang w:val="en-GB"/>
        </w:rPr>
        <w:t>.assessment</w:t>
      </w:r>
      <w:r>
        <w:rPr>
          <w:rFonts w:ascii="Arial" w:hAnsi="Arial" w:cs="Arial"/>
          <w:b/>
          <w:bCs/>
          <w:sz w:val="22"/>
          <w:szCs w:val="22"/>
          <w:lang w:val="en-GB"/>
        </w:rPr>
        <w:t>3B</w:t>
      </w:r>
      <w:r w:rsidRPr="00BF1C6F">
        <w:rPr>
          <w:rFonts w:ascii="Arial" w:hAnsi="Arial" w:cs="Arial"/>
          <w:b/>
          <w:bCs/>
          <w:sz w:val="22"/>
          <w:szCs w:val="22"/>
          <w:lang w:val="en-GB"/>
        </w:rPr>
        <w:t>]</w:t>
      </w:r>
      <w:r w:rsidRPr="00BF1C6F">
        <w:rPr>
          <w:rFonts w:ascii="Arial" w:hAnsi="Arial" w:cs="Arial"/>
          <w:sz w:val="22"/>
          <w:szCs w:val="22"/>
          <w:lang w:val="en-GB"/>
        </w:rPr>
        <w:t>. An example would be something along the following lines: 2022</w:t>
      </w:r>
      <w:r w:rsidR="00F62E7A">
        <w:rPr>
          <w:rFonts w:ascii="Arial" w:hAnsi="Arial" w:cs="Arial"/>
          <w:sz w:val="22"/>
          <w:szCs w:val="22"/>
          <w:lang w:val="en-GB"/>
        </w:rPr>
        <w:t>2</w:t>
      </w:r>
      <w:r w:rsidRPr="00BF1C6F">
        <w:rPr>
          <w:rFonts w:ascii="Arial" w:hAnsi="Arial" w:cs="Arial"/>
          <w:sz w:val="22"/>
          <w:szCs w:val="22"/>
          <w:lang w:val="en-GB"/>
        </w:rPr>
        <w:t>-</w:t>
      </w:r>
      <w:r w:rsidR="00F62E7A">
        <w:rPr>
          <w:rFonts w:ascii="Arial" w:hAnsi="Arial" w:cs="Arial"/>
          <w:sz w:val="22"/>
          <w:szCs w:val="22"/>
          <w:lang w:val="en-GB"/>
        </w:rPr>
        <w:t>5</w:t>
      </w:r>
      <w:r w:rsidRPr="00BF1C6F">
        <w:rPr>
          <w:rFonts w:ascii="Arial" w:hAnsi="Arial" w:cs="Arial"/>
          <w:sz w:val="22"/>
          <w:szCs w:val="22"/>
          <w:lang w:val="en-GB"/>
        </w:rPr>
        <w:t>14.assessment</w:t>
      </w:r>
      <w:r>
        <w:rPr>
          <w:rFonts w:ascii="Arial" w:hAnsi="Arial" w:cs="Arial"/>
          <w:sz w:val="22"/>
          <w:szCs w:val="22"/>
          <w:lang w:val="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36A1D517" w14:textId="60A93F3A" w:rsidR="00F87B04" w:rsidRDefault="00F87B04">
      <w:pPr>
        <w:rPr>
          <w:rFonts w:ascii="Arial" w:hAnsi="Arial" w:cs="Arial"/>
          <w:sz w:val="22"/>
          <w:szCs w:val="22"/>
          <w:lang w:val="en-GB"/>
        </w:rPr>
      </w:pPr>
    </w:p>
    <w:p w14:paraId="57EB8420" w14:textId="77777777" w:rsidR="0085029F" w:rsidRDefault="0085029F">
      <w:pPr>
        <w:rPr>
          <w:rFonts w:ascii="Arial" w:hAnsi="Arial" w:cs="Arial"/>
          <w:b/>
          <w:sz w:val="22"/>
          <w:szCs w:val="22"/>
          <w:u w:val="single"/>
          <w:lang w:val="en-GB"/>
        </w:rPr>
      </w:pP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85029F" w:rsidRDefault="00AE5B6F" w:rsidP="00B04033">
      <w:pPr>
        <w:pStyle w:val="ListParagraph"/>
        <w:numPr>
          <w:ilvl w:val="0"/>
          <w:numId w:val="1"/>
        </w:numPr>
        <w:ind w:left="426"/>
        <w:jc w:val="both"/>
        <w:rPr>
          <w:rFonts w:ascii="Arial" w:hAnsi="Arial" w:cs="Arial"/>
          <w:sz w:val="22"/>
          <w:szCs w:val="22"/>
          <w:highlight w:val="yellow"/>
          <w:lang w:val="en-GB"/>
        </w:rPr>
      </w:pPr>
      <w:r w:rsidRPr="0085029F">
        <w:rPr>
          <w:rFonts w:ascii="Arial" w:hAnsi="Arial" w:cs="Arial"/>
          <w:sz w:val="22"/>
          <w:szCs w:val="22"/>
          <w:highlight w:val="yellow"/>
          <w:lang w:val="en-GB"/>
        </w:rPr>
        <w:t>w</w:t>
      </w:r>
      <w:r w:rsidR="00C91062" w:rsidRPr="0085029F">
        <w:rPr>
          <w:rFonts w:ascii="Arial" w:hAnsi="Arial" w:cs="Arial"/>
          <w:sz w:val="22"/>
          <w:szCs w:val="22"/>
          <w:highlight w:val="yellow"/>
          <w:lang w:val="en-GB"/>
        </w:rPr>
        <w:t>ithin 8 weeks of the commencement of the administration</w:t>
      </w:r>
      <w:r w:rsidR="00763348" w:rsidRPr="0085029F">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387435" w:rsidRDefault="00E443D7" w:rsidP="00B04033">
      <w:pPr>
        <w:pStyle w:val="ListParagraph"/>
        <w:numPr>
          <w:ilvl w:val="0"/>
          <w:numId w:val="2"/>
        </w:numPr>
        <w:ind w:left="426"/>
        <w:jc w:val="both"/>
        <w:rPr>
          <w:rFonts w:ascii="Arial" w:hAnsi="Arial" w:cs="Arial"/>
          <w:sz w:val="22"/>
          <w:szCs w:val="22"/>
          <w:highlight w:val="yellow"/>
          <w:lang w:val="en-GB"/>
        </w:rPr>
      </w:pPr>
      <w:r w:rsidRPr="00387435">
        <w:rPr>
          <w:rFonts w:ascii="Arial" w:hAnsi="Arial" w:cs="Arial"/>
          <w:sz w:val="22"/>
          <w:szCs w:val="22"/>
          <w:highlight w:val="yellow"/>
          <w:lang w:val="en-GB"/>
        </w:rPr>
        <w:t>One year</w:t>
      </w:r>
      <w:r w:rsidR="00763348" w:rsidRPr="0038743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6E1604" w:rsidRDefault="00AE5B6F" w:rsidP="00B04033">
      <w:pPr>
        <w:pStyle w:val="ListParagraph"/>
        <w:numPr>
          <w:ilvl w:val="0"/>
          <w:numId w:val="3"/>
        </w:numPr>
        <w:ind w:left="426"/>
        <w:jc w:val="both"/>
        <w:rPr>
          <w:rFonts w:ascii="Arial" w:hAnsi="Arial" w:cs="Arial"/>
          <w:sz w:val="22"/>
          <w:szCs w:val="22"/>
          <w:highlight w:val="yellow"/>
          <w:lang w:val="en-GB"/>
        </w:rPr>
      </w:pPr>
      <w:r w:rsidRPr="006E1604">
        <w:rPr>
          <w:rFonts w:ascii="Arial" w:hAnsi="Arial" w:cs="Arial"/>
          <w:sz w:val="22"/>
          <w:szCs w:val="22"/>
          <w:highlight w:val="yellow"/>
          <w:lang w:val="en-GB"/>
        </w:rPr>
        <w:t>T</w:t>
      </w:r>
      <w:r w:rsidR="008D1616" w:rsidRPr="006E1604">
        <w:rPr>
          <w:rFonts w:ascii="Arial" w:hAnsi="Arial" w:cs="Arial"/>
          <w:sz w:val="22"/>
          <w:szCs w:val="22"/>
          <w:highlight w:val="yellow"/>
          <w:lang w:val="en-GB"/>
        </w:rPr>
        <w:t>he company is, or is likely to become, unable to pay their debts, as defined under s</w:t>
      </w:r>
      <w:r w:rsidR="00E833F4" w:rsidRPr="006E1604">
        <w:rPr>
          <w:rFonts w:ascii="Arial" w:hAnsi="Arial" w:cs="Arial"/>
          <w:sz w:val="22"/>
          <w:szCs w:val="22"/>
          <w:highlight w:val="yellow"/>
          <w:lang w:val="en-GB"/>
        </w:rPr>
        <w:t>ection</w:t>
      </w:r>
      <w:r w:rsidR="008D1616" w:rsidRPr="006E1604">
        <w:rPr>
          <w:rFonts w:ascii="Arial" w:hAnsi="Arial" w:cs="Arial"/>
          <w:sz w:val="22"/>
          <w:szCs w:val="22"/>
          <w:highlight w:val="yellow"/>
          <w:lang w:val="en-GB"/>
        </w:rPr>
        <w:t xml:space="preserve"> 123 of the Insolvency Act 1986</w:t>
      </w:r>
      <w:r w:rsidR="00763348" w:rsidRPr="006E1604">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6E1604" w:rsidRDefault="00C91062" w:rsidP="00B04033">
      <w:pPr>
        <w:pStyle w:val="ListParagraph"/>
        <w:numPr>
          <w:ilvl w:val="0"/>
          <w:numId w:val="4"/>
        </w:numPr>
        <w:ind w:left="426"/>
        <w:jc w:val="both"/>
        <w:rPr>
          <w:rFonts w:ascii="Arial" w:hAnsi="Arial" w:cs="Arial"/>
          <w:sz w:val="22"/>
          <w:szCs w:val="22"/>
          <w:highlight w:val="yellow"/>
          <w:lang w:val="en-GB"/>
        </w:rPr>
      </w:pPr>
      <w:r w:rsidRPr="006E1604">
        <w:rPr>
          <w:rFonts w:ascii="Arial" w:hAnsi="Arial" w:cs="Arial"/>
          <w:sz w:val="22"/>
          <w:szCs w:val="22"/>
          <w:highlight w:val="yellow"/>
          <w:lang w:val="en-GB"/>
        </w:rPr>
        <w:t>The administrator</w:t>
      </w:r>
      <w:r w:rsidR="00763348" w:rsidRPr="006E1604">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6E1604" w:rsidRDefault="00BA1CFD" w:rsidP="00B04033">
      <w:pPr>
        <w:pStyle w:val="ListParagraph"/>
        <w:numPr>
          <w:ilvl w:val="0"/>
          <w:numId w:val="5"/>
        </w:numPr>
        <w:ind w:left="426"/>
        <w:jc w:val="both"/>
        <w:rPr>
          <w:rFonts w:ascii="Arial" w:hAnsi="Arial" w:cs="Arial"/>
          <w:sz w:val="22"/>
          <w:szCs w:val="22"/>
          <w:highlight w:val="yellow"/>
          <w:lang w:val="en-GB"/>
        </w:rPr>
      </w:pPr>
      <w:r w:rsidRPr="006E1604">
        <w:rPr>
          <w:rFonts w:ascii="Arial" w:hAnsi="Arial" w:cs="Arial"/>
          <w:sz w:val="22"/>
          <w:szCs w:val="22"/>
          <w:highlight w:val="yellow"/>
          <w:lang w:val="en-GB"/>
        </w:rPr>
        <w:t>Administration</w:t>
      </w:r>
      <w:r w:rsidR="00763348" w:rsidRPr="006E1604">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6E1604" w:rsidRDefault="00BA1CFD" w:rsidP="00B04033">
      <w:pPr>
        <w:pStyle w:val="ListParagraph"/>
        <w:numPr>
          <w:ilvl w:val="0"/>
          <w:numId w:val="6"/>
        </w:numPr>
        <w:ind w:left="426"/>
        <w:jc w:val="both"/>
        <w:rPr>
          <w:rFonts w:ascii="Arial" w:hAnsi="Arial" w:cs="Arial"/>
          <w:sz w:val="22"/>
          <w:szCs w:val="22"/>
          <w:highlight w:val="yellow"/>
          <w:lang w:val="en-GB"/>
        </w:rPr>
      </w:pPr>
      <w:r w:rsidRPr="006E1604">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6E1604" w:rsidRDefault="00BA1CFD" w:rsidP="00B04033">
      <w:pPr>
        <w:pStyle w:val="ListParagraph"/>
        <w:numPr>
          <w:ilvl w:val="0"/>
          <w:numId w:val="7"/>
        </w:numPr>
        <w:ind w:left="426"/>
        <w:jc w:val="both"/>
        <w:rPr>
          <w:rFonts w:ascii="Arial" w:hAnsi="Arial" w:cs="Arial"/>
          <w:sz w:val="22"/>
          <w:szCs w:val="22"/>
          <w:highlight w:val="yellow"/>
          <w:lang w:val="en-GB"/>
        </w:rPr>
      </w:pPr>
      <w:r w:rsidRPr="006E1604">
        <w:rPr>
          <w:rFonts w:ascii="Arial" w:hAnsi="Arial" w:cs="Arial"/>
          <w:sz w:val="22"/>
          <w:szCs w:val="22"/>
          <w:highlight w:val="yellow"/>
          <w:lang w:val="en-GB"/>
        </w:rPr>
        <w:t>Being found guilty of an indictable offence overseas</w:t>
      </w:r>
      <w:r w:rsidR="00763348" w:rsidRPr="006E1604">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F10DC" w:rsidRDefault="00876F56" w:rsidP="00B04033">
      <w:pPr>
        <w:pStyle w:val="ListParagraph"/>
        <w:numPr>
          <w:ilvl w:val="0"/>
          <w:numId w:val="8"/>
        </w:numPr>
        <w:ind w:left="426"/>
        <w:jc w:val="both"/>
        <w:rPr>
          <w:rFonts w:ascii="Arial" w:hAnsi="Arial" w:cs="Arial"/>
          <w:sz w:val="22"/>
          <w:szCs w:val="22"/>
          <w:highlight w:val="yellow"/>
          <w:lang w:val="en-GB"/>
        </w:rPr>
      </w:pPr>
      <w:r w:rsidRPr="003F10DC">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F10DC" w:rsidRDefault="00E833F4" w:rsidP="00B04033">
      <w:pPr>
        <w:pStyle w:val="ListParagraph"/>
        <w:numPr>
          <w:ilvl w:val="0"/>
          <w:numId w:val="9"/>
        </w:numPr>
        <w:ind w:left="426"/>
        <w:jc w:val="both"/>
        <w:rPr>
          <w:rFonts w:ascii="Arial" w:hAnsi="Arial" w:cs="Arial"/>
          <w:sz w:val="22"/>
          <w:szCs w:val="22"/>
          <w:highlight w:val="yellow"/>
          <w:lang w:val="en-GB"/>
        </w:rPr>
      </w:pPr>
      <w:r w:rsidRPr="003F10DC">
        <w:rPr>
          <w:rFonts w:ascii="Arial" w:hAnsi="Arial" w:cs="Arial"/>
          <w:sz w:val="22"/>
          <w:szCs w:val="22"/>
          <w:highlight w:val="yellow"/>
          <w:lang w:val="en-GB"/>
        </w:rPr>
        <w:t>A</w:t>
      </w:r>
      <w:r w:rsidR="000D10C6" w:rsidRPr="003F10DC">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F19AA" w:rsidRDefault="0020204E" w:rsidP="00B04033">
      <w:pPr>
        <w:pStyle w:val="ListParagraph"/>
        <w:numPr>
          <w:ilvl w:val="0"/>
          <w:numId w:val="10"/>
        </w:numPr>
        <w:ind w:left="426"/>
        <w:jc w:val="both"/>
        <w:rPr>
          <w:rFonts w:ascii="Arial" w:hAnsi="Arial" w:cs="Arial"/>
          <w:sz w:val="22"/>
          <w:szCs w:val="22"/>
          <w:highlight w:val="yellow"/>
          <w:lang w:val="en-GB"/>
        </w:rPr>
      </w:pPr>
      <w:r w:rsidRPr="00AF19AA">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52192E14" w14:textId="77777777" w:rsidR="00222B27" w:rsidRPr="002A37BB" w:rsidRDefault="00222B27" w:rsidP="002A37BB">
      <w:pPr>
        <w:ind w:left="720" w:hanging="720"/>
        <w:jc w:val="both"/>
        <w:rPr>
          <w:rFonts w:ascii="Arial" w:hAnsi="Arial" w:cs="Arial"/>
          <w:sz w:val="22"/>
          <w:szCs w:val="22"/>
          <w:lang w:val="en-GB"/>
        </w:rPr>
      </w:pPr>
    </w:p>
    <w:p w14:paraId="63C7F996" w14:textId="2307185E" w:rsidR="005C5819" w:rsidRPr="00705161" w:rsidRDefault="00222B27" w:rsidP="000706DE">
      <w:pPr>
        <w:jc w:val="both"/>
        <w:rPr>
          <w:rFonts w:ascii="Arial" w:hAnsi="Arial" w:cs="Arial"/>
          <w:color w:val="7B7B7B" w:themeColor="accent3" w:themeShade="BF"/>
          <w:sz w:val="22"/>
          <w:szCs w:val="22"/>
        </w:rPr>
      </w:pPr>
      <w:r w:rsidRPr="000706DE">
        <w:rPr>
          <w:rFonts w:ascii="Arial" w:hAnsi="Arial" w:cs="Arial"/>
          <w:color w:val="7B7B7B" w:themeColor="accent3" w:themeShade="BF"/>
          <w:sz w:val="22"/>
          <w:szCs w:val="22"/>
        </w:rPr>
        <w:t xml:space="preserve">Section 423 </w:t>
      </w:r>
      <w:r w:rsidR="005C5819" w:rsidRPr="000706DE">
        <w:rPr>
          <w:rFonts w:ascii="Arial" w:hAnsi="Arial" w:cs="Arial"/>
          <w:color w:val="7B7B7B" w:themeColor="accent3" w:themeShade="BF"/>
          <w:sz w:val="22"/>
          <w:szCs w:val="22"/>
        </w:rPr>
        <w:t xml:space="preserve">of the Insolvency Act 1986, </w:t>
      </w:r>
      <w:r w:rsidRPr="000706DE">
        <w:rPr>
          <w:rFonts w:ascii="Arial" w:hAnsi="Arial" w:cs="Arial"/>
          <w:color w:val="7B7B7B" w:themeColor="accent3" w:themeShade="BF"/>
          <w:sz w:val="22"/>
          <w:szCs w:val="22"/>
        </w:rPr>
        <w:t xml:space="preserve">relates to transactions entered into at an undervalue which intend to defrauding the creditors. </w:t>
      </w:r>
      <w:r w:rsidR="00705161" w:rsidRPr="000706DE">
        <w:rPr>
          <w:rFonts w:ascii="Arial" w:hAnsi="Arial" w:cs="Arial"/>
          <w:color w:val="7B7B7B" w:themeColor="accent3" w:themeShade="BF"/>
          <w:sz w:val="22"/>
          <w:szCs w:val="22"/>
        </w:rPr>
        <w:t xml:space="preserve">The court will make order as it thinks fit for restoring the position to what it would have been if the company had not entered into that transaction if the court is satisfied that the transactions were made to putting assets beyond the reach of a person who is making, or may at some time make a claim against the company and the transaction was made at undervalue. </w:t>
      </w:r>
      <w:r w:rsidR="00AF19AA" w:rsidRPr="000706DE">
        <w:rPr>
          <w:rFonts w:ascii="Arial" w:hAnsi="Arial" w:cs="Arial"/>
          <w:color w:val="7B7B7B" w:themeColor="accent3" w:themeShade="BF"/>
          <w:sz w:val="22"/>
          <w:szCs w:val="22"/>
        </w:rPr>
        <w:t xml:space="preserve">Under </w:t>
      </w:r>
      <w:r w:rsidR="005C5819" w:rsidRPr="000706DE">
        <w:rPr>
          <w:rFonts w:ascii="Arial" w:hAnsi="Arial" w:cs="Arial"/>
          <w:color w:val="7B7B7B" w:themeColor="accent3" w:themeShade="BF"/>
          <w:sz w:val="22"/>
          <w:szCs w:val="22"/>
        </w:rPr>
        <w:t>this section</w:t>
      </w:r>
      <w:r w:rsidR="00AF19AA" w:rsidRPr="000706DE">
        <w:rPr>
          <w:rFonts w:ascii="Arial" w:hAnsi="Arial" w:cs="Arial"/>
          <w:color w:val="7B7B7B" w:themeColor="accent3" w:themeShade="BF"/>
          <w:sz w:val="22"/>
          <w:szCs w:val="22"/>
        </w:rPr>
        <w:t>, the following parties have the right to</w:t>
      </w:r>
      <w:r w:rsidR="005979A8" w:rsidRPr="000706DE">
        <w:rPr>
          <w:rFonts w:ascii="Arial" w:hAnsi="Arial" w:cs="Arial"/>
          <w:color w:val="7B7B7B" w:themeColor="accent3" w:themeShade="BF"/>
          <w:sz w:val="22"/>
          <w:szCs w:val="22"/>
        </w:rPr>
        <w:t xml:space="preserve"> bring any action against the</w:t>
      </w:r>
      <w:r w:rsidR="00AF19AA" w:rsidRPr="000706DE">
        <w:rPr>
          <w:rFonts w:ascii="Arial" w:hAnsi="Arial" w:cs="Arial"/>
          <w:color w:val="7B7B7B" w:themeColor="accent3" w:themeShade="BF"/>
          <w:sz w:val="22"/>
          <w:szCs w:val="22"/>
        </w:rPr>
        <w:t xml:space="preserve"> transactions which are designed to defraud creditors: (i) where the company is being wound up or is in administration, the official receiver, the liquidator, the administrator and (with the leave of the court) any victim of the transaction such as a creditor; (ii) where a victim is bound by a CVA, the supervisor of the CVA or any victim of the transaction (whether bound by the CVA or not); or (iii) in any other case, by a victim of the transaction.</w:t>
      </w:r>
      <w:r w:rsidR="00AF19AA" w:rsidRPr="00AF19AA">
        <w:rPr>
          <w:rFonts w:ascii="Arial" w:hAnsi="Arial" w:cs="Arial"/>
          <w:color w:val="7B7B7B" w:themeColor="accent3" w:themeShade="BF"/>
          <w:sz w:val="22"/>
          <w:szCs w:val="22"/>
        </w:rPr>
        <w:t xml:space="preserve"> </w:t>
      </w:r>
    </w:p>
    <w:p w14:paraId="3D3F396A" w14:textId="77777777" w:rsidR="00705161" w:rsidRPr="00AF19AA" w:rsidRDefault="00705161" w:rsidP="00AF19AA">
      <w:pPr>
        <w:jc w:val="both"/>
        <w:rPr>
          <w:rFonts w:ascii="Arial" w:hAnsi="Arial" w:cs="Arial"/>
          <w:color w:val="7B7B7B" w:themeColor="accent3" w:themeShade="BF"/>
          <w:sz w:val="22"/>
          <w:szCs w:val="22"/>
        </w:rPr>
      </w:pPr>
    </w:p>
    <w:p w14:paraId="22C610C9" w14:textId="6005CDE0" w:rsidR="00DE03AF" w:rsidRPr="000706DE" w:rsidRDefault="00873B99" w:rsidP="002A37BB">
      <w:pPr>
        <w:jc w:val="both"/>
        <w:rPr>
          <w:rFonts w:ascii="Arial" w:hAnsi="Arial" w:cs="Arial"/>
          <w:color w:val="7B7B7B" w:themeColor="accent3" w:themeShade="BF"/>
          <w:sz w:val="22"/>
          <w:szCs w:val="22"/>
        </w:rPr>
      </w:pPr>
      <w:r w:rsidRPr="000706DE">
        <w:rPr>
          <w:rFonts w:ascii="Arial" w:hAnsi="Arial" w:cs="Arial"/>
          <w:color w:val="7B7B7B" w:themeColor="accent3" w:themeShade="BF"/>
          <w:sz w:val="22"/>
          <w:szCs w:val="22"/>
        </w:rPr>
        <w:t xml:space="preserve">Section 6 of the Company Directors Disqualification Act 1986 allows the court to disqualify unfit directors of insolvent companies if it is satisfied that the person has been or is a director of a company which has at any time become insolvent and that that person conduct in the company makes him unfit to be concerned in the management of a company. </w:t>
      </w:r>
      <w:r w:rsidR="00E74D37" w:rsidRPr="000706DE">
        <w:rPr>
          <w:rFonts w:ascii="Arial" w:hAnsi="Arial" w:cs="Arial"/>
          <w:color w:val="7B7B7B" w:themeColor="accent3" w:themeShade="BF"/>
          <w:sz w:val="22"/>
          <w:szCs w:val="22"/>
        </w:rPr>
        <w:t xml:space="preserve">Section 16 </w:t>
      </w:r>
      <w:r w:rsidRPr="000706DE">
        <w:rPr>
          <w:rFonts w:ascii="Arial" w:hAnsi="Arial" w:cs="Arial"/>
          <w:color w:val="7B7B7B" w:themeColor="accent3" w:themeShade="BF"/>
          <w:sz w:val="22"/>
          <w:szCs w:val="22"/>
        </w:rPr>
        <w:t>of the Company Directors Disqualification Act 1986 allows the Secretary of State or the official receiver, or by the liquidator or any past or present member or creditor of any company [or overseas company] to make a</w:t>
      </w:r>
      <w:r w:rsidR="00E74D37" w:rsidRPr="000706DE">
        <w:rPr>
          <w:rFonts w:ascii="Arial" w:hAnsi="Arial" w:cs="Arial"/>
          <w:color w:val="7B7B7B" w:themeColor="accent3" w:themeShade="BF"/>
          <w:sz w:val="22"/>
          <w:szCs w:val="22"/>
        </w:rPr>
        <w:t xml:space="preserve">n application to </w:t>
      </w:r>
      <w:r w:rsidRPr="000706DE">
        <w:rPr>
          <w:rFonts w:ascii="Arial" w:hAnsi="Arial" w:cs="Arial"/>
          <w:color w:val="7B7B7B" w:themeColor="accent3" w:themeShade="BF"/>
          <w:sz w:val="22"/>
          <w:szCs w:val="22"/>
        </w:rPr>
        <w:t>the</w:t>
      </w:r>
      <w:r w:rsidR="00E74D37" w:rsidRPr="000706DE">
        <w:rPr>
          <w:rFonts w:ascii="Arial" w:hAnsi="Arial" w:cs="Arial"/>
          <w:color w:val="7B7B7B" w:themeColor="accent3" w:themeShade="BF"/>
          <w:sz w:val="22"/>
          <w:szCs w:val="22"/>
        </w:rPr>
        <w:t xml:space="preserve"> court</w:t>
      </w:r>
      <w:r w:rsidRPr="000706DE">
        <w:rPr>
          <w:rFonts w:ascii="Arial" w:hAnsi="Arial" w:cs="Arial"/>
          <w:color w:val="7B7B7B" w:themeColor="accent3" w:themeShade="BF"/>
          <w:sz w:val="22"/>
          <w:szCs w:val="22"/>
        </w:rPr>
        <w:t xml:space="preserve"> f</w:t>
      </w:r>
      <w:r w:rsidR="00E74D37" w:rsidRPr="000706DE">
        <w:rPr>
          <w:rFonts w:ascii="Arial" w:hAnsi="Arial" w:cs="Arial"/>
          <w:color w:val="7B7B7B" w:themeColor="accent3" w:themeShade="BF"/>
          <w:sz w:val="22"/>
          <w:szCs w:val="22"/>
        </w:rPr>
        <w:t>or the making of a disqualification order</w:t>
      </w:r>
      <w:r w:rsidRPr="000706DE">
        <w:rPr>
          <w:rFonts w:ascii="Arial" w:hAnsi="Arial" w:cs="Arial"/>
          <w:color w:val="7B7B7B" w:themeColor="accent3" w:themeShade="BF"/>
          <w:sz w:val="22"/>
          <w:szCs w:val="22"/>
        </w:rPr>
        <w:t xml:space="preserve"> against any person in relation to which that person has committed or is alleged to have committed an offence or other default under section 6 of the Company Directors Disqualification Act 1986. </w:t>
      </w:r>
    </w:p>
    <w:p w14:paraId="727F3B22" w14:textId="77777777" w:rsidR="00E74D37" w:rsidRPr="000706DE" w:rsidRDefault="00E74D37" w:rsidP="002A37BB">
      <w:pPr>
        <w:jc w:val="both"/>
        <w:rPr>
          <w:rFonts w:ascii="Arial" w:hAnsi="Arial" w:cs="Arial"/>
          <w:color w:val="7B7B7B" w:themeColor="accent3" w:themeShade="BF"/>
          <w:sz w:val="22"/>
          <w:szCs w:val="22"/>
        </w:rPr>
      </w:pPr>
    </w:p>
    <w:p w14:paraId="160C769F" w14:textId="701E7FED" w:rsidR="00E74D37" w:rsidRPr="00E74D37" w:rsidRDefault="00E74D37" w:rsidP="002A37BB">
      <w:pPr>
        <w:jc w:val="both"/>
        <w:rPr>
          <w:rFonts w:ascii="Arial" w:hAnsi="Arial" w:cs="Arial"/>
          <w:color w:val="7B7B7B" w:themeColor="accent3" w:themeShade="BF"/>
          <w:sz w:val="22"/>
          <w:szCs w:val="22"/>
        </w:rPr>
      </w:pPr>
      <w:r w:rsidRPr="000706DE">
        <w:rPr>
          <w:rFonts w:ascii="Arial" w:hAnsi="Arial" w:cs="Arial"/>
          <w:color w:val="7B7B7B" w:themeColor="accent3" w:themeShade="BF"/>
          <w:sz w:val="22"/>
          <w:szCs w:val="22"/>
        </w:rPr>
        <w:t xml:space="preserve">Section 246ZB of Insolvency Act 1986 </w:t>
      </w:r>
      <w:r w:rsidR="00284F3C" w:rsidRPr="000706DE">
        <w:rPr>
          <w:rFonts w:ascii="Arial" w:hAnsi="Arial" w:cs="Arial"/>
          <w:color w:val="7B7B7B" w:themeColor="accent3" w:themeShade="BF"/>
          <w:sz w:val="22"/>
          <w:szCs w:val="22"/>
        </w:rPr>
        <w:t xml:space="preserve">ensure the </w:t>
      </w:r>
      <w:r w:rsidR="00AD00A0" w:rsidRPr="000706DE">
        <w:rPr>
          <w:rFonts w:ascii="Arial" w:hAnsi="Arial" w:cs="Arial"/>
          <w:color w:val="7B7B7B" w:themeColor="accent3" w:themeShade="BF"/>
          <w:sz w:val="22"/>
          <w:szCs w:val="22"/>
        </w:rPr>
        <w:t>person who has been or is a director</w:t>
      </w:r>
      <w:r w:rsidR="00284F3C" w:rsidRPr="000706DE">
        <w:rPr>
          <w:rFonts w:ascii="Arial" w:hAnsi="Arial" w:cs="Arial"/>
          <w:color w:val="7B7B7B" w:themeColor="accent3" w:themeShade="BF"/>
          <w:sz w:val="22"/>
          <w:szCs w:val="22"/>
        </w:rPr>
        <w:t xml:space="preserve"> of insolvent companies liable for wrongful trading</w:t>
      </w:r>
      <w:r w:rsidR="00E1510A" w:rsidRPr="000706DE">
        <w:rPr>
          <w:rFonts w:ascii="Arial" w:hAnsi="Arial" w:cs="Arial"/>
          <w:color w:val="7B7B7B" w:themeColor="accent3" w:themeShade="BF"/>
          <w:sz w:val="22"/>
          <w:szCs w:val="22"/>
        </w:rPr>
        <w:t>,</w:t>
      </w:r>
      <w:r w:rsidRPr="000706DE">
        <w:rPr>
          <w:rFonts w:ascii="Arial" w:hAnsi="Arial" w:cs="Arial"/>
          <w:color w:val="7B7B7B" w:themeColor="accent3" w:themeShade="BF"/>
          <w:sz w:val="22"/>
          <w:szCs w:val="22"/>
        </w:rPr>
        <w:t xml:space="preserve"> the court, on the application of the administrator, may declare that that person is to be liable to make such contribution (if any) to the company's assets as the court thinks proper.</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F080E70" w14:textId="77777777" w:rsidR="00FC1432" w:rsidRDefault="00FC1432" w:rsidP="000F378A">
      <w:pPr>
        <w:jc w:val="both"/>
        <w:rPr>
          <w:rFonts w:ascii="Arial" w:hAnsi="Arial" w:cs="Arial"/>
          <w:sz w:val="22"/>
          <w:szCs w:val="22"/>
          <w:lang w:val="en-GB"/>
        </w:rPr>
      </w:pPr>
    </w:p>
    <w:p w14:paraId="3C47960C" w14:textId="7CD629A1" w:rsidR="00FA417D" w:rsidRPr="001B2FB3" w:rsidRDefault="000F378A" w:rsidP="000F378A">
      <w:pPr>
        <w:jc w:val="both"/>
        <w:rPr>
          <w:rFonts w:ascii="Arial" w:hAnsi="Arial" w:cs="Arial"/>
          <w:color w:val="7B7B7B" w:themeColor="accent3" w:themeShade="BF"/>
          <w:sz w:val="22"/>
          <w:szCs w:val="22"/>
        </w:rPr>
      </w:pPr>
      <w:r w:rsidRPr="001B2FB3">
        <w:rPr>
          <w:rFonts w:ascii="Arial" w:hAnsi="Arial" w:cs="Arial"/>
          <w:color w:val="7B7B7B" w:themeColor="accent3" w:themeShade="BF"/>
          <w:sz w:val="22"/>
          <w:szCs w:val="22"/>
        </w:rPr>
        <w:t xml:space="preserve">The decision of the creditors can be made either at creditors meeting, by decision procedure or by deemed consent procedure. Decision procedures means a qualifying decision procedures or creditors decision procedures. </w:t>
      </w:r>
    </w:p>
    <w:p w14:paraId="3A389573" w14:textId="77777777" w:rsidR="000F378A" w:rsidRPr="002A37BB" w:rsidRDefault="000F378A" w:rsidP="000F378A">
      <w:pPr>
        <w:jc w:val="both"/>
        <w:rPr>
          <w:rFonts w:ascii="Arial" w:hAnsi="Arial" w:cs="Arial"/>
          <w:sz w:val="22"/>
          <w:szCs w:val="22"/>
          <w:lang w:val="en-GB"/>
        </w:rPr>
      </w:pPr>
    </w:p>
    <w:p w14:paraId="2331CCE1" w14:textId="02BD157D" w:rsidR="000F378A" w:rsidRDefault="000F378A" w:rsidP="00F7793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qualifying decision procedures explain</w:t>
      </w:r>
      <w:r w:rsidR="000706DE">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under </w:t>
      </w:r>
      <w:r w:rsidR="00F77933" w:rsidRPr="00F77933">
        <w:rPr>
          <w:rFonts w:ascii="Arial" w:hAnsi="Arial" w:cs="Arial"/>
          <w:color w:val="7B7B7B" w:themeColor="accent3" w:themeShade="BF"/>
          <w:sz w:val="22"/>
          <w:szCs w:val="22"/>
        </w:rPr>
        <w:t>Section 246ZE(1) of the Act</w:t>
      </w:r>
      <w:r>
        <w:rPr>
          <w:rFonts w:ascii="Arial" w:hAnsi="Arial" w:cs="Arial"/>
          <w:color w:val="7B7B7B" w:themeColor="accent3" w:themeShade="BF"/>
          <w:sz w:val="22"/>
          <w:szCs w:val="22"/>
        </w:rPr>
        <w:t xml:space="preserve"> and the Insolvency Rules 2016</w:t>
      </w:r>
      <w:r w:rsidR="00F77933" w:rsidRPr="00F77933">
        <w:rPr>
          <w:rFonts w:ascii="Arial" w:hAnsi="Arial" w:cs="Arial"/>
          <w:color w:val="7B7B7B" w:themeColor="accent3" w:themeShade="BF"/>
          <w:sz w:val="22"/>
          <w:szCs w:val="22"/>
        </w:rPr>
        <w:t xml:space="preserve"> provides that a decision of the creditors may be considered using any qualifying decision procedure that the office-holder thinks fit, except that it may not be made by a creditors’ meeting unless such a meeting is requ</w:t>
      </w:r>
      <w:r>
        <w:rPr>
          <w:rFonts w:ascii="Arial" w:hAnsi="Arial" w:cs="Arial"/>
          <w:color w:val="7B7B7B" w:themeColor="accent3" w:themeShade="BF"/>
          <w:sz w:val="22"/>
          <w:szCs w:val="22"/>
        </w:rPr>
        <w:t>ested</w:t>
      </w:r>
      <w:r w:rsidR="00F77933" w:rsidRPr="00F7793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by the minimum number of creditors who represented </w:t>
      </w:r>
      <w:r w:rsidR="00F77933" w:rsidRPr="00F77933">
        <w:rPr>
          <w:rFonts w:ascii="Arial" w:hAnsi="Arial" w:cs="Arial"/>
          <w:color w:val="7B7B7B" w:themeColor="accent3" w:themeShade="BF"/>
          <w:sz w:val="22"/>
          <w:szCs w:val="22"/>
        </w:rPr>
        <w:t>by</w:t>
      </w:r>
      <w:r>
        <w:rPr>
          <w:rFonts w:ascii="Arial" w:hAnsi="Arial" w:cs="Arial"/>
          <w:color w:val="7B7B7B" w:themeColor="accent3" w:themeShade="BF"/>
          <w:sz w:val="22"/>
          <w:szCs w:val="22"/>
        </w:rPr>
        <w:t xml:space="preserve"> at least</w:t>
      </w:r>
      <w:r w:rsidRPr="00F77933">
        <w:rPr>
          <w:rFonts w:ascii="Arial" w:hAnsi="Arial" w:cs="Arial"/>
          <w:color w:val="7B7B7B" w:themeColor="accent3" w:themeShade="BF"/>
          <w:sz w:val="22"/>
          <w:szCs w:val="22"/>
        </w:rPr>
        <w:t xml:space="preserve"> 10% in value of the creditors, 10% in number of</w:t>
      </w:r>
      <w:r>
        <w:rPr>
          <w:rFonts w:ascii="Arial" w:hAnsi="Arial" w:cs="Arial"/>
          <w:color w:val="7B7B7B" w:themeColor="accent3" w:themeShade="BF"/>
          <w:sz w:val="22"/>
          <w:szCs w:val="22"/>
        </w:rPr>
        <w:t xml:space="preserve"> the creditors or 10 creditors. </w:t>
      </w:r>
    </w:p>
    <w:p w14:paraId="69E749EA" w14:textId="2746B026" w:rsidR="000F378A" w:rsidRDefault="000F378A" w:rsidP="00F77933">
      <w:pPr>
        <w:jc w:val="both"/>
        <w:rPr>
          <w:rFonts w:ascii="Arial" w:hAnsi="Arial" w:cs="Arial"/>
          <w:color w:val="7B7B7B" w:themeColor="accent3" w:themeShade="BF"/>
          <w:sz w:val="22"/>
          <w:szCs w:val="22"/>
        </w:rPr>
      </w:pPr>
    </w:p>
    <w:p w14:paraId="22616927" w14:textId="5E976EC7" w:rsidR="000F378A" w:rsidRDefault="000F378A" w:rsidP="000F378A">
      <w:pPr>
        <w:jc w:val="both"/>
        <w:rPr>
          <w:rFonts w:ascii="Arial" w:hAnsi="Arial" w:cs="Arial"/>
          <w:color w:val="7B7B7B" w:themeColor="accent3" w:themeShade="BF"/>
          <w:sz w:val="22"/>
          <w:szCs w:val="22"/>
        </w:rPr>
      </w:pPr>
      <w:r w:rsidRPr="00F77933">
        <w:rPr>
          <w:rFonts w:ascii="Arial" w:hAnsi="Arial" w:cs="Arial"/>
          <w:color w:val="7B7B7B" w:themeColor="accent3" w:themeShade="BF"/>
          <w:sz w:val="22"/>
          <w:szCs w:val="22"/>
        </w:rPr>
        <w:lastRenderedPageBreak/>
        <w:t xml:space="preserve">The deemed consent procedure permits a decision to be made by notifying creditors of the intended decision and if that decision is not effectively objected to, it is deemed to have been made. </w:t>
      </w:r>
    </w:p>
    <w:p w14:paraId="747599BA" w14:textId="77777777" w:rsidR="000F378A" w:rsidRDefault="000F378A" w:rsidP="00F77933">
      <w:pPr>
        <w:jc w:val="both"/>
        <w:rPr>
          <w:rFonts w:ascii="Arial" w:hAnsi="Arial" w:cs="Arial"/>
          <w:color w:val="7B7B7B" w:themeColor="accent3" w:themeShade="BF"/>
          <w:sz w:val="22"/>
          <w:szCs w:val="22"/>
        </w:rPr>
      </w:pPr>
    </w:p>
    <w:p w14:paraId="73779A11" w14:textId="40D32EB6" w:rsidR="000F378A" w:rsidRDefault="000F378A" w:rsidP="00F7793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decision of creditors can be made by any one of the qualifying decision procedures listed in the Rules 15.3 if the deemed consent cannot be used ( like for fixing the office holder</w:t>
      </w:r>
      <w:r w:rsidR="009465B2">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s remuneration), or where it is effectively objected to by 10% value of the creditors or where the office-holder decides not to use it.  The five qualifying decision procedures listed in the Insolvency Rules 2016 are </w:t>
      </w:r>
      <w:r w:rsidRPr="00F77933">
        <w:rPr>
          <w:rFonts w:ascii="Arial" w:hAnsi="Arial" w:cs="Arial"/>
          <w:color w:val="7B7B7B" w:themeColor="accent3" w:themeShade="BF"/>
          <w:sz w:val="22"/>
          <w:szCs w:val="22"/>
        </w:rPr>
        <w:t>a) correspondence; (b) electronic voting; (c) virtual meeting; (d) physical meeting; or (e) any other decision making procedure which enables all creditors who are entitled to participate in the making of the decision to participate equally</w:t>
      </w:r>
      <w:r>
        <w:rPr>
          <w:rFonts w:ascii="Arial" w:hAnsi="Arial" w:cs="Arial"/>
          <w:color w:val="7B7B7B" w:themeColor="accent3" w:themeShade="BF"/>
          <w:sz w:val="22"/>
          <w:szCs w:val="22"/>
        </w:rPr>
        <w:t>. The decision can be passed by majority in value of creditors.</w:t>
      </w:r>
    </w:p>
    <w:p w14:paraId="7B7D18A3" w14:textId="77777777" w:rsidR="000F378A" w:rsidRDefault="000F378A" w:rsidP="00F77933">
      <w:pPr>
        <w:jc w:val="both"/>
        <w:rPr>
          <w:rFonts w:ascii="Arial" w:hAnsi="Arial" w:cs="Arial"/>
          <w:color w:val="7B7B7B" w:themeColor="accent3" w:themeShade="BF"/>
          <w:sz w:val="22"/>
          <w:szCs w:val="22"/>
        </w:rPr>
      </w:pPr>
    </w:p>
    <w:p w14:paraId="0089DF92" w14:textId="3CF764AD" w:rsidR="00FF5098" w:rsidRDefault="00FF5098" w:rsidP="002A37BB">
      <w:pPr>
        <w:jc w:val="both"/>
        <w:rPr>
          <w:rFonts w:ascii="Arial" w:hAnsi="Arial" w:cs="Arial"/>
          <w:color w:val="7B7B7B" w:themeColor="accent3" w:themeShade="BF"/>
          <w:sz w:val="22"/>
          <w:szCs w:val="22"/>
        </w:rPr>
      </w:pPr>
    </w:p>
    <w:p w14:paraId="79DE1AAF" w14:textId="77777777" w:rsidR="000F378A" w:rsidRPr="002A37BB" w:rsidRDefault="000F378A"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2BED17FC" w14:textId="63A24D10" w:rsidR="00C93D20" w:rsidRDefault="00C93D20" w:rsidP="002F12BF">
      <w:pPr>
        <w:jc w:val="both"/>
        <w:rPr>
          <w:rFonts w:ascii="Arial" w:hAnsi="Arial" w:cs="Arial"/>
          <w:color w:val="7B7B7B" w:themeColor="accent3" w:themeShade="BF"/>
          <w:sz w:val="22"/>
          <w:szCs w:val="22"/>
        </w:rPr>
      </w:pPr>
      <w:r w:rsidRPr="00F77933">
        <w:rPr>
          <w:rFonts w:ascii="Arial" w:hAnsi="Arial" w:cs="Arial"/>
          <w:color w:val="7B7B7B" w:themeColor="accent3" w:themeShade="BF"/>
          <w:sz w:val="22"/>
          <w:szCs w:val="22"/>
        </w:rPr>
        <w:t xml:space="preserve">An administrator </w:t>
      </w:r>
      <w:r>
        <w:rPr>
          <w:rFonts w:ascii="Arial" w:hAnsi="Arial" w:cs="Arial"/>
          <w:color w:val="7B7B7B" w:themeColor="accent3" w:themeShade="BF"/>
          <w:sz w:val="22"/>
          <w:szCs w:val="22"/>
        </w:rPr>
        <w:t xml:space="preserve">most of the time require </w:t>
      </w:r>
      <w:r w:rsidRPr="00F77933">
        <w:rPr>
          <w:rFonts w:ascii="Arial" w:hAnsi="Arial" w:cs="Arial"/>
          <w:color w:val="7B7B7B" w:themeColor="accent3" w:themeShade="BF"/>
          <w:sz w:val="22"/>
          <w:szCs w:val="22"/>
        </w:rPr>
        <w:t>to obtain or retain certain essential supplies</w:t>
      </w:r>
      <w:r>
        <w:rPr>
          <w:rFonts w:ascii="Arial" w:hAnsi="Arial" w:cs="Arial"/>
          <w:color w:val="7B7B7B" w:themeColor="accent3" w:themeShade="BF"/>
          <w:sz w:val="22"/>
          <w:szCs w:val="22"/>
        </w:rPr>
        <w:t xml:space="preserve"> of</w:t>
      </w:r>
      <w:r w:rsidR="002E1ED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goods and services in order to salvage the assets and or business of the company</w:t>
      </w:r>
      <w:r w:rsidRPr="00F7793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Section 233 of the Act allows the administer to request the suppliers </w:t>
      </w:r>
      <w:r w:rsidRPr="00F77933">
        <w:rPr>
          <w:rFonts w:ascii="Arial" w:hAnsi="Arial" w:cs="Arial"/>
          <w:color w:val="7B7B7B" w:themeColor="accent3" w:themeShade="BF"/>
          <w:sz w:val="22"/>
          <w:szCs w:val="22"/>
        </w:rPr>
        <w:t>to supply of gas, electricity, water and communications services</w:t>
      </w:r>
      <w:r>
        <w:rPr>
          <w:rFonts w:ascii="Arial" w:hAnsi="Arial" w:cs="Arial"/>
          <w:color w:val="7B7B7B" w:themeColor="accent3" w:themeShade="BF"/>
          <w:sz w:val="22"/>
          <w:szCs w:val="22"/>
        </w:rPr>
        <w:t xml:space="preserve"> by providing a personal guarantee for the payment of charges incurred during the administration period</w:t>
      </w:r>
      <w:r w:rsidRPr="00F7793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This provision was introduced to stop suppliers of essential service providers from stop supplying to the administrator, unless all the outstanding charges incurred are paid.  The s</w:t>
      </w:r>
      <w:r w:rsidRPr="00F77933">
        <w:rPr>
          <w:rFonts w:ascii="Arial" w:hAnsi="Arial" w:cs="Arial"/>
          <w:color w:val="7B7B7B" w:themeColor="accent3" w:themeShade="BF"/>
          <w:sz w:val="22"/>
          <w:szCs w:val="22"/>
        </w:rPr>
        <w:t>uppliers are not permitted to require payment of outstanding debts in order to secure a new or continued supply to the company in administration.</w:t>
      </w:r>
    </w:p>
    <w:p w14:paraId="41BDE701" w14:textId="77777777" w:rsidR="00C93D20" w:rsidRDefault="00C93D20" w:rsidP="00C93D20">
      <w:pPr>
        <w:ind w:left="720" w:hanging="720"/>
        <w:jc w:val="both"/>
        <w:rPr>
          <w:rFonts w:ascii="Arial" w:hAnsi="Arial" w:cs="Arial"/>
          <w:color w:val="7B7B7B" w:themeColor="accent3" w:themeShade="BF"/>
          <w:sz w:val="22"/>
          <w:szCs w:val="22"/>
        </w:rPr>
      </w:pPr>
    </w:p>
    <w:p w14:paraId="2D53DDA4" w14:textId="1BBAC719" w:rsidR="00C93D20" w:rsidRDefault="00C93D20" w:rsidP="002F12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The clause where allow one party to terminate the contract when the other party enter into formal insolvency procedures (liquidation/administration) are quite common in contracts of supply and its known as “ipso facto clauses”. This effect somehow has been limited by section 233 A of the Insolvency Act 1986 and Section 233B which has now been added to the Insolvency Act 2020. Pursuant to section 233A of the Insolvency Act all the insolvency related terms in a contract for the supply of essential goods or services ceases to have effect when the company enters administration or voluntary arrangement. Whereas Section 233B of the Insolvency Act 2020 forbids the suppliers from enforcing</w:t>
      </w:r>
      <w:r w:rsidRPr="00F7793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insolvency related </w:t>
      </w:r>
      <w:r w:rsidRPr="00F77933">
        <w:rPr>
          <w:rFonts w:ascii="Arial" w:hAnsi="Arial" w:cs="Arial"/>
          <w:color w:val="7B7B7B" w:themeColor="accent3" w:themeShade="BF"/>
          <w:sz w:val="22"/>
          <w:szCs w:val="22"/>
        </w:rPr>
        <w:t>clauses</w:t>
      </w:r>
      <w:r>
        <w:rPr>
          <w:rFonts w:ascii="Arial" w:hAnsi="Arial" w:cs="Arial"/>
          <w:color w:val="7B7B7B" w:themeColor="accent3" w:themeShade="BF"/>
          <w:sz w:val="22"/>
          <w:szCs w:val="22"/>
        </w:rPr>
        <w:t xml:space="preserve"> or do any other things in relation to the contract when the company enters formal insolvency procedure</w:t>
      </w:r>
      <w:r w:rsidR="002E1EDA">
        <w:rPr>
          <w:rFonts w:ascii="Arial" w:hAnsi="Arial" w:cs="Arial"/>
          <w:color w:val="7B7B7B" w:themeColor="accent3" w:themeShade="BF"/>
          <w:sz w:val="22"/>
          <w:szCs w:val="22"/>
        </w:rPr>
        <w:t xml:space="preserve"> which includes p</w:t>
      </w:r>
      <w:r w:rsidR="002E1EDA" w:rsidRPr="00F77933">
        <w:rPr>
          <w:rFonts w:ascii="Arial" w:hAnsi="Arial" w:cs="Arial"/>
          <w:color w:val="7B7B7B" w:themeColor="accent3" w:themeShade="BF"/>
          <w:sz w:val="22"/>
          <w:szCs w:val="22"/>
        </w:rPr>
        <w:t xml:space="preserve">revents suppliers from terminating a supply upon the </w:t>
      </w:r>
      <w:r w:rsidR="002E1EDA">
        <w:rPr>
          <w:rFonts w:ascii="Arial" w:hAnsi="Arial" w:cs="Arial"/>
          <w:color w:val="7B7B7B" w:themeColor="accent3" w:themeShade="BF"/>
          <w:sz w:val="22"/>
          <w:szCs w:val="22"/>
        </w:rPr>
        <w:t>placed under insolvency procedures</w:t>
      </w:r>
      <w:r w:rsidR="00E84407">
        <w:rPr>
          <w:rFonts w:ascii="Arial" w:hAnsi="Arial" w:cs="Arial"/>
          <w:color w:val="7B7B7B" w:themeColor="accent3" w:themeShade="BF"/>
          <w:sz w:val="22"/>
          <w:szCs w:val="22"/>
        </w:rPr>
        <w:t>,</w:t>
      </w:r>
      <w:r w:rsidR="002E1EDA">
        <w:rPr>
          <w:rFonts w:ascii="Arial" w:hAnsi="Arial" w:cs="Arial"/>
          <w:color w:val="7B7B7B" w:themeColor="accent3" w:themeShade="BF"/>
          <w:sz w:val="22"/>
          <w:szCs w:val="22"/>
        </w:rPr>
        <w:t xml:space="preserve"> </w:t>
      </w:r>
      <w:r w:rsidR="002E1EDA" w:rsidRPr="00F77933">
        <w:rPr>
          <w:rFonts w:ascii="Arial" w:hAnsi="Arial" w:cs="Arial"/>
          <w:color w:val="7B7B7B" w:themeColor="accent3" w:themeShade="BF"/>
          <w:sz w:val="22"/>
          <w:szCs w:val="22"/>
        </w:rPr>
        <w:t>prevent suppliers from making it a condition of continued supply that pre-insolvency arrears are paid and from making other changes to the contract such as increasing prices</w:t>
      </w:r>
      <w:r>
        <w:rPr>
          <w:rFonts w:ascii="Arial" w:hAnsi="Arial" w:cs="Arial"/>
          <w:color w:val="7B7B7B" w:themeColor="accent3" w:themeShade="BF"/>
          <w:sz w:val="22"/>
          <w:szCs w:val="22"/>
        </w:rPr>
        <w:t xml:space="preserve">. </w:t>
      </w:r>
    </w:p>
    <w:p w14:paraId="056AB2F9" w14:textId="77777777" w:rsidR="00C93D20" w:rsidRDefault="00C93D20" w:rsidP="00C93D20">
      <w:pPr>
        <w:ind w:left="720" w:hanging="720"/>
        <w:jc w:val="both"/>
        <w:rPr>
          <w:rFonts w:ascii="Arial" w:hAnsi="Arial" w:cs="Arial"/>
          <w:color w:val="7B7B7B" w:themeColor="accent3" w:themeShade="BF"/>
          <w:sz w:val="22"/>
          <w:szCs w:val="22"/>
        </w:rPr>
      </w:pPr>
    </w:p>
    <w:p w14:paraId="2E450CAD" w14:textId="77777777" w:rsidR="00FF5098" w:rsidRPr="00FF5098" w:rsidRDefault="00FF5098" w:rsidP="00E84407">
      <w:pPr>
        <w:jc w:val="both"/>
        <w:rPr>
          <w:rFonts w:ascii="Arial" w:hAnsi="Arial" w:cs="Arial"/>
          <w:sz w:val="22"/>
          <w:szCs w:val="22"/>
        </w:rPr>
      </w:pPr>
    </w:p>
    <w:p w14:paraId="78A88EA7" w14:textId="7A0D8E3D" w:rsidR="00FF5098" w:rsidRDefault="00FF5098" w:rsidP="002A37BB">
      <w:pPr>
        <w:ind w:left="720" w:hanging="720"/>
        <w:jc w:val="both"/>
        <w:rPr>
          <w:rFonts w:ascii="Arial" w:hAnsi="Arial" w:cs="Arial"/>
          <w:sz w:val="22"/>
          <w:szCs w:val="22"/>
        </w:rPr>
      </w:pPr>
    </w:p>
    <w:p w14:paraId="7516B74A" w14:textId="038278EA" w:rsidR="00C05213" w:rsidRDefault="00C05213" w:rsidP="002A37BB">
      <w:pPr>
        <w:ind w:left="720" w:hanging="720"/>
        <w:jc w:val="both"/>
        <w:rPr>
          <w:rFonts w:ascii="Arial" w:hAnsi="Arial" w:cs="Arial"/>
          <w:sz w:val="22"/>
          <w:szCs w:val="22"/>
        </w:rPr>
      </w:pPr>
    </w:p>
    <w:p w14:paraId="3F655331" w14:textId="2D3562C2" w:rsidR="00C05213" w:rsidRDefault="00C05213" w:rsidP="002A37BB">
      <w:pPr>
        <w:ind w:left="720" w:hanging="720"/>
        <w:jc w:val="both"/>
        <w:rPr>
          <w:rFonts w:ascii="Arial" w:hAnsi="Arial" w:cs="Arial"/>
          <w:sz w:val="22"/>
          <w:szCs w:val="22"/>
        </w:rPr>
      </w:pPr>
    </w:p>
    <w:p w14:paraId="741A6BCA" w14:textId="34A610E1" w:rsidR="00C05213" w:rsidRDefault="00C05213" w:rsidP="002A37BB">
      <w:pPr>
        <w:ind w:left="720" w:hanging="720"/>
        <w:jc w:val="both"/>
        <w:rPr>
          <w:rFonts w:ascii="Arial" w:hAnsi="Arial" w:cs="Arial"/>
          <w:sz w:val="22"/>
          <w:szCs w:val="22"/>
        </w:rPr>
      </w:pPr>
    </w:p>
    <w:p w14:paraId="61E2622D" w14:textId="44DD3B67" w:rsidR="00C05213" w:rsidRDefault="00C05213" w:rsidP="002A37BB">
      <w:pPr>
        <w:ind w:left="720" w:hanging="720"/>
        <w:jc w:val="both"/>
        <w:rPr>
          <w:rFonts w:ascii="Arial" w:hAnsi="Arial" w:cs="Arial"/>
          <w:sz w:val="22"/>
          <w:szCs w:val="22"/>
        </w:rPr>
      </w:pPr>
    </w:p>
    <w:p w14:paraId="763CBD33" w14:textId="1333451E" w:rsidR="00C05213" w:rsidRDefault="00C05213" w:rsidP="002A37BB">
      <w:pPr>
        <w:ind w:left="720" w:hanging="720"/>
        <w:jc w:val="both"/>
        <w:rPr>
          <w:rFonts w:ascii="Arial" w:hAnsi="Arial" w:cs="Arial"/>
          <w:sz w:val="22"/>
          <w:szCs w:val="22"/>
        </w:rPr>
      </w:pPr>
    </w:p>
    <w:p w14:paraId="30EF3F7B" w14:textId="77777777" w:rsidR="00C05213" w:rsidRPr="00FF5098" w:rsidRDefault="00C05213"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sidRPr="00CB278A">
        <w:rPr>
          <w:rFonts w:ascii="Arial" w:hAnsi="Arial" w:cs="Arial"/>
          <w:sz w:val="22"/>
          <w:szCs w:val="22"/>
          <w:lang w:val="en-GB"/>
        </w:rPr>
        <w:t>order of priority of payments in a liquidation</w:t>
      </w:r>
      <w:r w:rsidR="00F70126" w:rsidRPr="00CB278A">
        <w:rPr>
          <w:rFonts w:ascii="Arial" w:hAnsi="Arial" w:cs="Arial"/>
          <w:sz w:val="22"/>
          <w:szCs w:val="22"/>
          <w:lang w:val="en-GB"/>
        </w:rPr>
        <w:t xml:space="preserve"> and explain the nature of </w:t>
      </w:r>
      <w:r w:rsidR="00311816" w:rsidRPr="00CB278A">
        <w:rPr>
          <w:rFonts w:ascii="Arial" w:hAnsi="Arial" w:cs="Arial"/>
          <w:sz w:val="22"/>
          <w:szCs w:val="22"/>
          <w:lang w:val="en-GB"/>
        </w:rPr>
        <w:t xml:space="preserve">the rights enjoyed by </w:t>
      </w:r>
      <w:r w:rsidR="00F70126" w:rsidRPr="00CB278A">
        <w:rPr>
          <w:rFonts w:ascii="Arial" w:hAnsi="Arial" w:cs="Arial"/>
          <w:sz w:val="22"/>
          <w:szCs w:val="22"/>
          <w:lang w:val="en-GB"/>
        </w:rPr>
        <w:t xml:space="preserve">each </w:t>
      </w:r>
      <w:r w:rsidR="00311816" w:rsidRPr="00CB278A">
        <w:rPr>
          <w:rFonts w:ascii="Arial" w:hAnsi="Arial" w:cs="Arial"/>
          <w:sz w:val="22"/>
          <w:szCs w:val="22"/>
          <w:lang w:val="en-GB"/>
        </w:rPr>
        <w:t xml:space="preserve">class of </w:t>
      </w:r>
      <w:r w:rsidR="00F70126" w:rsidRPr="00CB278A">
        <w:rPr>
          <w:rFonts w:ascii="Arial" w:hAnsi="Arial" w:cs="Arial"/>
          <w:sz w:val="22"/>
          <w:szCs w:val="22"/>
          <w:lang w:val="en-GB"/>
        </w:rPr>
        <w:t>creditor</w:t>
      </w:r>
      <w:r w:rsidR="00311816" w:rsidRPr="00CB278A">
        <w:rPr>
          <w:rFonts w:ascii="Arial" w:hAnsi="Arial" w:cs="Arial"/>
          <w:sz w:val="22"/>
          <w:szCs w:val="22"/>
          <w:lang w:val="en-GB"/>
        </w:rPr>
        <w:t xml:space="preserve"> or expense</w:t>
      </w:r>
      <w:r w:rsidR="00763348" w:rsidRPr="00CB278A">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2BB18807" w14:textId="77777777" w:rsidR="004A37A9" w:rsidRDefault="004A37A9" w:rsidP="00F77933">
      <w:pPr>
        <w:jc w:val="both"/>
        <w:rPr>
          <w:rFonts w:ascii="Arial" w:hAnsi="Arial" w:cs="Arial"/>
          <w:iCs/>
          <w:color w:val="7B7B7B" w:themeColor="accent3" w:themeShade="BF"/>
          <w:sz w:val="22"/>
          <w:szCs w:val="22"/>
        </w:rPr>
      </w:pPr>
    </w:p>
    <w:p w14:paraId="54EACE7C" w14:textId="5DC09B82" w:rsidR="00624BCC" w:rsidRDefault="004A37A9" w:rsidP="00F77933">
      <w:pPr>
        <w:jc w:val="both"/>
        <w:rPr>
          <w:rFonts w:ascii="Arial" w:hAnsi="Arial" w:cs="Arial"/>
          <w:iCs/>
          <w:color w:val="7B7B7B" w:themeColor="accent3" w:themeShade="BF"/>
          <w:sz w:val="22"/>
          <w:szCs w:val="22"/>
        </w:rPr>
      </w:pPr>
      <w:r>
        <w:rPr>
          <w:rFonts w:ascii="Arial" w:hAnsi="Arial" w:cs="Arial"/>
          <w:iCs/>
          <w:color w:val="7B7B7B" w:themeColor="accent3" w:themeShade="BF"/>
          <w:sz w:val="22"/>
          <w:szCs w:val="22"/>
        </w:rPr>
        <w:t>The order of distribution of company’s assets (except secured assets other than floating charge assets) are discussed in the sections</w:t>
      </w:r>
      <w:r w:rsidR="00E93B14">
        <w:rPr>
          <w:rFonts w:ascii="Arial" w:hAnsi="Arial" w:cs="Arial"/>
          <w:iCs/>
          <w:color w:val="7B7B7B" w:themeColor="accent3" w:themeShade="BF"/>
          <w:sz w:val="22"/>
          <w:szCs w:val="22"/>
        </w:rPr>
        <w:t xml:space="preserve"> </w:t>
      </w:r>
      <w:r>
        <w:rPr>
          <w:rFonts w:ascii="Arial" w:hAnsi="Arial" w:cs="Arial"/>
          <w:iCs/>
          <w:color w:val="7B7B7B" w:themeColor="accent3" w:themeShade="BF"/>
          <w:sz w:val="22"/>
          <w:szCs w:val="22"/>
        </w:rPr>
        <w:t>107, 115, 148, 175, 386 schedule 6</w:t>
      </w:r>
      <w:r w:rsidR="00E93B14">
        <w:rPr>
          <w:rFonts w:ascii="Arial" w:hAnsi="Arial" w:cs="Arial"/>
          <w:iCs/>
          <w:color w:val="7B7B7B" w:themeColor="accent3" w:themeShade="BF"/>
          <w:sz w:val="22"/>
          <w:szCs w:val="22"/>
        </w:rPr>
        <w:t xml:space="preserve"> of the Insolvency Act 1986</w:t>
      </w:r>
      <w:r>
        <w:rPr>
          <w:rFonts w:ascii="Arial" w:hAnsi="Arial" w:cs="Arial"/>
          <w:iCs/>
          <w:color w:val="7B7B7B" w:themeColor="accent3" w:themeShade="BF"/>
          <w:sz w:val="22"/>
          <w:szCs w:val="22"/>
        </w:rPr>
        <w:t xml:space="preserve"> and Rules</w:t>
      </w:r>
      <w:r w:rsidR="001C371B">
        <w:rPr>
          <w:rFonts w:ascii="Arial" w:hAnsi="Arial" w:cs="Arial"/>
          <w:iCs/>
          <w:color w:val="7B7B7B" w:themeColor="accent3" w:themeShade="BF"/>
          <w:sz w:val="22"/>
          <w:szCs w:val="22"/>
        </w:rPr>
        <w:t xml:space="preserve"> 6.42, 7.108,</w:t>
      </w:r>
      <w:r>
        <w:rPr>
          <w:rFonts w:ascii="Arial" w:hAnsi="Arial" w:cs="Arial"/>
          <w:iCs/>
          <w:color w:val="7B7B7B" w:themeColor="accent3" w:themeShade="BF"/>
          <w:sz w:val="22"/>
          <w:szCs w:val="22"/>
        </w:rPr>
        <w:t xml:space="preserve"> 14.12(2)</w:t>
      </w:r>
      <w:r w:rsidR="00E93B14">
        <w:rPr>
          <w:rFonts w:ascii="Arial" w:hAnsi="Arial" w:cs="Arial"/>
          <w:iCs/>
          <w:color w:val="7B7B7B" w:themeColor="accent3" w:themeShade="BF"/>
          <w:sz w:val="22"/>
          <w:szCs w:val="22"/>
        </w:rPr>
        <w:t>. Th</w:t>
      </w:r>
      <w:r w:rsidR="00624BCC">
        <w:rPr>
          <w:rFonts w:ascii="Arial" w:hAnsi="Arial" w:cs="Arial"/>
          <w:iCs/>
          <w:color w:val="7B7B7B" w:themeColor="accent3" w:themeShade="BF"/>
          <w:sz w:val="22"/>
          <w:szCs w:val="22"/>
        </w:rPr>
        <w:t>e</w:t>
      </w:r>
      <w:r w:rsidR="00E93B14">
        <w:rPr>
          <w:rFonts w:ascii="Arial" w:hAnsi="Arial" w:cs="Arial"/>
          <w:iCs/>
          <w:color w:val="7B7B7B" w:themeColor="accent3" w:themeShade="BF"/>
          <w:sz w:val="22"/>
          <w:szCs w:val="22"/>
        </w:rPr>
        <w:t xml:space="preserve"> order of priority </w:t>
      </w:r>
      <w:r w:rsidR="00624BCC">
        <w:rPr>
          <w:rFonts w:ascii="Arial" w:hAnsi="Arial" w:cs="Arial"/>
          <w:iCs/>
          <w:color w:val="7B7B7B" w:themeColor="accent3" w:themeShade="BF"/>
          <w:sz w:val="22"/>
          <w:szCs w:val="22"/>
        </w:rPr>
        <w:t xml:space="preserve">payments </w:t>
      </w:r>
      <w:r w:rsidR="00E93B14">
        <w:rPr>
          <w:rFonts w:ascii="Arial" w:hAnsi="Arial" w:cs="Arial"/>
          <w:iCs/>
          <w:color w:val="7B7B7B" w:themeColor="accent3" w:themeShade="BF"/>
          <w:sz w:val="22"/>
          <w:szCs w:val="22"/>
        </w:rPr>
        <w:t>often referred as “the waterfall payment”.</w:t>
      </w:r>
      <w:r w:rsidR="00F77933" w:rsidRPr="00F77933">
        <w:rPr>
          <w:rFonts w:ascii="Arial" w:hAnsi="Arial" w:cs="Arial"/>
          <w:iCs/>
          <w:color w:val="7B7B7B" w:themeColor="accent3" w:themeShade="BF"/>
          <w:sz w:val="22"/>
          <w:szCs w:val="22"/>
        </w:rPr>
        <w:t xml:space="preserve"> </w:t>
      </w:r>
      <w:r w:rsidR="00624BCC">
        <w:rPr>
          <w:rFonts w:ascii="Arial" w:hAnsi="Arial" w:cs="Arial"/>
          <w:iCs/>
          <w:color w:val="7B7B7B" w:themeColor="accent3" w:themeShade="BF"/>
          <w:sz w:val="22"/>
          <w:szCs w:val="22"/>
        </w:rPr>
        <w:t xml:space="preserve">Listed below is the order of priority payments in liquidation: </w:t>
      </w:r>
    </w:p>
    <w:p w14:paraId="5F0499EA" w14:textId="53A6EE9E" w:rsidR="00624BCC" w:rsidRPr="00624BCC" w:rsidRDefault="00624BCC"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Costs and expenses of winding up – section 115 of the Act</w:t>
      </w:r>
      <w:r w:rsidR="001C371B">
        <w:rPr>
          <w:rFonts w:ascii="Arial" w:eastAsia="MS Gothic" w:hAnsi="Arial" w:cs="Arial"/>
          <w:color w:val="7B7B7B" w:themeColor="accent3" w:themeShade="BF"/>
          <w:sz w:val="22"/>
          <w:szCs w:val="22"/>
        </w:rPr>
        <w:t>, Rules 6.42 and 7.108</w:t>
      </w:r>
    </w:p>
    <w:p w14:paraId="5BBDB8F2" w14:textId="65EAB05D" w:rsidR="00624BCC" w:rsidRPr="00624BCC" w:rsidRDefault="00624BCC"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 xml:space="preserve">Preferential debts – section </w:t>
      </w:r>
      <w:r w:rsidR="00421047">
        <w:rPr>
          <w:rFonts w:ascii="Arial" w:eastAsia="MS Gothic" w:hAnsi="Arial" w:cs="Arial"/>
          <w:color w:val="7B7B7B" w:themeColor="accent3" w:themeShade="BF"/>
          <w:sz w:val="22"/>
          <w:szCs w:val="22"/>
        </w:rPr>
        <w:t>386, 387 and Schedule 6</w:t>
      </w:r>
      <w:r w:rsidR="0052185D">
        <w:rPr>
          <w:rFonts w:ascii="Arial" w:eastAsia="MS Gothic" w:hAnsi="Arial" w:cs="Arial"/>
          <w:color w:val="7B7B7B" w:themeColor="accent3" w:themeShade="BF"/>
          <w:sz w:val="22"/>
          <w:szCs w:val="22"/>
        </w:rPr>
        <w:t>, section 175</w:t>
      </w:r>
      <w:r w:rsidR="00660235">
        <w:rPr>
          <w:rFonts w:ascii="Arial" w:eastAsia="MS Gothic" w:hAnsi="Arial" w:cs="Arial"/>
          <w:color w:val="7B7B7B" w:themeColor="accent3" w:themeShade="BF"/>
          <w:sz w:val="22"/>
          <w:szCs w:val="22"/>
        </w:rPr>
        <w:t xml:space="preserve"> of the Act</w:t>
      </w:r>
    </w:p>
    <w:p w14:paraId="435E140B" w14:textId="77777777" w:rsidR="00FB0BF5" w:rsidRPr="00FB0BF5" w:rsidRDefault="00624BCC"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Secured debts pursuant to</w:t>
      </w:r>
      <w:r w:rsidR="00FB0BF5">
        <w:rPr>
          <w:rFonts w:ascii="Arial" w:eastAsia="MS Gothic" w:hAnsi="Arial" w:cs="Arial"/>
          <w:color w:val="7B7B7B" w:themeColor="accent3" w:themeShade="BF"/>
          <w:sz w:val="22"/>
          <w:szCs w:val="22"/>
        </w:rPr>
        <w:t xml:space="preserve"> floating charges – section 175 of the Act</w:t>
      </w:r>
    </w:p>
    <w:p w14:paraId="2ADEB36B" w14:textId="389D0C9D" w:rsidR="00FB0BF5" w:rsidRPr="00FB0BF5" w:rsidRDefault="00FB0BF5"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Any preferential charge on goods distrained - section 176</w:t>
      </w:r>
      <w:r w:rsidR="001C371B">
        <w:rPr>
          <w:rFonts w:ascii="Arial" w:eastAsia="MS Gothic" w:hAnsi="Arial" w:cs="Arial"/>
          <w:color w:val="7B7B7B" w:themeColor="accent3" w:themeShade="BF"/>
          <w:sz w:val="22"/>
          <w:szCs w:val="22"/>
        </w:rPr>
        <w:t>(2</w:t>
      </w:r>
      <w:proofErr w:type="gramStart"/>
      <w:r w:rsidR="001C371B">
        <w:rPr>
          <w:rFonts w:ascii="Arial" w:eastAsia="MS Gothic" w:hAnsi="Arial" w:cs="Arial"/>
          <w:color w:val="7B7B7B" w:themeColor="accent3" w:themeShade="BF"/>
          <w:sz w:val="22"/>
          <w:szCs w:val="22"/>
        </w:rPr>
        <w:t>A)(</w:t>
      </w:r>
      <w:proofErr w:type="gramEnd"/>
      <w:r w:rsidR="001C371B">
        <w:rPr>
          <w:rFonts w:ascii="Arial" w:eastAsia="MS Gothic" w:hAnsi="Arial" w:cs="Arial"/>
          <w:color w:val="7B7B7B" w:themeColor="accent3" w:themeShade="BF"/>
          <w:sz w:val="22"/>
          <w:szCs w:val="22"/>
        </w:rPr>
        <w:t>3)</w:t>
      </w:r>
      <w:r w:rsidR="00660235">
        <w:rPr>
          <w:rFonts w:ascii="Arial" w:eastAsia="MS Gothic" w:hAnsi="Arial" w:cs="Arial"/>
          <w:color w:val="7B7B7B" w:themeColor="accent3" w:themeShade="BF"/>
          <w:sz w:val="22"/>
          <w:szCs w:val="22"/>
        </w:rPr>
        <w:t xml:space="preserve"> of the Act</w:t>
      </w:r>
    </w:p>
    <w:p w14:paraId="1493F1CF" w14:textId="5A28A8FA" w:rsidR="00FB0BF5" w:rsidRPr="00FB0BF5" w:rsidRDefault="00E63428"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U</w:t>
      </w:r>
      <w:r w:rsidR="00FB0BF5">
        <w:rPr>
          <w:rFonts w:ascii="Arial" w:eastAsia="MS Gothic" w:hAnsi="Arial" w:cs="Arial"/>
          <w:color w:val="7B7B7B" w:themeColor="accent3" w:themeShade="BF"/>
          <w:sz w:val="22"/>
          <w:szCs w:val="22"/>
        </w:rPr>
        <w:t>nsecured creditors</w:t>
      </w:r>
    </w:p>
    <w:p w14:paraId="4D63EEEE" w14:textId="23C05353" w:rsidR="00A22860" w:rsidRPr="00A22860" w:rsidRDefault="00A22860"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Interest on debts from time of commencement of the liquidation (post-liquidation interest) - section 189</w:t>
      </w:r>
      <w:r w:rsidR="00660235">
        <w:rPr>
          <w:rFonts w:ascii="Arial" w:eastAsia="MS Gothic" w:hAnsi="Arial" w:cs="Arial"/>
          <w:color w:val="7B7B7B" w:themeColor="accent3" w:themeShade="BF"/>
          <w:sz w:val="22"/>
          <w:szCs w:val="22"/>
        </w:rPr>
        <w:t xml:space="preserve"> of the Act</w:t>
      </w:r>
    </w:p>
    <w:p w14:paraId="4A65A4B5" w14:textId="55828A9C" w:rsidR="00F77933" w:rsidRPr="00A22860" w:rsidRDefault="00E739D4"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D</w:t>
      </w:r>
      <w:r w:rsidR="00A22860">
        <w:rPr>
          <w:rFonts w:ascii="Arial" w:eastAsia="MS Gothic" w:hAnsi="Arial" w:cs="Arial"/>
          <w:color w:val="7B7B7B" w:themeColor="accent3" w:themeShade="BF"/>
          <w:sz w:val="22"/>
          <w:szCs w:val="22"/>
        </w:rPr>
        <w:t>eferred and postponed creditors – section 74(2)(f) of the Act</w:t>
      </w:r>
    </w:p>
    <w:p w14:paraId="56E28A97" w14:textId="62361A22" w:rsidR="00A22860" w:rsidRPr="00A22860" w:rsidRDefault="00A22860"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 xml:space="preserve">Non-provable liabilities; and </w:t>
      </w:r>
    </w:p>
    <w:p w14:paraId="50956876" w14:textId="75CB123D" w:rsidR="00A22860" w:rsidRPr="00624BCC" w:rsidRDefault="00A22860" w:rsidP="00C61075">
      <w:pPr>
        <w:pStyle w:val="ListParagraph"/>
        <w:numPr>
          <w:ilvl w:val="0"/>
          <w:numId w:val="21"/>
        </w:numPr>
        <w:jc w:val="both"/>
        <w:rPr>
          <w:rFonts w:ascii="Arial" w:hAnsi="Arial" w:cs="Arial"/>
          <w:color w:val="7B7B7B" w:themeColor="accent3" w:themeShade="BF"/>
          <w:sz w:val="22"/>
          <w:szCs w:val="22"/>
        </w:rPr>
      </w:pPr>
      <w:r>
        <w:rPr>
          <w:rFonts w:ascii="Arial" w:eastAsia="MS Gothic" w:hAnsi="Arial" w:cs="Arial"/>
          <w:color w:val="7B7B7B" w:themeColor="accent3" w:themeShade="BF"/>
          <w:sz w:val="22"/>
          <w:szCs w:val="22"/>
        </w:rPr>
        <w:t xml:space="preserve">Contributories </w:t>
      </w:r>
    </w:p>
    <w:p w14:paraId="3DAA6780" w14:textId="35F146A0" w:rsidR="00962045" w:rsidRDefault="00962045" w:rsidP="002A37BB">
      <w:pPr>
        <w:jc w:val="both"/>
        <w:rPr>
          <w:rFonts w:ascii="Arial" w:hAnsi="Arial" w:cs="Arial"/>
          <w:sz w:val="22"/>
          <w:szCs w:val="22"/>
          <w:shd w:val="clear" w:color="auto" w:fill="FFFFFF"/>
        </w:rPr>
      </w:pPr>
    </w:p>
    <w:p w14:paraId="042F2F16" w14:textId="1EB19B28" w:rsidR="00FF5098" w:rsidRDefault="00016344" w:rsidP="002A37BB">
      <w:pPr>
        <w:jc w:val="both"/>
        <w:rPr>
          <w:rFonts w:ascii="Arial" w:eastAsia="MS Gothic" w:hAnsi="Arial" w:cs="Arial"/>
          <w:color w:val="7B7B7B" w:themeColor="accent3" w:themeShade="BF"/>
          <w:sz w:val="22"/>
          <w:szCs w:val="22"/>
        </w:rPr>
      </w:pPr>
      <w:r w:rsidRPr="002667DE">
        <w:rPr>
          <w:rFonts w:ascii="Arial" w:eastAsia="MS Gothic" w:hAnsi="Arial" w:cs="Arial"/>
          <w:color w:val="7B7B7B" w:themeColor="accent3" w:themeShade="BF"/>
          <w:sz w:val="22"/>
          <w:szCs w:val="22"/>
          <w:u w:val="single"/>
        </w:rPr>
        <w:t>Costs and expenses of winding up</w:t>
      </w:r>
      <w:r>
        <w:rPr>
          <w:rFonts w:ascii="Arial" w:eastAsia="MS Gothic" w:hAnsi="Arial" w:cs="Arial"/>
          <w:color w:val="7B7B7B" w:themeColor="accent3" w:themeShade="BF"/>
          <w:sz w:val="22"/>
          <w:szCs w:val="22"/>
        </w:rPr>
        <w:t xml:space="preserve">: </w:t>
      </w:r>
    </w:p>
    <w:p w14:paraId="1E9A05F4" w14:textId="2C55F568" w:rsidR="00016344" w:rsidRPr="00C5095D" w:rsidRDefault="002C4791" w:rsidP="00C61075">
      <w:pPr>
        <w:pStyle w:val="ListParagraph"/>
        <w:numPr>
          <w:ilvl w:val="0"/>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All the fees, costs, charges and expenses incurred </w:t>
      </w:r>
      <w:r w:rsidR="00660235">
        <w:rPr>
          <w:rFonts w:ascii="Arial" w:eastAsia="MS Gothic" w:hAnsi="Arial" w:cs="Arial"/>
          <w:color w:val="7B7B7B" w:themeColor="accent3" w:themeShade="BF"/>
          <w:sz w:val="22"/>
          <w:szCs w:val="22"/>
        </w:rPr>
        <w:t xml:space="preserve">in </w:t>
      </w:r>
      <w:r w:rsidRPr="00C5095D">
        <w:rPr>
          <w:rFonts w:ascii="Arial" w:eastAsia="MS Gothic" w:hAnsi="Arial" w:cs="Arial"/>
          <w:color w:val="7B7B7B" w:themeColor="accent3" w:themeShade="BF"/>
          <w:sz w:val="22"/>
          <w:szCs w:val="22"/>
        </w:rPr>
        <w:t xml:space="preserve">the course of winding up are to be regarded as expenses of the winding up </w:t>
      </w:r>
    </w:p>
    <w:p w14:paraId="3AFFDB31" w14:textId="270F8C7E" w:rsidR="002C4791" w:rsidRPr="00C5095D" w:rsidRDefault="002C4791" w:rsidP="00C61075">
      <w:pPr>
        <w:pStyle w:val="ListParagraph"/>
        <w:numPr>
          <w:ilvl w:val="0"/>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The following are the expenses which are payable in the following order of priority: </w:t>
      </w:r>
    </w:p>
    <w:p w14:paraId="2CE89FE9" w14:textId="77777777" w:rsidR="00140F68" w:rsidRPr="00C5095D" w:rsidRDefault="00140F68" w:rsidP="00C61075">
      <w:pPr>
        <w:pStyle w:val="ListParagraph"/>
        <w:numPr>
          <w:ilvl w:val="1"/>
          <w:numId w:val="22"/>
        </w:numPr>
        <w:spacing w:before="100" w:beforeAutospacing="1" w:after="100" w:afterAutospacing="1"/>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expenses that are properly incurred by the liquidator in preserving, </w:t>
      </w:r>
      <w:proofErr w:type="spellStart"/>
      <w:r w:rsidRPr="00C5095D">
        <w:rPr>
          <w:rFonts w:ascii="Arial" w:eastAsia="MS Gothic" w:hAnsi="Arial" w:cs="Arial"/>
          <w:color w:val="7B7B7B" w:themeColor="accent3" w:themeShade="BF"/>
          <w:sz w:val="22"/>
          <w:szCs w:val="22"/>
        </w:rPr>
        <w:t>realising</w:t>
      </w:r>
      <w:proofErr w:type="spellEnd"/>
      <w:r w:rsidRPr="00C5095D">
        <w:rPr>
          <w:rFonts w:ascii="Arial" w:eastAsia="MS Gothic" w:hAnsi="Arial" w:cs="Arial"/>
          <w:color w:val="7B7B7B" w:themeColor="accent3" w:themeShade="BF"/>
          <w:sz w:val="22"/>
          <w:szCs w:val="22"/>
        </w:rPr>
        <w:t xml:space="preserve"> or getting in any of the assets of the company (including the conduct of any legal proceedings); </w:t>
      </w:r>
    </w:p>
    <w:p w14:paraId="4208F97D" w14:textId="77CEA420" w:rsidR="00140F68" w:rsidRPr="00C5095D" w:rsidRDefault="00140F68" w:rsidP="00C61075">
      <w:pPr>
        <w:pStyle w:val="ListParagraph"/>
        <w:numPr>
          <w:ilvl w:val="1"/>
          <w:numId w:val="22"/>
        </w:numPr>
        <w:spacing w:before="100" w:beforeAutospacing="1" w:after="100" w:afterAutospacing="1"/>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the cost of any security provided by the liquidator </w:t>
      </w:r>
    </w:p>
    <w:p w14:paraId="02B4E450" w14:textId="77777777" w:rsidR="00140F68" w:rsidRPr="00C5095D" w:rsidRDefault="00140F68" w:rsidP="00C61075">
      <w:pPr>
        <w:pStyle w:val="ListParagraph"/>
        <w:numPr>
          <w:ilvl w:val="1"/>
          <w:numId w:val="22"/>
        </w:numPr>
        <w:spacing w:before="100" w:beforeAutospacing="1" w:after="100" w:afterAutospacing="1"/>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any amount payable to a person to assist in the preparation of a statement of affairs or accounts </w:t>
      </w:r>
    </w:p>
    <w:p w14:paraId="46EFFE38" w14:textId="442E836D" w:rsidR="00140F68" w:rsidRPr="00C5095D" w:rsidRDefault="00140F68"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any necessary disbursements by the liquidator in the course of the winding up </w:t>
      </w:r>
    </w:p>
    <w:p w14:paraId="7D328C59" w14:textId="77777777" w:rsidR="00140F68" w:rsidRPr="00C5095D" w:rsidRDefault="00140F68"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the remuneration of any person who has been employed by the liquidator to perform any services for the company </w:t>
      </w:r>
    </w:p>
    <w:p w14:paraId="3A420DE0" w14:textId="14043989" w:rsidR="00140F68" w:rsidRPr="00C5095D" w:rsidRDefault="00140F68"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the remuneration of the liquidator </w:t>
      </w:r>
    </w:p>
    <w:p w14:paraId="012001DC" w14:textId="3C3D61D9" w:rsidR="00421047" w:rsidRPr="00C5095D" w:rsidRDefault="00421047"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any deposited lodge</w:t>
      </w:r>
      <w:r w:rsidR="00660235">
        <w:rPr>
          <w:rFonts w:ascii="Arial" w:eastAsia="MS Gothic" w:hAnsi="Arial" w:cs="Arial"/>
          <w:color w:val="7B7B7B" w:themeColor="accent3" w:themeShade="BF"/>
          <w:sz w:val="22"/>
          <w:szCs w:val="22"/>
        </w:rPr>
        <w:t>d</w:t>
      </w:r>
      <w:r w:rsidRPr="00C5095D">
        <w:rPr>
          <w:rFonts w:ascii="Arial" w:eastAsia="MS Gothic" w:hAnsi="Arial" w:cs="Arial"/>
          <w:color w:val="7B7B7B" w:themeColor="accent3" w:themeShade="BF"/>
          <w:sz w:val="22"/>
          <w:szCs w:val="22"/>
        </w:rPr>
        <w:t xml:space="preserve"> on an application of for the appointment of a provisional liquidator</w:t>
      </w:r>
    </w:p>
    <w:p w14:paraId="0A70F17B" w14:textId="09CC6F5C" w:rsidR="00421047" w:rsidRPr="00C5095D" w:rsidRDefault="00421047"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costs in respect of petition for the winding up order</w:t>
      </w:r>
    </w:p>
    <w:p w14:paraId="4A9F4FBF" w14:textId="77777777" w:rsidR="00140F68" w:rsidRPr="00C5095D" w:rsidRDefault="00140F68"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the amount of any corporation tax on chargeable gains accruing on the </w:t>
      </w:r>
      <w:proofErr w:type="spellStart"/>
      <w:r w:rsidRPr="00C5095D">
        <w:rPr>
          <w:rFonts w:ascii="Arial" w:eastAsia="MS Gothic" w:hAnsi="Arial" w:cs="Arial"/>
          <w:color w:val="7B7B7B" w:themeColor="accent3" w:themeShade="BF"/>
          <w:sz w:val="22"/>
          <w:szCs w:val="22"/>
        </w:rPr>
        <w:t>realisation</w:t>
      </w:r>
      <w:proofErr w:type="spellEnd"/>
      <w:r w:rsidRPr="00C5095D">
        <w:rPr>
          <w:rFonts w:ascii="Arial" w:eastAsia="MS Gothic" w:hAnsi="Arial" w:cs="Arial"/>
          <w:color w:val="7B7B7B" w:themeColor="accent3" w:themeShade="BF"/>
          <w:sz w:val="22"/>
          <w:szCs w:val="22"/>
        </w:rPr>
        <w:t xml:space="preserve"> of any asset of the company </w:t>
      </w:r>
    </w:p>
    <w:p w14:paraId="7D83EF77" w14:textId="52256C5F" w:rsidR="00140F68" w:rsidRPr="00155C34" w:rsidRDefault="00140F68" w:rsidP="00C61075">
      <w:pPr>
        <w:pStyle w:val="NormalWeb"/>
        <w:numPr>
          <w:ilvl w:val="1"/>
          <w:numId w:val="22"/>
        </w:numPr>
        <w:jc w:val="both"/>
        <w:rPr>
          <w:rFonts w:ascii="Arial" w:eastAsia="MS Gothic" w:hAnsi="Arial" w:cs="Arial"/>
          <w:color w:val="7B7B7B" w:themeColor="accent3" w:themeShade="BF"/>
          <w:sz w:val="22"/>
          <w:szCs w:val="22"/>
        </w:rPr>
      </w:pPr>
      <w:r w:rsidRPr="00C5095D">
        <w:rPr>
          <w:rFonts w:ascii="Arial" w:eastAsia="MS Gothic" w:hAnsi="Arial" w:cs="Arial"/>
          <w:color w:val="7B7B7B" w:themeColor="accent3" w:themeShade="BF"/>
          <w:sz w:val="22"/>
          <w:szCs w:val="22"/>
        </w:rPr>
        <w:t xml:space="preserve">any other expenses properly chargeable by the liquidator in carrying out the liquidator's functions in the winding up </w:t>
      </w:r>
    </w:p>
    <w:p w14:paraId="00E4EDFF" w14:textId="0A247C11" w:rsidR="00140F68" w:rsidRPr="00140F68" w:rsidRDefault="00140F68" w:rsidP="00140F68">
      <w:pPr>
        <w:jc w:val="both"/>
        <w:rPr>
          <w:rFonts w:ascii="Arial" w:hAnsi="Arial" w:cs="Arial"/>
          <w:b/>
          <w:sz w:val="22"/>
          <w:szCs w:val="22"/>
          <w:u w:val="single"/>
          <w:lang w:val="en-GB"/>
        </w:rPr>
      </w:pPr>
      <w:r w:rsidRPr="00140F68">
        <w:rPr>
          <w:rFonts w:ascii="Arial" w:eastAsia="MS Gothic" w:hAnsi="Arial" w:cs="Arial"/>
          <w:color w:val="7B7B7B" w:themeColor="accent3" w:themeShade="BF"/>
          <w:sz w:val="22"/>
          <w:szCs w:val="22"/>
          <w:u w:val="single"/>
        </w:rPr>
        <w:t>Preferential debts</w:t>
      </w:r>
    </w:p>
    <w:p w14:paraId="147F0729" w14:textId="75348067" w:rsidR="00140F68" w:rsidRDefault="00140F68" w:rsidP="00140F68">
      <w:pPr>
        <w:jc w:val="both"/>
        <w:rPr>
          <w:rFonts w:ascii="Arial" w:hAnsi="Arial" w:cs="Arial"/>
          <w:b/>
          <w:sz w:val="22"/>
          <w:szCs w:val="22"/>
          <w:lang w:val="en-GB"/>
        </w:rPr>
      </w:pPr>
    </w:p>
    <w:p w14:paraId="7E90B920" w14:textId="77777777" w:rsidR="00C5095D" w:rsidRDefault="0052185D" w:rsidP="00C61075">
      <w:pPr>
        <w:jc w:val="both"/>
        <w:rPr>
          <w:rFonts w:ascii="Arial" w:eastAsia="MS Gothic" w:hAnsi="Arial" w:cs="Arial"/>
          <w:color w:val="7B7B7B" w:themeColor="accent3" w:themeShade="BF"/>
          <w:sz w:val="22"/>
          <w:szCs w:val="22"/>
        </w:rPr>
      </w:pPr>
      <w:r w:rsidRPr="0052185D">
        <w:rPr>
          <w:rFonts w:ascii="Arial" w:eastAsia="MS Gothic" w:hAnsi="Arial" w:cs="Arial"/>
          <w:color w:val="7B7B7B" w:themeColor="accent3" w:themeShade="BF"/>
          <w:sz w:val="22"/>
          <w:szCs w:val="22"/>
        </w:rPr>
        <w:t>The preferential debts are paid in priority to all other debts including those secured by way of a floating charge</w:t>
      </w:r>
      <w:r>
        <w:rPr>
          <w:rFonts w:ascii="Arial" w:eastAsia="MS Gothic" w:hAnsi="Arial" w:cs="Arial"/>
          <w:color w:val="7B7B7B" w:themeColor="accent3" w:themeShade="BF"/>
          <w:sz w:val="22"/>
          <w:szCs w:val="22"/>
        </w:rPr>
        <w:t xml:space="preserve"> and its paid after the costs and expenses of winding up have been paid in full. The date on which preferential debts are determined is known as </w:t>
      </w:r>
      <w:r w:rsidR="000B13FE">
        <w:rPr>
          <w:rFonts w:ascii="Arial" w:eastAsia="MS Gothic" w:hAnsi="Arial" w:cs="Arial"/>
          <w:color w:val="7B7B7B" w:themeColor="accent3" w:themeShade="BF"/>
          <w:sz w:val="22"/>
          <w:szCs w:val="22"/>
        </w:rPr>
        <w:t xml:space="preserve">the “relevant date” which is defined in section 387 of the Act. The relevant date in winding up will be generally be the winding up order or the date of the passing of the winding-up resolution. </w:t>
      </w:r>
      <w:r w:rsidR="00C5095D">
        <w:rPr>
          <w:rFonts w:ascii="Arial" w:eastAsia="MS Gothic" w:hAnsi="Arial" w:cs="Arial"/>
          <w:color w:val="7B7B7B" w:themeColor="accent3" w:themeShade="BF"/>
          <w:sz w:val="22"/>
          <w:szCs w:val="22"/>
        </w:rPr>
        <w:t xml:space="preserve">In broad term this section covers the following preferential debts:  </w:t>
      </w:r>
    </w:p>
    <w:p w14:paraId="14816AF7" w14:textId="77777777" w:rsidR="00FD028B" w:rsidRPr="00917D01" w:rsidRDefault="00C5095D" w:rsidP="00C61075">
      <w:pPr>
        <w:pStyle w:val="NormalWeb"/>
        <w:numPr>
          <w:ilvl w:val="0"/>
          <w:numId w:val="22"/>
        </w:numPr>
        <w:jc w:val="both"/>
        <w:rPr>
          <w:rFonts w:ascii="Arial" w:eastAsia="MS Gothic" w:hAnsi="Arial" w:cs="Arial"/>
          <w:color w:val="7B7B7B" w:themeColor="accent3" w:themeShade="BF"/>
          <w:sz w:val="22"/>
          <w:szCs w:val="22"/>
          <w:lang w:val="en-MY" w:eastAsia="en-GB"/>
        </w:rPr>
      </w:pPr>
      <w:r w:rsidRPr="00917D01">
        <w:rPr>
          <w:rFonts w:ascii="Arial" w:eastAsia="MS Gothic" w:hAnsi="Arial" w:cs="Arial"/>
          <w:color w:val="7B7B7B" w:themeColor="accent3" w:themeShade="BF"/>
          <w:sz w:val="22"/>
          <w:szCs w:val="22"/>
          <w:lang w:val="en-MY" w:eastAsia="en-GB"/>
        </w:rPr>
        <w:lastRenderedPageBreak/>
        <w:t xml:space="preserve">contribution to occupational pension scheme paid in period of four months prior to the commencement of the winding up for employee’s contribution, and an employer’s contribution </w:t>
      </w:r>
      <w:r w:rsidR="00FD028B" w:rsidRPr="00917D01">
        <w:rPr>
          <w:rFonts w:ascii="Arial" w:eastAsia="MS Gothic" w:hAnsi="Arial" w:cs="Arial"/>
          <w:color w:val="7B7B7B" w:themeColor="accent3" w:themeShade="BF"/>
          <w:sz w:val="22"/>
          <w:szCs w:val="22"/>
          <w:lang w:val="en-MY" w:eastAsia="en-GB"/>
        </w:rPr>
        <w:t xml:space="preserve">for </w:t>
      </w:r>
      <w:r w:rsidRPr="00917D01">
        <w:rPr>
          <w:rFonts w:ascii="Arial" w:eastAsia="MS Gothic" w:hAnsi="Arial" w:cs="Arial"/>
          <w:color w:val="7B7B7B" w:themeColor="accent3" w:themeShade="BF"/>
          <w:sz w:val="22"/>
          <w:szCs w:val="22"/>
          <w:lang w:val="en-MY" w:eastAsia="en-GB"/>
        </w:rPr>
        <w:t>the period of 12 months before the relevant date</w:t>
      </w:r>
    </w:p>
    <w:p w14:paraId="7278E2FC" w14:textId="77777777" w:rsidR="00FD028B" w:rsidRPr="00917D01" w:rsidRDefault="00FD028B" w:rsidP="00C61075">
      <w:pPr>
        <w:pStyle w:val="NormalWeb"/>
        <w:numPr>
          <w:ilvl w:val="0"/>
          <w:numId w:val="22"/>
        </w:numPr>
        <w:jc w:val="both"/>
        <w:rPr>
          <w:rFonts w:ascii="Arial" w:eastAsia="MS Gothic" w:hAnsi="Arial" w:cs="Arial"/>
          <w:color w:val="7B7B7B" w:themeColor="accent3" w:themeShade="BF"/>
          <w:sz w:val="22"/>
          <w:szCs w:val="22"/>
          <w:lang w:val="en-MY" w:eastAsia="en-GB"/>
        </w:rPr>
      </w:pPr>
      <w:r w:rsidRPr="00917D01">
        <w:rPr>
          <w:rFonts w:ascii="Arial" w:eastAsia="MS Gothic" w:hAnsi="Arial" w:cs="Arial"/>
          <w:color w:val="7B7B7B" w:themeColor="accent3" w:themeShade="BF"/>
          <w:sz w:val="22"/>
          <w:szCs w:val="22"/>
          <w:lang w:val="en-MY" w:eastAsia="en-GB"/>
        </w:rPr>
        <w:t xml:space="preserve">Employees benefit remuneration for up to four months prior to the relevant date subject to maximum payment of £800 </w:t>
      </w:r>
    </w:p>
    <w:p w14:paraId="04E96A27" w14:textId="77777777" w:rsidR="00FD028B" w:rsidRPr="00917D01" w:rsidRDefault="00FD028B" w:rsidP="00C61075">
      <w:pPr>
        <w:pStyle w:val="NormalWeb"/>
        <w:numPr>
          <w:ilvl w:val="0"/>
          <w:numId w:val="22"/>
        </w:numPr>
        <w:jc w:val="both"/>
        <w:rPr>
          <w:rFonts w:ascii="Arial" w:eastAsia="MS Gothic" w:hAnsi="Arial" w:cs="Arial"/>
          <w:color w:val="7B7B7B" w:themeColor="accent3" w:themeShade="BF"/>
          <w:sz w:val="22"/>
          <w:szCs w:val="22"/>
          <w:lang w:val="en-MY" w:eastAsia="en-GB"/>
        </w:rPr>
      </w:pPr>
      <w:r w:rsidRPr="00917D01">
        <w:rPr>
          <w:rFonts w:ascii="Arial" w:eastAsia="MS Gothic" w:hAnsi="Arial" w:cs="Arial"/>
          <w:color w:val="7B7B7B" w:themeColor="accent3" w:themeShade="BF"/>
          <w:sz w:val="22"/>
          <w:szCs w:val="22"/>
          <w:lang w:val="en-MY" w:eastAsia="en-GB"/>
        </w:rPr>
        <w:t>Any amount of employees holiday pay accrued prior to the relevant date</w:t>
      </w:r>
    </w:p>
    <w:p w14:paraId="3D9AF788" w14:textId="77777777" w:rsidR="00FD028B" w:rsidRPr="00917D01" w:rsidRDefault="00FD028B" w:rsidP="00C61075">
      <w:pPr>
        <w:pStyle w:val="NormalWeb"/>
        <w:numPr>
          <w:ilvl w:val="0"/>
          <w:numId w:val="22"/>
        </w:numPr>
        <w:jc w:val="both"/>
        <w:rPr>
          <w:rFonts w:ascii="Arial" w:eastAsia="MS Gothic" w:hAnsi="Arial" w:cs="Arial"/>
          <w:color w:val="7B7B7B" w:themeColor="accent3" w:themeShade="BF"/>
          <w:sz w:val="22"/>
          <w:szCs w:val="22"/>
          <w:lang w:val="en-MY" w:eastAsia="en-GB"/>
        </w:rPr>
      </w:pPr>
      <w:r w:rsidRPr="00917D01">
        <w:rPr>
          <w:rFonts w:ascii="Arial" w:eastAsia="MS Gothic" w:hAnsi="Arial" w:cs="Arial"/>
          <w:color w:val="7B7B7B" w:themeColor="accent3" w:themeShade="BF"/>
          <w:sz w:val="22"/>
          <w:szCs w:val="22"/>
          <w:lang w:val="en-MY" w:eastAsia="en-GB"/>
        </w:rPr>
        <w:t>Any sum loaned and used for the specific purpose of paying employees remuneration</w:t>
      </w:r>
    </w:p>
    <w:p w14:paraId="4D562F00" w14:textId="1825C21B" w:rsidR="00FD028B" w:rsidRPr="00917D01" w:rsidRDefault="00FD028B" w:rsidP="00C61075">
      <w:pPr>
        <w:pStyle w:val="NormalWeb"/>
        <w:numPr>
          <w:ilvl w:val="0"/>
          <w:numId w:val="22"/>
        </w:numPr>
        <w:jc w:val="both"/>
        <w:rPr>
          <w:rFonts w:ascii="Arial" w:eastAsia="MS Gothic" w:hAnsi="Arial" w:cs="Arial"/>
          <w:color w:val="7B7B7B" w:themeColor="accent3" w:themeShade="BF"/>
          <w:sz w:val="22"/>
          <w:szCs w:val="22"/>
          <w:lang w:val="en-MY" w:eastAsia="en-GB"/>
        </w:rPr>
      </w:pPr>
      <w:r w:rsidRPr="00917D01">
        <w:rPr>
          <w:rFonts w:ascii="Arial" w:eastAsia="MS Gothic" w:hAnsi="Arial" w:cs="Arial"/>
          <w:color w:val="7B7B7B" w:themeColor="accent3" w:themeShade="BF"/>
          <w:sz w:val="22"/>
          <w:szCs w:val="22"/>
          <w:lang w:val="en-MY" w:eastAsia="en-GB"/>
        </w:rPr>
        <w:t xml:space="preserve">Levies on coal and steel production </w:t>
      </w:r>
    </w:p>
    <w:p w14:paraId="74E3BF3A" w14:textId="02DF65D6" w:rsidR="00C5095D" w:rsidRPr="000E7468" w:rsidRDefault="000E7468" w:rsidP="000E7468">
      <w:pPr>
        <w:jc w:val="both"/>
        <w:rPr>
          <w:rFonts w:ascii="Arial" w:eastAsia="MS Gothic" w:hAnsi="Arial" w:cs="Arial"/>
          <w:color w:val="7B7B7B" w:themeColor="accent3" w:themeShade="BF"/>
          <w:sz w:val="22"/>
          <w:szCs w:val="22"/>
          <w:u w:val="single"/>
        </w:rPr>
      </w:pPr>
      <w:r w:rsidRPr="000E7468">
        <w:rPr>
          <w:rFonts w:ascii="Arial" w:eastAsia="MS Gothic" w:hAnsi="Arial" w:cs="Arial"/>
          <w:color w:val="7B7B7B" w:themeColor="accent3" w:themeShade="BF"/>
          <w:sz w:val="22"/>
          <w:szCs w:val="22"/>
          <w:u w:val="single"/>
        </w:rPr>
        <w:t>Secured debts pursuant to floating charges</w:t>
      </w:r>
    </w:p>
    <w:p w14:paraId="573B560D" w14:textId="4F5273AB" w:rsidR="00140F68" w:rsidRDefault="00140F68" w:rsidP="00140F68">
      <w:pPr>
        <w:jc w:val="both"/>
        <w:rPr>
          <w:rFonts w:ascii="Arial" w:eastAsia="MS Gothic" w:hAnsi="Arial" w:cs="Arial"/>
          <w:color w:val="7B7B7B" w:themeColor="accent3" w:themeShade="BF"/>
          <w:sz w:val="22"/>
          <w:szCs w:val="22"/>
        </w:rPr>
      </w:pPr>
    </w:p>
    <w:p w14:paraId="292C586B" w14:textId="38474EF7" w:rsidR="000E7468" w:rsidRPr="00917D01" w:rsidRDefault="004B6E52" w:rsidP="00140F68">
      <w:pPr>
        <w:jc w:val="both"/>
        <w:rPr>
          <w:rFonts w:ascii="Arial" w:eastAsia="MS Gothic" w:hAnsi="Arial" w:cs="Arial"/>
          <w:color w:val="7B7B7B" w:themeColor="accent3" w:themeShade="BF"/>
          <w:sz w:val="22"/>
          <w:szCs w:val="22"/>
        </w:rPr>
      </w:pPr>
      <w:r>
        <w:rPr>
          <w:rFonts w:ascii="Arial" w:eastAsia="MS Gothic" w:hAnsi="Arial" w:cs="Arial"/>
          <w:color w:val="7B7B7B" w:themeColor="accent3" w:themeShade="BF"/>
          <w:sz w:val="22"/>
          <w:szCs w:val="22"/>
        </w:rPr>
        <w:t>The creditors with floating charge will be paid after payment of preferential creditors. If there are more than one floating charge the priority is given based on the date of creation of the charge. In relation to floating charge created after 15 September 2003, a certain part of t</w:t>
      </w:r>
      <w:r w:rsidR="00DC5B4C">
        <w:rPr>
          <w:rFonts w:ascii="Arial" w:eastAsia="MS Gothic" w:hAnsi="Arial" w:cs="Arial"/>
          <w:color w:val="7B7B7B" w:themeColor="accent3" w:themeShade="BF"/>
          <w:sz w:val="22"/>
          <w:szCs w:val="22"/>
        </w:rPr>
        <w:t>h</w:t>
      </w:r>
      <w:r>
        <w:rPr>
          <w:rFonts w:ascii="Arial" w:eastAsia="MS Gothic" w:hAnsi="Arial" w:cs="Arial"/>
          <w:color w:val="7B7B7B" w:themeColor="accent3" w:themeShade="BF"/>
          <w:sz w:val="22"/>
          <w:szCs w:val="22"/>
        </w:rPr>
        <w:t>e net proceeds know</w:t>
      </w:r>
      <w:r w:rsidR="00DC5B4C">
        <w:rPr>
          <w:rFonts w:ascii="Arial" w:eastAsia="MS Gothic" w:hAnsi="Arial" w:cs="Arial"/>
          <w:color w:val="7B7B7B" w:themeColor="accent3" w:themeShade="BF"/>
          <w:sz w:val="22"/>
          <w:szCs w:val="22"/>
        </w:rPr>
        <w:t>n</w:t>
      </w:r>
      <w:r>
        <w:rPr>
          <w:rFonts w:ascii="Arial" w:eastAsia="MS Gothic" w:hAnsi="Arial" w:cs="Arial"/>
          <w:color w:val="7B7B7B" w:themeColor="accent3" w:themeShade="BF"/>
          <w:sz w:val="22"/>
          <w:szCs w:val="22"/>
        </w:rPr>
        <w:t xml:space="preserve"> as “the net property” from the realisation of t</w:t>
      </w:r>
      <w:r w:rsidR="00DC5B4C">
        <w:rPr>
          <w:rFonts w:ascii="Arial" w:eastAsia="MS Gothic" w:hAnsi="Arial" w:cs="Arial"/>
          <w:color w:val="7B7B7B" w:themeColor="accent3" w:themeShade="BF"/>
          <w:sz w:val="22"/>
          <w:szCs w:val="22"/>
        </w:rPr>
        <w:t>h</w:t>
      </w:r>
      <w:r>
        <w:rPr>
          <w:rFonts w:ascii="Arial" w:eastAsia="MS Gothic" w:hAnsi="Arial" w:cs="Arial"/>
          <w:color w:val="7B7B7B" w:themeColor="accent3" w:themeShade="BF"/>
          <w:sz w:val="22"/>
          <w:szCs w:val="22"/>
        </w:rPr>
        <w:t xml:space="preserve">e property </w:t>
      </w:r>
      <w:r w:rsidR="00DC5B4C">
        <w:rPr>
          <w:rFonts w:ascii="Arial" w:eastAsia="MS Gothic" w:hAnsi="Arial" w:cs="Arial"/>
          <w:color w:val="7B7B7B" w:themeColor="accent3" w:themeShade="BF"/>
          <w:sz w:val="22"/>
          <w:szCs w:val="22"/>
        </w:rPr>
        <w:t xml:space="preserve">covered by the floating charges must be set aside for distribution to unsecured creditors. This known as “prescribed part”. The prescribed </w:t>
      </w:r>
      <w:r w:rsidR="00B64650">
        <w:rPr>
          <w:rFonts w:ascii="Arial" w:eastAsia="MS Gothic" w:hAnsi="Arial" w:cs="Arial"/>
          <w:color w:val="7B7B7B" w:themeColor="accent3" w:themeShade="BF"/>
          <w:sz w:val="22"/>
          <w:szCs w:val="22"/>
        </w:rPr>
        <w:t xml:space="preserve">sum are where the property’s value does not exceed </w:t>
      </w:r>
      <w:r w:rsidR="00B64650" w:rsidRPr="00917D01">
        <w:rPr>
          <w:rFonts w:ascii="Arial" w:eastAsia="MS Gothic" w:hAnsi="Arial" w:cs="Arial"/>
          <w:color w:val="7B7B7B" w:themeColor="accent3" w:themeShade="BF"/>
          <w:sz w:val="22"/>
          <w:szCs w:val="22"/>
        </w:rPr>
        <w:t xml:space="preserve">£10,000 in value, 50% of that, where the property’s value exceeds £10,000 in value, 50% of the first £10,000 in value and 20% of that part exceeds £10,000 in value. </w:t>
      </w:r>
    </w:p>
    <w:p w14:paraId="0FEA4D91" w14:textId="48DADCE5" w:rsidR="00B64650" w:rsidRDefault="00B64650" w:rsidP="00140F68">
      <w:pPr>
        <w:jc w:val="both"/>
        <w:rPr>
          <w:rFonts w:ascii="Arial" w:eastAsia="MS Gothic" w:hAnsi="Arial" w:cs="Arial"/>
          <w:color w:val="7B7B7B" w:themeColor="accent3" w:themeShade="BF"/>
          <w:sz w:val="22"/>
          <w:szCs w:val="22"/>
        </w:rPr>
      </w:pPr>
    </w:p>
    <w:p w14:paraId="0F59293E" w14:textId="77777777" w:rsidR="00E63428" w:rsidRDefault="00E63428" w:rsidP="00140F68">
      <w:pPr>
        <w:jc w:val="both"/>
        <w:rPr>
          <w:rFonts w:ascii="Arial" w:eastAsia="MS Gothic" w:hAnsi="Arial" w:cs="Arial"/>
          <w:color w:val="7B7B7B" w:themeColor="accent3" w:themeShade="BF"/>
          <w:sz w:val="22"/>
          <w:szCs w:val="22"/>
        </w:rPr>
      </w:pPr>
    </w:p>
    <w:p w14:paraId="40C5FE5D" w14:textId="263E8D40" w:rsidR="00E63428" w:rsidRPr="00E63428" w:rsidRDefault="00E63428" w:rsidP="00E63428">
      <w:pPr>
        <w:jc w:val="both"/>
        <w:rPr>
          <w:rFonts w:ascii="Arial" w:hAnsi="Arial" w:cs="Arial"/>
          <w:color w:val="7B7B7B" w:themeColor="accent3" w:themeShade="BF"/>
          <w:sz w:val="22"/>
          <w:szCs w:val="22"/>
          <w:u w:val="single"/>
        </w:rPr>
      </w:pPr>
      <w:r>
        <w:rPr>
          <w:rFonts w:ascii="Arial" w:eastAsia="MS Gothic" w:hAnsi="Arial" w:cs="Arial"/>
          <w:color w:val="7B7B7B" w:themeColor="accent3" w:themeShade="BF"/>
          <w:sz w:val="22"/>
          <w:szCs w:val="22"/>
          <w:u w:val="single"/>
        </w:rPr>
        <w:t>U</w:t>
      </w:r>
      <w:r w:rsidRPr="00E63428">
        <w:rPr>
          <w:rFonts w:ascii="Arial" w:eastAsia="MS Gothic" w:hAnsi="Arial" w:cs="Arial"/>
          <w:color w:val="7B7B7B" w:themeColor="accent3" w:themeShade="BF"/>
          <w:sz w:val="22"/>
          <w:szCs w:val="22"/>
          <w:u w:val="single"/>
        </w:rPr>
        <w:t>nsecured creditors</w:t>
      </w:r>
    </w:p>
    <w:p w14:paraId="04202569" w14:textId="39F11008" w:rsidR="004B6E52" w:rsidRDefault="004B6E52" w:rsidP="00140F68">
      <w:pPr>
        <w:jc w:val="both"/>
        <w:rPr>
          <w:rFonts w:ascii="Arial" w:eastAsia="MS Gothic" w:hAnsi="Arial" w:cs="Arial"/>
          <w:color w:val="7B7B7B" w:themeColor="accent3" w:themeShade="BF"/>
          <w:sz w:val="22"/>
          <w:szCs w:val="22"/>
        </w:rPr>
      </w:pPr>
    </w:p>
    <w:p w14:paraId="7000C2E4" w14:textId="64488AC2" w:rsidR="00E63428" w:rsidRDefault="00E63428" w:rsidP="00140F68">
      <w:pPr>
        <w:jc w:val="both"/>
        <w:rPr>
          <w:rFonts w:ascii="Arial" w:eastAsia="MS Gothic" w:hAnsi="Arial" w:cs="Arial"/>
          <w:color w:val="7B7B7B" w:themeColor="accent3" w:themeShade="BF"/>
          <w:sz w:val="22"/>
          <w:szCs w:val="22"/>
        </w:rPr>
      </w:pPr>
      <w:r>
        <w:rPr>
          <w:rFonts w:ascii="Arial" w:eastAsia="MS Gothic" w:hAnsi="Arial" w:cs="Arial"/>
          <w:color w:val="7B7B7B" w:themeColor="accent3" w:themeShade="BF"/>
          <w:sz w:val="22"/>
          <w:szCs w:val="22"/>
        </w:rPr>
        <w:t xml:space="preserve">This category contains creditors with no security </w:t>
      </w:r>
      <w:r w:rsidR="0059389E">
        <w:rPr>
          <w:rFonts w:ascii="Arial" w:eastAsia="MS Gothic" w:hAnsi="Arial" w:cs="Arial"/>
          <w:color w:val="7B7B7B" w:themeColor="accent3" w:themeShade="BF"/>
          <w:sz w:val="22"/>
          <w:szCs w:val="22"/>
        </w:rPr>
        <w:t xml:space="preserve">and often received litter or nothing. These unsecured creditors will be paid after the expenses of winding up have been paid and distribution to preferential creditors and creditors subject to floating charge is settled. </w:t>
      </w:r>
    </w:p>
    <w:p w14:paraId="4E002CA9" w14:textId="77BE36B8" w:rsidR="0059389E" w:rsidRDefault="0059389E" w:rsidP="00140F68">
      <w:pPr>
        <w:jc w:val="both"/>
        <w:rPr>
          <w:rFonts w:ascii="Arial" w:eastAsia="MS Gothic" w:hAnsi="Arial" w:cs="Arial"/>
          <w:color w:val="7B7B7B" w:themeColor="accent3" w:themeShade="BF"/>
          <w:sz w:val="22"/>
          <w:szCs w:val="22"/>
        </w:rPr>
      </w:pPr>
    </w:p>
    <w:p w14:paraId="57461D30" w14:textId="0FF7DD1F" w:rsidR="0059389E" w:rsidRDefault="0059389E" w:rsidP="00140F68">
      <w:pPr>
        <w:jc w:val="both"/>
        <w:rPr>
          <w:rFonts w:ascii="Arial" w:eastAsia="MS Gothic" w:hAnsi="Arial" w:cs="Arial"/>
          <w:color w:val="7B7B7B" w:themeColor="accent3" w:themeShade="BF"/>
          <w:sz w:val="22"/>
          <w:szCs w:val="22"/>
          <w:u w:val="single"/>
        </w:rPr>
      </w:pPr>
      <w:r w:rsidRPr="0059389E">
        <w:rPr>
          <w:rFonts w:ascii="Arial" w:eastAsia="MS Gothic" w:hAnsi="Arial" w:cs="Arial"/>
          <w:color w:val="7B7B7B" w:themeColor="accent3" w:themeShade="BF"/>
          <w:sz w:val="22"/>
          <w:szCs w:val="22"/>
          <w:u w:val="single"/>
        </w:rPr>
        <w:t>Interest on debts from time of commencement of the liquidation (post-liquidation interest</w:t>
      </w:r>
      <w:r>
        <w:rPr>
          <w:rFonts w:ascii="Arial" w:eastAsia="MS Gothic" w:hAnsi="Arial" w:cs="Arial"/>
          <w:color w:val="7B7B7B" w:themeColor="accent3" w:themeShade="BF"/>
          <w:sz w:val="22"/>
          <w:szCs w:val="22"/>
          <w:u w:val="single"/>
        </w:rPr>
        <w:t>)</w:t>
      </w:r>
    </w:p>
    <w:p w14:paraId="32EA99A5" w14:textId="6D152F4C" w:rsidR="0059389E" w:rsidRDefault="0059389E" w:rsidP="00140F68">
      <w:pPr>
        <w:jc w:val="both"/>
        <w:rPr>
          <w:rFonts w:ascii="Arial" w:eastAsia="MS Gothic" w:hAnsi="Arial" w:cs="Arial"/>
          <w:color w:val="7B7B7B" w:themeColor="accent3" w:themeShade="BF"/>
          <w:sz w:val="22"/>
          <w:szCs w:val="22"/>
          <w:u w:val="single"/>
        </w:rPr>
      </w:pPr>
    </w:p>
    <w:p w14:paraId="2C970D96" w14:textId="54A812AB" w:rsidR="00E63428" w:rsidRDefault="0059389E" w:rsidP="00140F68">
      <w:pPr>
        <w:jc w:val="both"/>
        <w:rPr>
          <w:rFonts w:ascii="Arial" w:eastAsia="MS Gothic" w:hAnsi="Arial" w:cs="Arial"/>
          <w:color w:val="7B7B7B" w:themeColor="accent3" w:themeShade="BF"/>
          <w:sz w:val="22"/>
          <w:szCs w:val="22"/>
        </w:rPr>
      </w:pPr>
      <w:r>
        <w:rPr>
          <w:rFonts w:ascii="Arial" w:eastAsia="MS Gothic" w:hAnsi="Arial" w:cs="Arial"/>
          <w:color w:val="7B7B7B" w:themeColor="accent3" w:themeShade="BF"/>
          <w:sz w:val="22"/>
          <w:szCs w:val="22"/>
        </w:rPr>
        <w:t>When there is a surplus remain</w:t>
      </w:r>
      <w:r w:rsidR="00A57880">
        <w:rPr>
          <w:rFonts w:ascii="Arial" w:eastAsia="MS Gothic" w:hAnsi="Arial" w:cs="Arial"/>
          <w:color w:val="7B7B7B" w:themeColor="accent3" w:themeShade="BF"/>
          <w:sz w:val="22"/>
          <w:szCs w:val="22"/>
        </w:rPr>
        <w:t>in</w:t>
      </w:r>
      <w:r>
        <w:rPr>
          <w:rFonts w:ascii="Arial" w:eastAsia="MS Gothic" w:hAnsi="Arial" w:cs="Arial"/>
          <w:color w:val="7B7B7B" w:themeColor="accent3" w:themeShade="BF"/>
          <w:sz w:val="22"/>
          <w:szCs w:val="22"/>
        </w:rPr>
        <w:t xml:space="preserve">g after the payment of all debts that have been proved, the first call on the surplus </w:t>
      </w:r>
      <w:r w:rsidR="00A57880">
        <w:rPr>
          <w:rFonts w:ascii="Arial" w:eastAsia="MS Gothic" w:hAnsi="Arial" w:cs="Arial"/>
          <w:color w:val="7B7B7B" w:themeColor="accent3" w:themeShade="BF"/>
          <w:sz w:val="22"/>
          <w:szCs w:val="22"/>
        </w:rPr>
        <w:t xml:space="preserve">is for the payment of interest on those debts in relation to the period post commencement of the winding up. </w:t>
      </w:r>
    </w:p>
    <w:p w14:paraId="4EE10EC0" w14:textId="4ECA8666" w:rsidR="00A57880" w:rsidRDefault="00A57880" w:rsidP="00140F68">
      <w:pPr>
        <w:jc w:val="both"/>
        <w:rPr>
          <w:rFonts w:ascii="Arial" w:eastAsia="MS Gothic" w:hAnsi="Arial" w:cs="Arial"/>
          <w:color w:val="7B7B7B" w:themeColor="accent3" w:themeShade="BF"/>
          <w:sz w:val="22"/>
          <w:szCs w:val="22"/>
        </w:rPr>
      </w:pPr>
    </w:p>
    <w:p w14:paraId="4A92D96F" w14:textId="3689C936" w:rsidR="006F5FEF" w:rsidRDefault="006F5FEF" w:rsidP="00140F68">
      <w:pPr>
        <w:jc w:val="both"/>
        <w:rPr>
          <w:rFonts w:ascii="Arial" w:eastAsia="MS Gothic" w:hAnsi="Arial" w:cs="Arial"/>
          <w:color w:val="7B7B7B" w:themeColor="accent3" w:themeShade="BF"/>
          <w:sz w:val="22"/>
          <w:szCs w:val="22"/>
          <w:u w:val="single"/>
        </w:rPr>
      </w:pPr>
      <w:r w:rsidRPr="006F5FEF">
        <w:rPr>
          <w:rFonts w:ascii="Arial" w:eastAsia="MS Gothic" w:hAnsi="Arial" w:cs="Arial"/>
          <w:color w:val="7B7B7B" w:themeColor="accent3" w:themeShade="BF"/>
          <w:sz w:val="22"/>
          <w:szCs w:val="22"/>
          <w:u w:val="single"/>
        </w:rPr>
        <w:t>Deferred and postponed creditors</w:t>
      </w:r>
    </w:p>
    <w:p w14:paraId="5EF8EF43" w14:textId="77777777" w:rsidR="006F5FEF" w:rsidRPr="006F5FEF" w:rsidRDefault="006F5FEF" w:rsidP="00140F68">
      <w:pPr>
        <w:jc w:val="both"/>
        <w:rPr>
          <w:rFonts w:ascii="Arial" w:eastAsia="MS Gothic" w:hAnsi="Arial" w:cs="Arial"/>
          <w:color w:val="7B7B7B" w:themeColor="accent3" w:themeShade="BF"/>
          <w:sz w:val="22"/>
          <w:szCs w:val="22"/>
          <w:u w:val="single"/>
        </w:rPr>
      </w:pPr>
    </w:p>
    <w:p w14:paraId="4B6A2693" w14:textId="4256B3BD" w:rsidR="00643AC0" w:rsidRDefault="00643AC0" w:rsidP="00140F68">
      <w:pPr>
        <w:jc w:val="both"/>
        <w:rPr>
          <w:rFonts w:ascii="Arial" w:eastAsia="MS Gothic" w:hAnsi="Arial" w:cs="Arial"/>
          <w:color w:val="7B7B7B" w:themeColor="accent3" w:themeShade="BF"/>
          <w:sz w:val="22"/>
          <w:szCs w:val="22"/>
        </w:rPr>
      </w:pPr>
      <w:r>
        <w:rPr>
          <w:rFonts w:ascii="Arial" w:eastAsia="MS Gothic" w:hAnsi="Arial" w:cs="Arial"/>
          <w:color w:val="7B7B7B" w:themeColor="accent3" w:themeShade="BF"/>
          <w:sz w:val="22"/>
          <w:szCs w:val="22"/>
        </w:rPr>
        <w:t xml:space="preserve">The deferred and postponed creditors are paid out of the assets remaining after the unsecured creditors discharged in full. These debts comprise debts owing to the partner of the of the company, members of the company in his or her character as such. </w:t>
      </w:r>
    </w:p>
    <w:p w14:paraId="133A2770" w14:textId="3907BBFE" w:rsidR="00643AC0" w:rsidRDefault="00643AC0" w:rsidP="00140F68">
      <w:pPr>
        <w:jc w:val="both"/>
        <w:rPr>
          <w:rFonts w:ascii="Arial" w:eastAsia="MS Gothic" w:hAnsi="Arial" w:cs="Arial"/>
          <w:color w:val="7B7B7B" w:themeColor="accent3" w:themeShade="BF"/>
          <w:sz w:val="22"/>
          <w:szCs w:val="22"/>
        </w:rPr>
      </w:pPr>
    </w:p>
    <w:p w14:paraId="720B767C" w14:textId="093A7AA9" w:rsidR="00643AC0" w:rsidRDefault="00730D00" w:rsidP="00140F68">
      <w:pPr>
        <w:jc w:val="both"/>
        <w:rPr>
          <w:rFonts w:ascii="Arial" w:eastAsia="MS Gothic" w:hAnsi="Arial" w:cs="Arial"/>
          <w:color w:val="7B7B7B" w:themeColor="accent3" w:themeShade="BF"/>
          <w:sz w:val="22"/>
          <w:szCs w:val="22"/>
          <w:u w:val="single"/>
        </w:rPr>
      </w:pPr>
      <w:r>
        <w:rPr>
          <w:rFonts w:ascii="Arial" w:eastAsia="MS Gothic" w:hAnsi="Arial" w:cs="Arial"/>
          <w:color w:val="7B7B7B" w:themeColor="accent3" w:themeShade="BF"/>
          <w:sz w:val="22"/>
          <w:szCs w:val="22"/>
          <w:u w:val="single"/>
        </w:rPr>
        <w:t>Shareholders</w:t>
      </w:r>
    </w:p>
    <w:p w14:paraId="7C414CE8" w14:textId="238050C8" w:rsidR="00730D00" w:rsidRDefault="00730D00" w:rsidP="00140F68">
      <w:pPr>
        <w:jc w:val="both"/>
        <w:rPr>
          <w:rFonts w:ascii="Arial" w:eastAsia="MS Gothic" w:hAnsi="Arial" w:cs="Arial"/>
          <w:color w:val="7B7B7B" w:themeColor="accent3" w:themeShade="BF"/>
          <w:sz w:val="22"/>
          <w:szCs w:val="22"/>
          <w:u w:val="single"/>
        </w:rPr>
      </w:pPr>
    </w:p>
    <w:p w14:paraId="0CA7C2A7" w14:textId="2F1E98C7" w:rsidR="00730D00" w:rsidRDefault="00730D00" w:rsidP="00140F68">
      <w:pPr>
        <w:jc w:val="both"/>
        <w:rPr>
          <w:rFonts w:ascii="Arial" w:eastAsia="MS Gothic" w:hAnsi="Arial" w:cs="Arial"/>
          <w:color w:val="7B7B7B" w:themeColor="accent3" w:themeShade="BF"/>
          <w:sz w:val="22"/>
          <w:szCs w:val="22"/>
        </w:rPr>
      </w:pPr>
      <w:r>
        <w:rPr>
          <w:rFonts w:ascii="Arial" w:eastAsia="MS Gothic" w:hAnsi="Arial" w:cs="Arial"/>
          <w:color w:val="7B7B7B" w:themeColor="accent3" w:themeShade="BF"/>
          <w:sz w:val="22"/>
          <w:szCs w:val="22"/>
        </w:rPr>
        <w:t>The surplus assets after payment to all the above creditors will be distributed amongst the shareholders according to the company’s constitution</w:t>
      </w:r>
      <w:r w:rsidR="00155C34">
        <w:rPr>
          <w:rFonts w:ascii="Arial" w:eastAsia="MS Gothic" w:hAnsi="Arial" w:cs="Arial"/>
          <w:color w:val="7B7B7B" w:themeColor="accent3" w:themeShade="BF"/>
          <w:sz w:val="22"/>
          <w:szCs w:val="22"/>
        </w:rPr>
        <w:t xml:space="preserve">. </w:t>
      </w:r>
      <w:r>
        <w:rPr>
          <w:rFonts w:ascii="Arial" w:eastAsia="MS Gothic" w:hAnsi="Arial" w:cs="Arial"/>
          <w:color w:val="7B7B7B" w:themeColor="accent3" w:themeShade="BF"/>
          <w:sz w:val="22"/>
          <w:szCs w:val="22"/>
        </w:rPr>
        <w:t xml:space="preserve"> </w:t>
      </w:r>
    </w:p>
    <w:p w14:paraId="1CB85A0F" w14:textId="77777777" w:rsidR="00730D00" w:rsidRPr="0052185D" w:rsidRDefault="00730D00" w:rsidP="00140F68">
      <w:pPr>
        <w:jc w:val="both"/>
        <w:rPr>
          <w:rFonts w:ascii="Arial" w:eastAsia="MS Gothic" w:hAnsi="Arial" w:cs="Arial"/>
          <w:color w:val="7B7B7B" w:themeColor="accent3" w:themeShade="BF"/>
          <w:sz w:val="22"/>
          <w:szCs w:val="22"/>
        </w:rPr>
      </w:pPr>
    </w:p>
    <w:p w14:paraId="76248270" w14:textId="71AD0330" w:rsidR="00636AF6" w:rsidRDefault="00636AF6">
      <w:pPr>
        <w:rPr>
          <w:rFonts w:ascii="Arial" w:hAnsi="Arial" w:cs="Arial"/>
          <w:b/>
          <w:sz w:val="22"/>
          <w:szCs w:val="22"/>
          <w:lang w:val="en-GB"/>
        </w:rPr>
      </w:pPr>
      <w:r>
        <w:rPr>
          <w:rFonts w:ascii="Arial" w:hAnsi="Arial" w:cs="Arial"/>
          <w:b/>
          <w:sz w:val="22"/>
          <w:szCs w:val="22"/>
          <w:lang w:val="en-GB"/>
        </w:rPr>
        <w:br w:type="page"/>
      </w:r>
    </w:p>
    <w:p w14:paraId="1560360F" w14:textId="77777777" w:rsidR="00636AF6" w:rsidRDefault="00636AF6" w:rsidP="00140F68">
      <w:pPr>
        <w:jc w:val="both"/>
        <w:rPr>
          <w:rFonts w:ascii="Arial" w:hAnsi="Arial" w:cs="Arial"/>
          <w:b/>
          <w:sz w:val="22"/>
          <w:szCs w:val="22"/>
          <w:lang w:val="en-GB"/>
        </w:rPr>
      </w:pPr>
    </w:p>
    <w:p w14:paraId="55C402CC" w14:textId="76BAC500" w:rsidR="009B0723" w:rsidRPr="00140F68" w:rsidRDefault="00DF75F8" w:rsidP="00140F68">
      <w:pPr>
        <w:jc w:val="both"/>
        <w:rPr>
          <w:rFonts w:ascii="Arial" w:hAnsi="Arial" w:cs="Arial"/>
          <w:b/>
          <w:sz w:val="22"/>
          <w:szCs w:val="22"/>
          <w:lang w:val="en-GB"/>
        </w:rPr>
      </w:pPr>
      <w:r w:rsidRPr="00140F68">
        <w:rPr>
          <w:rFonts w:ascii="Arial" w:hAnsi="Arial" w:cs="Arial"/>
          <w:b/>
          <w:sz w:val="22"/>
          <w:szCs w:val="22"/>
          <w:lang w:val="en-GB"/>
        </w:rPr>
        <w:t>QUESTION 4</w:t>
      </w:r>
      <w:r w:rsidR="009B0723" w:rsidRPr="00140F68">
        <w:rPr>
          <w:rFonts w:ascii="Arial" w:hAnsi="Arial" w:cs="Arial"/>
          <w:b/>
          <w:sz w:val="22"/>
          <w:szCs w:val="22"/>
          <w:lang w:val="en-GB"/>
        </w:rPr>
        <w:t xml:space="preserve"> (fact-based application-type question) [15 marks</w:t>
      </w:r>
      <w:r w:rsidR="006A2646" w:rsidRPr="00140F68">
        <w:rPr>
          <w:rFonts w:ascii="Arial" w:hAnsi="Arial" w:cs="Arial"/>
          <w:b/>
          <w:sz w:val="22"/>
          <w:szCs w:val="22"/>
          <w:lang w:val="en-GB"/>
        </w:rPr>
        <w:t xml:space="preserve"> in total</w:t>
      </w:r>
      <w:r w:rsidR="009B0723" w:rsidRPr="00140F68">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2F12BF" w:rsidRDefault="007E2919" w:rsidP="007E2919">
      <w:pPr>
        <w:pStyle w:val="NormalWeb"/>
        <w:spacing w:before="0" w:beforeAutospacing="0" w:after="0" w:afterAutospacing="0"/>
        <w:rPr>
          <w:rFonts w:ascii="Arial" w:hAnsi="Arial" w:cs="Arial"/>
        </w:rPr>
      </w:pPr>
      <w:bookmarkStart w:id="0" w:name="_Hlk17745211"/>
      <w:r w:rsidRPr="002F12BF">
        <w:rPr>
          <w:rFonts w:ascii="Arial" w:hAnsi="Arial" w:cs="Arial"/>
        </w:rPr>
        <w:t xml:space="preserve">Prior to going into </w:t>
      </w:r>
      <w:r w:rsidR="00891690" w:rsidRPr="002F12BF">
        <w:rPr>
          <w:rFonts w:ascii="Arial" w:hAnsi="Arial" w:cs="Arial"/>
        </w:rPr>
        <w:t xml:space="preserve">compulsory </w:t>
      </w:r>
      <w:r w:rsidRPr="002F12BF">
        <w:rPr>
          <w:rFonts w:ascii="Arial" w:hAnsi="Arial" w:cs="Arial"/>
        </w:rPr>
        <w:t xml:space="preserve">liquidation </w:t>
      </w:r>
      <w:r w:rsidR="00314F32" w:rsidRPr="002F12BF">
        <w:rPr>
          <w:rFonts w:ascii="Arial" w:hAnsi="Arial" w:cs="Arial"/>
        </w:rPr>
        <w:t>on 23</w:t>
      </w:r>
      <w:r w:rsidR="00314F32" w:rsidRPr="002F12BF">
        <w:rPr>
          <w:rFonts w:ascii="Arial" w:hAnsi="Arial" w:cs="Arial"/>
          <w:vertAlign w:val="superscript"/>
        </w:rPr>
        <w:t>rd</w:t>
      </w:r>
      <w:r w:rsidR="00314F32" w:rsidRPr="002F12BF">
        <w:rPr>
          <w:rFonts w:ascii="Arial" w:hAnsi="Arial" w:cs="Arial"/>
        </w:rPr>
        <w:t xml:space="preserve"> </w:t>
      </w:r>
      <w:r w:rsidR="00891690" w:rsidRPr="002F12BF">
        <w:rPr>
          <w:rFonts w:ascii="Arial" w:hAnsi="Arial" w:cs="Arial"/>
        </w:rPr>
        <w:t>December</w:t>
      </w:r>
      <w:r w:rsidRPr="002F12BF">
        <w:rPr>
          <w:rFonts w:ascii="Arial" w:hAnsi="Arial" w:cs="Arial"/>
        </w:rPr>
        <w:t xml:space="preserve"> 202</w:t>
      </w:r>
      <w:r w:rsidR="003A4482" w:rsidRPr="002F12BF">
        <w:rPr>
          <w:rFonts w:ascii="Arial" w:hAnsi="Arial" w:cs="Arial"/>
        </w:rPr>
        <w:t>1</w:t>
      </w:r>
      <w:r w:rsidRPr="002F12BF">
        <w:rPr>
          <w:rFonts w:ascii="Arial" w:hAnsi="Arial" w:cs="Arial"/>
        </w:rPr>
        <w:t xml:space="preserve">, under pressure from its bank, Stercus Bank plc, and in order to prevent it from demanding repayment of the company’s loans, </w:t>
      </w:r>
      <w:proofErr w:type="spellStart"/>
      <w:r w:rsidR="00891690" w:rsidRPr="002F12BF">
        <w:rPr>
          <w:rFonts w:ascii="Arial" w:hAnsi="Arial" w:cs="Arial"/>
        </w:rPr>
        <w:t>Corfee</w:t>
      </w:r>
      <w:proofErr w:type="spellEnd"/>
      <w:r w:rsidR="00891690" w:rsidRPr="002F12BF">
        <w:rPr>
          <w:rFonts w:ascii="Arial" w:hAnsi="Arial" w:cs="Arial"/>
        </w:rPr>
        <w:t xml:space="preserve"> Zero </w:t>
      </w:r>
      <w:r w:rsidRPr="002F12BF">
        <w:rPr>
          <w:rFonts w:ascii="Arial" w:hAnsi="Arial" w:cs="Arial"/>
        </w:rPr>
        <w:t xml:space="preserve">Limited </w:t>
      </w:r>
      <w:r w:rsidR="00891690" w:rsidRPr="002F12BF">
        <w:rPr>
          <w:rFonts w:ascii="Arial" w:hAnsi="Arial" w:cs="Arial"/>
        </w:rPr>
        <w:t>(“the Company”)</w:t>
      </w:r>
      <w:r w:rsidR="0070524B" w:rsidRPr="002F12BF">
        <w:rPr>
          <w:rFonts w:ascii="Arial" w:hAnsi="Arial" w:cs="Arial"/>
        </w:rPr>
        <w:t>,</w:t>
      </w:r>
      <w:r w:rsidR="00891690" w:rsidRPr="002F12BF">
        <w:rPr>
          <w:rFonts w:ascii="Arial" w:hAnsi="Arial" w:cs="Arial"/>
        </w:rPr>
        <w:t xml:space="preserve"> </w:t>
      </w:r>
      <w:r w:rsidRPr="002F12BF">
        <w:rPr>
          <w:rFonts w:ascii="Arial" w:hAnsi="Arial" w:cs="Arial"/>
        </w:rPr>
        <w:t xml:space="preserve">granted a debenture in favour of Stercus Bank plc in </w:t>
      </w:r>
      <w:r w:rsidR="00891690" w:rsidRPr="002F12BF">
        <w:rPr>
          <w:rFonts w:ascii="Arial" w:hAnsi="Arial" w:cs="Arial"/>
        </w:rPr>
        <w:t>February</w:t>
      </w:r>
      <w:r w:rsidRPr="002F12BF">
        <w:rPr>
          <w:rFonts w:ascii="Arial" w:hAnsi="Arial" w:cs="Arial"/>
        </w:rPr>
        <w:t xml:space="preserve"> 202</w:t>
      </w:r>
      <w:r w:rsidR="003A4482" w:rsidRPr="002F12BF">
        <w:rPr>
          <w:rFonts w:ascii="Arial" w:hAnsi="Arial" w:cs="Arial"/>
        </w:rPr>
        <w:t>1</w:t>
      </w:r>
      <w:r w:rsidRPr="002F12BF">
        <w:rPr>
          <w:rFonts w:ascii="Arial" w:hAnsi="Arial" w:cs="Arial"/>
        </w:rPr>
        <w:t xml:space="preserve">. The debenture contained a floating charge over the whole of the </w:t>
      </w:r>
      <w:r w:rsidR="00891690" w:rsidRPr="002F12BF">
        <w:rPr>
          <w:rFonts w:ascii="Arial" w:hAnsi="Arial" w:cs="Arial"/>
        </w:rPr>
        <w:t>C</w:t>
      </w:r>
      <w:r w:rsidRPr="002F12BF">
        <w:rPr>
          <w:rFonts w:ascii="Arial" w:hAnsi="Arial" w:cs="Arial"/>
        </w:rPr>
        <w:t>ompany’s undertaking.</w:t>
      </w:r>
    </w:p>
    <w:p w14:paraId="446FD66A" w14:textId="65DEFBAC" w:rsidR="007E2919" w:rsidRPr="002F12BF" w:rsidRDefault="007E2919" w:rsidP="007E2919">
      <w:pPr>
        <w:pStyle w:val="NormalWeb"/>
        <w:spacing w:before="0" w:beforeAutospacing="0" w:after="0" w:afterAutospacing="0"/>
        <w:rPr>
          <w:rFonts w:ascii="Arial" w:hAnsi="Arial" w:cs="Arial"/>
        </w:rPr>
      </w:pPr>
    </w:p>
    <w:p w14:paraId="3669DFCF" w14:textId="3DDC0B11" w:rsidR="00314F32" w:rsidRPr="002F12BF" w:rsidRDefault="00314F32" w:rsidP="007E2919">
      <w:pPr>
        <w:pStyle w:val="NormalWeb"/>
        <w:spacing w:before="0" w:beforeAutospacing="0" w:after="0" w:afterAutospacing="0"/>
        <w:rPr>
          <w:rFonts w:ascii="Arial" w:hAnsi="Arial" w:cs="Arial"/>
        </w:rPr>
      </w:pPr>
      <w:r w:rsidRPr="002F12BF">
        <w:rPr>
          <w:rFonts w:ascii="Arial" w:hAnsi="Arial" w:cs="Arial"/>
        </w:rPr>
        <w:t>The winding up order followed a creditor’s winding up petition issued on 14</w:t>
      </w:r>
      <w:r w:rsidRPr="002F12BF">
        <w:rPr>
          <w:rFonts w:ascii="Arial" w:hAnsi="Arial" w:cs="Arial"/>
          <w:vertAlign w:val="superscript"/>
        </w:rPr>
        <w:t>th</w:t>
      </w:r>
      <w:r w:rsidRPr="002F12BF">
        <w:rPr>
          <w:rFonts w:ascii="Arial" w:hAnsi="Arial" w:cs="Arial"/>
        </w:rPr>
        <w:t xml:space="preserve"> October 2021.</w:t>
      </w:r>
    </w:p>
    <w:p w14:paraId="148D7C3C" w14:textId="77777777" w:rsidR="00314F32" w:rsidRPr="002F12BF" w:rsidRDefault="00314F32" w:rsidP="007E2919">
      <w:pPr>
        <w:pStyle w:val="NormalWeb"/>
        <w:spacing w:before="0" w:beforeAutospacing="0" w:after="0" w:afterAutospacing="0"/>
        <w:rPr>
          <w:rFonts w:ascii="Arial" w:hAnsi="Arial" w:cs="Arial"/>
        </w:rPr>
      </w:pPr>
    </w:p>
    <w:p w14:paraId="0C3B98CB" w14:textId="0513C8E8" w:rsidR="007E2919" w:rsidRPr="002F12BF" w:rsidRDefault="007E2919" w:rsidP="00891690">
      <w:pPr>
        <w:pStyle w:val="NormalWeb"/>
        <w:spacing w:before="0" w:beforeAutospacing="0" w:after="0" w:afterAutospacing="0"/>
        <w:rPr>
          <w:rFonts w:ascii="Arial" w:hAnsi="Arial" w:cs="Arial"/>
        </w:rPr>
      </w:pPr>
      <w:r w:rsidRPr="002F12BF">
        <w:rPr>
          <w:rFonts w:ascii="Arial" w:hAnsi="Arial" w:cs="Arial"/>
        </w:rPr>
        <w:t xml:space="preserve">In </w:t>
      </w:r>
      <w:r w:rsidR="00891690" w:rsidRPr="002F12BF">
        <w:rPr>
          <w:rFonts w:ascii="Arial" w:hAnsi="Arial" w:cs="Arial"/>
        </w:rPr>
        <w:t>July</w:t>
      </w:r>
      <w:r w:rsidRPr="002F12BF">
        <w:rPr>
          <w:rFonts w:ascii="Arial" w:hAnsi="Arial" w:cs="Arial"/>
        </w:rPr>
        <w:t xml:space="preserve"> 202</w:t>
      </w:r>
      <w:r w:rsidR="003A4482" w:rsidRPr="002F12BF">
        <w:rPr>
          <w:rFonts w:ascii="Arial" w:hAnsi="Arial" w:cs="Arial"/>
        </w:rPr>
        <w:t>1</w:t>
      </w:r>
      <w:r w:rsidRPr="002F12BF">
        <w:rPr>
          <w:rFonts w:ascii="Arial" w:hAnsi="Arial" w:cs="Arial"/>
        </w:rPr>
        <w:t xml:space="preserve">, as the </w:t>
      </w:r>
      <w:r w:rsidR="00891690" w:rsidRPr="002F12BF">
        <w:rPr>
          <w:rFonts w:ascii="Arial" w:hAnsi="Arial" w:cs="Arial"/>
        </w:rPr>
        <w:t>C</w:t>
      </w:r>
      <w:r w:rsidRPr="002F12BF">
        <w:rPr>
          <w:rFonts w:ascii="Arial" w:hAnsi="Arial" w:cs="Arial"/>
        </w:rPr>
        <w:t>ompany continued to s</w:t>
      </w:r>
      <w:r w:rsidR="00314F32" w:rsidRPr="002F12BF">
        <w:rPr>
          <w:rFonts w:ascii="Arial" w:hAnsi="Arial" w:cs="Arial"/>
        </w:rPr>
        <w:t xml:space="preserve">uffer cash flow problems, </w:t>
      </w:r>
      <w:r w:rsidRPr="002F12BF">
        <w:rPr>
          <w:rFonts w:ascii="Arial" w:hAnsi="Arial" w:cs="Arial"/>
        </w:rPr>
        <w:t xml:space="preserve">the directors approved the sale of </w:t>
      </w:r>
      <w:r w:rsidR="00891690" w:rsidRPr="002F12BF">
        <w:rPr>
          <w:rFonts w:ascii="Arial" w:hAnsi="Arial" w:cs="Arial"/>
        </w:rPr>
        <w:t>5</w:t>
      </w:r>
      <w:r w:rsidRPr="002F12BF">
        <w:rPr>
          <w:rFonts w:ascii="Arial" w:hAnsi="Arial" w:cs="Arial"/>
        </w:rPr>
        <w:t xml:space="preserve"> </w:t>
      </w:r>
      <w:r w:rsidR="00891690" w:rsidRPr="002F12BF">
        <w:rPr>
          <w:rFonts w:ascii="Arial" w:hAnsi="Arial" w:cs="Arial"/>
        </w:rPr>
        <w:t xml:space="preserve">coffee roasting machines </w:t>
      </w:r>
      <w:r w:rsidRPr="002F12BF">
        <w:rPr>
          <w:rFonts w:ascii="Arial" w:hAnsi="Arial" w:cs="Arial"/>
        </w:rPr>
        <w:t xml:space="preserve">to </w:t>
      </w:r>
      <w:r w:rsidR="00891690" w:rsidRPr="002F12BF">
        <w:rPr>
          <w:rFonts w:ascii="Arial" w:hAnsi="Arial" w:cs="Arial"/>
        </w:rPr>
        <w:t>Ann Young</w:t>
      </w:r>
      <w:r w:rsidRPr="002F12BF">
        <w:rPr>
          <w:rFonts w:ascii="Arial" w:hAnsi="Arial" w:cs="Arial"/>
        </w:rPr>
        <w:t xml:space="preserve"> (a director) for £</w:t>
      </w:r>
      <w:r w:rsidR="00891690" w:rsidRPr="002F12BF">
        <w:rPr>
          <w:rFonts w:ascii="Arial" w:hAnsi="Arial" w:cs="Arial"/>
        </w:rPr>
        <w:t>10</w:t>
      </w:r>
      <w:r w:rsidRPr="002F12BF">
        <w:rPr>
          <w:rFonts w:ascii="Arial" w:hAnsi="Arial" w:cs="Arial"/>
        </w:rPr>
        <w:t xml:space="preserve">,000 in cash. The </w:t>
      </w:r>
      <w:r w:rsidR="00891690" w:rsidRPr="002F12BF">
        <w:rPr>
          <w:rFonts w:ascii="Arial" w:hAnsi="Arial" w:cs="Arial"/>
        </w:rPr>
        <w:t xml:space="preserve">machines </w:t>
      </w:r>
      <w:r w:rsidRPr="002F12BF">
        <w:rPr>
          <w:rFonts w:ascii="Arial" w:hAnsi="Arial" w:cs="Arial"/>
        </w:rPr>
        <w:t>had been bought for £</w:t>
      </w:r>
      <w:r w:rsidR="00891690" w:rsidRPr="002F12BF">
        <w:rPr>
          <w:rFonts w:ascii="Arial" w:hAnsi="Arial" w:cs="Arial"/>
        </w:rPr>
        <w:t>25</w:t>
      </w:r>
      <w:r w:rsidRPr="002F12BF">
        <w:rPr>
          <w:rFonts w:ascii="Arial" w:hAnsi="Arial" w:cs="Arial"/>
        </w:rPr>
        <w:t>,000 a year before.</w:t>
      </w:r>
    </w:p>
    <w:p w14:paraId="656168E7" w14:textId="77777777" w:rsidR="007E2919" w:rsidRPr="002F12BF" w:rsidRDefault="007E2919" w:rsidP="007E2919">
      <w:pPr>
        <w:pStyle w:val="NormalWeb"/>
        <w:spacing w:before="0" w:beforeAutospacing="0" w:after="0" w:afterAutospacing="0"/>
        <w:rPr>
          <w:rFonts w:ascii="Arial" w:hAnsi="Arial" w:cs="Arial"/>
        </w:rPr>
      </w:pPr>
    </w:p>
    <w:p w14:paraId="650258DB" w14:textId="6C9D65B3" w:rsidR="007E2919" w:rsidRPr="002F12BF" w:rsidRDefault="007E2919" w:rsidP="007E2919">
      <w:pPr>
        <w:pStyle w:val="NormalWeb"/>
        <w:spacing w:before="0" w:beforeAutospacing="0" w:after="0" w:afterAutospacing="0"/>
        <w:rPr>
          <w:rFonts w:ascii="Arial" w:hAnsi="Arial" w:cs="Arial"/>
        </w:rPr>
      </w:pPr>
      <w:r w:rsidRPr="002F12BF">
        <w:rPr>
          <w:rFonts w:ascii="Arial" w:hAnsi="Arial" w:cs="Arial"/>
        </w:rPr>
        <w:t xml:space="preserve">A month before the </w:t>
      </w:r>
      <w:r w:rsidR="00314F32" w:rsidRPr="002F12BF">
        <w:rPr>
          <w:rFonts w:ascii="Arial" w:hAnsi="Arial" w:cs="Arial"/>
        </w:rPr>
        <w:t xml:space="preserve">winding up </w:t>
      </w:r>
      <w:r w:rsidR="0070524B" w:rsidRPr="002F12BF">
        <w:rPr>
          <w:rFonts w:ascii="Arial" w:hAnsi="Arial" w:cs="Arial"/>
        </w:rPr>
        <w:t>order was made</w:t>
      </w:r>
      <w:r w:rsidRPr="002F12BF">
        <w:rPr>
          <w:rFonts w:ascii="Arial" w:hAnsi="Arial" w:cs="Arial"/>
        </w:rPr>
        <w:t xml:space="preserve">, </w:t>
      </w:r>
      <w:r w:rsidR="00891690" w:rsidRPr="002F12BF">
        <w:rPr>
          <w:rFonts w:ascii="Arial" w:hAnsi="Arial" w:cs="Arial"/>
        </w:rPr>
        <w:t>Ann Young</w:t>
      </w:r>
      <w:r w:rsidRPr="002F12BF">
        <w:rPr>
          <w:rFonts w:ascii="Arial" w:hAnsi="Arial" w:cs="Arial"/>
        </w:rPr>
        <w:t xml:space="preserve"> received an </w:t>
      </w:r>
      <w:r w:rsidR="0070524B" w:rsidRPr="002F12BF">
        <w:rPr>
          <w:rFonts w:ascii="Arial" w:hAnsi="Arial" w:cs="Arial"/>
        </w:rPr>
        <w:t xml:space="preserve">email from Beans and Leaves Ltd, one of </w:t>
      </w:r>
      <w:r w:rsidRPr="002F12BF">
        <w:rPr>
          <w:rFonts w:ascii="Arial" w:hAnsi="Arial" w:cs="Arial"/>
        </w:rPr>
        <w:t xml:space="preserve">the </w:t>
      </w:r>
      <w:r w:rsidR="0070524B" w:rsidRPr="002F12BF">
        <w:rPr>
          <w:rFonts w:ascii="Arial" w:hAnsi="Arial" w:cs="Arial"/>
        </w:rPr>
        <w:t>C</w:t>
      </w:r>
      <w:r w:rsidRPr="002F12BF">
        <w:rPr>
          <w:rFonts w:ascii="Arial" w:hAnsi="Arial" w:cs="Arial"/>
        </w:rPr>
        <w:t>ompany’s key suppliers. The supplier demanded immediate payment of all sums owing to it</w:t>
      </w:r>
      <w:r w:rsidR="0070524B" w:rsidRPr="002F12BF">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sidRPr="002F12BF">
        <w:rPr>
          <w:rFonts w:ascii="Arial" w:hAnsi="Arial" w:cs="Arial"/>
        </w:rPr>
        <w:t>authorised</w:t>
      </w:r>
      <w:proofErr w:type="spellEnd"/>
      <w:r w:rsidR="0070524B" w:rsidRPr="002F12BF">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2F12BF"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2F12BF">
        <w:rPr>
          <w:rFonts w:ascii="Arial" w:hAnsi="Arial" w:cs="Arial"/>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rPr>
      </w:pPr>
      <w:r>
        <w:rPr>
          <w:rFonts w:ascii="Arial" w:hAnsi="Arial" w:cs="Arial"/>
          <w:b/>
        </w:rPr>
        <w:t>Question 4.1 [maximum 5 marks]</w:t>
      </w:r>
    </w:p>
    <w:p w14:paraId="38FEFA11" w14:textId="77777777" w:rsidR="007E2919" w:rsidRDefault="007E2919" w:rsidP="007E2919">
      <w:pPr>
        <w:rPr>
          <w:rFonts w:ascii="Arial" w:hAnsi="Arial" w:cs="Arial"/>
          <w:b/>
        </w:rPr>
      </w:pPr>
    </w:p>
    <w:p w14:paraId="348B3EC5" w14:textId="4AEEC57F" w:rsidR="007E2919" w:rsidRPr="007E2919" w:rsidRDefault="007E2919" w:rsidP="007E2919">
      <w:pPr>
        <w:rPr>
          <w:rFonts w:ascii="Arial" w:hAnsi="Arial" w:cs="Arial"/>
        </w:rPr>
      </w:pPr>
      <w:r w:rsidRPr="007E2919">
        <w:rPr>
          <w:rFonts w:ascii="Arial" w:hAnsi="Arial" w:cs="Arial"/>
        </w:rPr>
        <w:t>The floating charge in favour of Stercus Bank plc;</w:t>
      </w:r>
    </w:p>
    <w:p w14:paraId="6EBA6718" w14:textId="2A29D09B" w:rsidR="00AB3999" w:rsidRPr="007B71F6" w:rsidRDefault="002D7830" w:rsidP="007B71F6">
      <w:pPr>
        <w:spacing w:before="100" w:beforeAutospacing="1" w:after="100" w:afterAutospacing="1"/>
        <w:jc w:val="both"/>
        <w:rPr>
          <w:rFonts w:ascii="Arial" w:hAnsi="Arial" w:cs="Arial"/>
          <w:color w:val="7B7B7B" w:themeColor="accent3" w:themeShade="BF"/>
          <w:sz w:val="22"/>
          <w:szCs w:val="22"/>
          <w:lang w:val="en-GB"/>
        </w:rPr>
      </w:pPr>
      <w:proofErr w:type="spellStart"/>
      <w:r w:rsidRPr="007B71F6">
        <w:rPr>
          <w:rFonts w:ascii="Arial" w:hAnsi="Arial" w:cs="Arial"/>
          <w:color w:val="7B7B7B" w:themeColor="accent3" w:themeShade="BF"/>
          <w:sz w:val="22"/>
          <w:szCs w:val="22"/>
          <w:lang w:val="en-GB"/>
        </w:rPr>
        <w:t>Corfee</w:t>
      </w:r>
      <w:proofErr w:type="spellEnd"/>
      <w:r w:rsidRPr="007B71F6">
        <w:rPr>
          <w:rFonts w:ascii="Arial" w:hAnsi="Arial" w:cs="Arial"/>
          <w:color w:val="7B7B7B" w:themeColor="accent3" w:themeShade="BF"/>
          <w:sz w:val="22"/>
          <w:szCs w:val="22"/>
          <w:lang w:val="en-GB"/>
        </w:rPr>
        <w:t xml:space="preserve"> Zero Limited (“the Company”) has granted debenture to </w:t>
      </w:r>
      <w:proofErr w:type="spellStart"/>
      <w:r w:rsidRPr="007B71F6">
        <w:rPr>
          <w:rFonts w:ascii="Arial" w:hAnsi="Arial" w:cs="Arial"/>
          <w:color w:val="7B7B7B" w:themeColor="accent3" w:themeShade="BF"/>
          <w:sz w:val="22"/>
          <w:szCs w:val="22"/>
          <w:lang w:val="en-GB"/>
        </w:rPr>
        <w:t>Stercus</w:t>
      </w:r>
      <w:proofErr w:type="spellEnd"/>
      <w:r w:rsidRPr="007B71F6">
        <w:rPr>
          <w:rFonts w:ascii="Arial" w:hAnsi="Arial" w:cs="Arial"/>
          <w:color w:val="7B7B7B" w:themeColor="accent3" w:themeShade="BF"/>
          <w:sz w:val="22"/>
          <w:szCs w:val="22"/>
          <w:lang w:val="en-GB"/>
        </w:rPr>
        <w:t xml:space="preserve"> Bank plc in order to prevent it from demanding repayment of the Company’s loans. The debenture contains floating charge covers whole of the company’s undertaking. The floating charge was created shortly before the company enters into liquidation. The floating charge was also given for </w:t>
      </w:r>
      <w:r w:rsidR="002D27C3" w:rsidRPr="007B71F6">
        <w:rPr>
          <w:rFonts w:ascii="Arial" w:hAnsi="Arial" w:cs="Arial"/>
          <w:color w:val="7B7B7B" w:themeColor="accent3" w:themeShade="BF"/>
          <w:sz w:val="22"/>
          <w:szCs w:val="22"/>
          <w:lang w:val="en-GB"/>
        </w:rPr>
        <w:t>existing debts. Section 245 applies where a company is in administration or liquidation and the provision is aimed at preventing pre-existing unsecured creditors obtaining the security of a floating charge shortly before a company enters a formal insolvency procedure</w:t>
      </w:r>
      <w:r w:rsidR="00AB3999" w:rsidRPr="007B71F6">
        <w:rPr>
          <w:rFonts w:ascii="Arial" w:hAnsi="Arial" w:cs="Arial"/>
          <w:color w:val="7B7B7B" w:themeColor="accent3" w:themeShade="BF"/>
          <w:sz w:val="22"/>
          <w:szCs w:val="22"/>
          <w:lang w:val="en-GB"/>
        </w:rPr>
        <w:t>. If a floating charge is caught by section 245 then, save to the extent of any new consideration, it is rendered invalid</w:t>
      </w:r>
      <w:r w:rsidR="00531DD9" w:rsidRPr="007B71F6">
        <w:rPr>
          <w:rFonts w:ascii="Arial" w:hAnsi="Arial" w:cs="Arial"/>
          <w:color w:val="7B7B7B" w:themeColor="accent3" w:themeShade="BF"/>
          <w:sz w:val="22"/>
          <w:szCs w:val="22"/>
          <w:lang w:val="en-GB"/>
        </w:rPr>
        <w:t xml:space="preserve">. Section 245 also talks about the </w:t>
      </w:r>
      <w:r w:rsidR="00D9673C" w:rsidRPr="007B71F6">
        <w:rPr>
          <w:rFonts w:ascii="Arial" w:hAnsi="Arial" w:cs="Arial"/>
          <w:color w:val="7B7B7B" w:themeColor="accent3" w:themeShade="BF"/>
          <w:sz w:val="22"/>
          <w:szCs w:val="22"/>
          <w:lang w:val="en-GB"/>
        </w:rPr>
        <w:t xml:space="preserve">relevant time </w:t>
      </w:r>
      <w:r w:rsidR="007B78FF" w:rsidRPr="007B71F6">
        <w:rPr>
          <w:rFonts w:ascii="Arial" w:hAnsi="Arial" w:cs="Arial"/>
          <w:color w:val="7B7B7B" w:themeColor="accent3" w:themeShade="BF"/>
          <w:sz w:val="22"/>
          <w:szCs w:val="22"/>
          <w:lang w:val="en-GB"/>
        </w:rPr>
        <w:t xml:space="preserve">the floating charge </w:t>
      </w:r>
      <w:r w:rsidR="00D9673C" w:rsidRPr="007B71F6">
        <w:rPr>
          <w:rFonts w:ascii="Arial" w:hAnsi="Arial" w:cs="Arial"/>
          <w:color w:val="7B7B7B" w:themeColor="accent3" w:themeShade="BF"/>
          <w:sz w:val="22"/>
          <w:szCs w:val="22"/>
          <w:lang w:val="en-GB"/>
        </w:rPr>
        <w:t xml:space="preserve">is created and the </w:t>
      </w:r>
      <w:r w:rsidR="00531DD9" w:rsidRPr="007B71F6">
        <w:rPr>
          <w:rFonts w:ascii="Arial" w:hAnsi="Arial" w:cs="Arial"/>
          <w:color w:val="7B7B7B" w:themeColor="accent3" w:themeShade="BF"/>
          <w:sz w:val="22"/>
          <w:szCs w:val="22"/>
          <w:lang w:val="en-GB"/>
        </w:rPr>
        <w:t xml:space="preserve">person in whose favour the charge is  created. If the floating charge is crated in favour of connected person </w:t>
      </w:r>
      <w:r w:rsidR="007B78FF" w:rsidRPr="007B71F6">
        <w:rPr>
          <w:rFonts w:ascii="Arial" w:hAnsi="Arial" w:cs="Arial"/>
          <w:color w:val="7B7B7B" w:themeColor="accent3" w:themeShade="BF"/>
          <w:sz w:val="22"/>
          <w:szCs w:val="22"/>
          <w:lang w:val="en-GB"/>
        </w:rPr>
        <w:t xml:space="preserve">within 2 years prior to the onset of insolvency or 12 months before the onset of insolvency if it was created in favour of not connected person, the floating charge will be treated as invalid. </w:t>
      </w:r>
    </w:p>
    <w:p w14:paraId="55E0FAB6" w14:textId="60757BFD" w:rsidR="00E1684F" w:rsidRPr="007B71F6" w:rsidRDefault="007B78FF" w:rsidP="00636AF6">
      <w:pPr>
        <w:pStyle w:val="NormalWeb"/>
        <w:jc w:val="both"/>
        <w:rPr>
          <w:rFonts w:ascii="Arial" w:hAnsi="Arial" w:cs="Arial"/>
          <w:color w:val="7B7B7B" w:themeColor="accent3" w:themeShade="BF"/>
          <w:sz w:val="22"/>
          <w:szCs w:val="22"/>
          <w:lang w:val="en-GB" w:eastAsia="en-GB"/>
        </w:rPr>
      </w:pPr>
      <w:r w:rsidRPr="007B71F6">
        <w:rPr>
          <w:rFonts w:ascii="Arial" w:hAnsi="Arial" w:cs="Arial"/>
          <w:color w:val="7B7B7B" w:themeColor="accent3" w:themeShade="BF"/>
          <w:sz w:val="22"/>
          <w:szCs w:val="22"/>
          <w:lang w:val="en-GB" w:eastAsia="en-GB"/>
        </w:rPr>
        <w:lastRenderedPageBreak/>
        <w:t xml:space="preserve">The liquidator of the Company can apply to the Court </w:t>
      </w:r>
      <w:r w:rsidR="00282318" w:rsidRPr="007B71F6">
        <w:rPr>
          <w:rFonts w:ascii="Arial" w:hAnsi="Arial" w:cs="Arial"/>
          <w:color w:val="7B7B7B" w:themeColor="accent3" w:themeShade="BF"/>
          <w:sz w:val="22"/>
          <w:szCs w:val="22"/>
          <w:lang w:val="en-GB" w:eastAsia="en-GB"/>
        </w:rPr>
        <w:t xml:space="preserve">to make the floating charge as invalid as it </w:t>
      </w:r>
      <w:proofErr w:type="gramStart"/>
      <w:r w:rsidR="00282318" w:rsidRPr="007B71F6">
        <w:rPr>
          <w:rFonts w:ascii="Arial" w:hAnsi="Arial" w:cs="Arial"/>
          <w:color w:val="7B7B7B" w:themeColor="accent3" w:themeShade="BF"/>
          <w:sz w:val="22"/>
          <w:szCs w:val="22"/>
          <w:lang w:val="en-GB" w:eastAsia="en-GB"/>
        </w:rPr>
        <w:t>fall</w:t>
      </w:r>
      <w:proofErr w:type="gramEnd"/>
      <w:r w:rsidR="00282318" w:rsidRPr="007B71F6">
        <w:rPr>
          <w:rFonts w:ascii="Arial" w:hAnsi="Arial" w:cs="Arial"/>
          <w:color w:val="7B7B7B" w:themeColor="accent3" w:themeShade="BF"/>
          <w:sz w:val="22"/>
          <w:szCs w:val="22"/>
          <w:lang w:val="en-GB" w:eastAsia="en-GB"/>
        </w:rPr>
        <w:t xml:space="preserve"> within the section 245 </w:t>
      </w:r>
      <w:r w:rsidR="0051495B">
        <w:rPr>
          <w:rFonts w:ascii="Arial" w:hAnsi="Arial" w:cs="Arial"/>
          <w:color w:val="7B7B7B" w:themeColor="accent3" w:themeShade="BF"/>
          <w:sz w:val="22"/>
          <w:szCs w:val="22"/>
          <w:lang w:val="en-GB" w:eastAsia="en-GB"/>
        </w:rPr>
        <w:t xml:space="preserve">of the Act </w:t>
      </w:r>
      <w:r w:rsidR="00282318" w:rsidRPr="007B71F6">
        <w:rPr>
          <w:rFonts w:ascii="Arial" w:hAnsi="Arial" w:cs="Arial"/>
          <w:color w:val="7B7B7B" w:themeColor="accent3" w:themeShade="BF"/>
          <w:sz w:val="22"/>
          <w:szCs w:val="22"/>
          <w:lang w:val="en-GB" w:eastAsia="en-GB"/>
        </w:rPr>
        <w:t xml:space="preserve">where the floating charge was created in Feb 2021 in favour of not connected person within the period 12 months prior to the commencement of liquidation (liquidation was commenced on 23 December 2021). Although the floating charge is invalidated, the underlying debt remains valid. </w:t>
      </w:r>
      <w:r w:rsidR="00E1684F" w:rsidRPr="007B71F6">
        <w:rPr>
          <w:rFonts w:ascii="Arial" w:hAnsi="Arial" w:cs="Arial"/>
          <w:color w:val="7B7B7B" w:themeColor="accent3" w:themeShade="BF"/>
          <w:sz w:val="22"/>
          <w:szCs w:val="22"/>
          <w:lang w:val="en-GB" w:eastAsia="en-GB"/>
        </w:rPr>
        <w:t xml:space="preserve"> </w:t>
      </w:r>
    </w:p>
    <w:p w14:paraId="33293EDD" w14:textId="539DDDD1" w:rsidR="00282318" w:rsidRPr="007B71F6" w:rsidRDefault="00E1684F" w:rsidP="00636AF6">
      <w:pPr>
        <w:pStyle w:val="NormalWeb"/>
        <w:jc w:val="both"/>
        <w:rPr>
          <w:rFonts w:ascii="Arial" w:hAnsi="Arial" w:cs="Arial"/>
          <w:color w:val="7B7B7B" w:themeColor="accent3" w:themeShade="BF"/>
          <w:sz w:val="22"/>
          <w:szCs w:val="22"/>
          <w:lang w:val="en-GB" w:eastAsia="en-GB"/>
        </w:rPr>
      </w:pPr>
      <w:r w:rsidRPr="007B71F6">
        <w:rPr>
          <w:rFonts w:ascii="Arial" w:hAnsi="Arial" w:cs="Arial"/>
          <w:color w:val="7B7B7B" w:themeColor="accent3" w:themeShade="BF"/>
          <w:sz w:val="22"/>
          <w:szCs w:val="22"/>
          <w:lang w:val="en-GB" w:eastAsia="en-GB"/>
        </w:rPr>
        <w:t>However</w:t>
      </w:r>
      <w:r w:rsidR="007B71F6" w:rsidRPr="007B71F6">
        <w:rPr>
          <w:rFonts w:ascii="Arial" w:hAnsi="Arial" w:cs="Arial"/>
          <w:color w:val="7B7B7B" w:themeColor="accent3" w:themeShade="BF"/>
          <w:sz w:val="22"/>
          <w:szCs w:val="22"/>
          <w:lang w:val="en-GB" w:eastAsia="en-GB"/>
        </w:rPr>
        <w:t>,</w:t>
      </w:r>
      <w:r w:rsidRPr="007B71F6">
        <w:rPr>
          <w:rFonts w:ascii="Arial" w:hAnsi="Arial" w:cs="Arial"/>
          <w:color w:val="7B7B7B" w:themeColor="accent3" w:themeShade="BF"/>
          <w:sz w:val="22"/>
          <w:szCs w:val="22"/>
          <w:lang w:val="en-GB" w:eastAsia="en-GB"/>
        </w:rPr>
        <w:t xml:space="preserve"> the liquidator also ha</w:t>
      </w:r>
      <w:r w:rsidR="007B71F6" w:rsidRPr="007B71F6">
        <w:rPr>
          <w:rFonts w:ascii="Arial" w:hAnsi="Arial" w:cs="Arial"/>
          <w:color w:val="7B7B7B" w:themeColor="accent3" w:themeShade="BF"/>
          <w:sz w:val="22"/>
          <w:szCs w:val="22"/>
          <w:lang w:val="en-GB" w:eastAsia="en-GB"/>
        </w:rPr>
        <w:t xml:space="preserve">s </w:t>
      </w:r>
      <w:r w:rsidRPr="007B71F6">
        <w:rPr>
          <w:rFonts w:ascii="Arial" w:hAnsi="Arial" w:cs="Arial"/>
          <w:color w:val="7B7B7B" w:themeColor="accent3" w:themeShade="BF"/>
          <w:sz w:val="22"/>
          <w:szCs w:val="22"/>
          <w:lang w:val="en-GB" w:eastAsia="en-GB"/>
        </w:rPr>
        <w:t xml:space="preserve">to be mindful of whether the value of so much of that consideration as consists of the discharge or reduction at the same time as the or after the creation of the charge of any debt of the company.  If the </w:t>
      </w:r>
      <w:r w:rsidR="007B71F6" w:rsidRPr="007B71F6">
        <w:rPr>
          <w:rFonts w:ascii="Arial" w:hAnsi="Arial" w:cs="Arial"/>
          <w:color w:val="7B7B7B" w:themeColor="accent3" w:themeShade="BF"/>
          <w:sz w:val="22"/>
          <w:szCs w:val="22"/>
          <w:lang w:val="en-GB" w:eastAsia="en-GB"/>
        </w:rPr>
        <w:t xml:space="preserve">consideration for the </w:t>
      </w:r>
      <w:r w:rsidRPr="007B71F6">
        <w:rPr>
          <w:rFonts w:ascii="Arial" w:hAnsi="Arial" w:cs="Arial"/>
          <w:color w:val="7B7B7B" w:themeColor="accent3" w:themeShade="BF"/>
          <w:sz w:val="22"/>
          <w:szCs w:val="22"/>
          <w:lang w:val="en-GB" w:eastAsia="en-GB"/>
        </w:rPr>
        <w:t xml:space="preserve">floating charge </w:t>
      </w:r>
      <w:r w:rsidR="007B71F6" w:rsidRPr="007B71F6">
        <w:rPr>
          <w:rFonts w:ascii="Arial" w:hAnsi="Arial" w:cs="Arial"/>
          <w:color w:val="7B7B7B" w:themeColor="accent3" w:themeShade="BF"/>
          <w:sz w:val="22"/>
          <w:szCs w:val="22"/>
          <w:lang w:val="en-GB" w:eastAsia="en-GB"/>
        </w:rPr>
        <w:t xml:space="preserve">is done by way of reduction or discharge of the company’s debt than the floating charge should be consider as valid floating charge. </w:t>
      </w:r>
    </w:p>
    <w:p w14:paraId="74C366AC" w14:textId="25CFC8A3" w:rsidR="007E2919" w:rsidRDefault="007E2919" w:rsidP="007E2919">
      <w:pPr>
        <w:rPr>
          <w:rFonts w:ascii="Arial" w:hAnsi="Arial" w:cs="Arial"/>
          <w:b/>
        </w:rPr>
      </w:pPr>
    </w:p>
    <w:p w14:paraId="2F50DC9F" w14:textId="77777777" w:rsidR="00FF5098" w:rsidRDefault="00FF5098" w:rsidP="007E2919">
      <w:pPr>
        <w:rPr>
          <w:rFonts w:ascii="Arial" w:hAnsi="Arial" w:cs="Arial"/>
          <w:b/>
        </w:rPr>
      </w:pPr>
    </w:p>
    <w:p w14:paraId="0E549215" w14:textId="1AD05DC7" w:rsidR="007E2919" w:rsidRDefault="007E2919" w:rsidP="007E2919">
      <w:pPr>
        <w:rPr>
          <w:rFonts w:ascii="Arial" w:hAnsi="Arial" w:cs="Arial"/>
          <w:b/>
        </w:rPr>
      </w:pPr>
      <w:r>
        <w:rPr>
          <w:rFonts w:ascii="Arial" w:hAnsi="Arial" w:cs="Arial"/>
          <w:b/>
        </w:rPr>
        <w:t xml:space="preserve">Question 4.2 [maximum </w:t>
      </w:r>
      <w:r w:rsidR="00311816">
        <w:rPr>
          <w:rFonts w:ascii="Arial" w:hAnsi="Arial" w:cs="Arial"/>
          <w:b/>
        </w:rPr>
        <w:t>6</w:t>
      </w:r>
      <w:r>
        <w:rPr>
          <w:rFonts w:ascii="Arial" w:hAnsi="Arial" w:cs="Arial"/>
          <w:b/>
        </w:rPr>
        <w:t xml:space="preserve"> marks]</w:t>
      </w:r>
    </w:p>
    <w:p w14:paraId="7916647F" w14:textId="470BBF53" w:rsidR="007E2919" w:rsidRDefault="007E2919" w:rsidP="007E2919">
      <w:pPr>
        <w:rPr>
          <w:rFonts w:ascii="Arial" w:hAnsi="Arial" w:cs="Arial"/>
          <w:b/>
        </w:rPr>
      </w:pPr>
    </w:p>
    <w:p w14:paraId="78CA5A7B" w14:textId="48B6BA37" w:rsidR="007E2919" w:rsidRPr="0051495B" w:rsidRDefault="007E2919" w:rsidP="007E2919">
      <w:pPr>
        <w:rPr>
          <w:rFonts w:ascii="Arial" w:hAnsi="Arial" w:cs="Arial"/>
        </w:rPr>
      </w:pPr>
      <w:r w:rsidRPr="007E2919">
        <w:rPr>
          <w:rFonts w:ascii="Arial" w:hAnsi="Arial" w:cs="Arial"/>
        </w:rPr>
        <w:t xml:space="preserve">The sale of the </w:t>
      </w:r>
      <w:r w:rsidR="0070524B">
        <w:rPr>
          <w:rFonts w:ascii="Arial" w:hAnsi="Arial" w:cs="Arial"/>
        </w:rPr>
        <w:t>coffee roasting machines</w:t>
      </w:r>
      <w:r w:rsidRPr="007E2919">
        <w:rPr>
          <w:rFonts w:ascii="Arial" w:hAnsi="Arial" w:cs="Arial"/>
        </w:rPr>
        <w:t>; and</w:t>
      </w:r>
    </w:p>
    <w:p w14:paraId="745E2AE9" w14:textId="16227167" w:rsidR="00A57D29" w:rsidRPr="0051495B" w:rsidRDefault="00BD44A8"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In July 2021, the directors approved the sale of 5 coffee roasting machines to Ann Young (a director) for £10,000 in cash. The machines had been bought for £25,000 a year before</w:t>
      </w:r>
      <w:r w:rsidR="00A57D29" w:rsidRPr="0051495B">
        <w:rPr>
          <w:rFonts w:ascii="Arial" w:hAnsi="Arial" w:cs="Arial"/>
          <w:color w:val="7B7B7B" w:themeColor="accent3" w:themeShade="BF"/>
          <w:sz w:val="22"/>
          <w:szCs w:val="22"/>
          <w:lang w:val="en-GB"/>
        </w:rPr>
        <w:t>. This was done as the Company continued to suffer cash flow problems</w:t>
      </w:r>
    </w:p>
    <w:p w14:paraId="08C6C040" w14:textId="77777777" w:rsidR="00FF395D" w:rsidRPr="0051495B" w:rsidRDefault="00FF395D"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 xml:space="preserve">The liquidator may take action under section 238 of the Act where the transaction was done at an undervalue. Under this section the liquidator is able to show that </w:t>
      </w:r>
      <w:r w:rsidR="00A57D29" w:rsidRPr="0051495B">
        <w:rPr>
          <w:rFonts w:ascii="Arial" w:hAnsi="Arial" w:cs="Arial"/>
          <w:color w:val="7B7B7B" w:themeColor="accent3" w:themeShade="BF"/>
          <w:sz w:val="22"/>
          <w:szCs w:val="22"/>
          <w:lang w:val="en-GB"/>
        </w:rPr>
        <w:t xml:space="preserve">the coffee machines was indeed sold at undervalue where the consideration received for the coffee machine far below the value. </w:t>
      </w:r>
    </w:p>
    <w:p w14:paraId="14A182C9" w14:textId="77777777" w:rsidR="00EA7CFC" w:rsidRPr="0051495B" w:rsidRDefault="00DA2A99"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 xml:space="preserve">The transaction was done is July 2021 whereas the company was wound up in December 2021. </w:t>
      </w:r>
      <w:r w:rsidR="00EA7CFC" w:rsidRPr="0051495B">
        <w:rPr>
          <w:rFonts w:ascii="Arial" w:hAnsi="Arial" w:cs="Arial"/>
          <w:color w:val="7B7B7B" w:themeColor="accent3" w:themeShade="BF"/>
          <w:sz w:val="22"/>
          <w:szCs w:val="22"/>
          <w:lang w:val="en-GB"/>
        </w:rPr>
        <w:t>The liquidator can take action under this section when the</w:t>
      </w:r>
      <w:r w:rsidRPr="0051495B">
        <w:rPr>
          <w:rFonts w:ascii="Arial" w:hAnsi="Arial" w:cs="Arial"/>
          <w:color w:val="7B7B7B" w:themeColor="accent3" w:themeShade="BF"/>
          <w:sz w:val="22"/>
          <w:szCs w:val="22"/>
          <w:lang w:val="en-GB"/>
        </w:rPr>
        <w:t xml:space="preserve"> transaction took place within the “relevant time” which is a period of 2 years prior to the commencement of the liquidation.</w:t>
      </w:r>
    </w:p>
    <w:p w14:paraId="7CC35B84" w14:textId="455AD683" w:rsidR="00A57D29" w:rsidRPr="0051495B" w:rsidRDefault="003711A8"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Further, also noted that the transaction was done with a connected person (the director of the company). Where the transaction is done with a connected person the company</w:t>
      </w:r>
      <w:r w:rsidR="00D44AC3" w:rsidRPr="0051495B">
        <w:rPr>
          <w:rFonts w:ascii="Arial" w:hAnsi="Arial" w:cs="Arial"/>
          <w:color w:val="7B7B7B" w:themeColor="accent3" w:themeShade="BF"/>
          <w:sz w:val="22"/>
          <w:szCs w:val="22"/>
          <w:lang w:val="en-GB"/>
        </w:rPr>
        <w:t xml:space="preserve"> is presumed to have been insolvent or to have become insolvent as a result of the transaction, unless the contrary is proved. </w:t>
      </w:r>
    </w:p>
    <w:p w14:paraId="48E43921" w14:textId="0761D5B4" w:rsidR="00EA7CFC" w:rsidRPr="0051495B" w:rsidRDefault="00EA7CFC"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 xml:space="preserve">The court by the application of the liquidator </w:t>
      </w:r>
      <w:r w:rsidR="0051495B" w:rsidRPr="0051495B">
        <w:rPr>
          <w:rFonts w:ascii="Arial" w:hAnsi="Arial" w:cs="Arial"/>
          <w:color w:val="7B7B7B" w:themeColor="accent3" w:themeShade="BF"/>
          <w:sz w:val="22"/>
          <w:szCs w:val="22"/>
          <w:lang w:val="en-GB"/>
        </w:rPr>
        <w:t xml:space="preserve">if </w:t>
      </w:r>
      <w:r w:rsidRPr="0051495B">
        <w:rPr>
          <w:rFonts w:ascii="Arial" w:hAnsi="Arial" w:cs="Arial"/>
          <w:color w:val="7B7B7B" w:themeColor="accent3" w:themeShade="BF"/>
          <w:sz w:val="22"/>
          <w:szCs w:val="22"/>
          <w:lang w:val="en-GB"/>
        </w:rPr>
        <w:t>concluded that the transaction is at an undervalue or preference, the court will make an order restoring the position to what it would have been if the transaction or the preference have not been taken place</w:t>
      </w:r>
      <w:r w:rsidR="00AA74D4" w:rsidRPr="0051495B">
        <w:rPr>
          <w:rFonts w:ascii="Arial" w:hAnsi="Arial" w:cs="Arial"/>
          <w:color w:val="7B7B7B" w:themeColor="accent3" w:themeShade="BF"/>
          <w:sz w:val="22"/>
          <w:szCs w:val="22"/>
          <w:lang w:val="en-GB"/>
        </w:rPr>
        <w:t xml:space="preserve">. </w:t>
      </w:r>
    </w:p>
    <w:p w14:paraId="6CC6EC4C" w14:textId="3FA81DED" w:rsidR="00AA74D4" w:rsidRPr="0051495B" w:rsidRDefault="00AA74D4" w:rsidP="0051495B">
      <w:pPr>
        <w:spacing w:before="100" w:beforeAutospacing="1" w:after="100" w:afterAutospacing="1"/>
        <w:jc w:val="both"/>
        <w:rPr>
          <w:rFonts w:ascii="Arial" w:hAnsi="Arial" w:cs="Arial"/>
          <w:color w:val="7B7B7B" w:themeColor="accent3" w:themeShade="BF"/>
          <w:sz w:val="22"/>
          <w:szCs w:val="22"/>
          <w:lang w:val="en-GB"/>
        </w:rPr>
      </w:pPr>
      <w:r w:rsidRPr="0051495B">
        <w:rPr>
          <w:rFonts w:ascii="Arial" w:hAnsi="Arial" w:cs="Arial"/>
          <w:color w:val="7B7B7B" w:themeColor="accent3" w:themeShade="BF"/>
          <w:sz w:val="22"/>
          <w:szCs w:val="22"/>
          <w:lang w:val="en-GB"/>
        </w:rPr>
        <w:t xml:space="preserve">The liquidator also may </w:t>
      </w:r>
      <w:r w:rsidR="007F7076" w:rsidRPr="0051495B">
        <w:rPr>
          <w:rFonts w:ascii="Arial" w:hAnsi="Arial" w:cs="Arial"/>
          <w:color w:val="7B7B7B" w:themeColor="accent3" w:themeShade="BF"/>
          <w:sz w:val="22"/>
          <w:szCs w:val="22"/>
          <w:lang w:val="en-GB"/>
        </w:rPr>
        <w:t xml:space="preserve">consider </w:t>
      </w:r>
      <w:r w:rsidRPr="0051495B">
        <w:rPr>
          <w:rFonts w:ascii="Arial" w:hAnsi="Arial" w:cs="Arial"/>
          <w:color w:val="7B7B7B" w:themeColor="accent3" w:themeShade="BF"/>
          <w:sz w:val="22"/>
          <w:szCs w:val="22"/>
          <w:lang w:val="en-GB"/>
        </w:rPr>
        <w:t>take action under section 423</w:t>
      </w:r>
      <w:r w:rsidR="007F7076" w:rsidRPr="0051495B">
        <w:rPr>
          <w:rFonts w:ascii="Arial" w:hAnsi="Arial" w:cs="Arial"/>
          <w:color w:val="7B7B7B" w:themeColor="accent3" w:themeShade="BF"/>
          <w:sz w:val="22"/>
          <w:szCs w:val="22"/>
          <w:lang w:val="en-GB"/>
        </w:rPr>
        <w:t xml:space="preserve"> (transaction defrauding creditors)</w:t>
      </w:r>
      <w:r w:rsidRPr="0051495B">
        <w:rPr>
          <w:rFonts w:ascii="Arial" w:hAnsi="Arial" w:cs="Arial"/>
          <w:color w:val="7B7B7B" w:themeColor="accent3" w:themeShade="BF"/>
          <w:sz w:val="22"/>
          <w:szCs w:val="22"/>
          <w:lang w:val="en-GB"/>
        </w:rPr>
        <w:t xml:space="preserve"> of the Act if he is able </w:t>
      </w:r>
      <w:r w:rsidR="007F7076" w:rsidRPr="0051495B">
        <w:rPr>
          <w:rFonts w:ascii="Arial" w:hAnsi="Arial" w:cs="Arial"/>
          <w:color w:val="7B7B7B" w:themeColor="accent3" w:themeShade="BF"/>
          <w:sz w:val="22"/>
          <w:szCs w:val="22"/>
          <w:lang w:val="en-GB"/>
        </w:rPr>
        <w:t xml:space="preserve">to </w:t>
      </w:r>
      <w:r w:rsidRPr="0051495B">
        <w:rPr>
          <w:rFonts w:ascii="Arial" w:hAnsi="Arial" w:cs="Arial"/>
          <w:color w:val="7B7B7B" w:themeColor="accent3" w:themeShade="BF"/>
          <w:sz w:val="22"/>
          <w:szCs w:val="22"/>
          <w:lang w:val="en-GB"/>
        </w:rPr>
        <w:t>satisfied</w:t>
      </w:r>
      <w:r w:rsidR="007F7076" w:rsidRPr="0051495B">
        <w:rPr>
          <w:rFonts w:ascii="Arial" w:hAnsi="Arial" w:cs="Arial"/>
          <w:color w:val="7B7B7B" w:themeColor="accent3" w:themeShade="BF"/>
          <w:sz w:val="22"/>
          <w:szCs w:val="22"/>
          <w:lang w:val="en-GB"/>
        </w:rPr>
        <w:t xml:space="preserve"> the court</w:t>
      </w:r>
      <w:r w:rsidRPr="0051495B">
        <w:rPr>
          <w:rFonts w:ascii="Arial" w:hAnsi="Arial" w:cs="Arial"/>
          <w:color w:val="7B7B7B" w:themeColor="accent3" w:themeShade="BF"/>
          <w:sz w:val="22"/>
          <w:szCs w:val="22"/>
          <w:lang w:val="en-GB"/>
        </w:rPr>
        <w:t xml:space="preserve"> the following 2 requirement</w:t>
      </w:r>
      <w:r w:rsidR="007F7076" w:rsidRPr="0051495B">
        <w:rPr>
          <w:rFonts w:ascii="Arial" w:hAnsi="Arial" w:cs="Arial"/>
          <w:color w:val="7B7B7B" w:themeColor="accent3" w:themeShade="BF"/>
          <w:sz w:val="22"/>
          <w:szCs w:val="22"/>
          <w:lang w:val="en-GB"/>
        </w:rPr>
        <w:t>s</w:t>
      </w:r>
      <w:r w:rsidRPr="0051495B">
        <w:rPr>
          <w:rFonts w:ascii="Arial" w:hAnsi="Arial" w:cs="Arial"/>
          <w:color w:val="7B7B7B" w:themeColor="accent3" w:themeShade="BF"/>
          <w:sz w:val="22"/>
          <w:szCs w:val="22"/>
          <w:lang w:val="en-GB"/>
        </w:rPr>
        <w:t xml:space="preserve">: </w:t>
      </w:r>
    </w:p>
    <w:p w14:paraId="0D87E13A" w14:textId="77777777" w:rsidR="00AA74D4" w:rsidRPr="0051495B" w:rsidRDefault="00AA74D4" w:rsidP="0051495B">
      <w:pPr>
        <w:pStyle w:val="ListParagraph"/>
        <w:numPr>
          <w:ilvl w:val="0"/>
          <w:numId w:val="34"/>
        </w:numPr>
        <w:spacing w:before="100" w:beforeAutospacing="1" w:after="100" w:afterAutospacing="1"/>
        <w:jc w:val="both"/>
        <w:rPr>
          <w:rFonts w:ascii="Arial" w:hAnsi="Arial" w:cs="Arial"/>
          <w:color w:val="7B7B7B" w:themeColor="accent3" w:themeShade="BF"/>
          <w:sz w:val="22"/>
          <w:szCs w:val="22"/>
          <w:lang w:val="en-GB" w:eastAsia="en-GB"/>
        </w:rPr>
      </w:pPr>
      <w:r w:rsidRPr="0051495B">
        <w:rPr>
          <w:rFonts w:ascii="Arial" w:hAnsi="Arial" w:cs="Arial"/>
          <w:color w:val="7B7B7B" w:themeColor="accent3" w:themeShade="BF"/>
          <w:sz w:val="22"/>
          <w:szCs w:val="22"/>
          <w:lang w:val="en-GB" w:eastAsia="en-GB"/>
        </w:rPr>
        <w:t xml:space="preserve"> The transaction was entered with another person at undervalue</w:t>
      </w:r>
    </w:p>
    <w:p w14:paraId="1A4D533F" w14:textId="2920DF19" w:rsidR="005979A8" w:rsidRPr="0051495B" w:rsidRDefault="00AA74D4" w:rsidP="0051495B">
      <w:pPr>
        <w:pStyle w:val="ListParagraph"/>
        <w:numPr>
          <w:ilvl w:val="0"/>
          <w:numId w:val="34"/>
        </w:numPr>
        <w:spacing w:before="100" w:beforeAutospacing="1" w:after="100" w:afterAutospacing="1"/>
        <w:jc w:val="both"/>
        <w:rPr>
          <w:rFonts w:ascii="Arial" w:hAnsi="Arial" w:cs="Arial"/>
          <w:color w:val="7B7B7B" w:themeColor="accent3" w:themeShade="BF"/>
          <w:sz w:val="22"/>
          <w:szCs w:val="22"/>
          <w:lang w:val="en-GB" w:eastAsia="en-GB"/>
        </w:rPr>
      </w:pPr>
      <w:r w:rsidRPr="0051495B">
        <w:rPr>
          <w:rFonts w:ascii="Arial" w:hAnsi="Arial" w:cs="Arial"/>
          <w:color w:val="7B7B7B" w:themeColor="accent3" w:themeShade="BF"/>
          <w:sz w:val="22"/>
          <w:szCs w:val="22"/>
          <w:lang w:val="en-GB" w:eastAsia="en-GB"/>
        </w:rPr>
        <w:t xml:space="preserve">company entered into the transaction for the purpose either of putting assets beyond the reach of a person who is making, or may at some time make, a claim against the company, </w:t>
      </w:r>
    </w:p>
    <w:p w14:paraId="58F4E786" w14:textId="32F93C80" w:rsidR="00705161" w:rsidRPr="00E11834" w:rsidRDefault="007F7076" w:rsidP="00E11834">
      <w:pPr>
        <w:pStyle w:val="NormalWeb"/>
        <w:jc w:val="both"/>
        <w:rPr>
          <w:rFonts w:ascii="Arial" w:hAnsi="Arial" w:cs="Arial"/>
          <w:color w:val="7B7B7B" w:themeColor="accent3" w:themeShade="BF"/>
          <w:sz w:val="22"/>
          <w:szCs w:val="22"/>
          <w:lang w:val="en-GB" w:eastAsia="en-GB"/>
        </w:rPr>
      </w:pPr>
      <w:r w:rsidRPr="0051495B">
        <w:rPr>
          <w:rFonts w:ascii="Arial" w:hAnsi="Arial" w:cs="Arial"/>
          <w:color w:val="7B7B7B" w:themeColor="accent3" w:themeShade="BF"/>
          <w:sz w:val="22"/>
          <w:szCs w:val="22"/>
          <w:lang w:val="en-GB" w:eastAsia="en-GB"/>
        </w:rPr>
        <w:t xml:space="preserve">Under this section the liquidator can take action for </w:t>
      </w:r>
      <w:r w:rsidR="00593B9B" w:rsidRPr="0051495B">
        <w:rPr>
          <w:rFonts w:ascii="Arial" w:hAnsi="Arial" w:cs="Arial"/>
          <w:color w:val="7B7B7B" w:themeColor="accent3" w:themeShade="BF"/>
          <w:sz w:val="22"/>
          <w:szCs w:val="22"/>
          <w:lang w:val="en-GB" w:eastAsia="en-GB"/>
        </w:rPr>
        <w:t xml:space="preserve">transaction that </w:t>
      </w:r>
      <w:r w:rsidR="0051495B">
        <w:rPr>
          <w:rFonts w:ascii="Arial" w:hAnsi="Arial" w:cs="Arial"/>
          <w:color w:val="7B7B7B" w:themeColor="accent3" w:themeShade="BF"/>
          <w:sz w:val="22"/>
          <w:szCs w:val="22"/>
          <w:lang w:val="en-GB" w:eastAsia="en-GB"/>
        </w:rPr>
        <w:t xml:space="preserve">had </w:t>
      </w:r>
      <w:r w:rsidR="00593B9B" w:rsidRPr="0051495B">
        <w:rPr>
          <w:rFonts w:ascii="Arial" w:hAnsi="Arial" w:cs="Arial"/>
          <w:color w:val="7B7B7B" w:themeColor="accent3" w:themeShade="BF"/>
          <w:sz w:val="22"/>
          <w:szCs w:val="22"/>
          <w:lang w:val="en-GB" w:eastAsia="en-GB"/>
        </w:rPr>
        <w:t>happened at any time period</w:t>
      </w:r>
      <w:r w:rsidR="0051495B">
        <w:rPr>
          <w:rFonts w:ascii="Arial" w:hAnsi="Arial" w:cs="Arial"/>
          <w:color w:val="7B7B7B" w:themeColor="accent3" w:themeShade="BF"/>
          <w:sz w:val="22"/>
          <w:szCs w:val="22"/>
          <w:lang w:val="en-GB" w:eastAsia="en-GB"/>
        </w:rPr>
        <w:t xml:space="preserve"> prior to the commencement of winding up</w:t>
      </w:r>
      <w:r w:rsidR="00593B9B" w:rsidRPr="0051495B">
        <w:rPr>
          <w:rFonts w:ascii="Arial" w:hAnsi="Arial" w:cs="Arial"/>
          <w:color w:val="7B7B7B" w:themeColor="accent3" w:themeShade="BF"/>
          <w:sz w:val="22"/>
          <w:szCs w:val="22"/>
          <w:lang w:val="en-GB" w:eastAsia="en-GB"/>
        </w:rPr>
        <w:t xml:space="preserve">.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rPr>
      </w:pPr>
      <w:r>
        <w:rPr>
          <w:rFonts w:ascii="Arial" w:hAnsi="Arial" w:cs="Arial"/>
          <w:b/>
        </w:rPr>
        <w:t xml:space="preserve">Question 4.3 [maximum </w:t>
      </w:r>
      <w:r w:rsidR="00311816">
        <w:rPr>
          <w:rFonts w:ascii="Arial" w:hAnsi="Arial" w:cs="Arial"/>
          <w:b/>
        </w:rPr>
        <w:t>4</w:t>
      </w:r>
      <w:r>
        <w:rPr>
          <w:rFonts w:ascii="Arial" w:hAnsi="Arial" w:cs="Arial"/>
          <w:b/>
        </w:rPr>
        <w:t xml:space="preserve"> marks]</w:t>
      </w:r>
    </w:p>
    <w:p w14:paraId="38FA4FC9" w14:textId="6BBF8182" w:rsidR="007E2919" w:rsidRDefault="007E2919" w:rsidP="007E2919">
      <w:pPr>
        <w:rPr>
          <w:rFonts w:ascii="Arial" w:hAnsi="Arial" w:cs="Arial"/>
          <w:b/>
        </w:rPr>
      </w:pPr>
    </w:p>
    <w:p w14:paraId="2CD8591B" w14:textId="380C1E7F" w:rsidR="007E2919" w:rsidRPr="007E2919" w:rsidRDefault="007E2919" w:rsidP="007E2919">
      <w:pPr>
        <w:rPr>
          <w:rFonts w:ascii="Arial" w:hAnsi="Arial" w:cs="Arial"/>
        </w:rPr>
      </w:pPr>
      <w:r w:rsidRPr="007E2919">
        <w:rPr>
          <w:rFonts w:ascii="Arial" w:hAnsi="Arial" w:cs="Arial"/>
        </w:rPr>
        <w:t>The payment</w:t>
      </w:r>
      <w:r w:rsidR="0070524B">
        <w:rPr>
          <w:rFonts w:ascii="Arial" w:hAnsi="Arial" w:cs="Arial"/>
        </w:rPr>
        <w:t>s</w:t>
      </w:r>
      <w:r w:rsidRPr="007E2919">
        <w:rPr>
          <w:rFonts w:ascii="Arial" w:hAnsi="Arial" w:cs="Arial"/>
        </w:rPr>
        <w:t xml:space="preserve"> to </w:t>
      </w:r>
      <w:r w:rsidR="0070524B" w:rsidRPr="0070524B">
        <w:rPr>
          <w:rFonts w:ascii="Arial" w:hAnsi="Arial" w:cs="Arial"/>
        </w:rPr>
        <w:t>Beans and Leaves Ltd</w:t>
      </w:r>
      <w:r w:rsidR="00B04033">
        <w:rPr>
          <w:rFonts w:ascii="Arial" w:hAnsi="Arial" w:cs="Arial"/>
        </w:rPr>
        <w:t>.</w:t>
      </w:r>
    </w:p>
    <w:p w14:paraId="72C79D7A" w14:textId="34CBEBD4" w:rsidR="00B04033" w:rsidRDefault="007E2919" w:rsidP="00B04033">
      <w:pPr>
        <w:rPr>
          <w:rFonts w:ascii="Arial" w:hAnsi="Arial" w:cs="Arial"/>
          <w:b/>
        </w:rPr>
      </w:pPr>
      <w:r w:rsidRPr="007E2919">
        <w:rPr>
          <w:rFonts w:ascii="Arial" w:hAnsi="Arial" w:cs="Arial"/>
          <w:b/>
        </w:rPr>
        <w:t xml:space="preserve"> </w:t>
      </w:r>
    </w:p>
    <w:p w14:paraId="604B939F" w14:textId="77777777" w:rsidR="00E11834" w:rsidRDefault="00E11834" w:rsidP="00705161">
      <w:pPr>
        <w:rPr>
          <w:rStyle w:val="legds"/>
          <w:rFonts w:ascii="Arial" w:hAnsi="Arial" w:cs="Arial"/>
          <w:highlight w:val="yellow"/>
        </w:rPr>
      </w:pPr>
    </w:p>
    <w:p w14:paraId="13B51687" w14:textId="77777777" w:rsidR="00A66B4A" w:rsidRPr="002F12BF" w:rsidRDefault="004E2A78" w:rsidP="002F12BF">
      <w:pPr>
        <w:jc w:val="both"/>
        <w:rPr>
          <w:rFonts w:ascii="Arial" w:hAnsi="Arial" w:cs="Arial"/>
          <w:color w:val="7B7B7B" w:themeColor="accent3" w:themeShade="BF"/>
          <w:sz w:val="22"/>
          <w:szCs w:val="22"/>
          <w:lang w:val="en-GB"/>
        </w:rPr>
      </w:pPr>
      <w:r w:rsidRPr="002F12BF">
        <w:rPr>
          <w:rFonts w:ascii="Arial" w:hAnsi="Arial" w:cs="Arial"/>
          <w:color w:val="7B7B7B" w:themeColor="accent3" w:themeShade="BF"/>
          <w:sz w:val="22"/>
          <w:szCs w:val="22"/>
          <w:lang w:val="en-GB"/>
        </w:rPr>
        <w:t>T</w:t>
      </w:r>
      <w:r w:rsidR="00AD3979" w:rsidRPr="002F12BF">
        <w:rPr>
          <w:rFonts w:ascii="Arial" w:hAnsi="Arial" w:cs="Arial"/>
          <w:color w:val="7B7B7B" w:themeColor="accent3" w:themeShade="BF"/>
          <w:sz w:val="22"/>
          <w:szCs w:val="22"/>
          <w:lang w:val="en-GB"/>
        </w:rPr>
        <w:t>he payment to Beans and Leaves Ltd was made by the Company as the company was hold for ransom. The suppliers demanded immediate payment of all sums owing to it and further supplies would only be made on a cash on delivery basis. As Beans and Leaves Ltd is one of the key supplier</w:t>
      </w:r>
      <w:r w:rsidRPr="002F12BF">
        <w:rPr>
          <w:rFonts w:ascii="Arial" w:hAnsi="Arial" w:cs="Arial"/>
          <w:color w:val="7B7B7B" w:themeColor="accent3" w:themeShade="BF"/>
          <w:sz w:val="22"/>
          <w:szCs w:val="22"/>
          <w:lang w:val="en-GB"/>
        </w:rPr>
        <w:t xml:space="preserve">, the Company have no choice but adhere to Beans and Leaves </w:t>
      </w:r>
      <w:proofErr w:type="spellStart"/>
      <w:r w:rsidRPr="002F12BF">
        <w:rPr>
          <w:rFonts w:ascii="Arial" w:hAnsi="Arial" w:cs="Arial"/>
          <w:color w:val="7B7B7B" w:themeColor="accent3" w:themeShade="BF"/>
          <w:sz w:val="22"/>
          <w:szCs w:val="22"/>
          <w:lang w:val="en-GB"/>
        </w:rPr>
        <w:t>Ltd’s</w:t>
      </w:r>
      <w:proofErr w:type="spellEnd"/>
      <w:r w:rsidRPr="002F12BF">
        <w:rPr>
          <w:rFonts w:ascii="Arial" w:hAnsi="Arial" w:cs="Arial"/>
          <w:color w:val="7B7B7B" w:themeColor="accent3" w:themeShade="BF"/>
          <w:sz w:val="22"/>
          <w:szCs w:val="22"/>
          <w:lang w:val="en-GB"/>
        </w:rPr>
        <w:t xml:space="preserve"> request in order to continue the business.  The issue here is whether a preference was given to Beans and Leaves Ltd. The preference treatment is described in section 239 of the Act, where a creditor is placed in a better position than other creditor shortly before the company goes into formal insolvency procedure. </w:t>
      </w:r>
      <w:r w:rsidR="00A66B4A" w:rsidRPr="002F12BF">
        <w:rPr>
          <w:rFonts w:ascii="Arial" w:hAnsi="Arial" w:cs="Arial"/>
          <w:color w:val="7B7B7B" w:themeColor="accent3" w:themeShade="BF"/>
          <w:sz w:val="22"/>
          <w:szCs w:val="22"/>
          <w:lang w:val="en-GB"/>
        </w:rPr>
        <w:t xml:space="preserve">For example, when the Company in liquidation, Beans and Leaves Ltd will only be treated as unsecured creditors and will receiving distribution </w:t>
      </w:r>
      <w:proofErr w:type="spellStart"/>
      <w:r w:rsidR="00A66B4A" w:rsidRPr="002F12BF">
        <w:rPr>
          <w:rFonts w:ascii="Arial" w:hAnsi="Arial" w:cs="Arial"/>
          <w:color w:val="7B7B7B" w:themeColor="accent3" w:themeShade="BF"/>
          <w:sz w:val="22"/>
          <w:szCs w:val="22"/>
          <w:lang w:val="en-GB"/>
        </w:rPr>
        <w:t>pari</w:t>
      </w:r>
      <w:proofErr w:type="spellEnd"/>
      <w:r w:rsidR="00A66B4A" w:rsidRPr="002F12BF">
        <w:rPr>
          <w:rFonts w:ascii="Arial" w:hAnsi="Arial" w:cs="Arial"/>
          <w:color w:val="7B7B7B" w:themeColor="accent3" w:themeShade="BF"/>
          <w:sz w:val="22"/>
          <w:szCs w:val="22"/>
          <w:lang w:val="en-GB"/>
        </w:rPr>
        <w:t xml:space="preserve">-passu amongst its creditors. Hence may end up receive lesser amounts compare to if it has to be treated preferentially prior to winding up. </w:t>
      </w:r>
    </w:p>
    <w:p w14:paraId="6CD1E7C1" w14:textId="77777777" w:rsidR="00A66B4A" w:rsidRPr="002F12BF" w:rsidRDefault="00A66B4A" w:rsidP="002F12BF">
      <w:pPr>
        <w:jc w:val="both"/>
        <w:rPr>
          <w:rFonts w:ascii="Arial" w:hAnsi="Arial" w:cs="Arial"/>
          <w:color w:val="7B7B7B" w:themeColor="accent3" w:themeShade="BF"/>
          <w:sz w:val="22"/>
          <w:szCs w:val="22"/>
          <w:lang w:val="en-GB"/>
        </w:rPr>
      </w:pPr>
    </w:p>
    <w:p w14:paraId="1AFE2970" w14:textId="77777777" w:rsidR="00A66B4A" w:rsidRPr="002F12BF" w:rsidRDefault="00A66B4A" w:rsidP="002F12BF">
      <w:pPr>
        <w:jc w:val="both"/>
        <w:rPr>
          <w:rFonts w:ascii="Arial" w:hAnsi="Arial" w:cs="Arial"/>
          <w:color w:val="7B7B7B" w:themeColor="accent3" w:themeShade="BF"/>
          <w:sz w:val="22"/>
          <w:szCs w:val="22"/>
          <w:lang w:val="en-GB"/>
        </w:rPr>
      </w:pPr>
      <w:r w:rsidRPr="002F12BF">
        <w:rPr>
          <w:rFonts w:ascii="Arial" w:hAnsi="Arial" w:cs="Arial"/>
          <w:color w:val="7B7B7B" w:themeColor="accent3" w:themeShade="BF"/>
          <w:sz w:val="22"/>
          <w:szCs w:val="22"/>
          <w:lang w:val="en-GB"/>
        </w:rPr>
        <w:t>However, the liquidator is put on burden to proof the following in order to succeed application under section 239 of the Act.</w:t>
      </w:r>
    </w:p>
    <w:p w14:paraId="4891A03E" w14:textId="3C977B59" w:rsidR="00A66B4A" w:rsidRPr="002F12BF" w:rsidRDefault="00A66B4A" w:rsidP="002F12BF">
      <w:pPr>
        <w:pStyle w:val="NormalWeb"/>
        <w:numPr>
          <w:ilvl w:val="0"/>
          <w:numId w:val="36"/>
        </w:numPr>
        <w:jc w:val="both"/>
        <w:rPr>
          <w:rFonts w:ascii="Arial" w:hAnsi="Arial" w:cs="Arial"/>
          <w:color w:val="7B7B7B" w:themeColor="accent3" w:themeShade="BF"/>
          <w:sz w:val="22"/>
          <w:szCs w:val="22"/>
          <w:lang w:val="en-GB" w:eastAsia="en-GB"/>
        </w:rPr>
      </w:pPr>
      <w:r w:rsidRPr="002F12BF">
        <w:rPr>
          <w:color w:val="7B7B7B" w:themeColor="accent3" w:themeShade="BF"/>
          <w:sz w:val="22"/>
          <w:szCs w:val="22"/>
          <w:lang w:val="en-GB" w:eastAsia="en-GB"/>
        </w:rPr>
        <w:t xml:space="preserve"> </w:t>
      </w:r>
      <w:r w:rsidRPr="002F12BF">
        <w:rPr>
          <w:rFonts w:ascii="Arial" w:hAnsi="Arial" w:cs="Arial"/>
          <w:color w:val="7B7B7B" w:themeColor="accent3" w:themeShade="BF"/>
          <w:sz w:val="22"/>
          <w:szCs w:val="22"/>
          <w:lang w:val="en-GB" w:eastAsia="en-GB"/>
        </w:rPr>
        <w:t xml:space="preserve">the person whom it is alleged has been preferred was, at the time of the transaction, a creditor of the company - </w:t>
      </w:r>
      <w:r w:rsidR="00056BAF" w:rsidRPr="002F12BF">
        <w:rPr>
          <w:rFonts w:ascii="Arial" w:hAnsi="Arial" w:cs="Arial"/>
          <w:color w:val="7B7B7B" w:themeColor="accent3" w:themeShade="BF"/>
          <w:sz w:val="22"/>
          <w:szCs w:val="22"/>
          <w:lang w:val="en-GB" w:eastAsia="en-GB"/>
        </w:rPr>
        <w:t xml:space="preserve">Beans and Leaves Ltd was a creditor of the company. </w:t>
      </w:r>
    </w:p>
    <w:p w14:paraId="3CE0F25F" w14:textId="77777777" w:rsidR="00056BAF" w:rsidRPr="002F12BF" w:rsidRDefault="00056BAF" w:rsidP="002F12BF">
      <w:pPr>
        <w:pStyle w:val="NormalWeb"/>
        <w:numPr>
          <w:ilvl w:val="0"/>
          <w:numId w:val="36"/>
        </w:numPr>
        <w:jc w:val="both"/>
        <w:rPr>
          <w:rFonts w:ascii="Arial" w:hAnsi="Arial" w:cs="Arial"/>
          <w:color w:val="7B7B7B" w:themeColor="accent3" w:themeShade="BF"/>
          <w:sz w:val="22"/>
          <w:szCs w:val="22"/>
          <w:lang w:val="en-GB" w:eastAsia="en-GB"/>
        </w:rPr>
      </w:pPr>
      <w:r w:rsidRPr="002F12BF">
        <w:rPr>
          <w:rFonts w:ascii="Arial" w:hAnsi="Arial" w:cs="Arial"/>
          <w:color w:val="7B7B7B" w:themeColor="accent3" w:themeShade="BF"/>
          <w:sz w:val="22"/>
          <w:szCs w:val="22"/>
          <w:lang w:val="en-GB" w:eastAsia="en-GB"/>
        </w:rPr>
        <w:t xml:space="preserve">something was done, or suffered to be done, by the company which had the effect of putting that person in a better position, as oppose the creditor position in a winding up.  – Beans and Leaves Ltd received the payment on outstanding where if the company in liquidation they would have to be treated </w:t>
      </w:r>
      <w:proofErr w:type="spellStart"/>
      <w:r w:rsidRPr="002F12BF">
        <w:rPr>
          <w:rFonts w:ascii="Arial" w:hAnsi="Arial" w:cs="Arial"/>
          <w:color w:val="7B7B7B" w:themeColor="accent3" w:themeShade="BF"/>
          <w:sz w:val="22"/>
          <w:szCs w:val="22"/>
          <w:lang w:val="en-GB" w:eastAsia="en-GB"/>
        </w:rPr>
        <w:t>pari</w:t>
      </w:r>
      <w:proofErr w:type="spellEnd"/>
      <w:r w:rsidRPr="002F12BF">
        <w:rPr>
          <w:rFonts w:ascii="Arial" w:hAnsi="Arial" w:cs="Arial"/>
          <w:color w:val="7B7B7B" w:themeColor="accent3" w:themeShade="BF"/>
          <w:sz w:val="22"/>
          <w:szCs w:val="22"/>
          <w:lang w:val="en-GB" w:eastAsia="en-GB"/>
        </w:rPr>
        <w:t xml:space="preserve">-passu with other unsecured creditors. </w:t>
      </w:r>
    </w:p>
    <w:p w14:paraId="44617F63" w14:textId="15997E85" w:rsidR="00056BAF" w:rsidRPr="002F12BF" w:rsidRDefault="00056BAF" w:rsidP="002F12BF">
      <w:pPr>
        <w:pStyle w:val="NormalWeb"/>
        <w:numPr>
          <w:ilvl w:val="0"/>
          <w:numId w:val="36"/>
        </w:numPr>
        <w:jc w:val="both"/>
        <w:rPr>
          <w:rFonts w:ascii="Arial" w:hAnsi="Arial" w:cs="Arial"/>
          <w:color w:val="7B7B7B" w:themeColor="accent3" w:themeShade="BF"/>
          <w:sz w:val="22"/>
          <w:szCs w:val="22"/>
          <w:lang w:val="en-GB" w:eastAsia="en-GB"/>
        </w:rPr>
      </w:pPr>
      <w:r w:rsidRPr="002F12BF">
        <w:rPr>
          <w:rFonts w:ascii="Arial" w:hAnsi="Arial" w:cs="Arial"/>
          <w:color w:val="7B7B7B" w:themeColor="accent3" w:themeShade="BF"/>
          <w:sz w:val="22"/>
          <w:szCs w:val="22"/>
          <w:lang w:val="en-GB" w:eastAsia="en-GB"/>
        </w:rPr>
        <w:t xml:space="preserve">the company was, in giving the preference, influenced by a desire to produce the effect referred to in (b) above in relation to the person preferred </w:t>
      </w:r>
      <w:r w:rsidR="00571477" w:rsidRPr="002F12BF">
        <w:rPr>
          <w:rFonts w:ascii="Arial" w:hAnsi="Arial" w:cs="Arial"/>
          <w:color w:val="7B7B7B" w:themeColor="accent3" w:themeShade="BF"/>
          <w:sz w:val="22"/>
          <w:szCs w:val="22"/>
          <w:lang w:val="en-GB" w:eastAsia="en-GB"/>
        </w:rPr>
        <w:t xml:space="preserve">– as discussed in MC Bacon it is arguable here that the payment to Beans and Leaves Ltd the payment was motivated but not prefer to Beans and Leaves Ltd. As if no payment is made which will lead to stop in supply, and eventually the company may need to cease business. However, the argument points which may raise by the liquidator is whether the company </w:t>
      </w:r>
      <w:r w:rsidR="002F12BF" w:rsidRPr="002F12BF">
        <w:rPr>
          <w:rFonts w:ascii="Arial" w:hAnsi="Arial" w:cs="Arial"/>
          <w:color w:val="7B7B7B" w:themeColor="accent3" w:themeShade="BF"/>
          <w:sz w:val="22"/>
          <w:szCs w:val="22"/>
          <w:lang w:val="en-GB" w:eastAsia="en-GB"/>
        </w:rPr>
        <w:t xml:space="preserve">sought for alternate supplier before committing to Beans and Leaves Ltd. </w:t>
      </w:r>
    </w:p>
    <w:p w14:paraId="0F09F2F9" w14:textId="34AD5A23" w:rsidR="009B755A" w:rsidRPr="002F12BF" w:rsidRDefault="009B755A" w:rsidP="002F12BF">
      <w:pPr>
        <w:pStyle w:val="NormalWeb"/>
        <w:numPr>
          <w:ilvl w:val="0"/>
          <w:numId w:val="36"/>
        </w:numPr>
        <w:jc w:val="both"/>
        <w:rPr>
          <w:rFonts w:ascii="Arial" w:hAnsi="Arial" w:cs="Arial"/>
          <w:color w:val="7B7B7B" w:themeColor="accent3" w:themeShade="BF"/>
          <w:sz w:val="22"/>
          <w:szCs w:val="22"/>
          <w:lang w:val="en-GB" w:eastAsia="en-GB"/>
        </w:rPr>
      </w:pPr>
      <w:r w:rsidRPr="002F12BF">
        <w:rPr>
          <w:rFonts w:ascii="Arial" w:hAnsi="Arial" w:cs="Arial"/>
          <w:color w:val="7B7B7B" w:themeColor="accent3" w:themeShade="BF"/>
          <w:sz w:val="22"/>
          <w:szCs w:val="22"/>
          <w:lang w:val="en-GB" w:eastAsia="en-GB"/>
        </w:rPr>
        <w:t xml:space="preserve">The preference was given at a relevant time – the relevant time referred to for not connected person is 2 years prior to the commencement of liquidation. This transaction between Beans and Leaves Ltd just a month before the winding up. </w:t>
      </w:r>
      <w:proofErr w:type="gramStart"/>
      <w:r w:rsidRPr="002F12BF">
        <w:rPr>
          <w:rFonts w:ascii="Arial" w:hAnsi="Arial" w:cs="Arial"/>
          <w:color w:val="7B7B7B" w:themeColor="accent3" w:themeShade="BF"/>
          <w:sz w:val="22"/>
          <w:szCs w:val="22"/>
          <w:lang w:val="en-GB" w:eastAsia="en-GB"/>
        </w:rPr>
        <w:t>So</w:t>
      </w:r>
      <w:proofErr w:type="gramEnd"/>
      <w:r w:rsidRPr="002F12BF">
        <w:rPr>
          <w:rFonts w:ascii="Arial" w:hAnsi="Arial" w:cs="Arial"/>
          <w:color w:val="7B7B7B" w:themeColor="accent3" w:themeShade="BF"/>
          <w:sz w:val="22"/>
          <w:szCs w:val="22"/>
          <w:lang w:val="en-GB" w:eastAsia="en-GB"/>
        </w:rPr>
        <w:t xml:space="preserve"> it is within the relevant time. </w:t>
      </w:r>
    </w:p>
    <w:p w14:paraId="04179B90" w14:textId="15BD3CDF" w:rsidR="00C752FA" w:rsidRPr="002F12BF" w:rsidRDefault="00C752FA" w:rsidP="002F12BF">
      <w:pPr>
        <w:ind w:left="360"/>
        <w:rPr>
          <w:rStyle w:val="legds"/>
          <w:rFonts w:ascii="Arial" w:hAnsi="Arial" w:cs="Arial"/>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38CE" w14:textId="77777777" w:rsidR="004451E6" w:rsidRDefault="004451E6" w:rsidP="00241B44">
      <w:r>
        <w:separator/>
      </w:r>
    </w:p>
  </w:endnote>
  <w:endnote w:type="continuationSeparator" w:id="0">
    <w:p w14:paraId="05DEB4DC" w14:textId="77777777" w:rsidR="004451E6" w:rsidRDefault="004451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74D37" w:rsidRPr="00FC7B47" w:rsidRDefault="00E74D3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74D37" w:rsidRPr="00FC7B47" w:rsidRDefault="00E74D3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E74D37" w:rsidRPr="009B4976" w:rsidRDefault="00E74D37" w:rsidP="0085029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7933">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1C2E6CA9" w:rsidR="00E74D37" w:rsidRPr="009B4976" w:rsidRDefault="002756F1" w:rsidP="009B4976">
    <w:pPr>
      <w:pStyle w:val="Footer"/>
      <w:ind w:right="360"/>
      <w:rPr>
        <w:rFonts w:ascii="Arial" w:hAnsi="Arial" w:cs="Arial"/>
        <w:sz w:val="18"/>
        <w:szCs w:val="18"/>
        <w:lang w:val="en-GB"/>
      </w:rPr>
    </w:pPr>
    <w:r>
      <w:rPr>
        <w:rFonts w:ascii="Arial" w:hAnsi="Arial" w:cs="Arial"/>
        <w:sz w:val="18"/>
        <w:szCs w:val="18"/>
        <w:lang w:val="en-GB"/>
      </w:rPr>
      <w:t>202122-582</w:t>
    </w:r>
    <w:r w:rsidR="00E74D37" w:rsidRPr="009B4976">
      <w:rPr>
        <w:rFonts w:ascii="Arial" w:hAnsi="Arial" w:cs="Arial"/>
        <w:sz w:val="18"/>
        <w:szCs w:val="18"/>
        <w:lang w:val="en-GB"/>
      </w:rPr>
      <w:t>.assessment</w:t>
    </w:r>
    <w:r w:rsidR="00E74D37">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3BBC" w14:textId="77777777" w:rsidR="004451E6" w:rsidRDefault="004451E6" w:rsidP="00241B44">
      <w:r>
        <w:separator/>
      </w:r>
    </w:p>
  </w:footnote>
  <w:footnote w:type="continuationSeparator" w:id="0">
    <w:p w14:paraId="29E73E73" w14:textId="77777777" w:rsidR="004451E6" w:rsidRDefault="004451E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72A7E"/>
    <w:multiLevelType w:val="hybridMultilevel"/>
    <w:tmpl w:val="E4563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B7639"/>
    <w:multiLevelType w:val="hybridMultilevel"/>
    <w:tmpl w:val="E4563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93D72"/>
    <w:multiLevelType w:val="multilevel"/>
    <w:tmpl w:val="F44C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03589"/>
    <w:multiLevelType w:val="multilevel"/>
    <w:tmpl w:val="0084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F34137"/>
    <w:multiLevelType w:val="multilevel"/>
    <w:tmpl w:val="503C8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A16BE"/>
    <w:multiLevelType w:val="multilevel"/>
    <w:tmpl w:val="39EE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204554"/>
    <w:multiLevelType w:val="hybridMultilevel"/>
    <w:tmpl w:val="E7DC8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E61B6"/>
    <w:multiLevelType w:val="multilevel"/>
    <w:tmpl w:val="C09E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E7D4F"/>
    <w:multiLevelType w:val="multilevel"/>
    <w:tmpl w:val="2D8C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B6199"/>
    <w:multiLevelType w:val="multilevel"/>
    <w:tmpl w:val="E782E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732E4"/>
    <w:multiLevelType w:val="hybridMultilevel"/>
    <w:tmpl w:val="E456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54652"/>
    <w:multiLevelType w:val="hybridMultilevel"/>
    <w:tmpl w:val="0D8E4410"/>
    <w:lvl w:ilvl="0" w:tplc="F25AEDA2">
      <w:start w:val="5"/>
      <w:numFmt w:val="bullet"/>
      <w:lvlText w:val="-"/>
      <w:lvlJc w:val="left"/>
      <w:pPr>
        <w:ind w:left="720" w:hanging="360"/>
      </w:pPr>
      <w:rPr>
        <w:rFonts w:ascii="Arial" w:eastAsia="MS Gothic" w:hAnsi="Arial"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46AF8"/>
    <w:multiLevelType w:val="multilevel"/>
    <w:tmpl w:val="19F2D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14C1"/>
    <w:multiLevelType w:val="multilevel"/>
    <w:tmpl w:val="EE6A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A4818"/>
    <w:multiLevelType w:val="multilevel"/>
    <w:tmpl w:val="FE42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87B79"/>
    <w:multiLevelType w:val="multilevel"/>
    <w:tmpl w:val="4AD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23C47"/>
    <w:multiLevelType w:val="hybridMultilevel"/>
    <w:tmpl w:val="5EA675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1" w15:restartNumberingAfterBreak="0">
    <w:nsid w:val="64527896"/>
    <w:multiLevelType w:val="hybridMultilevel"/>
    <w:tmpl w:val="5354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600A7"/>
    <w:multiLevelType w:val="multilevel"/>
    <w:tmpl w:val="65C80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B669BF"/>
    <w:multiLevelType w:val="multilevel"/>
    <w:tmpl w:val="27766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813186"/>
    <w:multiLevelType w:val="multilevel"/>
    <w:tmpl w:val="5AF4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3C42D0"/>
    <w:multiLevelType w:val="multilevel"/>
    <w:tmpl w:val="E482D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
  </w:num>
  <w:num w:numId="4">
    <w:abstractNumId w:val="23"/>
  </w:num>
  <w:num w:numId="5">
    <w:abstractNumId w:val="27"/>
  </w:num>
  <w:num w:numId="6">
    <w:abstractNumId w:val="5"/>
  </w:num>
  <w:num w:numId="7">
    <w:abstractNumId w:val="28"/>
  </w:num>
  <w:num w:numId="8">
    <w:abstractNumId w:val="37"/>
  </w:num>
  <w:num w:numId="9">
    <w:abstractNumId w:val="24"/>
  </w:num>
  <w:num w:numId="10">
    <w:abstractNumId w:val="38"/>
  </w:num>
  <w:num w:numId="11">
    <w:abstractNumId w:val="16"/>
  </w:num>
  <w:num w:numId="12">
    <w:abstractNumId w:val="32"/>
  </w:num>
  <w:num w:numId="13">
    <w:abstractNumId w:val="25"/>
  </w:num>
  <w:num w:numId="14">
    <w:abstractNumId w:val="13"/>
  </w:num>
  <w:num w:numId="15">
    <w:abstractNumId w:val="30"/>
  </w:num>
  <w:num w:numId="16">
    <w:abstractNumId w:val="35"/>
  </w:num>
  <w:num w:numId="17">
    <w:abstractNumId w:val="21"/>
  </w:num>
  <w:num w:numId="18">
    <w:abstractNumId w:val="0"/>
  </w:num>
  <w:num w:numId="19">
    <w:abstractNumId w:val="11"/>
  </w:num>
  <w:num w:numId="20">
    <w:abstractNumId w:val="26"/>
  </w:num>
  <w:num w:numId="21">
    <w:abstractNumId w:val="17"/>
  </w:num>
  <w:num w:numId="22">
    <w:abstractNumId w:val="18"/>
  </w:num>
  <w:num w:numId="23">
    <w:abstractNumId w:val="19"/>
  </w:num>
  <w:num w:numId="24">
    <w:abstractNumId w:val="22"/>
  </w:num>
  <w:num w:numId="25">
    <w:abstractNumId w:val="39"/>
  </w:num>
  <w:num w:numId="26">
    <w:abstractNumId w:val="8"/>
  </w:num>
  <w:num w:numId="27">
    <w:abstractNumId w:val="33"/>
  </w:num>
  <w:num w:numId="28">
    <w:abstractNumId w:val="14"/>
  </w:num>
  <w:num w:numId="29">
    <w:abstractNumId w:val="15"/>
  </w:num>
  <w:num w:numId="30">
    <w:abstractNumId w:val="7"/>
  </w:num>
  <w:num w:numId="31">
    <w:abstractNumId w:val="2"/>
  </w:num>
  <w:num w:numId="32">
    <w:abstractNumId w:val="3"/>
  </w:num>
  <w:num w:numId="33">
    <w:abstractNumId w:val="31"/>
  </w:num>
  <w:num w:numId="34">
    <w:abstractNumId w:val="29"/>
  </w:num>
  <w:num w:numId="35">
    <w:abstractNumId w:val="10"/>
  </w:num>
  <w:num w:numId="36">
    <w:abstractNumId w:val="34"/>
  </w:num>
  <w:num w:numId="37">
    <w:abstractNumId w:val="9"/>
  </w:num>
  <w:num w:numId="38">
    <w:abstractNumId w:val="6"/>
  </w:num>
  <w:num w:numId="39">
    <w:abstractNumId w:val="36"/>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10BA0"/>
    <w:rsid w:val="00016344"/>
    <w:rsid w:val="00020557"/>
    <w:rsid w:val="00021FC2"/>
    <w:rsid w:val="000250C7"/>
    <w:rsid w:val="00026F16"/>
    <w:rsid w:val="00037621"/>
    <w:rsid w:val="00044D46"/>
    <w:rsid w:val="00045088"/>
    <w:rsid w:val="00045904"/>
    <w:rsid w:val="000502FD"/>
    <w:rsid w:val="00056BAF"/>
    <w:rsid w:val="00065166"/>
    <w:rsid w:val="000706DE"/>
    <w:rsid w:val="00082609"/>
    <w:rsid w:val="000851CC"/>
    <w:rsid w:val="00087F21"/>
    <w:rsid w:val="00093BE8"/>
    <w:rsid w:val="000A407B"/>
    <w:rsid w:val="000A68ED"/>
    <w:rsid w:val="000B13FE"/>
    <w:rsid w:val="000B5FF1"/>
    <w:rsid w:val="000B609F"/>
    <w:rsid w:val="000D10C6"/>
    <w:rsid w:val="000D55A8"/>
    <w:rsid w:val="000E4841"/>
    <w:rsid w:val="000E7468"/>
    <w:rsid w:val="000F1677"/>
    <w:rsid w:val="000F378A"/>
    <w:rsid w:val="000F3D6C"/>
    <w:rsid w:val="00101707"/>
    <w:rsid w:val="00102CC9"/>
    <w:rsid w:val="0010593A"/>
    <w:rsid w:val="0011473D"/>
    <w:rsid w:val="00115C85"/>
    <w:rsid w:val="00123855"/>
    <w:rsid w:val="00126A4D"/>
    <w:rsid w:val="00126E5D"/>
    <w:rsid w:val="00140F68"/>
    <w:rsid w:val="0014171F"/>
    <w:rsid w:val="0014622C"/>
    <w:rsid w:val="00152348"/>
    <w:rsid w:val="0015456D"/>
    <w:rsid w:val="001545BF"/>
    <w:rsid w:val="00155C34"/>
    <w:rsid w:val="00155FA2"/>
    <w:rsid w:val="00161F1B"/>
    <w:rsid w:val="00162829"/>
    <w:rsid w:val="00166172"/>
    <w:rsid w:val="001670E5"/>
    <w:rsid w:val="00180548"/>
    <w:rsid w:val="00180AC4"/>
    <w:rsid w:val="00180CCE"/>
    <w:rsid w:val="0018267A"/>
    <w:rsid w:val="00182779"/>
    <w:rsid w:val="00182788"/>
    <w:rsid w:val="001830DF"/>
    <w:rsid w:val="001966D9"/>
    <w:rsid w:val="001A007A"/>
    <w:rsid w:val="001A7E9A"/>
    <w:rsid w:val="001B0F70"/>
    <w:rsid w:val="001B2FB3"/>
    <w:rsid w:val="001B5016"/>
    <w:rsid w:val="001C371B"/>
    <w:rsid w:val="001C45FC"/>
    <w:rsid w:val="001D0469"/>
    <w:rsid w:val="001D29C0"/>
    <w:rsid w:val="001D4862"/>
    <w:rsid w:val="001E25B9"/>
    <w:rsid w:val="001E49E0"/>
    <w:rsid w:val="001E7B5A"/>
    <w:rsid w:val="001F7412"/>
    <w:rsid w:val="0020090A"/>
    <w:rsid w:val="0020204E"/>
    <w:rsid w:val="00202DFE"/>
    <w:rsid w:val="0020725B"/>
    <w:rsid w:val="002110F1"/>
    <w:rsid w:val="00222B27"/>
    <w:rsid w:val="002338C9"/>
    <w:rsid w:val="002356EA"/>
    <w:rsid w:val="0024116D"/>
    <w:rsid w:val="00241B44"/>
    <w:rsid w:val="00241FA3"/>
    <w:rsid w:val="00245EFB"/>
    <w:rsid w:val="0025386E"/>
    <w:rsid w:val="002638B0"/>
    <w:rsid w:val="0026647A"/>
    <w:rsid w:val="002667DE"/>
    <w:rsid w:val="002668D3"/>
    <w:rsid w:val="0027299F"/>
    <w:rsid w:val="00275679"/>
    <w:rsid w:val="002756F1"/>
    <w:rsid w:val="00282318"/>
    <w:rsid w:val="00284EBE"/>
    <w:rsid w:val="00284F3C"/>
    <w:rsid w:val="002903A7"/>
    <w:rsid w:val="0029433F"/>
    <w:rsid w:val="00294829"/>
    <w:rsid w:val="0029690F"/>
    <w:rsid w:val="00297C8A"/>
    <w:rsid w:val="002A2A60"/>
    <w:rsid w:val="002A37BB"/>
    <w:rsid w:val="002B1C45"/>
    <w:rsid w:val="002C13C8"/>
    <w:rsid w:val="002C3547"/>
    <w:rsid w:val="002C46CB"/>
    <w:rsid w:val="002C4791"/>
    <w:rsid w:val="002D0021"/>
    <w:rsid w:val="002D27C3"/>
    <w:rsid w:val="002D299D"/>
    <w:rsid w:val="002D3473"/>
    <w:rsid w:val="002D7830"/>
    <w:rsid w:val="002E1EDA"/>
    <w:rsid w:val="002F12BF"/>
    <w:rsid w:val="002F1956"/>
    <w:rsid w:val="002F3440"/>
    <w:rsid w:val="002F75A3"/>
    <w:rsid w:val="002F77D6"/>
    <w:rsid w:val="003005B3"/>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11A8"/>
    <w:rsid w:val="0037465A"/>
    <w:rsid w:val="00382C98"/>
    <w:rsid w:val="0038533C"/>
    <w:rsid w:val="00386568"/>
    <w:rsid w:val="00387435"/>
    <w:rsid w:val="00390B57"/>
    <w:rsid w:val="003948D5"/>
    <w:rsid w:val="00396821"/>
    <w:rsid w:val="00397D3A"/>
    <w:rsid w:val="003A051E"/>
    <w:rsid w:val="003A4482"/>
    <w:rsid w:val="003B170F"/>
    <w:rsid w:val="003B3C5F"/>
    <w:rsid w:val="003C4471"/>
    <w:rsid w:val="003D0A6D"/>
    <w:rsid w:val="003E0B16"/>
    <w:rsid w:val="003E67D1"/>
    <w:rsid w:val="003F10DC"/>
    <w:rsid w:val="00404329"/>
    <w:rsid w:val="00405DC1"/>
    <w:rsid w:val="00415F1F"/>
    <w:rsid w:val="00421047"/>
    <w:rsid w:val="0042108F"/>
    <w:rsid w:val="00430FED"/>
    <w:rsid w:val="00434A8C"/>
    <w:rsid w:val="00435114"/>
    <w:rsid w:val="00437297"/>
    <w:rsid w:val="00444284"/>
    <w:rsid w:val="004451E6"/>
    <w:rsid w:val="00445CE6"/>
    <w:rsid w:val="004534C2"/>
    <w:rsid w:val="0045446F"/>
    <w:rsid w:val="0045683E"/>
    <w:rsid w:val="00461F95"/>
    <w:rsid w:val="00474C2B"/>
    <w:rsid w:val="00477C72"/>
    <w:rsid w:val="00491675"/>
    <w:rsid w:val="00493855"/>
    <w:rsid w:val="00495E79"/>
    <w:rsid w:val="004A2D83"/>
    <w:rsid w:val="004A37A9"/>
    <w:rsid w:val="004A57DD"/>
    <w:rsid w:val="004A7B51"/>
    <w:rsid w:val="004A7D71"/>
    <w:rsid w:val="004A7EF3"/>
    <w:rsid w:val="004B11FD"/>
    <w:rsid w:val="004B23A2"/>
    <w:rsid w:val="004B6E52"/>
    <w:rsid w:val="004D1A5A"/>
    <w:rsid w:val="004D2FFF"/>
    <w:rsid w:val="004D3721"/>
    <w:rsid w:val="004D64F9"/>
    <w:rsid w:val="004E2A78"/>
    <w:rsid w:val="004E3A6B"/>
    <w:rsid w:val="004E622C"/>
    <w:rsid w:val="004F5FDF"/>
    <w:rsid w:val="0051495B"/>
    <w:rsid w:val="005177FE"/>
    <w:rsid w:val="0052185D"/>
    <w:rsid w:val="0052263B"/>
    <w:rsid w:val="00524728"/>
    <w:rsid w:val="00531DD9"/>
    <w:rsid w:val="005331CA"/>
    <w:rsid w:val="00537970"/>
    <w:rsid w:val="00540E3A"/>
    <w:rsid w:val="00544127"/>
    <w:rsid w:val="005463A9"/>
    <w:rsid w:val="00553EB2"/>
    <w:rsid w:val="005566BF"/>
    <w:rsid w:val="00560534"/>
    <w:rsid w:val="0056391B"/>
    <w:rsid w:val="005650E2"/>
    <w:rsid w:val="00567AD7"/>
    <w:rsid w:val="00571477"/>
    <w:rsid w:val="00575B2D"/>
    <w:rsid w:val="005833D0"/>
    <w:rsid w:val="005846F3"/>
    <w:rsid w:val="0058622F"/>
    <w:rsid w:val="00592F82"/>
    <w:rsid w:val="0059389E"/>
    <w:rsid w:val="00593B9B"/>
    <w:rsid w:val="00594C6A"/>
    <w:rsid w:val="005979A8"/>
    <w:rsid w:val="005A0CCA"/>
    <w:rsid w:val="005A1083"/>
    <w:rsid w:val="005A6FF2"/>
    <w:rsid w:val="005A726D"/>
    <w:rsid w:val="005B67AC"/>
    <w:rsid w:val="005B79F4"/>
    <w:rsid w:val="005C5819"/>
    <w:rsid w:val="005D16DD"/>
    <w:rsid w:val="005D43E0"/>
    <w:rsid w:val="005D58A3"/>
    <w:rsid w:val="005E1B79"/>
    <w:rsid w:val="005E41C7"/>
    <w:rsid w:val="005E6076"/>
    <w:rsid w:val="005E7008"/>
    <w:rsid w:val="005E7FAB"/>
    <w:rsid w:val="005F026D"/>
    <w:rsid w:val="005F2AEA"/>
    <w:rsid w:val="005F2D0B"/>
    <w:rsid w:val="005F4B31"/>
    <w:rsid w:val="00610388"/>
    <w:rsid w:val="00610AC7"/>
    <w:rsid w:val="00611053"/>
    <w:rsid w:val="00612CA5"/>
    <w:rsid w:val="006153EC"/>
    <w:rsid w:val="00621A17"/>
    <w:rsid w:val="00624BCC"/>
    <w:rsid w:val="00627CC9"/>
    <w:rsid w:val="00627E7B"/>
    <w:rsid w:val="00630542"/>
    <w:rsid w:val="00632E44"/>
    <w:rsid w:val="00634622"/>
    <w:rsid w:val="00636808"/>
    <w:rsid w:val="00636AF6"/>
    <w:rsid w:val="00641515"/>
    <w:rsid w:val="00643AC0"/>
    <w:rsid w:val="00654C2F"/>
    <w:rsid w:val="00657087"/>
    <w:rsid w:val="00660235"/>
    <w:rsid w:val="006624AB"/>
    <w:rsid w:val="006639DB"/>
    <w:rsid w:val="006661EF"/>
    <w:rsid w:val="00677AEB"/>
    <w:rsid w:val="00680EF2"/>
    <w:rsid w:val="00687A1D"/>
    <w:rsid w:val="00697EA1"/>
    <w:rsid w:val="006A2646"/>
    <w:rsid w:val="006A6530"/>
    <w:rsid w:val="006B435A"/>
    <w:rsid w:val="006B4C64"/>
    <w:rsid w:val="006D282B"/>
    <w:rsid w:val="006D6BD5"/>
    <w:rsid w:val="006E1604"/>
    <w:rsid w:val="006E481A"/>
    <w:rsid w:val="006E5298"/>
    <w:rsid w:val="006F4A78"/>
    <w:rsid w:val="006F5FEF"/>
    <w:rsid w:val="006F734A"/>
    <w:rsid w:val="00700D83"/>
    <w:rsid w:val="00704852"/>
    <w:rsid w:val="00705161"/>
    <w:rsid w:val="0070524B"/>
    <w:rsid w:val="007074E9"/>
    <w:rsid w:val="00713DA4"/>
    <w:rsid w:val="00714BF1"/>
    <w:rsid w:val="00721383"/>
    <w:rsid w:val="00730D00"/>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B71F6"/>
    <w:rsid w:val="007B78FF"/>
    <w:rsid w:val="007C1FCC"/>
    <w:rsid w:val="007C6201"/>
    <w:rsid w:val="007D7C92"/>
    <w:rsid w:val="007E1154"/>
    <w:rsid w:val="007E2919"/>
    <w:rsid w:val="007E46A8"/>
    <w:rsid w:val="007E6BA4"/>
    <w:rsid w:val="007F41F8"/>
    <w:rsid w:val="007F659B"/>
    <w:rsid w:val="007F7076"/>
    <w:rsid w:val="0080441E"/>
    <w:rsid w:val="0080454E"/>
    <w:rsid w:val="00804C32"/>
    <w:rsid w:val="00806302"/>
    <w:rsid w:val="00807119"/>
    <w:rsid w:val="0082483F"/>
    <w:rsid w:val="008279C0"/>
    <w:rsid w:val="0085029F"/>
    <w:rsid w:val="00867701"/>
    <w:rsid w:val="008723F3"/>
    <w:rsid w:val="00873B99"/>
    <w:rsid w:val="008769B2"/>
    <w:rsid w:val="00876F56"/>
    <w:rsid w:val="00881DE6"/>
    <w:rsid w:val="008837A6"/>
    <w:rsid w:val="0089145D"/>
    <w:rsid w:val="00891690"/>
    <w:rsid w:val="008A4DF2"/>
    <w:rsid w:val="008A6CFE"/>
    <w:rsid w:val="008B5333"/>
    <w:rsid w:val="008B6223"/>
    <w:rsid w:val="008B6F9B"/>
    <w:rsid w:val="008B72B8"/>
    <w:rsid w:val="008C66E0"/>
    <w:rsid w:val="008D1616"/>
    <w:rsid w:val="008E3339"/>
    <w:rsid w:val="008F20FC"/>
    <w:rsid w:val="008F5FFE"/>
    <w:rsid w:val="00905A43"/>
    <w:rsid w:val="00912C79"/>
    <w:rsid w:val="00917D01"/>
    <w:rsid w:val="00921B8C"/>
    <w:rsid w:val="00924DAF"/>
    <w:rsid w:val="00931D14"/>
    <w:rsid w:val="00942123"/>
    <w:rsid w:val="009465B2"/>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B755A"/>
    <w:rsid w:val="009C0B8E"/>
    <w:rsid w:val="009C1BC8"/>
    <w:rsid w:val="009C2442"/>
    <w:rsid w:val="009D0811"/>
    <w:rsid w:val="009D0EE1"/>
    <w:rsid w:val="009D2D9A"/>
    <w:rsid w:val="009E2AEB"/>
    <w:rsid w:val="009E2E27"/>
    <w:rsid w:val="009E45DF"/>
    <w:rsid w:val="009E4DE3"/>
    <w:rsid w:val="009F275E"/>
    <w:rsid w:val="009F73AC"/>
    <w:rsid w:val="00A047EE"/>
    <w:rsid w:val="00A2274A"/>
    <w:rsid w:val="00A22860"/>
    <w:rsid w:val="00A235B7"/>
    <w:rsid w:val="00A26C7B"/>
    <w:rsid w:val="00A27A7A"/>
    <w:rsid w:val="00A34ABE"/>
    <w:rsid w:val="00A407EF"/>
    <w:rsid w:val="00A46B4C"/>
    <w:rsid w:val="00A5117B"/>
    <w:rsid w:val="00A56D34"/>
    <w:rsid w:val="00A57880"/>
    <w:rsid w:val="00A57D29"/>
    <w:rsid w:val="00A60074"/>
    <w:rsid w:val="00A6627C"/>
    <w:rsid w:val="00A66B4A"/>
    <w:rsid w:val="00A71019"/>
    <w:rsid w:val="00A81029"/>
    <w:rsid w:val="00A845F5"/>
    <w:rsid w:val="00A96489"/>
    <w:rsid w:val="00AA74D4"/>
    <w:rsid w:val="00AB2425"/>
    <w:rsid w:val="00AB3999"/>
    <w:rsid w:val="00AB685C"/>
    <w:rsid w:val="00AB6C2D"/>
    <w:rsid w:val="00AC08F7"/>
    <w:rsid w:val="00AC317D"/>
    <w:rsid w:val="00AC3839"/>
    <w:rsid w:val="00AC7082"/>
    <w:rsid w:val="00AD00A0"/>
    <w:rsid w:val="00AD3979"/>
    <w:rsid w:val="00AD4BE8"/>
    <w:rsid w:val="00AE5B6F"/>
    <w:rsid w:val="00AE77AC"/>
    <w:rsid w:val="00AF19AA"/>
    <w:rsid w:val="00AF228E"/>
    <w:rsid w:val="00B016A8"/>
    <w:rsid w:val="00B04033"/>
    <w:rsid w:val="00B14819"/>
    <w:rsid w:val="00B15E2F"/>
    <w:rsid w:val="00B17AA9"/>
    <w:rsid w:val="00B44713"/>
    <w:rsid w:val="00B51B95"/>
    <w:rsid w:val="00B56103"/>
    <w:rsid w:val="00B64650"/>
    <w:rsid w:val="00B64929"/>
    <w:rsid w:val="00B736DF"/>
    <w:rsid w:val="00B743D6"/>
    <w:rsid w:val="00B74FBD"/>
    <w:rsid w:val="00B77F46"/>
    <w:rsid w:val="00B82586"/>
    <w:rsid w:val="00B829A3"/>
    <w:rsid w:val="00B86DB1"/>
    <w:rsid w:val="00B87869"/>
    <w:rsid w:val="00B9639B"/>
    <w:rsid w:val="00BA1CFD"/>
    <w:rsid w:val="00BB0F2B"/>
    <w:rsid w:val="00BD44A8"/>
    <w:rsid w:val="00BE4FF3"/>
    <w:rsid w:val="00BF2C93"/>
    <w:rsid w:val="00BF50F7"/>
    <w:rsid w:val="00C00496"/>
    <w:rsid w:val="00C02F29"/>
    <w:rsid w:val="00C05213"/>
    <w:rsid w:val="00C17718"/>
    <w:rsid w:val="00C20AFE"/>
    <w:rsid w:val="00C22A25"/>
    <w:rsid w:val="00C305F5"/>
    <w:rsid w:val="00C35671"/>
    <w:rsid w:val="00C35B77"/>
    <w:rsid w:val="00C376EB"/>
    <w:rsid w:val="00C46A92"/>
    <w:rsid w:val="00C46EC1"/>
    <w:rsid w:val="00C5095D"/>
    <w:rsid w:val="00C52796"/>
    <w:rsid w:val="00C53E2C"/>
    <w:rsid w:val="00C550C8"/>
    <w:rsid w:val="00C55824"/>
    <w:rsid w:val="00C56B61"/>
    <w:rsid w:val="00C606C3"/>
    <w:rsid w:val="00C61075"/>
    <w:rsid w:val="00C620F4"/>
    <w:rsid w:val="00C72848"/>
    <w:rsid w:val="00C752FA"/>
    <w:rsid w:val="00C7736C"/>
    <w:rsid w:val="00C82D87"/>
    <w:rsid w:val="00C8712A"/>
    <w:rsid w:val="00C902C8"/>
    <w:rsid w:val="00C91062"/>
    <w:rsid w:val="00C919D1"/>
    <w:rsid w:val="00C93D20"/>
    <w:rsid w:val="00C963D3"/>
    <w:rsid w:val="00CB1983"/>
    <w:rsid w:val="00CB278A"/>
    <w:rsid w:val="00CB2CBB"/>
    <w:rsid w:val="00CB7CAC"/>
    <w:rsid w:val="00CC5335"/>
    <w:rsid w:val="00CC5BA4"/>
    <w:rsid w:val="00CD4998"/>
    <w:rsid w:val="00CE1035"/>
    <w:rsid w:val="00CE6E50"/>
    <w:rsid w:val="00CF2819"/>
    <w:rsid w:val="00CF4F9D"/>
    <w:rsid w:val="00CF70DC"/>
    <w:rsid w:val="00D148DC"/>
    <w:rsid w:val="00D17FDC"/>
    <w:rsid w:val="00D21D8C"/>
    <w:rsid w:val="00D44AC3"/>
    <w:rsid w:val="00D53719"/>
    <w:rsid w:val="00D63EFD"/>
    <w:rsid w:val="00D82EA5"/>
    <w:rsid w:val="00D84752"/>
    <w:rsid w:val="00D86B3B"/>
    <w:rsid w:val="00D8748A"/>
    <w:rsid w:val="00D93196"/>
    <w:rsid w:val="00D9673C"/>
    <w:rsid w:val="00DA0DC0"/>
    <w:rsid w:val="00DA2A99"/>
    <w:rsid w:val="00DB243C"/>
    <w:rsid w:val="00DB482A"/>
    <w:rsid w:val="00DB50FB"/>
    <w:rsid w:val="00DB56F2"/>
    <w:rsid w:val="00DB6EF5"/>
    <w:rsid w:val="00DC3089"/>
    <w:rsid w:val="00DC4420"/>
    <w:rsid w:val="00DC5B4C"/>
    <w:rsid w:val="00DD0802"/>
    <w:rsid w:val="00DD2E11"/>
    <w:rsid w:val="00DE03AF"/>
    <w:rsid w:val="00DE121C"/>
    <w:rsid w:val="00DE6633"/>
    <w:rsid w:val="00DF75F8"/>
    <w:rsid w:val="00DF7A3A"/>
    <w:rsid w:val="00E00C00"/>
    <w:rsid w:val="00E07C5A"/>
    <w:rsid w:val="00E11834"/>
    <w:rsid w:val="00E1510A"/>
    <w:rsid w:val="00E15BA9"/>
    <w:rsid w:val="00E1684F"/>
    <w:rsid w:val="00E26E19"/>
    <w:rsid w:val="00E31DF3"/>
    <w:rsid w:val="00E443D7"/>
    <w:rsid w:val="00E450A4"/>
    <w:rsid w:val="00E506BE"/>
    <w:rsid w:val="00E55547"/>
    <w:rsid w:val="00E56F92"/>
    <w:rsid w:val="00E6302B"/>
    <w:rsid w:val="00E63428"/>
    <w:rsid w:val="00E6452F"/>
    <w:rsid w:val="00E64F45"/>
    <w:rsid w:val="00E6742D"/>
    <w:rsid w:val="00E71CB0"/>
    <w:rsid w:val="00E739D4"/>
    <w:rsid w:val="00E74D37"/>
    <w:rsid w:val="00E77C3D"/>
    <w:rsid w:val="00E833F4"/>
    <w:rsid w:val="00E84407"/>
    <w:rsid w:val="00E90991"/>
    <w:rsid w:val="00E909F0"/>
    <w:rsid w:val="00E90D47"/>
    <w:rsid w:val="00E93993"/>
    <w:rsid w:val="00E93B14"/>
    <w:rsid w:val="00E94797"/>
    <w:rsid w:val="00E9597C"/>
    <w:rsid w:val="00EA0913"/>
    <w:rsid w:val="00EA5B00"/>
    <w:rsid w:val="00EA7CFC"/>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77933"/>
    <w:rsid w:val="00F87B04"/>
    <w:rsid w:val="00F97C5B"/>
    <w:rsid w:val="00FA12B9"/>
    <w:rsid w:val="00FA3D50"/>
    <w:rsid w:val="00FA417D"/>
    <w:rsid w:val="00FB0BF5"/>
    <w:rsid w:val="00FB31D6"/>
    <w:rsid w:val="00FB7FBD"/>
    <w:rsid w:val="00FC1432"/>
    <w:rsid w:val="00FC374A"/>
    <w:rsid w:val="00FC74C8"/>
    <w:rsid w:val="00FC7B47"/>
    <w:rsid w:val="00FD028B"/>
    <w:rsid w:val="00FD035C"/>
    <w:rsid w:val="00FD1A35"/>
    <w:rsid w:val="00FD2EA4"/>
    <w:rsid w:val="00FD36C5"/>
    <w:rsid w:val="00FD6310"/>
    <w:rsid w:val="00FD7C7B"/>
    <w:rsid w:val="00FE1D12"/>
    <w:rsid w:val="00FE2122"/>
    <w:rsid w:val="00FE2A86"/>
    <w:rsid w:val="00FE2DE2"/>
    <w:rsid w:val="00FF296F"/>
    <w:rsid w:val="00FF395D"/>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1C3D8F7D-7093-3740-8358-0DAF027D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1"/>
    <w:rPr>
      <w:rFonts w:ascii="Times New Roman" w:eastAsia="Times New Roman" w:hAnsi="Times New Roman" w:cs="Times New Roman"/>
      <w:lang w:val="en-M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legds">
    <w:name w:val="legds"/>
    <w:basedOn w:val="DefaultParagraphFont"/>
    <w:rsid w:val="00705161"/>
  </w:style>
  <w:style w:type="paragraph" w:customStyle="1" w:styleId="legclearfix">
    <w:name w:val="legclearfix"/>
    <w:basedOn w:val="Normal"/>
    <w:rsid w:val="00705161"/>
    <w:pPr>
      <w:spacing w:before="100" w:beforeAutospacing="1" w:after="100" w:afterAutospacing="1"/>
    </w:pPr>
  </w:style>
  <w:style w:type="character" w:customStyle="1" w:styleId="legchangedelimiter">
    <w:name w:val="legchangedelimiter"/>
    <w:basedOn w:val="DefaultParagraphFont"/>
    <w:rsid w:val="00705161"/>
  </w:style>
  <w:style w:type="character" w:customStyle="1" w:styleId="legaddition">
    <w:name w:val="legaddition"/>
    <w:basedOn w:val="DefaultParagraphFont"/>
    <w:rsid w:val="00705161"/>
  </w:style>
  <w:style w:type="character" w:customStyle="1" w:styleId="legterm">
    <w:name w:val="legterm"/>
    <w:basedOn w:val="DefaultParagraphFont"/>
    <w:rsid w:val="00705161"/>
  </w:style>
  <w:style w:type="paragraph" w:customStyle="1" w:styleId="leglevel3">
    <w:name w:val="leglevel3"/>
    <w:basedOn w:val="Normal"/>
    <w:rsid w:val="00705161"/>
    <w:pPr>
      <w:spacing w:before="100" w:beforeAutospacing="1" w:after="100" w:afterAutospacing="1"/>
    </w:pPr>
  </w:style>
  <w:style w:type="paragraph" w:customStyle="1" w:styleId="legrhs">
    <w:name w:val="legrhs"/>
    <w:basedOn w:val="Normal"/>
    <w:rsid w:val="00705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722901104">
          <w:marLeft w:val="0"/>
          <w:marRight w:val="0"/>
          <w:marTop w:val="0"/>
          <w:marBottom w:val="0"/>
          <w:divBdr>
            <w:top w:val="none" w:sz="0" w:space="0" w:color="auto"/>
            <w:left w:val="none" w:sz="0" w:space="0" w:color="auto"/>
            <w:bottom w:val="none" w:sz="0" w:space="0" w:color="auto"/>
            <w:right w:val="none" w:sz="0" w:space="0" w:color="auto"/>
          </w:divBdr>
          <w:divsChild>
            <w:div w:id="139425453">
              <w:marLeft w:val="0"/>
              <w:marRight w:val="0"/>
              <w:marTop w:val="0"/>
              <w:marBottom w:val="0"/>
              <w:divBdr>
                <w:top w:val="none" w:sz="0" w:space="0" w:color="auto"/>
                <w:left w:val="none" w:sz="0" w:space="0" w:color="auto"/>
                <w:bottom w:val="none" w:sz="0" w:space="0" w:color="auto"/>
                <w:right w:val="none" w:sz="0" w:space="0" w:color="auto"/>
              </w:divBdr>
              <w:divsChild>
                <w:div w:id="12693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3993">
      <w:bodyDiv w:val="1"/>
      <w:marLeft w:val="0"/>
      <w:marRight w:val="0"/>
      <w:marTop w:val="0"/>
      <w:marBottom w:val="0"/>
      <w:divBdr>
        <w:top w:val="none" w:sz="0" w:space="0" w:color="auto"/>
        <w:left w:val="none" w:sz="0" w:space="0" w:color="auto"/>
        <w:bottom w:val="none" w:sz="0" w:space="0" w:color="auto"/>
        <w:right w:val="none" w:sz="0" w:space="0" w:color="auto"/>
      </w:divBdr>
      <w:divsChild>
        <w:div w:id="661466078">
          <w:marLeft w:val="0"/>
          <w:marRight w:val="0"/>
          <w:marTop w:val="0"/>
          <w:marBottom w:val="0"/>
          <w:divBdr>
            <w:top w:val="none" w:sz="0" w:space="0" w:color="auto"/>
            <w:left w:val="none" w:sz="0" w:space="0" w:color="auto"/>
            <w:bottom w:val="none" w:sz="0" w:space="0" w:color="auto"/>
            <w:right w:val="none" w:sz="0" w:space="0" w:color="auto"/>
          </w:divBdr>
          <w:divsChild>
            <w:div w:id="769817726">
              <w:marLeft w:val="0"/>
              <w:marRight w:val="0"/>
              <w:marTop w:val="0"/>
              <w:marBottom w:val="0"/>
              <w:divBdr>
                <w:top w:val="none" w:sz="0" w:space="0" w:color="auto"/>
                <w:left w:val="none" w:sz="0" w:space="0" w:color="auto"/>
                <w:bottom w:val="none" w:sz="0" w:space="0" w:color="auto"/>
                <w:right w:val="none" w:sz="0" w:space="0" w:color="auto"/>
              </w:divBdr>
              <w:divsChild>
                <w:div w:id="708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512">
      <w:bodyDiv w:val="1"/>
      <w:marLeft w:val="0"/>
      <w:marRight w:val="0"/>
      <w:marTop w:val="0"/>
      <w:marBottom w:val="0"/>
      <w:divBdr>
        <w:top w:val="none" w:sz="0" w:space="0" w:color="auto"/>
        <w:left w:val="none" w:sz="0" w:space="0" w:color="auto"/>
        <w:bottom w:val="none" w:sz="0" w:space="0" w:color="auto"/>
        <w:right w:val="none" w:sz="0" w:space="0" w:color="auto"/>
      </w:divBdr>
      <w:divsChild>
        <w:div w:id="1847480930">
          <w:marLeft w:val="0"/>
          <w:marRight w:val="0"/>
          <w:marTop w:val="0"/>
          <w:marBottom w:val="0"/>
          <w:divBdr>
            <w:top w:val="none" w:sz="0" w:space="0" w:color="auto"/>
            <w:left w:val="none" w:sz="0" w:space="0" w:color="auto"/>
            <w:bottom w:val="none" w:sz="0" w:space="0" w:color="auto"/>
            <w:right w:val="none" w:sz="0" w:space="0" w:color="auto"/>
          </w:divBdr>
          <w:divsChild>
            <w:div w:id="1231119677">
              <w:marLeft w:val="0"/>
              <w:marRight w:val="0"/>
              <w:marTop w:val="0"/>
              <w:marBottom w:val="0"/>
              <w:divBdr>
                <w:top w:val="none" w:sz="0" w:space="0" w:color="auto"/>
                <w:left w:val="none" w:sz="0" w:space="0" w:color="auto"/>
                <w:bottom w:val="none" w:sz="0" w:space="0" w:color="auto"/>
                <w:right w:val="none" w:sz="0" w:space="0" w:color="auto"/>
              </w:divBdr>
              <w:divsChild>
                <w:div w:id="19333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40170">
      <w:bodyDiv w:val="1"/>
      <w:marLeft w:val="0"/>
      <w:marRight w:val="0"/>
      <w:marTop w:val="0"/>
      <w:marBottom w:val="0"/>
      <w:divBdr>
        <w:top w:val="none" w:sz="0" w:space="0" w:color="auto"/>
        <w:left w:val="none" w:sz="0" w:space="0" w:color="auto"/>
        <w:bottom w:val="none" w:sz="0" w:space="0" w:color="auto"/>
        <w:right w:val="none" w:sz="0" w:space="0" w:color="auto"/>
      </w:divBdr>
      <w:divsChild>
        <w:div w:id="1367830897">
          <w:marLeft w:val="0"/>
          <w:marRight w:val="0"/>
          <w:marTop w:val="0"/>
          <w:marBottom w:val="0"/>
          <w:divBdr>
            <w:top w:val="none" w:sz="0" w:space="0" w:color="auto"/>
            <w:left w:val="none" w:sz="0" w:space="0" w:color="auto"/>
            <w:bottom w:val="none" w:sz="0" w:space="0" w:color="auto"/>
            <w:right w:val="none" w:sz="0" w:space="0" w:color="auto"/>
          </w:divBdr>
          <w:divsChild>
            <w:div w:id="1003826081">
              <w:marLeft w:val="0"/>
              <w:marRight w:val="0"/>
              <w:marTop w:val="0"/>
              <w:marBottom w:val="0"/>
              <w:divBdr>
                <w:top w:val="none" w:sz="0" w:space="0" w:color="auto"/>
                <w:left w:val="none" w:sz="0" w:space="0" w:color="auto"/>
                <w:bottom w:val="none" w:sz="0" w:space="0" w:color="auto"/>
                <w:right w:val="none" w:sz="0" w:space="0" w:color="auto"/>
              </w:divBdr>
              <w:divsChild>
                <w:div w:id="16781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157">
      <w:bodyDiv w:val="1"/>
      <w:marLeft w:val="0"/>
      <w:marRight w:val="0"/>
      <w:marTop w:val="0"/>
      <w:marBottom w:val="0"/>
      <w:divBdr>
        <w:top w:val="none" w:sz="0" w:space="0" w:color="auto"/>
        <w:left w:val="none" w:sz="0" w:space="0" w:color="auto"/>
        <w:bottom w:val="none" w:sz="0" w:space="0" w:color="auto"/>
        <w:right w:val="none" w:sz="0" w:space="0" w:color="auto"/>
      </w:divBdr>
    </w:div>
    <w:div w:id="386491781">
      <w:bodyDiv w:val="1"/>
      <w:marLeft w:val="0"/>
      <w:marRight w:val="0"/>
      <w:marTop w:val="0"/>
      <w:marBottom w:val="0"/>
      <w:divBdr>
        <w:top w:val="none" w:sz="0" w:space="0" w:color="auto"/>
        <w:left w:val="none" w:sz="0" w:space="0" w:color="auto"/>
        <w:bottom w:val="none" w:sz="0" w:space="0" w:color="auto"/>
        <w:right w:val="none" w:sz="0" w:space="0" w:color="auto"/>
      </w:divBdr>
      <w:divsChild>
        <w:div w:id="1186333730">
          <w:marLeft w:val="0"/>
          <w:marRight w:val="0"/>
          <w:marTop w:val="0"/>
          <w:marBottom w:val="0"/>
          <w:divBdr>
            <w:top w:val="none" w:sz="0" w:space="0" w:color="auto"/>
            <w:left w:val="none" w:sz="0" w:space="0" w:color="auto"/>
            <w:bottom w:val="none" w:sz="0" w:space="0" w:color="auto"/>
            <w:right w:val="none" w:sz="0" w:space="0" w:color="auto"/>
          </w:divBdr>
          <w:divsChild>
            <w:div w:id="460879785">
              <w:marLeft w:val="0"/>
              <w:marRight w:val="0"/>
              <w:marTop w:val="0"/>
              <w:marBottom w:val="0"/>
              <w:divBdr>
                <w:top w:val="none" w:sz="0" w:space="0" w:color="auto"/>
                <w:left w:val="none" w:sz="0" w:space="0" w:color="auto"/>
                <w:bottom w:val="none" w:sz="0" w:space="0" w:color="auto"/>
                <w:right w:val="none" w:sz="0" w:space="0" w:color="auto"/>
              </w:divBdr>
              <w:divsChild>
                <w:div w:id="211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0846193">
      <w:bodyDiv w:val="1"/>
      <w:marLeft w:val="0"/>
      <w:marRight w:val="0"/>
      <w:marTop w:val="0"/>
      <w:marBottom w:val="0"/>
      <w:divBdr>
        <w:top w:val="none" w:sz="0" w:space="0" w:color="auto"/>
        <w:left w:val="none" w:sz="0" w:space="0" w:color="auto"/>
        <w:bottom w:val="none" w:sz="0" w:space="0" w:color="auto"/>
        <w:right w:val="none" w:sz="0" w:space="0" w:color="auto"/>
      </w:divBdr>
      <w:divsChild>
        <w:div w:id="1310289295">
          <w:marLeft w:val="0"/>
          <w:marRight w:val="0"/>
          <w:marTop w:val="0"/>
          <w:marBottom w:val="0"/>
          <w:divBdr>
            <w:top w:val="none" w:sz="0" w:space="0" w:color="auto"/>
            <w:left w:val="none" w:sz="0" w:space="0" w:color="auto"/>
            <w:bottom w:val="none" w:sz="0" w:space="0" w:color="auto"/>
            <w:right w:val="none" w:sz="0" w:space="0" w:color="auto"/>
          </w:divBdr>
          <w:divsChild>
            <w:div w:id="1110010836">
              <w:marLeft w:val="0"/>
              <w:marRight w:val="0"/>
              <w:marTop w:val="0"/>
              <w:marBottom w:val="0"/>
              <w:divBdr>
                <w:top w:val="none" w:sz="0" w:space="0" w:color="auto"/>
                <w:left w:val="none" w:sz="0" w:space="0" w:color="auto"/>
                <w:bottom w:val="none" w:sz="0" w:space="0" w:color="auto"/>
                <w:right w:val="none" w:sz="0" w:space="0" w:color="auto"/>
              </w:divBdr>
              <w:divsChild>
                <w:div w:id="18987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10845">
      <w:bodyDiv w:val="1"/>
      <w:marLeft w:val="0"/>
      <w:marRight w:val="0"/>
      <w:marTop w:val="0"/>
      <w:marBottom w:val="0"/>
      <w:divBdr>
        <w:top w:val="none" w:sz="0" w:space="0" w:color="auto"/>
        <w:left w:val="none" w:sz="0" w:space="0" w:color="auto"/>
        <w:bottom w:val="none" w:sz="0" w:space="0" w:color="auto"/>
        <w:right w:val="none" w:sz="0" w:space="0" w:color="auto"/>
      </w:divBdr>
      <w:divsChild>
        <w:div w:id="1907261213">
          <w:marLeft w:val="0"/>
          <w:marRight w:val="0"/>
          <w:marTop w:val="0"/>
          <w:marBottom w:val="0"/>
          <w:divBdr>
            <w:top w:val="none" w:sz="0" w:space="0" w:color="auto"/>
            <w:left w:val="none" w:sz="0" w:space="0" w:color="auto"/>
            <w:bottom w:val="none" w:sz="0" w:space="0" w:color="auto"/>
            <w:right w:val="none" w:sz="0" w:space="0" w:color="auto"/>
          </w:divBdr>
          <w:divsChild>
            <w:div w:id="881137742">
              <w:marLeft w:val="0"/>
              <w:marRight w:val="0"/>
              <w:marTop w:val="0"/>
              <w:marBottom w:val="0"/>
              <w:divBdr>
                <w:top w:val="none" w:sz="0" w:space="0" w:color="auto"/>
                <w:left w:val="none" w:sz="0" w:space="0" w:color="auto"/>
                <w:bottom w:val="none" w:sz="0" w:space="0" w:color="auto"/>
                <w:right w:val="none" w:sz="0" w:space="0" w:color="auto"/>
              </w:divBdr>
              <w:divsChild>
                <w:div w:id="704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9877307">
      <w:bodyDiv w:val="1"/>
      <w:marLeft w:val="0"/>
      <w:marRight w:val="0"/>
      <w:marTop w:val="0"/>
      <w:marBottom w:val="0"/>
      <w:divBdr>
        <w:top w:val="none" w:sz="0" w:space="0" w:color="auto"/>
        <w:left w:val="none" w:sz="0" w:space="0" w:color="auto"/>
        <w:bottom w:val="none" w:sz="0" w:space="0" w:color="auto"/>
        <w:right w:val="none" w:sz="0" w:space="0" w:color="auto"/>
      </w:divBdr>
      <w:divsChild>
        <w:div w:id="1383560992">
          <w:marLeft w:val="0"/>
          <w:marRight w:val="0"/>
          <w:marTop w:val="0"/>
          <w:marBottom w:val="0"/>
          <w:divBdr>
            <w:top w:val="none" w:sz="0" w:space="0" w:color="auto"/>
            <w:left w:val="none" w:sz="0" w:space="0" w:color="auto"/>
            <w:bottom w:val="none" w:sz="0" w:space="0" w:color="auto"/>
            <w:right w:val="none" w:sz="0" w:space="0" w:color="auto"/>
          </w:divBdr>
          <w:divsChild>
            <w:div w:id="899829074">
              <w:marLeft w:val="0"/>
              <w:marRight w:val="0"/>
              <w:marTop w:val="0"/>
              <w:marBottom w:val="0"/>
              <w:divBdr>
                <w:top w:val="none" w:sz="0" w:space="0" w:color="auto"/>
                <w:left w:val="none" w:sz="0" w:space="0" w:color="auto"/>
                <w:bottom w:val="none" w:sz="0" w:space="0" w:color="auto"/>
                <w:right w:val="none" w:sz="0" w:space="0" w:color="auto"/>
              </w:divBdr>
              <w:divsChild>
                <w:div w:id="5887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0732">
      <w:bodyDiv w:val="1"/>
      <w:marLeft w:val="0"/>
      <w:marRight w:val="0"/>
      <w:marTop w:val="0"/>
      <w:marBottom w:val="0"/>
      <w:divBdr>
        <w:top w:val="none" w:sz="0" w:space="0" w:color="auto"/>
        <w:left w:val="none" w:sz="0" w:space="0" w:color="auto"/>
        <w:bottom w:val="none" w:sz="0" w:space="0" w:color="auto"/>
        <w:right w:val="none" w:sz="0" w:space="0" w:color="auto"/>
      </w:divBdr>
      <w:divsChild>
        <w:div w:id="986133849">
          <w:marLeft w:val="0"/>
          <w:marRight w:val="0"/>
          <w:marTop w:val="0"/>
          <w:marBottom w:val="0"/>
          <w:divBdr>
            <w:top w:val="none" w:sz="0" w:space="0" w:color="auto"/>
            <w:left w:val="none" w:sz="0" w:space="0" w:color="auto"/>
            <w:bottom w:val="none" w:sz="0" w:space="0" w:color="auto"/>
            <w:right w:val="none" w:sz="0" w:space="0" w:color="auto"/>
          </w:divBdr>
          <w:divsChild>
            <w:div w:id="724959327">
              <w:marLeft w:val="0"/>
              <w:marRight w:val="0"/>
              <w:marTop w:val="0"/>
              <w:marBottom w:val="0"/>
              <w:divBdr>
                <w:top w:val="none" w:sz="0" w:space="0" w:color="auto"/>
                <w:left w:val="none" w:sz="0" w:space="0" w:color="auto"/>
                <w:bottom w:val="none" w:sz="0" w:space="0" w:color="auto"/>
                <w:right w:val="none" w:sz="0" w:space="0" w:color="auto"/>
              </w:divBdr>
              <w:divsChild>
                <w:div w:id="6454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506">
      <w:bodyDiv w:val="1"/>
      <w:marLeft w:val="0"/>
      <w:marRight w:val="0"/>
      <w:marTop w:val="0"/>
      <w:marBottom w:val="0"/>
      <w:divBdr>
        <w:top w:val="none" w:sz="0" w:space="0" w:color="auto"/>
        <w:left w:val="none" w:sz="0" w:space="0" w:color="auto"/>
        <w:bottom w:val="none" w:sz="0" w:space="0" w:color="auto"/>
        <w:right w:val="none" w:sz="0" w:space="0" w:color="auto"/>
      </w:divBdr>
      <w:divsChild>
        <w:div w:id="1504006498">
          <w:marLeft w:val="0"/>
          <w:marRight w:val="0"/>
          <w:marTop w:val="0"/>
          <w:marBottom w:val="0"/>
          <w:divBdr>
            <w:top w:val="none" w:sz="0" w:space="0" w:color="auto"/>
            <w:left w:val="none" w:sz="0" w:space="0" w:color="auto"/>
            <w:bottom w:val="none" w:sz="0" w:space="0" w:color="auto"/>
            <w:right w:val="none" w:sz="0" w:space="0" w:color="auto"/>
          </w:divBdr>
          <w:divsChild>
            <w:div w:id="1845247273">
              <w:marLeft w:val="0"/>
              <w:marRight w:val="0"/>
              <w:marTop w:val="0"/>
              <w:marBottom w:val="0"/>
              <w:divBdr>
                <w:top w:val="none" w:sz="0" w:space="0" w:color="auto"/>
                <w:left w:val="none" w:sz="0" w:space="0" w:color="auto"/>
                <w:bottom w:val="none" w:sz="0" w:space="0" w:color="auto"/>
                <w:right w:val="none" w:sz="0" w:space="0" w:color="auto"/>
              </w:divBdr>
              <w:divsChild>
                <w:div w:id="150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7915">
      <w:bodyDiv w:val="1"/>
      <w:marLeft w:val="0"/>
      <w:marRight w:val="0"/>
      <w:marTop w:val="0"/>
      <w:marBottom w:val="0"/>
      <w:divBdr>
        <w:top w:val="none" w:sz="0" w:space="0" w:color="auto"/>
        <w:left w:val="none" w:sz="0" w:space="0" w:color="auto"/>
        <w:bottom w:val="none" w:sz="0" w:space="0" w:color="auto"/>
        <w:right w:val="none" w:sz="0" w:space="0" w:color="auto"/>
      </w:divBdr>
      <w:divsChild>
        <w:div w:id="55706696">
          <w:marLeft w:val="0"/>
          <w:marRight w:val="0"/>
          <w:marTop w:val="0"/>
          <w:marBottom w:val="0"/>
          <w:divBdr>
            <w:top w:val="none" w:sz="0" w:space="0" w:color="auto"/>
            <w:left w:val="none" w:sz="0" w:space="0" w:color="auto"/>
            <w:bottom w:val="none" w:sz="0" w:space="0" w:color="auto"/>
            <w:right w:val="none" w:sz="0" w:space="0" w:color="auto"/>
          </w:divBdr>
          <w:divsChild>
            <w:div w:id="1446996746">
              <w:marLeft w:val="0"/>
              <w:marRight w:val="0"/>
              <w:marTop w:val="0"/>
              <w:marBottom w:val="0"/>
              <w:divBdr>
                <w:top w:val="none" w:sz="0" w:space="0" w:color="auto"/>
                <w:left w:val="none" w:sz="0" w:space="0" w:color="auto"/>
                <w:bottom w:val="none" w:sz="0" w:space="0" w:color="auto"/>
                <w:right w:val="none" w:sz="0" w:space="0" w:color="auto"/>
              </w:divBdr>
              <w:divsChild>
                <w:div w:id="17203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2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342">
          <w:marLeft w:val="0"/>
          <w:marRight w:val="0"/>
          <w:marTop w:val="0"/>
          <w:marBottom w:val="0"/>
          <w:divBdr>
            <w:top w:val="none" w:sz="0" w:space="0" w:color="auto"/>
            <w:left w:val="none" w:sz="0" w:space="0" w:color="auto"/>
            <w:bottom w:val="none" w:sz="0" w:space="0" w:color="auto"/>
            <w:right w:val="none" w:sz="0" w:space="0" w:color="auto"/>
          </w:divBdr>
          <w:divsChild>
            <w:div w:id="1729379701">
              <w:marLeft w:val="0"/>
              <w:marRight w:val="0"/>
              <w:marTop w:val="0"/>
              <w:marBottom w:val="0"/>
              <w:divBdr>
                <w:top w:val="none" w:sz="0" w:space="0" w:color="auto"/>
                <w:left w:val="none" w:sz="0" w:space="0" w:color="auto"/>
                <w:bottom w:val="none" w:sz="0" w:space="0" w:color="auto"/>
                <w:right w:val="none" w:sz="0" w:space="0" w:color="auto"/>
              </w:divBdr>
              <w:divsChild>
                <w:div w:id="322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2182">
      <w:bodyDiv w:val="1"/>
      <w:marLeft w:val="0"/>
      <w:marRight w:val="0"/>
      <w:marTop w:val="0"/>
      <w:marBottom w:val="0"/>
      <w:divBdr>
        <w:top w:val="none" w:sz="0" w:space="0" w:color="auto"/>
        <w:left w:val="none" w:sz="0" w:space="0" w:color="auto"/>
        <w:bottom w:val="none" w:sz="0" w:space="0" w:color="auto"/>
        <w:right w:val="none" w:sz="0" w:space="0" w:color="auto"/>
      </w:divBdr>
      <w:divsChild>
        <w:div w:id="199636854">
          <w:marLeft w:val="0"/>
          <w:marRight w:val="0"/>
          <w:marTop w:val="0"/>
          <w:marBottom w:val="0"/>
          <w:divBdr>
            <w:top w:val="none" w:sz="0" w:space="0" w:color="auto"/>
            <w:left w:val="none" w:sz="0" w:space="0" w:color="auto"/>
            <w:bottom w:val="none" w:sz="0" w:space="0" w:color="auto"/>
            <w:right w:val="none" w:sz="0" w:space="0" w:color="auto"/>
          </w:divBdr>
          <w:divsChild>
            <w:div w:id="523128691">
              <w:marLeft w:val="0"/>
              <w:marRight w:val="0"/>
              <w:marTop w:val="0"/>
              <w:marBottom w:val="0"/>
              <w:divBdr>
                <w:top w:val="none" w:sz="0" w:space="0" w:color="auto"/>
                <w:left w:val="none" w:sz="0" w:space="0" w:color="auto"/>
                <w:bottom w:val="none" w:sz="0" w:space="0" w:color="auto"/>
                <w:right w:val="none" w:sz="0" w:space="0" w:color="auto"/>
              </w:divBdr>
              <w:divsChild>
                <w:div w:id="4827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6637">
      <w:bodyDiv w:val="1"/>
      <w:marLeft w:val="0"/>
      <w:marRight w:val="0"/>
      <w:marTop w:val="0"/>
      <w:marBottom w:val="0"/>
      <w:divBdr>
        <w:top w:val="none" w:sz="0" w:space="0" w:color="auto"/>
        <w:left w:val="none" w:sz="0" w:space="0" w:color="auto"/>
        <w:bottom w:val="none" w:sz="0" w:space="0" w:color="auto"/>
        <w:right w:val="none" w:sz="0" w:space="0" w:color="auto"/>
      </w:divBdr>
      <w:divsChild>
        <w:div w:id="1614366006">
          <w:marLeft w:val="0"/>
          <w:marRight w:val="0"/>
          <w:marTop w:val="0"/>
          <w:marBottom w:val="0"/>
          <w:divBdr>
            <w:top w:val="none" w:sz="0" w:space="0" w:color="auto"/>
            <w:left w:val="none" w:sz="0" w:space="0" w:color="auto"/>
            <w:bottom w:val="none" w:sz="0" w:space="0" w:color="auto"/>
            <w:right w:val="none" w:sz="0" w:space="0" w:color="auto"/>
          </w:divBdr>
          <w:divsChild>
            <w:div w:id="1093862710">
              <w:marLeft w:val="0"/>
              <w:marRight w:val="0"/>
              <w:marTop w:val="0"/>
              <w:marBottom w:val="0"/>
              <w:divBdr>
                <w:top w:val="none" w:sz="0" w:space="0" w:color="auto"/>
                <w:left w:val="none" w:sz="0" w:space="0" w:color="auto"/>
                <w:bottom w:val="none" w:sz="0" w:space="0" w:color="auto"/>
                <w:right w:val="none" w:sz="0" w:space="0" w:color="auto"/>
              </w:divBdr>
              <w:divsChild>
                <w:div w:id="1095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1763">
      <w:bodyDiv w:val="1"/>
      <w:marLeft w:val="0"/>
      <w:marRight w:val="0"/>
      <w:marTop w:val="0"/>
      <w:marBottom w:val="0"/>
      <w:divBdr>
        <w:top w:val="none" w:sz="0" w:space="0" w:color="auto"/>
        <w:left w:val="none" w:sz="0" w:space="0" w:color="auto"/>
        <w:bottom w:val="none" w:sz="0" w:space="0" w:color="auto"/>
        <w:right w:val="none" w:sz="0" w:space="0" w:color="auto"/>
      </w:divBdr>
    </w:div>
    <w:div w:id="1473205803">
      <w:bodyDiv w:val="1"/>
      <w:marLeft w:val="0"/>
      <w:marRight w:val="0"/>
      <w:marTop w:val="0"/>
      <w:marBottom w:val="0"/>
      <w:divBdr>
        <w:top w:val="none" w:sz="0" w:space="0" w:color="auto"/>
        <w:left w:val="none" w:sz="0" w:space="0" w:color="auto"/>
        <w:bottom w:val="none" w:sz="0" w:space="0" w:color="auto"/>
        <w:right w:val="none" w:sz="0" w:space="0" w:color="auto"/>
      </w:divBdr>
      <w:divsChild>
        <w:div w:id="2018116220">
          <w:marLeft w:val="0"/>
          <w:marRight w:val="0"/>
          <w:marTop w:val="0"/>
          <w:marBottom w:val="0"/>
          <w:divBdr>
            <w:top w:val="none" w:sz="0" w:space="0" w:color="auto"/>
            <w:left w:val="none" w:sz="0" w:space="0" w:color="auto"/>
            <w:bottom w:val="none" w:sz="0" w:space="0" w:color="auto"/>
            <w:right w:val="none" w:sz="0" w:space="0" w:color="auto"/>
          </w:divBdr>
          <w:divsChild>
            <w:div w:id="2071687489">
              <w:marLeft w:val="0"/>
              <w:marRight w:val="0"/>
              <w:marTop w:val="0"/>
              <w:marBottom w:val="0"/>
              <w:divBdr>
                <w:top w:val="none" w:sz="0" w:space="0" w:color="auto"/>
                <w:left w:val="none" w:sz="0" w:space="0" w:color="auto"/>
                <w:bottom w:val="none" w:sz="0" w:space="0" w:color="auto"/>
                <w:right w:val="none" w:sz="0" w:space="0" w:color="auto"/>
              </w:divBdr>
              <w:divsChild>
                <w:div w:id="12382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0783">
      <w:bodyDiv w:val="1"/>
      <w:marLeft w:val="0"/>
      <w:marRight w:val="0"/>
      <w:marTop w:val="0"/>
      <w:marBottom w:val="0"/>
      <w:divBdr>
        <w:top w:val="none" w:sz="0" w:space="0" w:color="auto"/>
        <w:left w:val="none" w:sz="0" w:space="0" w:color="auto"/>
        <w:bottom w:val="none" w:sz="0" w:space="0" w:color="auto"/>
        <w:right w:val="none" w:sz="0" w:space="0" w:color="auto"/>
      </w:divBdr>
      <w:divsChild>
        <w:div w:id="339308754">
          <w:marLeft w:val="0"/>
          <w:marRight w:val="0"/>
          <w:marTop w:val="0"/>
          <w:marBottom w:val="0"/>
          <w:divBdr>
            <w:top w:val="none" w:sz="0" w:space="0" w:color="auto"/>
            <w:left w:val="none" w:sz="0" w:space="0" w:color="auto"/>
            <w:bottom w:val="none" w:sz="0" w:space="0" w:color="auto"/>
            <w:right w:val="none" w:sz="0" w:space="0" w:color="auto"/>
          </w:divBdr>
          <w:divsChild>
            <w:div w:id="2038192622">
              <w:marLeft w:val="0"/>
              <w:marRight w:val="0"/>
              <w:marTop w:val="0"/>
              <w:marBottom w:val="0"/>
              <w:divBdr>
                <w:top w:val="none" w:sz="0" w:space="0" w:color="auto"/>
                <w:left w:val="none" w:sz="0" w:space="0" w:color="auto"/>
                <w:bottom w:val="none" w:sz="0" w:space="0" w:color="auto"/>
                <w:right w:val="none" w:sz="0" w:space="0" w:color="auto"/>
              </w:divBdr>
              <w:divsChild>
                <w:div w:id="1522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297">
      <w:bodyDiv w:val="1"/>
      <w:marLeft w:val="0"/>
      <w:marRight w:val="0"/>
      <w:marTop w:val="0"/>
      <w:marBottom w:val="0"/>
      <w:divBdr>
        <w:top w:val="none" w:sz="0" w:space="0" w:color="auto"/>
        <w:left w:val="none" w:sz="0" w:space="0" w:color="auto"/>
        <w:bottom w:val="none" w:sz="0" w:space="0" w:color="auto"/>
        <w:right w:val="none" w:sz="0" w:space="0" w:color="auto"/>
      </w:divBdr>
      <w:divsChild>
        <w:div w:id="1925993830">
          <w:marLeft w:val="0"/>
          <w:marRight w:val="0"/>
          <w:marTop w:val="0"/>
          <w:marBottom w:val="0"/>
          <w:divBdr>
            <w:top w:val="none" w:sz="0" w:space="0" w:color="auto"/>
            <w:left w:val="none" w:sz="0" w:space="0" w:color="auto"/>
            <w:bottom w:val="none" w:sz="0" w:space="0" w:color="auto"/>
            <w:right w:val="none" w:sz="0" w:space="0" w:color="auto"/>
          </w:divBdr>
        </w:div>
      </w:divsChild>
    </w:div>
    <w:div w:id="1603875347">
      <w:bodyDiv w:val="1"/>
      <w:marLeft w:val="0"/>
      <w:marRight w:val="0"/>
      <w:marTop w:val="0"/>
      <w:marBottom w:val="0"/>
      <w:divBdr>
        <w:top w:val="none" w:sz="0" w:space="0" w:color="auto"/>
        <w:left w:val="none" w:sz="0" w:space="0" w:color="auto"/>
        <w:bottom w:val="none" w:sz="0" w:space="0" w:color="auto"/>
        <w:right w:val="none" w:sz="0" w:space="0" w:color="auto"/>
      </w:divBdr>
      <w:divsChild>
        <w:div w:id="1437403686">
          <w:marLeft w:val="0"/>
          <w:marRight w:val="0"/>
          <w:marTop w:val="0"/>
          <w:marBottom w:val="0"/>
          <w:divBdr>
            <w:top w:val="none" w:sz="0" w:space="0" w:color="auto"/>
            <w:left w:val="none" w:sz="0" w:space="0" w:color="auto"/>
            <w:bottom w:val="none" w:sz="0" w:space="0" w:color="auto"/>
            <w:right w:val="none" w:sz="0" w:space="0" w:color="auto"/>
          </w:divBdr>
          <w:divsChild>
            <w:div w:id="867721855">
              <w:marLeft w:val="0"/>
              <w:marRight w:val="0"/>
              <w:marTop w:val="0"/>
              <w:marBottom w:val="0"/>
              <w:divBdr>
                <w:top w:val="none" w:sz="0" w:space="0" w:color="auto"/>
                <w:left w:val="none" w:sz="0" w:space="0" w:color="auto"/>
                <w:bottom w:val="none" w:sz="0" w:space="0" w:color="auto"/>
                <w:right w:val="none" w:sz="0" w:space="0" w:color="auto"/>
              </w:divBdr>
              <w:divsChild>
                <w:div w:id="20018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860">
      <w:bodyDiv w:val="1"/>
      <w:marLeft w:val="0"/>
      <w:marRight w:val="0"/>
      <w:marTop w:val="0"/>
      <w:marBottom w:val="0"/>
      <w:divBdr>
        <w:top w:val="none" w:sz="0" w:space="0" w:color="auto"/>
        <w:left w:val="none" w:sz="0" w:space="0" w:color="auto"/>
        <w:bottom w:val="none" w:sz="0" w:space="0" w:color="auto"/>
        <w:right w:val="none" w:sz="0" w:space="0" w:color="auto"/>
      </w:divBdr>
      <w:divsChild>
        <w:div w:id="952058197">
          <w:marLeft w:val="0"/>
          <w:marRight w:val="0"/>
          <w:marTop w:val="0"/>
          <w:marBottom w:val="0"/>
          <w:divBdr>
            <w:top w:val="none" w:sz="0" w:space="0" w:color="auto"/>
            <w:left w:val="none" w:sz="0" w:space="0" w:color="auto"/>
            <w:bottom w:val="none" w:sz="0" w:space="0" w:color="auto"/>
            <w:right w:val="none" w:sz="0" w:space="0" w:color="auto"/>
          </w:divBdr>
          <w:divsChild>
            <w:div w:id="2124030429">
              <w:marLeft w:val="0"/>
              <w:marRight w:val="0"/>
              <w:marTop w:val="0"/>
              <w:marBottom w:val="0"/>
              <w:divBdr>
                <w:top w:val="none" w:sz="0" w:space="0" w:color="auto"/>
                <w:left w:val="none" w:sz="0" w:space="0" w:color="auto"/>
                <w:bottom w:val="none" w:sz="0" w:space="0" w:color="auto"/>
                <w:right w:val="none" w:sz="0" w:space="0" w:color="auto"/>
              </w:divBdr>
              <w:divsChild>
                <w:div w:id="1575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7993">
      <w:bodyDiv w:val="1"/>
      <w:marLeft w:val="0"/>
      <w:marRight w:val="0"/>
      <w:marTop w:val="0"/>
      <w:marBottom w:val="0"/>
      <w:divBdr>
        <w:top w:val="none" w:sz="0" w:space="0" w:color="auto"/>
        <w:left w:val="none" w:sz="0" w:space="0" w:color="auto"/>
        <w:bottom w:val="none" w:sz="0" w:space="0" w:color="auto"/>
        <w:right w:val="none" w:sz="0" w:space="0" w:color="auto"/>
      </w:divBdr>
    </w:div>
    <w:div w:id="1726489413">
      <w:bodyDiv w:val="1"/>
      <w:marLeft w:val="0"/>
      <w:marRight w:val="0"/>
      <w:marTop w:val="0"/>
      <w:marBottom w:val="0"/>
      <w:divBdr>
        <w:top w:val="none" w:sz="0" w:space="0" w:color="auto"/>
        <w:left w:val="none" w:sz="0" w:space="0" w:color="auto"/>
        <w:bottom w:val="none" w:sz="0" w:space="0" w:color="auto"/>
        <w:right w:val="none" w:sz="0" w:space="0" w:color="auto"/>
      </w:divBdr>
      <w:divsChild>
        <w:div w:id="1576745687">
          <w:marLeft w:val="0"/>
          <w:marRight w:val="0"/>
          <w:marTop w:val="0"/>
          <w:marBottom w:val="0"/>
          <w:divBdr>
            <w:top w:val="none" w:sz="0" w:space="0" w:color="auto"/>
            <w:left w:val="none" w:sz="0" w:space="0" w:color="auto"/>
            <w:bottom w:val="none" w:sz="0" w:space="0" w:color="auto"/>
            <w:right w:val="none" w:sz="0" w:space="0" w:color="auto"/>
          </w:divBdr>
          <w:divsChild>
            <w:div w:id="558781922">
              <w:marLeft w:val="0"/>
              <w:marRight w:val="0"/>
              <w:marTop w:val="0"/>
              <w:marBottom w:val="0"/>
              <w:divBdr>
                <w:top w:val="none" w:sz="0" w:space="0" w:color="auto"/>
                <w:left w:val="none" w:sz="0" w:space="0" w:color="auto"/>
                <w:bottom w:val="none" w:sz="0" w:space="0" w:color="auto"/>
                <w:right w:val="none" w:sz="0" w:space="0" w:color="auto"/>
              </w:divBdr>
              <w:divsChild>
                <w:div w:id="6736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7962">
      <w:bodyDiv w:val="1"/>
      <w:marLeft w:val="0"/>
      <w:marRight w:val="0"/>
      <w:marTop w:val="0"/>
      <w:marBottom w:val="0"/>
      <w:divBdr>
        <w:top w:val="none" w:sz="0" w:space="0" w:color="auto"/>
        <w:left w:val="none" w:sz="0" w:space="0" w:color="auto"/>
        <w:bottom w:val="none" w:sz="0" w:space="0" w:color="auto"/>
        <w:right w:val="none" w:sz="0" w:space="0" w:color="auto"/>
      </w:divBdr>
      <w:divsChild>
        <w:div w:id="1128816803">
          <w:marLeft w:val="0"/>
          <w:marRight w:val="0"/>
          <w:marTop w:val="0"/>
          <w:marBottom w:val="0"/>
          <w:divBdr>
            <w:top w:val="none" w:sz="0" w:space="0" w:color="auto"/>
            <w:left w:val="none" w:sz="0" w:space="0" w:color="auto"/>
            <w:bottom w:val="none" w:sz="0" w:space="0" w:color="auto"/>
            <w:right w:val="none" w:sz="0" w:space="0" w:color="auto"/>
          </w:divBdr>
          <w:divsChild>
            <w:div w:id="481436049">
              <w:marLeft w:val="0"/>
              <w:marRight w:val="0"/>
              <w:marTop w:val="0"/>
              <w:marBottom w:val="0"/>
              <w:divBdr>
                <w:top w:val="none" w:sz="0" w:space="0" w:color="auto"/>
                <w:left w:val="none" w:sz="0" w:space="0" w:color="auto"/>
                <w:bottom w:val="none" w:sz="0" w:space="0" w:color="auto"/>
                <w:right w:val="none" w:sz="0" w:space="0" w:color="auto"/>
              </w:divBdr>
              <w:divsChild>
                <w:div w:id="11685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3848">
      <w:bodyDiv w:val="1"/>
      <w:marLeft w:val="0"/>
      <w:marRight w:val="0"/>
      <w:marTop w:val="0"/>
      <w:marBottom w:val="0"/>
      <w:divBdr>
        <w:top w:val="none" w:sz="0" w:space="0" w:color="auto"/>
        <w:left w:val="none" w:sz="0" w:space="0" w:color="auto"/>
        <w:bottom w:val="none" w:sz="0" w:space="0" w:color="auto"/>
        <w:right w:val="none" w:sz="0" w:space="0" w:color="auto"/>
      </w:divBdr>
      <w:divsChild>
        <w:div w:id="560219277">
          <w:marLeft w:val="0"/>
          <w:marRight w:val="0"/>
          <w:marTop w:val="0"/>
          <w:marBottom w:val="0"/>
          <w:divBdr>
            <w:top w:val="none" w:sz="0" w:space="0" w:color="auto"/>
            <w:left w:val="none" w:sz="0" w:space="0" w:color="auto"/>
            <w:bottom w:val="none" w:sz="0" w:space="0" w:color="auto"/>
            <w:right w:val="none" w:sz="0" w:space="0" w:color="auto"/>
          </w:divBdr>
          <w:divsChild>
            <w:div w:id="132329730">
              <w:marLeft w:val="0"/>
              <w:marRight w:val="0"/>
              <w:marTop w:val="0"/>
              <w:marBottom w:val="0"/>
              <w:divBdr>
                <w:top w:val="none" w:sz="0" w:space="0" w:color="auto"/>
                <w:left w:val="none" w:sz="0" w:space="0" w:color="auto"/>
                <w:bottom w:val="none" w:sz="0" w:space="0" w:color="auto"/>
                <w:right w:val="none" w:sz="0" w:space="0" w:color="auto"/>
              </w:divBdr>
              <w:divsChild>
                <w:div w:id="8743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5464565">
      <w:bodyDiv w:val="1"/>
      <w:marLeft w:val="0"/>
      <w:marRight w:val="0"/>
      <w:marTop w:val="0"/>
      <w:marBottom w:val="0"/>
      <w:divBdr>
        <w:top w:val="none" w:sz="0" w:space="0" w:color="auto"/>
        <w:left w:val="none" w:sz="0" w:space="0" w:color="auto"/>
        <w:bottom w:val="none" w:sz="0" w:space="0" w:color="auto"/>
        <w:right w:val="none" w:sz="0" w:space="0" w:color="auto"/>
      </w:divBdr>
      <w:divsChild>
        <w:div w:id="560290719">
          <w:marLeft w:val="0"/>
          <w:marRight w:val="0"/>
          <w:marTop w:val="0"/>
          <w:marBottom w:val="0"/>
          <w:divBdr>
            <w:top w:val="none" w:sz="0" w:space="0" w:color="auto"/>
            <w:left w:val="none" w:sz="0" w:space="0" w:color="auto"/>
            <w:bottom w:val="none" w:sz="0" w:space="0" w:color="auto"/>
            <w:right w:val="none" w:sz="0" w:space="0" w:color="auto"/>
          </w:divBdr>
          <w:divsChild>
            <w:div w:id="1608587450">
              <w:marLeft w:val="0"/>
              <w:marRight w:val="0"/>
              <w:marTop w:val="0"/>
              <w:marBottom w:val="0"/>
              <w:divBdr>
                <w:top w:val="none" w:sz="0" w:space="0" w:color="auto"/>
                <w:left w:val="none" w:sz="0" w:space="0" w:color="auto"/>
                <w:bottom w:val="none" w:sz="0" w:space="0" w:color="auto"/>
                <w:right w:val="none" w:sz="0" w:space="0" w:color="auto"/>
              </w:divBdr>
              <w:divsChild>
                <w:div w:id="2137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22EF-10D0-5A48-A1EE-D5069039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12</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iswari@adamprimus.com</cp:lastModifiedBy>
  <cp:revision>37</cp:revision>
  <cp:lastPrinted>2019-08-27T05:42:00Z</cp:lastPrinted>
  <dcterms:created xsi:type="dcterms:W3CDTF">2021-08-17T11:41:00Z</dcterms:created>
  <dcterms:modified xsi:type="dcterms:W3CDTF">2022-03-01T08:27:00Z</dcterms:modified>
</cp:coreProperties>
</file>