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013A09">
      <w:pPr>
        <w:pStyle w:val="ListParagraph"/>
        <w:numPr>
          <w:ilvl w:val="0"/>
          <w:numId w:val="1"/>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w</w:t>
      </w:r>
      <w:r w:rsidR="00C91062" w:rsidRPr="00FF5098">
        <w:rPr>
          <w:rFonts w:ascii="Arial" w:hAnsi="Arial" w:cs="Arial"/>
          <w:sz w:val="22"/>
          <w:szCs w:val="22"/>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1764CD4A"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1244114" w14:textId="77777777" w:rsidR="000334C9" w:rsidRPr="000334C9" w:rsidRDefault="000334C9" w:rsidP="000334C9">
      <w:pPr>
        <w:ind w:left="66"/>
        <w:jc w:val="both"/>
        <w:rPr>
          <w:rFonts w:ascii="Arial" w:hAnsi="Arial" w:cs="Arial"/>
          <w:sz w:val="22"/>
          <w:szCs w:val="22"/>
          <w:lang w:val="en-GB"/>
        </w:rPr>
      </w:pPr>
    </w:p>
    <w:p w14:paraId="24FB903C" w14:textId="36E1460A" w:rsidR="000334C9" w:rsidRDefault="000334C9"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p>
    <w:p w14:paraId="063A04BF" w14:textId="77777777" w:rsidR="00763348" w:rsidRPr="00763348" w:rsidRDefault="00763348" w:rsidP="000334C9">
      <w:pPr>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2EA5697C" w:rsidR="00867701" w:rsidRPr="00F9708B" w:rsidRDefault="00E443D7" w:rsidP="00B04033">
      <w:pPr>
        <w:pStyle w:val="ListParagraph"/>
        <w:numPr>
          <w:ilvl w:val="0"/>
          <w:numId w:val="2"/>
        </w:numPr>
        <w:ind w:left="426"/>
        <w:jc w:val="both"/>
        <w:rPr>
          <w:rFonts w:ascii="Arial" w:hAnsi="Arial" w:cs="Arial"/>
          <w:sz w:val="22"/>
          <w:szCs w:val="22"/>
          <w:highlight w:val="yellow"/>
          <w:lang w:val="en-GB"/>
        </w:rPr>
      </w:pPr>
      <w:r w:rsidRPr="00F9708B">
        <w:rPr>
          <w:rFonts w:ascii="Arial" w:hAnsi="Arial" w:cs="Arial"/>
          <w:sz w:val="22"/>
          <w:szCs w:val="22"/>
          <w:highlight w:val="yellow"/>
          <w:lang w:val="en-GB"/>
        </w:rPr>
        <w:t>One year</w:t>
      </w:r>
      <w:r w:rsidR="00763348" w:rsidRPr="00F9708B">
        <w:rPr>
          <w:rFonts w:ascii="Arial" w:hAnsi="Arial" w:cs="Arial"/>
          <w:sz w:val="22"/>
          <w:szCs w:val="22"/>
          <w:highlight w:val="yellow"/>
          <w:lang w:val="en-GB"/>
        </w:rPr>
        <w:t>.</w:t>
      </w:r>
      <w:r w:rsidR="00F9708B">
        <w:rPr>
          <w:rFonts w:ascii="Arial" w:hAnsi="Arial" w:cs="Arial"/>
          <w:sz w:val="22"/>
          <w:szCs w:val="22"/>
          <w:highlight w:val="yellow"/>
          <w:lang w:val="en-GB"/>
        </w:rPr>
        <w:t xml:space="preserve"> </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013A09">
      <w:pPr>
        <w:pStyle w:val="ListParagraph"/>
        <w:numPr>
          <w:ilvl w:val="0"/>
          <w:numId w:val="3"/>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T</w:t>
      </w:r>
      <w:r w:rsidR="008D1616" w:rsidRPr="00FF5098">
        <w:rPr>
          <w:rFonts w:ascii="Arial" w:hAnsi="Arial" w:cs="Arial"/>
          <w:sz w:val="22"/>
          <w:szCs w:val="22"/>
          <w:lang w:val="en-GB"/>
        </w:rPr>
        <w:t>he company is, or is likely to become, unable to pay their debts, as defined under s</w:t>
      </w:r>
      <w:r w:rsidR="00E833F4" w:rsidRPr="00FF5098">
        <w:rPr>
          <w:rFonts w:ascii="Arial" w:hAnsi="Arial" w:cs="Arial"/>
          <w:sz w:val="22"/>
          <w:szCs w:val="22"/>
          <w:lang w:val="en-GB"/>
        </w:rPr>
        <w:t>ection</w:t>
      </w:r>
      <w:r w:rsidR="008D1616" w:rsidRPr="00FF5098">
        <w:rPr>
          <w:rFonts w:ascii="Arial" w:hAnsi="Arial" w:cs="Arial"/>
          <w:sz w:val="22"/>
          <w:szCs w:val="22"/>
          <w:lang w:val="en-GB"/>
        </w:rPr>
        <w:t xml:space="preserve"> 123 of the Insolvency Act 1986</w:t>
      </w:r>
      <w:r w:rsidR="00763348" w:rsidRPr="00FF509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1ACC81E8"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r w:rsidR="00A3137A" w:rsidRPr="00A3137A">
        <w:rPr>
          <w:rFonts w:ascii="Arial" w:hAnsi="Arial" w:cs="Arial"/>
          <w:sz w:val="22"/>
          <w:szCs w:val="22"/>
          <w:shd w:val="clear" w:color="auto" w:fill="FFFF00"/>
          <w:lang w:val="en-GB"/>
        </w:rPr>
        <w:t xml:space="preserve"> </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32A05C2D" w:rsidR="00867701" w:rsidRPr="00F9708B" w:rsidRDefault="00C91062" w:rsidP="00B04033">
      <w:pPr>
        <w:pStyle w:val="ListParagraph"/>
        <w:numPr>
          <w:ilvl w:val="0"/>
          <w:numId w:val="4"/>
        </w:numPr>
        <w:ind w:left="426"/>
        <w:jc w:val="both"/>
        <w:rPr>
          <w:rFonts w:ascii="Arial" w:hAnsi="Arial" w:cs="Arial"/>
          <w:sz w:val="22"/>
          <w:szCs w:val="22"/>
          <w:highlight w:val="yellow"/>
          <w:lang w:val="en-GB"/>
        </w:rPr>
      </w:pPr>
      <w:r w:rsidRPr="00F9708B">
        <w:rPr>
          <w:rFonts w:ascii="Arial" w:hAnsi="Arial" w:cs="Arial"/>
          <w:sz w:val="22"/>
          <w:szCs w:val="22"/>
          <w:highlight w:val="yellow"/>
          <w:lang w:val="en-GB"/>
        </w:rPr>
        <w:t>The purchaser</w:t>
      </w:r>
      <w:r w:rsidR="00763348" w:rsidRPr="00F9708B">
        <w:rPr>
          <w:rFonts w:ascii="Arial" w:hAnsi="Arial" w:cs="Arial"/>
          <w:sz w:val="22"/>
          <w:szCs w:val="22"/>
          <w:highlight w:val="yellow"/>
          <w:lang w:val="en-GB"/>
        </w:rPr>
        <w:t>.</w:t>
      </w:r>
      <w:r w:rsidR="00F9708B">
        <w:rPr>
          <w:rFonts w:ascii="Arial" w:hAnsi="Arial" w:cs="Arial"/>
          <w:sz w:val="22"/>
          <w:szCs w:val="22"/>
          <w:highlight w:val="yellow"/>
          <w:lang w:val="en-GB"/>
        </w:rPr>
        <w:t xml:space="preserve"> </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A3137A">
      <w:pPr>
        <w:pStyle w:val="ListParagraph"/>
        <w:numPr>
          <w:ilvl w:val="0"/>
          <w:numId w:val="5"/>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940EF9">
      <w:pPr>
        <w:pStyle w:val="ListParagraph"/>
        <w:numPr>
          <w:ilvl w:val="0"/>
          <w:numId w:val="6"/>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940EF9">
      <w:pPr>
        <w:pStyle w:val="ListParagraph"/>
        <w:numPr>
          <w:ilvl w:val="0"/>
          <w:numId w:val="7"/>
        </w:numPr>
        <w:shd w:val="clear" w:color="auto" w:fill="FFFF00"/>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940EF9">
      <w:pPr>
        <w:pStyle w:val="ListParagraph"/>
        <w:numPr>
          <w:ilvl w:val="0"/>
          <w:numId w:val="8"/>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1C293E7C"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r w:rsidR="00A057D0">
        <w:rPr>
          <w:rFonts w:ascii="Arial" w:hAnsi="Arial" w:cs="Arial"/>
          <w:sz w:val="22"/>
          <w:szCs w:val="22"/>
          <w:lang w:val="en-GB"/>
        </w:rPr>
        <w:t xml:space="preserve"> </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9708B" w:rsidRDefault="00E833F4" w:rsidP="00B04033">
      <w:pPr>
        <w:pStyle w:val="ListParagraph"/>
        <w:numPr>
          <w:ilvl w:val="0"/>
          <w:numId w:val="9"/>
        </w:numPr>
        <w:ind w:left="426"/>
        <w:jc w:val="both"/>
        <w:rPr>
          <w:rFonts w:ascii="Arial" w:hAnsi="Arial" w:cs="Arial"/>
          <w:sz w:val="22"/>
          <w:szCs w:val="22"/>
          <w:highlight w:val="yellow"/>
          <w:lang w:val="en-GB"/>
        </w:rPr>
      </w:pPr>
      <w:r w:rsidRPr="00F9708B">
        <w:rPr>
          <w:rFonts w:ascii="Arial" w:hAnsi="Arial" w:cs="Arial"/>
          <w:sz w:val="22"/>
          <w:szCs w:val="22"/>
          <w:highlight w:val="yellow"/>
          <w:lang w:val="en-GB"/>
        </w:rPr>
        <w:t>A</w:t>
      </w:r>
      <w:r w:rsidR="000D10C6" w:rsidRPr="00F9708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057D0">
      <w:pPr>
        <w:jc w:val="both"/>
        <w:rPr>
          <w:rFonts w:ascii="Arial" w:hAnsi="Arial" w:cs="Arial"/>
          <w:sz w:val="22"/>
          <w:szCs w:val="22"/>
          <w:lang w:val="en-GB"/>
        </w:rPr>
      </w:pPr>
    </w:p>
    <w:p w14:paraId="22EF3C05" w14:textId="1758B4DF" w:rsidR="00763348" w:rsidRPr="000D10C6" w:rsidRDefault="00AC317D" w:rsidP="00A057D0">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7D3D256D"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0334C9">
      <w:pPr>
        <w:keepNext/>
        <w:ind w:left="66"/>
        <w:jc w:val="both"/>
        <w:rPr>
          <w:rFonts w:ascii="Arial" w:hAnsi="Arial" w:cs="Arial"/>
          <w:sz w:val="22"/>
          <w:szCs w:val="22"/>
          <w:lang w:val="en-GB"/>
        </w:rPr>
      </w:pPr>
    </w:p>
    <w:p w14:paraId="76B9338A" w14:textId="2FC5A0D3" w:rsidR="00876F56" w:rsidRPr="000334C9" w:rsidRDefault="0020204E" w:rsidP="000334C9">
      <w:pPr>
        <w:pStyle w:val="ListParagraph"/>
        <w:numPr>
          <w:ilvl w:val="0"/>
          <w:numId w:val="10"/>
        </w:numPr>
        <w:ind w:left="426"/>
        <w:jc w:val="both"/>
        <w:rPr>
          <w:rFonts w:ascii="Arial" w:hAnsi="Arial" w:cs="Arial"/>
          <w:sz w:val="22"/>
          <w:szCs w:val="22"/>
          <w:lang w:val="en-GB"/>
        </w:rPr>
      </w:pPr>
      <w:r w:rsidRPr="000334C9">
        <w:rPr>
          <w:rFonts w:ascii="Arial" w:hAnsi="Arial" w:cs="Arial"/>
          <w:sz w:val="22"/>
          <w:szCs w:val="22"/>
          <w:lang w:val="en-GB"/>
        </w:rPr>
        <w:t>12 months</w:t>
      </w:r>
      <w:r w:rsidR="00763348" w:rsidRPr="000334C9">
        <w:rPr>
          <w:rFonts w:ascii="Arial" w:hAnsi="Arial" w:cs="Arial"/>
          <w:sz w:val="22"/>
          <w:szCs w:val="22"/>
          <w:lang w:val="en-GB"/>
        </w:rPr>
        <w:t>.</w:t>
      </w:r>
    </w:p>
    <w:p w14:paraId="46563718" w14:textId="77777777" w:rsidR="00763348" w:rsidRPr="00763348" w:rsidRDefault="00763348" w:rsidP="000334C9">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394B45" w:rsidRDefault="0020204E" w:rsidP="00B04033">
      <w:pPr>
        <w:pStyle w:val="ListParagraph"/>
        <w:numPr>
          <w:ilvl w:val="0"/>
          <w:numId w:val="10"/>
        </w:numPr>
        <w:ind w:left="426"/>
        <w:jc w:val="both"/>
        <w:rPr>
          <w:rFonts w:ascii="Arial" w:hAnsi="Arial" w:cs="Arial"/>
          <w:sz w:val="22"/>
          <w:szCs w:val="22"/>
          <w:highlight w:val="yellow"/>
          <w:lang w:val="en-GB"/>
        </w:rPr>
      </w:pPr>
      <w:r w:rsidRPr="007713D5">
        <w:rPr>
          <w:rFonts w:ascii="Arial" w:hAnsi="Arial" w:cs="Arial"/>
          <w:sz w:val="22"/>
          <w:szCs w:val="22"/>
          <w:highlight w:val="yellow"/>
          <w:shd w:val="clear" w:color="auto" w:fill="FFFF00"/>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2C610C9" w14:textId="6024EAA9" w:rsidR="00DE03AF" w:rsidRPr="00530A90" w:rsidRDefault="00D81CA2" w:rsidP="00A93702">
      <w:pPr>
        <w:pStyle w:val="ListParagraph"/>
        <w:numPr>
          <w:ilvl w:val="0"/>
          <w:numId w:val="18"/>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Parties that can bring action under </w:t>
      </w:r>
      <w:r w:rsidR="00A93702" w:rsidRPr="00530A90">
        <w:rPr>
          <w:rFonts w:ascii="Arial" w:hAnsi="Arial" w:cs="Arial"/>
          <w:i/>
          <w:iCs/>
          <w:sz w:val="22"/>
          <w:szCs w:val="22"/>
          <w:u w:val="single"/>
          <w:lang w:val="en-GB"/>
        </w:rPr>
        <w:t xml:space="preserve">section 423 of the Insolvency Act 1986 </w:t>
      </w:r>
      <w:r w:rsidRPr="00530A90">
        <w:rPr>
          <w:rFonts w:ascii="Arial" w:hAnsi="Arial" w:cs="Arial"/>
          <w:i/>
          <w:iCs/>
          <w:sz w:val="22"/>
          <w:szCs w:val="22"/>
          <w:u w:val="single"/>
          <w:lang w:val="en-GB"/>
        </w:rPr>
        <w:t>are as follow:</w:t>
      </w:r>
    </w:p>
    <w:p w14:paraId="09827D15" w14:textId="0C2D2C1A" w:rsidR="00D81CA2" w:rsidRPr="00530A90" w:rsidRDefault="00D81CA2" w:rsidP="00D81CA2">
      <w:pPr>
        <w:pStyle w:val="ListParagraph"/>
        <w:numPr>
          <w:ilvl w:val="0"/>
          <w:numId w:val="19"/>
        </w:numPr>
        <w:jc w:val="both"/>
        <w:rPr>
          <w:rFonts w:ascii="Arial" w:hAnsi="Arial" w:cs="Arial"/>
          <w:i/>
          <w:iCs/>
          <w:sz w:val="22"/>
          <w:szCs w:val="22"/>
          <w:u w:val="single"/>
          <w:lang w:val="en-GB"/>
        </w:rPr>
      </w:pPr>
      <w:r w:rsidRPr="00530A90">
        <w:rPr>
          <w:rFonts w:ascii="Arial" w:hAnsi="Arial" w:cs="Arial"/>
          <w:i/>
          <w:iCs/>
          <w:sz w:val="22"/>
          <w:szCs w:val="22"/>
          <w:u w:val="single"/>
          <w:lang w:val="en-GB"/>
        </w:rPr>
        <w:t>by the company that is being wound up or is in administration, the official receiver, the liquidator, the administrator, and any victim of the transaction such as a creditor</w:t>
      </w:r>
    </w:p>
    <w:p w14:paraId="5210D019" w14:textId="54C8BD44" w:rsidR="00D81CA2" w:rsidRPr="00530A90" w:rsidRDefault="00D81CA2" w:rsidP="00D81CA2">
      <w:pPr>
        <w:pStyle w:val="ListParagraph"/>
        <w:numPr>
          <w:ilvl w:val="0"/>
          <w:numId w:val="19"/>
        </w:numPr>
        <w:jc w:val="both"/>
        <w:rPr>
          <w:rFonts w:ascii="Arial" w:hAnsi="Arial" w:cs="Arial"/>
          <w:i/>
          <w:iCs/>
          <w:sz w:val="22"/>
          <w:szCs w:val="22"/>
          <w:u w:val="single"/>
          <w:lang w:val="en-GB"/>
        </w:rPr>
      </w:pPr>
      <w:r w:rsidRPr="00530A90">
        <w:rPr>
          <w:rFonts w:ascii="Arial" w:hAnsi="Arial" w:cs="Arial"/>
          <w:i/>
          <w:iCs/>
          <w:sz w:val="22"/>
          <w:szCs w:val="22"/>
          <w:u w:val="single"/>
          <w:lang w:val="en-GB"/>
        </w:rPr>
        <w:t>by a victim that is bound by a CVA, supervisor of the CVA or any victim of the transaction (whether bound by the CVA or not) or a victim of the transaction.</w:t>
      </w:r>
    </w:p>
    <w:p w14:paraId="1BF7F23F" w14:textId="77777777" w:rsidR="00D81CA2" w:rsidRPr="00530A90" w:rsidRDefault="00D81CA2" w:rsidP="00D81CA2">
      <w:pPr>
        <w:pStyle w:val="ListParagraph"/>
        <w:ind w:left="1800"/>
        <w:jc w:val="both"/>
        <w:rPr>
          <w:rFonts w:ascii="Arial" w:hAnsi="Arial" w:cs="Arial"/>
          <w:i/>
          <w:iCs/>
          <w:sz w:val="22"/>
          <w:szCs w:val="22"/>
          <w:u w:val="single"/>
          <w:lang w:val="en-GB"/>
        </w:rPr>
      </w:pPr>
    </w:p>
    <w:p w14:paraId="6D940406" w14:textId="61EF2FC2" w:rsidR="00A93702" w:rsidRPr="00530A90" w:rsidRDefault="00D81CA2" w:rsidP="00A93702">
      <w:pPr>
        <w:pStyle w:val="ListParagraph"/>
        <w:numPr>
          <w:ilvl w:val="0"/>
          <w:numId w:val="18"/>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Parities that can bring action under </w:t>
      </w:r>
      <w:r w:rsidR="00A93702" w:rsidRPr="00530A90">
        <w:rPr>
          <w:rFonts w:ascii="Arial" w:hAnsi="Arial" w:cs="Arial"/>
          <w:i/>
          <w:iCs/>
          <w:sz w:val="22"/>
          <w:szCs w:val="22"/>
          <w:u w:val="single"/>
          <w:lang w:val="en-GB"/>
        </w:rPr>
        <w:t>section 6 of the Company Directors Disqualification Act 1986</w:t>
      </w:r>
      <w:r w:rsidRPr="00530A90">
        <w:rPr>
          <w:rFonts w:ascii="Arial" w:hAnsi="Arial" w:cs="Arial"/>
          <w:i/>
          <w:iCs/>
          <w:sz w:val="22"/>
          <w:szCs w:val="22"/>
          <w:u w:val="single"/>
          <w:lang w:val="en-GB"/>
        </w:rPr>
        <w:t xml:space="preserve"> </w:t>
      </w:r>
      <w:r w:rsidR="00CD1002" w:rsidRPr="00530A90">
        <w:rPr>
          <w:rFonts w:ascii="Arial" w:hAnsi="Arial" w:cs="Arial"/>
          <w:i/>
          <w:iCs/>
          <w:sz w:val="22"/>
          <w:szCs w:val="22"/>
          <w:u w:val="single"/>
          <w:lang w:val="en-GB"/>
        </w:rPr>
        <w:t xml:space="preserve">is </w:t>
      </w:r>
      <w:r w:rsidRPr="00530A90">
        <w:rPr>
          <w:rFonts w:ascii="Arial" w:hAnsi="Arial" w:cs="Arial"/>
          <w:i/>
          <w:iCs/>
          <w:sz w:val="22"/>
          <w:szCs w:val="22"/>
          <w:u w:val="single"/>
          <w:lang w:val="en-GB"/>
        </w:rPr>
        <w:t xml:space="preserve">as follows: </w:t>
      </w:r>
    </w:p>
    <w:p w14:paraId="1D190AA9" w14:textId="01590FEA" w:rsidR="00D81CA2" w:rsidRPr="00530A90" w:rsidRDefault="00D81CA2" w:rsidP="00234D8B">
      <w:pPr>
        <w:pStyle w:val="ListParagraph"/>
        <w:numPr>
          <w:ilvl w:val="0"/>
          <w:numId w:val="20"/>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The </w:t>
      </w:r>
      <w:r w:rsidR="00234D8B" w:rsidRPr="00530A90">
        <w:rPr>
          <w:rFonts w:ascii="Arial" w:hAnsi="Arial" w:cs="Arial"/>
          <w:i/>
          <w:iCs/>
          <w:sz w:val="22"/>
          <w:szCs w:val="22"/>
          <w:u w:val="single"/>
          <w:lang w:val="en-GB"/>
        </w:rPr>
        <w:t>c</w:t>
      </w:r>
      <w:r w:rsidRPr="00530A90">
        <w:rPr>
          <w:rFonts w:ascii="Arial" w:hAnsi="Arial" w:cs="Arial"/>
          <w:i/>
          <w:iCs/>
          <w:sz w:val="22"/>
          <w:szCs w:val="22"/>
          <w:u w:val="single"/>
          <w:lang w:val="en-GB"/>
        </w:rPr>
        <w:t xml:space="preserve">ourt </w:t>
      </w:r>
    </w:p>
    <w:p w14:paraId="76FEA5F5" w14:textId="77777777" w:rsidR="00D81CA2" w:rsidRPr="00530A90" w:rsidRDefault="00D81CA2" w:rsidP="00D81CA2">
      <w:pPr>
        <w:pStyle w:val="ListParagraph"/>
        <w:ind w:left="1080"/>
        <w:jc w:val="both"/>
        <w:rPr>
          <w:rFonts w:ascii="Arial" w:hAnsi="Arial" w:cs="Arial"/>
          <w:i/>
          <w:iCs/>
          <w:sz w:val="22"/>
          <w:szCs w:val="22"/>
          <w:u w:val="single"/>
          <w:lang w:val="en-GB"/>
        </w:rPr>
      </w:pPr>
    </w:p>
    <w:p w14:paraId="4534BC50" w14:textId="17EC527B" w:rsidR="00A93702" w:rsidRPr="00530A90" w:rsidRDefault="00CD1002" w:rsidP="00A93702">
      <w:pPr>
        <w:pStyle w:val="ListParagraph"/>
        <w:numPr>
          <w:ilvl w:val="0"/>
          <w:numId w:val="18"/>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Parties that can bring action under </w:t>
      </w:r>
      <w:r w:rsidR="00A93702" w:rsidRPr="00530A90">
        <w:rPr>
          <w:rFonts w:ascii="Arial" w:hAnsi="Arial" w:cs="Arial"/>
          <w:i/>
          <w:iCs/>
          <w:sz w:val="22"/>
          <w:szCs w:val="22"/>
          <w:u w:val="single"/>
          <w:lang w:val="en-GB"/>
        </w:rPr>
        <w:t>section 246ZB of the Insolvency Act 1986</w:t>
      </w:r>
      <w:r w:rsidRPr="00530A90">
        <w:rPr>
          <w:rFonts w:ascii="Arial" w:hAnsi="Arial" w:cs="Arial"/>
          <w:i/>
          <w:iCs/>
          <w:sz w:val="22"/>
          <w:szCs w:val="22"/>
          <w:u w:val="single"/>
          <w:lang w:val="en-GB"/>
        </w:rPr>
        <w:t xml:space="preserve"> are as follow:</w:t>
      </w:r>
    </w:p>
    <w:p w14:paraId="0FCB61AB" w14:textId="77777777" w:rsidR="00234D8B" w:rsidRPr="00530A90" w:rsidRDefault="00234D8B" w:rsidP="00234D8B">
      <w:pPr>
        <w:pStyle w:val="ListParagraph"/>
        <w:ind w:left="2160"/>
        <w:jc w:val="both"/>
        <w:rPr>
          <w:rFonts w:ascii="Arial" w:hAnsi="Arial" w:cs="Arial"/>
          <w:i/>
          <w:iCs/>
          <w:sz w:val="22"/>
          <w:szCs w:val="22"/>
          <w:u w:val="single"/>
          <w:lang w:val="en-GB"/>
        </w:rPr>
      </w:pPr>
    </w:p>
    <w:p w14:paraId="145DABB3" w14:textId="1B6815B2" w:rsidR="00A93702" w:rsidRPr="00530A90" w:rsidRDefault="00234D8B" w:rsidP="00234D8B">
      <w:pPr>
        <w:pStyle w:val="ListParagraph"/>
        <w:numPr>
          <w:ilvl w:val="0"/>
          <w:numId w:val="20"/>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Liquidators </w:t>
      </w:r>
    </w:p>
    <w:p w14:paraId="03150C9C" w14:textId="0E200EA7" w:rsidR="00234D8B" w:rsidRPr="00530A90" w:rsidRDefault="00234D8B" w:rsidP="00234D8B">
      <w:pPr>
        <w:pStyle w:val="ListParagraph"/>
        <w:numPr>
          <w:ilvl w:val="0"/>
          <w:numId w:val="20"/>
        </w:numPr>
        <w:jc w:val="both"/>
        <w:rPr>
          <w:rFonts w:ascii="Arial" w:hAnsi="Arial" w:cs="Arial"/>
          <w:i/>
          <w:iCs/>
          <w:sz w:val="22"/>
          <w:szCs w:val="22"/>
          <w:u w:val="single"/>
          <w:lang w:val="en-GB"/>
        </w:rPr>
      </w:pPr>
      <w:r w:rsidRPr="00530A90">
        <w:rPr>
          <w:rFonts w:ascii="Arial" w:hAnsi="Arial" w:cs="Arial"/>
          <w:i/>
          <w:iCs/>
          <w:sz w:val="22"/>
          <w:szCs w:val="22"/>
          <w:u w:val="single"/>
          <w:lang w:val="en-GB"/>
        </w:rPr>
        <w:t>Third party funders can also be assigned power to such causes of action by the liquidators.</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4E1236F0" w14:textId="3E00D501" w:rsidR="00FF5098" w:rsidRPr="00530A90" w:rsidRDefault="00FF5098" w:rsidP="00FF5098">
      <w:pPr>
        <w:jc w:val="both"/>
        <w:rPr>
          <w:rFonts w:ascii="Arial" w:hAnsi="Arial" w:cs="Arial"/>
          <w:sz w:val="22"/>
          <w:szCs w:val="22"/>
          <w:u w:val="single"/>
          <w:lang w:val="en-GB"/>
        </w:rPr>
      </w:pPr>
    </w:p>
    <w:p w14:paraId="40F85F67" w14:textId="74F05DD5" w:rsidR="00234D8B" w:rsidRPr="00530A90" w:rsidRDefault="00234D8B" w:rsidP="00234D8B">
      <w:p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The five qualifying decision procedures by which creditors may make decisions in the context of an insolvent company </w:t>
      </w:r>
      <w:r w:rsidR="00CD1002" w:rsidRPr="00530A90">
        <w:rPr>
          <w:rFonts w:ascii="Arial" w:hAnsi="Arial" w:cs="Arial"/>
          <w:i/>
          <w:iCs/>
          <w:sz w:val="22"/>
          <w:szCs w:val="22"/>
          <w:u w:val="single"/>
          <w:lang w:val="en-GB"/>
        </w:rPr>
        <w:t xml:space="preserve">are as follows: </w:t>
      </w:r>
    </w:p>
    <w:p w14:paraId="444C9915" w14:textId="6ED800B1" w:rsidR="00CD1002" w:rsidRPr="00530A90" w:rsidRDefault="00CD1002" w:rsidP="00CD1002">
      <w:pPr>
        <w:pStyle w:val="ListParagraph"/>
        <w:numPr>
          <w:ilvl w:val="0"/>
          <w:numId w:val="22"/>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Correspondence </w:t>
      </w:r>
    </w:p>
    <w:p w14:paraId="6F9F8920" w14:textId="328EB133" w:rsidR="00CD1002" w:rsidRPr="00530A90" w:rsidRDefault="00CD1002" w:rsidP="00CD1002">
      <w:pPr>
        <w:pStyle w:val="ListParagraph"/>
        <w:numPr>
          <w:ilvl w:val="0"/>
          <w:numId w:val="22"/>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Electronic voting </w:t>
      </w:r>
    </w:p>
    <w:p w14:paraId="2730CD17" w14:textId="1EC139DA" w:rsidR="00CD1002" w:rsidRPr="00530A90" w:rsidRDefault="00CD1002" w:rsidP="00CD1002">
      <w:pPr>
        <w:pStyle w:val="ListParagraph"/>
        <w:numPr>
          <w:ilvl w:val="0"/>
          <w:numId w:val="22"/>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Virtual meeting </w:t>
      </w:r>
    </w:p>
    <w:p w14:paraId="75D52115" w14:textId="4FC1E572" w:rsidR="00CD1002" w:rsidRPr="00530A90" w:rsidRDefault="00CD1002" w:rsidP="00CD1002">
      <w:pPr>
        <w:pStyle w:val="ListParagraph"/>
        <w:numPr>
          <w:ilvl w:val="0"/>
          <w:numId w:val="22"/>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Physical meeting </w:t>
      </w:r>
    </w:p>
    <w:p w14:paraId="5C8C3070" w14:textId="092AAB3D" w:rsidR="00CD1002" w:rsidRPr="00530A90" w:rsidRDefault="00CD1002" w:rsidP="00CD1002">
      <w:pPr>
        <w:pStyle w:val="ListParagraph"/>
        <w:numPr>
          <w:ilvl w:val="0"/>
          <w:numId w:val="22"/>
        </w:numPr>
        <w:jc w:val="both"/>
        <w:rPr>
          <w:rFonts w:ascii="Arial" w:hAnsi="Arial" w:cs="Arial"/>
          <w:i/>
          <w:iCs/>
          <w:sz w:val="22"/>
          <w:szCs w:val="22"/>
          <w:u w:val="single"/>
          <w:lang w:val="en-GB"/>
        </w:rPr>
      </w:pPr>
      <w:r w:rsidRPr="00530A90">
        <w:rPr>
          <w:rFonts w:ascii="Arial" w:hAnsi="Arial" w:cs="Arial"/>
          <w:i/>
          <w:iCs/>
          <w:sz w:val="22"/>
          <w:szCs w:val="22"/>
          <w:u w:val="single"/>
          <w:lang w:val="en-GB"/>
        </w:rPr>
        <w:t xml:space="preserve">Any other decision-making procedure which enables all creditors who are entitled to participate in the making of the decision to participate equally. </w:t>
      </w:r>
    </w:p>
    <w:p w14:paraId="397510A3" w14:textId="77777777" w:rsidR="00234D8B" w:rsidRPr="00FF5098" w:rsidRDefault="00234D8B" w:rsidP="00FF5098">
      <w:pPr>
        <w:jc w:val="both"/>
        <w:rPr>
          <w:rFonts w:ascii="Arial" w:hAnsi="Arial" w:cs="Arial"/>
          <w:color w:val="7B7B7B" w:themeColor="accent3" w:themeShade="BF"/>
          <w:sz w:val="22"/>
          <w:szCs w:val="22"/>
          <w:lang w:val="en-GB"/>
        </w:rPr>
      </w:pP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66DBD870" w:rsidR="00FA417D" w:rsidRPr="00C867B8" w:rsidRDefault="00891690" w:rsidP="00FA417D">
      <w:pPr>
        <w:jc w:val="both"/>
        <w:rPr>
          <w:rFonts w:ascii="Arial" w:hAnsi="Arial" w:cs="Arial"/>
          <w:i/>
          <w:iCs/>
          <w:sz w:val="22"/>
          <w:szCs w:val="22"/>
          <w:lang w:val="en-GB"/>
        </w:rPr>
      </w:pPr>
      <w:r w:rsidRPr="00C867B8">
        <w:rPr>
          <w:rFonts w:ascii="Arial" w:hAnsi="Arial" w:cs="Arial"/>
          <w:i/>
          <w:iCs/>
          <w:sz w:val="22"/>
          <w:szCs w:val="22"/>
          <w:lang w:val="en-GB"/>
        </w:rPr>
        <w:t>Can an administrator who wishes to continue to operate the business of the company in administration require suppliers of goods and services to continue to supply those goods and services during the administration?</w:t>
      </w:r>
      <w:r w:rsidR="007234B6" w:rsidRPr="00C867B8">
        <w:rPr>
          <w:rFonts w:ascii="Arial" w:hAnsi="Arial" w:cs="Arial"/>
          <w:i/>
          <w:iCs/>
          <w:sz w:val="22"/>
          <w:szCs w:val="22"/>
          <w:lang w:val="en-GB"/>
        </w:rPr>
        <w:t xml:space="preserve"> </w:t>
      </w:r>
    </w:p>
    <w:p w14:paraId="17F2E837" w14:textId="21D0BECE" w:rsidR="00FF5098" w:rsidRPr="00C867B8" w:rsidRDefault="00FF5098" w:rsidP="00530A90">
      <w:pPr>
        <w:rPr>
          <w:rFonts w:ascii="Arial" w:hAnsi="Arial" w:cs="Arial"/>
          <w:i/>
          <w:iCs/>
          <w:color w:val="7B7B7B" w:themeColor="accent3" w:themeShade="BF"/>
          <w:sz w:val="22"/>
          <w:szCs w:val="22"/>
          <w:lang w:val="en-GB"/>
        </w:rPr>
      </w:pPr>
    </w:p>
    <w:p w14:paraId="3DDDDEBC" w14:textId="0D3D8997" w:rsidR="0067554F" w:rsidRPr="00530A90" w:rsidRDefault="00067657" w:rsidP="00530A90">
      <w:pPr>
        <w:ind w:left="720" w:hanging="720"/>
        <w:rPr>
          <w:rFonts w:ascii="Arial" w:hAnsi="Arial" w:cs="Arial"/>
          <w:i/>
          <w:iCs/>
          <w:sz w:val="22"/>
          <w:szCs w:val="22"/>
          <w:u w:val="single"/>
        </w:rPr>
      </w:pPr>
      <w:r w:rsidRPr="00530A90">
        <w:rPr>
          <w:rFonts w:ascii="Arial" w:hAnsi="Arial" w:cs="Arial"/>
          <w:i/>
          <w:iCs/>
          <w:sz w:val="22"/>
          <w:szCs w:val="22"/>
          <w:u w:val="single"/>
        </w:rPr>
        <w:t>Although, an administrator is appointed</w:t>
      </w:r>
      <w:r w:rsidR="00800865" w:rsidRPr="00530A90">
        <w:rPr>
          <w:rFonts w:ascii="Arial" w:hAnsi="Arial" w:cs="Arial"/>
          <w:i/>
          <w:iCs/>
          <w:sz w:val="22"/>
          <w:szCs w:val="22"/>
          <w:u w:val="single"/>
        </w:rPr>
        <w:t xml:space="preserve"> in</w:t>
      </w:r>
      <w:r w:rsidRPr="00530A90">
        <w:rPr>
          <w:rFonts w:ascii="Arial" w:hAnsi="Arial" w:cs="Arial"/>
          <w:i/>
          <w:iCs/>
          <w:sz w:val="22"/>
          <w:szCs w:val="22"/>
          <w:u w:val="single"/>
        </w:rPr>
        <w:t xml:space="preserve"> the liquidation that does not mean that the</w:t>
      </w:r>
      <w:r w:rsidR="00530A90" w:rsidRPr="00530A90">
        <w:rPr>
          <w:rFonts w:ascii="Arial" w:hAnsi="Arial" w:cs="Arial"/>
          <w:i/>
          <w:iCs/>
          <w:sz w:val="22"/>
          <w:szCs w:val="22"/>
          <w:u w:val="single"/>
        </w:rPr>
        <w:t xml:space="preserve"> </w:t>
      </w:r>
      <w:r w:rsidRPr="00530A90">
        <w:rPr>
          <w:rFonts w:ascii="Arial" w:hAnsi="Arial" w:cs="Arial"/>
          <w:i/>
          <w:iCs/>
          <w:sz w:val="22"/>
          <w:szCs w:val="22"/>
          <w:u w:val="single"/>
        </w:rPr>
        <w:t>company’s contracts with suppliers will be</w:t>
      </w:r>
      <w:r w:rsidR="00800865" w:rsidRPr="00530A90">
        <w:rPr>
          <w:rFonts w:ascii="Arial" w:hAnsi="Arial" w:cs="Arial"/>
          <w:i/>
          <w:iCs/>
          <w:sz w:val="22"/>
          <w:szCs w:val="22"/>
          <w:u w:val="single"/>
        </w:rPr>
        <w:t xml:space="preserve"> automatically</w:t>
      </w:r>
      <w:r w:rsidRPr="00530A90">
        <w:rPr>
          <w:rFonts w:ascii="Arial" w:hAnsi="Arial" w:cs="Arial"/>
          <w:i/>
          <w:iCs/>
          <w:sz w:val="22"/>
          <w:szCs w:val="22"/>
          <w:u w:val="single"/>
        </w:rPr>
        <w:t xml:space="preserve"> terminated.</w:t>
      </w:r>
    </w:p>
    <w:p w14:paraId="3A3E6977" w14:textId="0CD42D6A" w:rsidR="00C867B8" w:rsidRPr="00530A90" w:rsidRDefault="00C867B8" w:rsidP="00530A90">
      <w:pPr>
        <w:ind w:left="720" w:hanging="720"/>
        <w:rPr>
          <w:rFonts w:ascii="Arial" w:hAnsi="Arial" w:cs="Arial"/>
          <w:i/>
          <w:iCs/>
          <w:sz w:val="22"/>
          <w:szCs w:val="22"/>
          <w:u w:val="single"/>
        </w:rPr>
      </w:pPr>
      <w:r w:rsidRPr="00530A90">
        <w:rPr>
          <w:rFonts w:ascii="Arial" w:hAnsi="Arial" w:cs="Arial"/>
          <w:i/>
          <w:iCs/>
          <w:sz w:val="22"/>
          <w:szCs w:val="22"/>
          <w:u w:val="single"/>
        </w:rPr>
        <w:lastRenderedPageBreak/>
        <w:t>In cases of these clauses an administrator can require a supplier to supply those goods or services:</w:t>
      </w:r>
    </w:p>
    <w:p w14:paraId="192B15D2" w14:textId="42DF00E4" w:rsidR="00C867B8" w:rsidRPr="00530A90" w:rsidRDefault="00C867B8" w:rsidP="00530A90">
      <w:pPr>
        <w:ind w:left="720" w:hanging="720"/>
        <w:rPr>
          <w:rFonts w:ascii="Arial" w:hAnsi="Arial" w:cs="Arial"/>
          <w:i/>
          <w:iCs/>
          <w:sz w:val="22"/>
          <w:szCs w:val="22"/>
          <w:u w:val="single"/>
        </w:rPr>
      </w:pPr>
      <w:r w:rsidRPr="00530A90">
        <w:rPr>
          <w:rFonts w:ascii="Arial" w:hAnsi="Arial" w:cs="Arial"/>
          <w:i/>
          <w:iCs/>
          <w:sz w:val="22"/>
          <w:szCs w:val="22"/>
          <w:u w:val="single"/>
        </w:rPr>
        <w:t>Section 233B of the 2020 Act prohibits clauses within a contract of supply that allows the supplier of goods and services to terminate or “do any other thing” in relation to that contract if the company enters a formal insolvency procedure.</w:t>
      </w:r>
    </w:p>
    <w:p w14:paraId="05F1D416" w14:textId="2962021F" w:rsidR="00364F12" w:rsidRPr="00530A90" w:rsidRDefault="00364F12" w:rsidP="00530A90">
      <w:pPr>
        <w:ind w:left="720" w:hanging="720"/>
        <w:rPr>
          <w:rFonts w:ascii="Arial" w:hAnsi="Arial" w:cs="Arial"/>
          <w:i/>
          <w:iCs/>
          <w:sz w:val="22"/>
          <w:szCs w:val="22"/>
          <w:u w:val="single"/>
        </w:rPr>
      </w:pPr>
    </w:p>
    <w:p w14:paraId="2FF82698" w14:textId="00320C50" w:rsidR="00364F12" w:rsidRPr="00530A90" w:rsidRDefault="007713D5" w:rsidP="00530A90">
      <w:pPr>
        <w:ind w:left="720" w:hanging="720"/>
        <w:rPr>
          <w:rFonts w:ascii="Arial" w:hAnsi="Arial" w:cs="Arial"/>
          <w:i/>
          <w:iCs/>
          <w:sz w:val="22"/>
          <w:szCs w:val="22"/>
          <w:u w:val="single"/>
        </w:rPr>
      </w:pPr>
      <w:r w:rsidRPr="00530A90">
        <w:rPr>
          <w:rFonts w:ascii="Arial" w:hAnsi="Arial" w:cs="Arial"/>
          <w:i/>
          <w:iCs/>
          <w:sz w:val="22"/>
          <w:szCs w:val="22"/>
          <w:u w:val="single"/>
        </w:rPr>
        <w:t>In the Act it states that “</w:t>
      </w:r>
      <w:r w:rsidR="00364F12" w:rsidRPr="00530A90">
        <w:rPr>
          <w:rFonts w:ascii="Arial" w:hAnsi="Arial" w:cs="Arial"/>
          <w:i/>
          <w:iCs/>
          <w:sz w:val="22"/>
          <w:szCs w:val="22"/>
          <w:u w:val="single"/>
        </w:rPr>
        <w:t>An administrator will frequently need to obtain or retain certain essential supplies.</w:t>
      </w:r>
      <w:r w:rsidRPr="00530A90">
        <w:rPr>
          <w:rFonts w:ascii="Arial" w:hAnsi="Arial" w:cs="Arial"/>
          <w:i/>
          <w:iCs/>
          <w:sz w:val="22"/>
          <w:szCs w:val="22"/>
          <w:u w:val="single"/>
        </w:rPr>
        <w:t>”</w:t>
      </w:r>
      <w:r w:rsidR="00364F12" w:rsidRPr="00530A90">
        <w:rPr>
          <w:rFonts w:ascii="Arial" w:hAnsi="Arial" w:cs="Arial"/>
          <w:i/>
          <w:iCs/>
          <w:sz w:val="22"/>
          <w:szCs w:val="22"/>
          <w:u w:val="single"/>
        </w:rPr>
        <w:t xml:space="preserve"> Section 233 of the Act applies to</w:t>
      </w:r>
      <w:r w:rsidRPr="00530A90">
        <w:rPr>
          <w:rFonts w:ascii="Arial" w:hAnsi="Arial" w:cs="Arial"/>
          <w:i/>
          <w:iCs/>
          <w:sz w:val="22"/>
          <w:szCs w:val="22"/>
          <w:u w:val="single"/>
        </w:rPr>
        <w:t xml:space="preserve"> what they call essential services which are listed as:</w:t>
      </w:r>
      <w:r w:rsidR="00364F12" w:rsidRPr="00530A90">
        <w:rPr>
          <w:rFonts w:ascii="Arial" w:hAnsi="Arial" w:cs="Arial"/>
          <w:i/>
          <w:iCs/>
          <w:sz w:val="22"/>
          <w:szCs w:val="22"/>
          <w:u w:val="single"/>
        </w:rPr>
        <w:t xml:space="preserve"> a supply of gas</w:t>
      </w:r>
      <w:r w:rsidR="00C867B8" w:rsidRPr="00530A90">
        <w:rPr>
          <w:rFonts w:ascii="Arial" w:hAnsi="Arial" w:cs="Arial"/>
          <w:i/>
          <w:iCs/>
          <w:sz w:val="22"/>
          <w:szCs w:val="22"/>
          <w:u w:val="single"/>
        </w:rPr>
        <w:t>,</w:t>
      </w:r>
      <w:r w:rsidR="00364F12" w:rsidRPr="00530A90">
        <w:rPr>
          <w:rFonts w:ascii="Arial" w:hAnsi="Arial" w:cs="Arial"/>
          <w:i/>
          <w:iCs/>
          <w:sz w:val="22"/>
          <w:szCs w:val="22"/>
          <w:u w:val="single"/>
        </w:rPr>
        <w:t xml:space="preserve"> electricity</w:t>
      </w:r>
      <w:r w:rsidR="00C867B8" w:rsidRPr="00530A90">
        <w:rPr>
          <w:rFonts w:ascii="Arial" w:hAnsi="Arial" w:cs="Arial"/>
          <w:i/>
          <w:iCs/>
          <w:sz w:val="22"/>
          <w:szCs w:val="22"/>
          <w:u w:val="single"/>
        </w:rPr>
        <w:t xml:space="preserve">, </w:t>
      </w:r>
      <w:proofErr w:type="gramStart"/>
      <w:r w:rsidR="00C867B8" w:rsidRPr="00530A90">
        <w:rPr>
          <w:rFonts w:ascii="Arial" w:hAnsi="Arial" w:cs="Arial"/>
          <w:i/>
          <w:iCs/>
          <w:sz w:val="22"/>
          <w:szCs w:val="22"/>
          <w:u w:val="single"/>
        </w:rPr>
        <w:t>water</w:t>
      </w:r>
      <w:proofErr w:type="gramEnd"/>
      <w:r w:rsidR="00C867B8" w:rsidRPr="00530A90">
        <w:rPr>
          <w:rFonts w:ascii="Arial" w:hAnsi="Arial" w:cs="Arial"/>
          <w:i/>
          <w:iCs/>
          <w:sz w:val="22"/>
          <w:szCs w:val="22"/>
          <w:u w:val="single"/>
        </w:rPr>
        <w:t xml:space="preserve"> and communication services.  This section</w:t>
      </w:r>
      <w:r w:rsidR="00D80380" w:rsidRPr="00530A90">
        <w:rPr>
          <w:rFonts w:ascii="Arial" w:hAnsi="Arial" w:cs="Arial"/>
          <w:i/>
          <w:iCs/>
          <w:sz w:val="22"/>
          <w:szCs w:val="22"/>
          <w:u w:val="single"/>
        </w:rPr>
        <w:t xml:space="preserve"> essentially </w:t>
      </w:r>
      <w:r w:rsidR="00AD1828" w:rsidRPr="00530A90">
        <w:rPr>
          <w:rFonts w:ascii="Arial" w:hAnsi="Arial" w:cs="Arial"/>
          <w:i/>
          <w:iCs/>
          <w:sz w:val="22"/>
          <w:szCs w:val="22"/>
          <w:u w:val="single"/>
        </w:rPr>
        <w:t>prohibits a</w:t>
      </w:r>
      <w:r w:rsidR="00C867B8" w:rsidRPr="00530A90">
        <w:rPr>
          <w:rFonts w:ascii="Arial" w:hAnsi="Arial" w:cs="Arial"/>
          <w:i/>
          <w:iCs/>
          <w:sz w:val="22"/>
          <w:szCs w:val="22"/>
          <w:u w:val="single"/>
        </w:rPr>
        <w:t xml:space="preserve"> supplier to </w:t>
      </w:r>
      <w:r w:rsidR="00AD1828" w:rsidRPr="00530A90">
        <w:rPr>
          <w:rFonts w:ascii="Arial" w:hAnsi="Arial" w:cs="Arial"/>
          <w:i/>
          <w:iCs/>
          <w:sz w:val="22"/>
          <w:szCs w:val="22"/>
          <w:u w:val="single"/>
        </w:rPr>
        <w:t xml:space="preserve">place </w:t>
      </w:r>
      <w:r w:rsidR="00C867B8" w:rsidRPr="00530A90">
        <w:rPr>
          <w:rFonts w:ascii="Arial" w:hAnsi="Arial" w:cs="Arial"/>
          <w:i/>
          <w:iCs/>
          <w:sz w:val="22"/>
          <w:szCs w:val="22"/>
          <w:u w:val="single"/>
        </w:rPr>
        <w:t>stipulat</w:t>
      </w:r>
      <w:r w:rsidR="00AD1828" w:rsidRPr="00530A90">
        <w:rPr>
          <w:rFonts w:ascii="Arial" w:hAnsi="Arial" w:cs="Arial"/>
          <w:i/>
          <w:iCs/>
          <w:sz w:val="22"/>
          <w:szCs w:val="22"/>
          <w:u w:val="single"/>
        </w:rPr>
        <w:t>ions that forces</w:t>
      </w:r>
      <w:r w:rsidR="00C867B8" w:rsidRPr="00530A90">
        <w:rPr>
          <w:rFonts w:ascii="Arial" w:hAnsi="Arial" w:cs="Arial"/>
          <w:i/>
          <w:iCs/>
          <w:sz w:val="22"/>
          <w:szCs w:val="22"/>
          <w:u w:val="single"/>
        </w:rPr>
        <w:t xml:space="preserve"> the administrator </w:t>
      </w:r>
      <w:r w:rsidR="00AD1828" w:rsidRPr="00530A90">
        <w:rPr>
          <w:rFonts w:ascii="Arial" w:hAnsi="Arial" w:cs="Arial"/>
          <w:i/>
          <w:iCs/>
          <w:sz w:val="22"/>
          <w:szCs w:val="22"/>
          <w:u w:val="single"/>
        </w:rPr>
        <w:t>to</w:t>
      </w:r>
      <w:r w:rsidR="00C867B8" w:rsidRPr="00530A90">
        <w:rPr>
          <w:rFonts w:ascii="Arial" w:hAnsi="Arial" w:cs="Arial"/>
          <w:i/>
          <w:iCs/>
          <w:sz w:val="22"/>
          <w:szCs w:val="22"/>
          <w:u w:val="single"/>
        </w:rPr>
        <w:t xml:space="preserve"> personally guarantee payment of charges</w:t>
      </w:r>
      <w:r w:rsidR="00AD1828" w:rsidRPr="00530A90">
        <w:rPr>
          <w:rFonts w:ascii="Arial" w:hAnsi="Arial" w:cs="Arial"/>
          <w:i/>
          <w:iCs/>
          <w:sz w:val="22"/>
          <w:szCs w:val="22"/>
          <w:u w:val="single"/>
        </w:rPr>
        <w:t xml:space="preserve"> </w:t>
      </w:r>
      <w:proofErr w:type="gramStart"/>
      <w:r w:rsidR="00AD1828" w:rsidRPr="00530A90">
        <w:rPr>
          <w:rFonts w:ascii="Arial" w:hAnsi="Arial" w:cs="Arial"/>
          <w:i/>
          <w:iCs/>
          <w:sz w:val="22"/>
          <w:szCs w:val="22"/>
          <w:u w:val="single"/>
        </w:rPr>
        <w:t>in regards</w:t>
      </w:r>
      <w:r w:rsidR="00C867B8" w:rsidRPr="00530A90">
        <w:rPr>
          <w:rFonts w:ascii="Arial" w:hAnsi="Arial" w:cs="Arial"/>
          <w:i/>
          <w:iCs/>
          <w:sz w:val="22"/>
          <w:szCs w:val="22"/>
          <w:u w:val="single"/>
        </w:rPr>
        <w:t xml:space="preserve"> </w:t>
      </w:r>
      <w:r w:rsidR="00AD1828" w:rsidRPr="00530A90">
        <w:rPr>
          <w:rFonts w:ascii="Arial" w:hAnsi="Arial" w:cs="Arial"/>
          <w:i/>
          <w:iCs/>
          <w:sz w:val="22"/>
          <w:szCs w:val="22"/>
          <w:u w:val="single"/>
        </w:rPr>
        <w:t>to</w:t>
      </w:r>
      <w:proofErr w:type="gramEnd"/>
      <w:r w:rsidR="00AD1828" w:rsidRPr="00530A90">
        <w:rPr>
          <w:rFonts w:ascii="Arial" w:hAnsi="Arial" w:cs="Arial"/>
          <w:i/>
          <w:iCs/>
          <w:sz w:val="22"/>
          <w:szCs w:val="22"/>
          <w:u w:val="single"/>
        </w:rPr>
        <w:t xml:space="preserve"> </w:t>
      </w:r>
      <w:r w:rsidR="00C867B8" w:rsidRPr="00530A90">
        <w:rPr>
          <w:rFonts w:ascii="Arial" w:hAnsi="Arial" w:cs="Arial"/>
          <w:i/>
          <w:iCs/>
          <w:sz w:val="22"/>
          <w:szCs w:val="22"/>
          <w:u w:val="single"/>
        </w:rPr>
        <w:t>the suppl</w:t>
      </w:r>
      <w:r w:rsidR="00AD1828" w:rsidRPr="00530A90">
        <w:rPr>
          <w:rFonts w:ascii="Arial" w:hAnsi="Arial" w:cs="Arial"/>
          <w:i/>
          <w:iCs/>
          <w:sz w:val="22"/>
          <w:szCs w:val="22"/>
          <w:u w:val="single"/>
        </w:rPr>
        <w:t>ies</w:t>
      </w:r>
      <w:r w:rsidR="00C867B8" w:rsidRPr="00530A90">
        <w:rPr>
          <w:rFonts w:ascii="Arial" w:hAnsi="Arial" w:cs="Arial"/>
          <w:i/>
          <w:iCs/>
          <w:sz w:val="22"/>
          <w:szCs w:val="22"/>
          <w:u w:val="single"/>
        </w:rPr>
        <w:t>.</w:t>
      </w:r>
    </w:p>
    <w:p w14:paraId="3D7DA201" w14:textId="77777777" w:rsidR="00357808" w:rsidRPr="00530A90" w:rsidRDefault="00357808" w:rsidP="00530A90">
      <w:pPr>
        <w:ind w:left="720" w:hanging="720"/>
        <w:rPr>
          <w:rFonts w:ascii="Arial" w:hAnsi="Arial" w:cs="Arial"/>
          <w:i/>
          <w:iCs/>
          <w:sz w:val="22"/>
          <w:szCs w:val="22"/>
          <w:u w:val="single"/>
        </w:rPr>
      </w:pPr>
    </w:p>
    <w:p w14:paraId="30A0F302" w14:textId="40E9F612" w:rsidR="00C867B8" w:rsidRPr="00530A90" w:rsidRDefault="00C867B8" w:rsidP="00530A90">
      <w:pPr>
        <w:ind w:left="720" w:hanging="720"/>
        <w:rPr>
          <w:rFonts w:ascii="Arial" w:hAnsi="Arial" w:cs="Arial"/>
          <w:i/>
          <w:iCs/>
          <w:sz w:val="22"/>
          <w:szCs w:val="22"/>
          <w:u w:val="single"/>
        </w:rPr>
      </w:pPr>
      <w:r w:rsidRPr="00530A90">
        <w:rPr>
          <w:rFonts w:ascii="Arial" w:hAnsi="Arial" w:cs="Arial"/>
          <w:i/>
          <w:iCs/>
          <w:sz w:val="22"/>
          <w:szCs w:val="22"/>
          <w:u w:val="single"/>
        </w:rPr>
        <w:t>Section 233B complements section 233 of the Act which, in similar terms, prohibit termination</w:t>
      </w:r>
      <w:r w:rsidR="00530A90" w:rsidRPr="00530A90">
        <w:rPr>
          <w:rFonts w:ascii="Arial" w:hAnsi="Arial" w:cs="Arial"/>
          <w:i/>
          <w:iCs/>
          <w:sz w:val="22"/>
          <w:szCs w:val="22"/>
          <w:u w:val="single"/>
        </w:rPr>
        <w:t xml:space="preserve"> </w:t>
      </w:r>
      <w:r w:rsidR="00AD1828" w:rsidRPr="00530A90">
        <w:rPr>
          <w:rFonts w:ascii="Arial" w:hAnsi="Arial" w:cs="Arial"/>
          <w:i/>
          <w:iCs/>
          <w:sz w:val="22"/>
          <w:szCs w:val="22"/>
          <w:u w:val="single"/>
        </w:rPr>
        <w:t xml:space="preserve">of </w:t>
      </w:r>
      <w:r w:rsidR="00357808" w:rsidRPr="00530A90">
        <w:rPr>
          <w:rFonts w:ascii="Arial" w:hAnsi="Arial" w:cs="Arial"/>
          <w:i/>
          <w:iCs/>
          <w:sz w:val="22"/>
          <w:szCs w:val="22"/>
          <w:u w:val="single"/>
        </w:rPr>
        <w:t>utilit</w:t>
      </w:r>
      <w:r w:rsidR="00AD1828" w:rsidRPr="00530A90">
        <w:rPr>
          <w:rFonts w:ascii="Arial" w:hAnsi="Arial" w:cs="Arial"/>
          <w:i/>
          <w:iCs/>
          <w:sz w:val="22"/>
          <w:szCs w:val="22"/>
          <w:u w:val="single"/>
        </w:rPr>
        <w:t>ies</w:t>
      </w:r>
      <w:r w:rsidR="00357808" w:rsidRPr="00530A90">
        <w:rPr>
          <w:rFonts w:ascii="Arial" w:hAnsi="Arial" w:cs="Arial"/>
          <w:i/>
          <w:iCs/>
          <w:sz w:val="22"/>
          <w:szCs w:val="22"/>
          <w:u w:val="single"/>
        </w:rPr>
        <w:t xml:space="preserve">, communication and IT </w:t>
      </w:r>
      <w:r w:rsidR="00AD1828" w:rsidRPr="00530A90">
        <w:rPr>
          <w:rFonts w:ascii="Arial" w:hAnsi="Arial" w:cs="Arial"/>
          <w:i/>
          <w:iCs/>
          <w:sz w:val="22"/>
          <w:szCs w:val="22"/>
          <w:u w:val="single"/>
        </w:rPr>
        <w:t xml:space="preserve">services by </w:t>
      </w:r>
      <w:r w:rsidR="00357808" w:rsidRPr="00530A90">
        <w:rPr>
          <w:rFonts w:ascii="Arial" w:hAnsi="Arial" w:cs="Arial"/>
          <w:i/>
          <w:iCs/>
          <w:sz w:val="22"/>
          <w:szCs w:val="22"/>
          <w:u w:val="single"/>
        </w:rPr>
        <w:t xml:space="preserve">suppliers. 233B </w:t>
      </w:r>
      <w:r w:rsidR="00AD1828" w:rsidRPr="00530A90">
        <w:rPr>
          <w:rFonts w:ascii="Arial" w:hAnsi="Arial" w:cs="Arial"/>
          <w:i/>
          <w:iCs/>
          <w:sz w:val="22"/>
          <w:szCs w:val="22"/>
          <w:u w:val="single"/>
        </w:rPr>
        <w:t>opens</w:t>
      </w:r>
      <w:r w:rsidR="00357808" w:rsidRPr="00530A90">
        <w:rPr>
          <w:rFonts w:ascii="Arial" w:hAnsi="Arial" w:cs="Arial"/>
          <w:i/>
          <w:iCs/>
          <w:sz w:val="22"/>
          <w:szCs w:val="22"/>
          <w:u w:val="single"/>
        </w:rPr>
        <w:t xml:space="preserve"> the restriction on termination to all </w:t>
      </w:r>
      <w:r w:rsidR="00AD1828" w:rsidRPr="00530A90">
        <w:rPr>
          <w:rFonts w:ascii="Arial" w:hAnsi="Arial" w:cs="Arial"/>
          <w:i/>
          <w:iCs/>
          <w:sz w:val="22"/>
          <w:szCs w:val="22"/>
          <w:u w:val="single"/>
        </w:rPr>
        <w:t xml:space="preserve">suppliers, </w:t>
      </w:r>
      <w:r w:rsidR="00357808" w:rsidRPr="00530A90">
        <w:rPr>
          <w:rFonts w:ascii="Arial" w:hAnsi="Arial" w:cs="Arial"/>
          <w:i/>
          <w:iCs/>
          <w:sz w:val="22"/>
          <w:szCs w:val="22"/>
          <w:u w:val="single"/>
        </w:rPr>
        <w:t>with a limited number of exceptions.</w:t>
      </w:r>
    </w:p>
    <w:p w14:paraId="52145E65" w14:textId="72762839" w:rsidR="00357808" w:rsidRPr="00530A90" w:rsidRDefault="00357808" w:rsidP="00530A90">
      <w:pPr>
        <w:ind w:left="720" w:hanging="720"/>
        <w:rPr>
          <w:rFonts w:ascii="Arial" w:hAnsi="Arial" w:cs="Arial"/>
          <w:i/>
          <w:iCs/>
          <w:sz w:val="22"/>
          <w:szCs w:val="22"/>
          <w:u w:val="single"/>
        </w:rPr>
      </w:pPr>
    </w:p>
    <w:p w14:paraId="39F20340" w14:textId="6EEDEBB1" w:rsidR="00357808" w:rsidRPr="00C867B8" w:rsidRDefault="00357808" w:rsidP="00357808">
      <w:pPr>
        <w:jc w:val="both"/>
        <w:rPr>
          <w:rFonts w:ascii="Arial" w:hAnsi="Arial" w:cs="Arial"/>
          <w:i/>
          <w:iCs/>
          <w:sz w:val="22"/>
          <w:szCs w:val="22"/>
        </w:rPr>
      </w:pPr>
    </w:p>
    <w:p w14:paraId="11839190" w14:textId="77777777" w:rsidR="0067554F" w:rsidRPr="00FF5098" w:rsidRDefault="0067554F" w:rsidP="0067554F">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416B3334" w14:textId="64957102" w:rsidR="00FF5098" w:rsidRDefault="00FF5098" w:rsidP="00FF5098">
      <w:pPr>
        <w:jc w:val="both"/>
        <w:rPr>
          <w:rFonts w:ascii="Arial" w:hAnsi="Arial" w:cs="Arial"/>
          <w:sz w:val="22"/>
          <w:szCs w:val="22"/>
        </w:rPr>
      </w:pPr>
    </w:p>
    <w:p w14:paraId="14877785" w14:textId="10F33DF0" w:rsidR="00AD1828" w:rsidRPr="00530A90" w:rsidRDefault="00CD1002" w:rsidP="00FF5098">
      <w:pPr>
        <w:jc w:val="both"/>
        <w:rPr>
          <w:rFonts w:ascii="Arial" w:hAnsi="Arial" w:cs="Arial"/>
          <w:i/>
          <w:iCs/>
          <w:sz w:val="22"/>
          <w:szCs w:val="22"/>
          <w:u w:val="single"/>
        </w:rPr>
      </w:pPr>
      <w:r w:rsidRPr="007234B6">
        <w:rPr>
          <w:rFonts w:ascii="Arial" w:hAnsi="Arial" w:cs="Arial"/>
          <w:i/>
          <w:iCs/>
          <w:sz w:val="22"/>
          <w:szCs w:val="22"/>
        </w:rPr>
        <w:t xml:space="preserve"> </w:t>
      </w:r>
      <w:r w:rsidR="007234B6" w:rsidRPr="00530A90">
        <w:rPr>
          <w:rFonts w:ascii="Arial" w:hAnsi="Arial" w:cs="Arial"/>
          <w:i/>
          <w:iCs/>
          <w:sz w:val="22"/>
          <w:szCs w:val="22"/>
          <w:u w:val="single"/>
        </w:rPr>
        <w:t>T</w:t>
      </w:r>
      <w:r w:rsidR="009F4933" w:rsidRPr="00530A90">
        <w:rPr>
          <w:rFonts w:ascii="Arial" w:hAnsi="Arial" w:cs="Arial"/>
          <w:i/>
          <w:iCs/>
          <w:sz w:val="22"/>
          <w:szCs w:val="22"/>
          <w:u w:val="single"/>
        </w:rPr>
        <w:t xml:space="preserve">he </w:t>
      </w:r>
      <w:r w:rsidRPr="00530A90">
        <w:rPr>
          <w:rFonts w:ascii="Arial" w:hAnsi="Arial" w:cs="Arial"/>
          <w:i/>
          <w:iCs/>
          <w:sz w:val="22"/>
          <w:szCs w:val="22"/>
          <w:u w:val="single"/>
        </w:rPr>
        <w:t xml:space="preserve">order </w:t>
      </w:r>
      <w:r w:rsidR="00530A90" w:rsidRPr="00530A90">
        <w:rPr>
          <w:rFonts w:ascii="Arial" w:hAnsi="Arial" w:cs="Arial"/>
          <w:i/>
          <w:iCs/>
          <w:sz w:val="22"/>
          <w:szCs w:val="22"/>
          <w:u w:val="single"/>
        </w:rPr>
        <w:t>in which payments will take priority</w:t>
      </w:r>
      <w:r w:rsidRPr="00530A90">
        <w:rPr>
          <w:rFonts w:ascii="Arial" w:hAnsi="Arial" w:cs="Arial"/>
          <w:i/>
          <w:iCs/>
          <w:sz w:val="22"/>
          <w:szCs w:val="22"/>
          <w:u w:val="single"/>
        </w:rPr>
        <w:t xml:space="preserve"> </w:t>
      </w:r>
      <w:r w:rsidR="00530A90" w:rsidRPr="00530A90">
        <w:rPr>
          <w:rFonts w:ascii="Arial" w:hAnsi="Arial" w:cs="Arial"/>
          <w:i/>
          <w:iCs/>
          <w:sz w:val="22"/>
          <w:szCs w:val="22"/>
          <w:u w:val="single"/>
        </w:rPr>
        <w:t>with</w:t>
      </w:r>
      <w:r w:rsidR="009F4933" w:rsidRPr="00530A90">
        <w:rPr>
          <w:rFonts w:ascii="Arial" w:hAnsi="Arial" w:cs="Arial"/>
          <w:i/>
          <w:iCs/>
          <w:sz w:val="22"/>
          <w:szCs w:val="22"/>
          <w:u w:val="single"/>
        </w:rPr>
        <w:t xml:space="preserve">in a </w:t>
      </w:r>
      <w:r w:rsidR="007234B6" w:rsidRPr="00530A90">
        <w:rPr>
          <w:rFonts w:ascii="Arial" w:hAnsi="Arial" w:cs="Arial"/>
          <w:i/>
          <w:iCs/>
          <w:sz w:val="22"/>
          <w:szCs w:val="22"/>
          <w:u w:val="single"/>
        </w:rPr>
        <w:t>liquidation</w:t>
      </w:r>
      <w:r w:rsidR="00AD1828" w:rsidRPr="00530A90">
        <w:rPr>
          <w:rFonts w:ascii="Arial" w:hAnsi="Arial" w:cs="Arial"/>
          <w:i/>
          <w:iCs/>
          <w:sz w:val="22"/>
          <w:szCs w:val="22"/>
          <w:u w:val="single"/>
        </w:rPr>
        <w:t xml:space="preserve"> </w:t>
      </w:r>
      <w:r w:rsidR="00530A90" w:rsidRPr="00530A90">
        <w:rPr>
          <w:rFonts w:ascii="Arial" w:hAnsi="Arial" w:cs="Arial"/>
          <w:i/>
          <w:iCs/>
          <w:sz w:val="22"/>
          <w:szCs w:val="22"/>
          <w:u w:val="single"/>
        </w:rPr>
        <w:t>are</w:t>
      </w:r>
      <w:r w:rsidR="00AD1828" w:rsidRPr="00530A90">
        <w:rPr>
          <w:rFonts w:ascii="Arial" w:hAnsi="Arial" w:cs="Arial"/>
          <w:i/>
          <w:iCs/>
          <w:sz w:val="22"/>
          <w:szCs w:val="22"/>
          <w:u w:val="single"/>
        </w:rPr>
        <w:t xml:space="preserve"> as </w:t>
      </w:r>
      <w:r w:rsidR="00530A90" w:rsidRPr="00530A90">
        <w:rPr>
          <w:rFonts w:ascii="Arial" w:hAnsi="Arial" w:cs="Arial"/>
          <w:i/>
          <w:iCs/>
          <w:sz w:val="22"/>
          <w:szCs w:val="22"/>
          <w:u w:val="single"/>
        </w:rPr>
        <w:t>follows, the holder of fixed charges, expenses of the procedure, preferential creditors, floating charge, unsecured creditors and lastly and quite rarely shareholders.</w:t>
      </w:r>
    </w:p>
    <w:p w14:paraId="5E9BED70" w14:textId="1EF0C5F2" w:rsidR="00530A90" w:rsidRPr="00530A90" w:rsidRDefault="00530A90" w:rsidP="00FF5098">
      <w:pPr>
        <w:jc w:val="both"/>
        <w:rPr>
          <w:rFonts w:ascii="Arial" w:hAnsi="Arial" w:cs="Arial"/>
          <w:i/>
          <w:iCs/>
          <w:sz w:val="22"/>
          <w:szCs w:val="22"/>
          <w:u w:val="single"/>
        </w:rPr>
      </w:pPr>
    </w:p>
    <w:p w14:paraId="15E689BE" w14:textId="754C0C60" w:rsidR="00530A90" w:rsidRPr="00530A90" w:rsidRDefault="00530A90" w:rsidP="00FF5098">
      <w:pPr>
        <w:jc w:val="both"/>
        <w:rPr>
          <w:rFonts w:ascii="Arial" w:hAnsi="Arial" w:cs="Arial"/>
          <w:i/>
          <w:iCs/>
          <w:sz w:val="22"/>
          <w:szCs w:val="22"/>
          <w:u w:val="single"/>
        </w:rPr>
      </w:pPr>
      <w:r w:rsidRPr="00530A90">
        <w:rPr>
          <w:rFonts w:ascii="Arial" w:hAnsi="Arial" w:cs="Arial"/>
          <w:i/>
          <w:iCs/>
          <w:sz w:val="22"/>
          <w:szCs w:val="22"/>
          <w:u w:val="single"/>
        </w:rPr>
        <w:t>Each of these are explained in further details below:</w:t>
      </w:r>
    </w:p>
    <w:p w14:paraId="3A569012" w14:textId="77777777" w:rsidR="00AD1828" w:rsidRPr="00530A90" w:rsidRDefault="00AD1828" w:rsidP="00FF5098">
      <w:pPr>
        <w:jc w:val="both"/>
        <w:rPr>
          <w:rFonts w:ascii="Arial" w:hAnsi="Arial" w:cs="Arial"/>
          <w:i/>
          <w:iCs/>
          <w:sz w:val="22"/>
          <w:szCs w:val="22"/>
          <w:u w:val="single"/>
        </w:rPr>
      </w:pPr>
    </w:p>
    <w:p w14:paraId="3B0C820A" w14:textId="77777777" w:rsidR="00AD1828" w:rsidRPr="00530A90" w:rsidRDefault="00AD1828" w:rsidP="00FF5098">
      <w:pPr>
        <w:jc w:val="both"/>
        <w:rPr>
          <w:rFonts w:ascii="Arial" w:hAnsi="Arial" w:cs="Arial"/>
          <w:i/>
          <w:iCs/>
          <w:sz w:val="22"/>
          <w:szCs w:val="22"/>
          <w:u w:val="single"/>
        </w:rPr>
      </w:pPr>
      <w:r w:rsidRPr="00530A90">
        <w:rPr>
          <w:rFonts w:ascii="Arial" w:hAnsi="Arial" w:cs="Arial"/>
          <w:i/>
          <w:iCs/>
          <w:sz w:val="22"/>
          <w:szCs w:val="22"/>
          <w:u w:val="single"/>
        </w:rPr>
        <w:t>Firstly, the</w:t>
      </w:r>
      <w:r w:rsidR="007234B6" w:rsidRPr="00530A90">
        <w:rPr>
          <w:rFonts w:ascii="Arial" w:hAnsi="Arial" w:cs="Arial"/>
          <w:i/>
          <w:iCs/>
          <w:sz w:val="22"/>
          <w:szCs w:val="22"/>
          <w:u w:val="single"/>
        </w:rPr>
        <w:t xml:space="preserve"> holder of fixed charges</w:t>
      </w:r>
      <w:r w:rsidR="009F4933" w:rsidRPr="00530A90">
        <w:rPr>
          <w:rFonts w:ascii="Arial" w:hAnsi="Arial" w:cs="Arial"/>
          <w:i/>
          <w:iCs/>
          <w:sz w:val="22"/>
          <w:szCs w:val="22"/>
          <w:u w:val="single"/>
        </w:rPr>
        <w:t xml:space="preserve"> will be paid usually outside of any formal insolvency</w:t>
      </w:r>
    </w:p>
    <w:p w14:paraId="28AD823E" w14:textId="77777777" w:rsidR="00AD1828" w:rsidRPr="00530A90" w:rsidRDefault="00AD1828" w:rsidP="00FF5098">
      <w:pPr>
        <w:jc w:val="both"/>
        <w:rPr>
          <w:rFonts w:ascii="Arial" w:hAnsi="Arial" w:cs="Arial"/>
          <w:i/>
          <w:iCs/>
          <w:sz w:val="22"/>
          <w:szCs w:val="22"/>
          <w:u w:val="single"/>
        </w:rPr>
      </w:pPr>
    </w:p>
    <w:p w14:paraId="2FDB6A1E" w14:textId="3E5CB08E" w:rsidR="00AD1828" w:rsidRPr="00530A90" w:rsidRDefault="00AD1828" w:rsidP="00FF5098">
      <w:pPr>
        <w:jc w:val="both"/>
        <w:rPr>
          <w:rFonts w:ascii="Arial" w:hAnsi="Arial" w:cs="Arial"/>
          <w:i/>
          <w:iCs/>
          <w:sz w:val="22"/>
          <w:szCs w:val="22"/>
          <w:u w:val="single"/>
        </w:rPr>
      </w:pPr>
      <w:r w:rsidRPr="00530A90">
        <w:rPr>
          <w:rFonts w:ascii="Arial" w:hAnsi="Arial" w:cs="Arial"/>
          <w:i/>
          <w:iCs/>
          <w:sz w:val="22"/>
          <w:szCs w:val="22"/>
          <w:u w:val="single"/>
        </w:rPr>
        <w:t xml:space="preserve">Second, </w:t>
      </w:r>
      <w:r w:rsidR="009F4933" w:rsidRPr="00530A90">
        <w:rPr>
          <w:rFonts w:ascii="Arial" w:hAnsi="Arial" w:cs="Arial"/>
          <w:i/>
          <w:iCs/>
          <w:sz w:val="22"/>
          <w:szCs w:val="22"/>
          <w:u w:val="single"/>
        </w:rPr>
        <w:t>then the expenses of the procedure</w:t>
      </w:r>
      <w:r w:rsidRPr="00530A90">
        <w:rPr>
          <w:rFonts w:ascii="Arial" w:hAnsi="Arial" w:cs="Arial"/>
          <w:i/>
          <w:iCs/>
          <w:sz w:val="22"/>
          <w:szCs w:val="22"/>
          <w:u w:val="single"/>
        </w:rPr>
        <w:t xml:space="preserve">. This includes renumeration of the administrator or liquidator and any additional expenses incurred </w:t>
      </w:r>
      <w:r w:rsidR="00530A90" w:rsidRPr="00530A90">
        <w:rPr>
          <w:rFonts w:ascii="Arial" w:hAnsi="Arial" w:cs="Arial"/>
          <w:i/>
          <w:iCs/>
          <w:sz w:val="22"/>
          <w:szCs w:val="22"/>
          <w:u w:val="single"/>
        </w:rPr>
        <w:t>regarding</w:t>
      </w:r>
      <w:r w:rsidRPr="00530A90">
        <w:rPr>
          <w:rFonts w:ascii="Arial" w:hAnsi="Arial" w:cs="Arial"/>
          <w:i/>
          <w:iCs/>
          <w:sz w:val="22"/>
          <w:szCs w:val="22"/>
          <w:u w:val="single"/>
        </w:rPr>
        <w:t xml:space="preserve"> the insolvency process.</w:t>
      </w:r>
    </w:p>
    <w:p w14:paraId="025DF933" w14:textId="6A2DBEC4" w:rsidR="009F4933" w:rsidRPr="00530A90" w:rsidRDefault="009F4933" w:rsidP="00FF5098">
      <w:pPr>
        <w:jc w:val="both"/>
        <w:rPr>
          <w:rFonts w:ascii="Arial" w:hAnsi="Arial" w:cs="Arial"/>
          <w:i/>
          <w:iCs/>
          <w:sz w:val="22"/>
          <w:szCs w:val="22"/>
          <w:u w:val="single"/>
        </w:rPr>
      </w:pPr>
    </w:p>
    <w:p w14:paraId="77FC499B" w14:textId="07F77440" w:rsidR="009F4933" w:rsidRPr="00530A90" w:rsidRDefault="00AD1828" w:rsidP="00FF5098">
      <w:pPr>
        <w:jc w:val="both"/>
        <w:rPr>
          <w:rFonts w:ascii="Arial" w:hAnsi="Arial" w:cs="Arial"/>
          <w:i/>
          <w:iCs/>
          <w:sz w:val="22"/>
          <w:szCs w:val="22"/>
          <w:u w:val="single"/>
        </w:rPr>
      </w:pPr>
      <w:r w:rsidRPr="00530A90">
        <w:rPr>
          <w:rFonts w:ascii="Arial" w:hAnsi="Arial" w:cs="Arial"/>
          <w:i/>
          <w:iCs/>
          <w:sz w:val="22"/>
          <w:szCs w:val="22"/>
          <w:u w:val="single"/>
        </w:rPr>
        <w:t xml:space="preserve">Next, </w:t>
      </w:r>
      <w:r w:rsidR="009F4933" w:rsidRPr="00530A90">
        <w:rPr>
          <w:rFonts w:ascii="Arial" w:hAnsi="Arial" w:cs="Arial"/>
          <w:i/>
          <w:iCs/>
          <w:sz w:val="22"/>
          <w:szCs w:val="22"/>
          <w:u w:val="single"/>
        </w:rPr>
        <w:t>Preferential creditors</w:t>
      </w:r>
      <w:r w:rsidRPr="00530A90">
        <w:rPr>
          <w:rFonts w:ascii="Arial" w:hAnsi="Arial" w:cs="Arial"/>
          <w:i/>
          <w:iCs/>
          <w:sz w:val="22"/>
          <w:szCs w:val="22"/>
          <w:u w:val="single"/>
        </w:rPr>
        <w:t xml:space="preserve"> are then paid.</w:t>
      </w:r>
      <w:r w:rsidR="009F4933" w:rsidRPr="00530A90">
        <w:rPr>
          <w:rFonts w:ascii="Arial" w:hAnsi="Arial" w:cs="Arial"/>
          <w:i/>
          <w:iCs/>
          <w:sz w:val="22"/>
          <w:szCs w:val="22"/>
          <w:u w:val="single"/>
        </w:rPr>
        <w:t xml:space="preserve"> </w:t>
      </w:r>
      <w:r w:rsidRPr="00530A90">
        <w:rPr>
          <w:rFonts w:ascii="Arial" w:hAnsi="Arial" w:cs="Arial"/>
          <w:i/>
          <w:iCs/>
          <w:sz w:val="22"/>
          <w:szCs w:val="22"/>
          <w:u w:val="single"/>
        </w:rPr>
        <w:t>Preferential creditors are</w:t>
      </w:r>
      <w:r w:rsidR="00A374E1" w:rsidRPr="00530A90">
        <w:rPr>
          <w:rFonts w:ascii="Arial" w:hAnsi="Arial" w:cs="Arial"/>
          <w:i/>
          <w:iCs/>
          <w:sz w:val="22"/>
          <w:szCs w:val="22"/>
          <w:u w:val="single"/>
        </w:rPr>
        <w:t xml:space="preserve"> </w:t>
      </w:r>
      <w:r w:rsidR="009F4933" w:rsidRPr="00530A90">
        <w:rPr>
          <w:rFonts w:ascii="Arial" w:hAnsi="Arial" w:cs="Arial"/>
          <w:i/>
          <w:iCs/>
          <w:sz w:val="22"/>
          <w:szCs w:val="22"/>
          <w:u w:val="single"/>
        </w:rPr>
        <w:t>the class of creditors that are limited to reasonably modest claims</w:t>
      </w:r>
      <w:r w:rsidRPr="00530A90">
        <w:rPr>
          <w:rFonts w:ascii="Arial" w:hAnsi="Arial" w:cs="Arial"/>
          <w:i/>
          <w:iCs/>
          <w:sz w:val="22"/>
          <w:szCs w:val="22"/>
          <w:u w:val="single"/>
        </w:rPr>
        <w:t xml:space="preserve"> (</w:t>
      </w:r>
      <w:proofErr w:type="spellStart"/>
      <w:r w:rsidRPr="00530A90">
        <w:rPr>
          <w:rFonts w:ascii="Arial" w:hAnsi="Arial" w:cs="Arial"/>
          <w:i/>
          <w:iCs/>
          <w:sz w:val="22"/>
          <w:szCs w:val="22"/>
          <w:u w:val="single"/>
        </w:rPr>
        <w:t>i.e</w:t>
      </w:r>
      <w:proofErr w:type="spellEnd"/>
      <w:r w:rsidRPr="00530A90">
        <w:rPr>
          <w:rFonts w:ascii="Arial" w:hAnsi="Arial" w:cs="Arial"/>
          <w:i/>
          <w:iCs/>
          <w:sz w:val="22"/>
          <w:szCs w:val="22"/>
          <w:u w:val="single"/>
        </w:rPr>
        <w:t xml:space="preserve"> owed employees’ </w:t>
      </w:r>
      <w:r w:rsidR="00530A90" w:rsidRPr="00530A90">
        <w:rPr>
          <w:rFonts w:ascii="Arial" w:hAnsi="Arial" w:cs="Arial"/>
          <w:i/>
          <w:iCs/>
          <w:sz w:val="22"/>
          <w:szCs w:val="22"/>
          <w:u w:val="single"/>
        </w:rPr>
        <w:t>wages;</w:t>
      </w:r>
      <w:r w:rsidRPr="00530A90">
        <w:rPr>
          <w:rFonts w:ascii="Arial" w:hAnsi="Arial" w:cs="Arial"/>
          <w:i/>
          <w:iCs/>
          <w:sz w:val="22"/>
          <w:szCs w:val="22"/>
          <w:u w:val="single"/>
        </w:rPr>
        <w:t xml:space="preserve"> taxation debts owed to the government)</w:t>
      </w:r>
      <w:r w:rsidR="009F4933" w:rsidRPr="00530A90">
        <w:rPr>
          <w:rFonts w:ascii="Arial" w:hAnsi="Arial" w:cs="Arial"/>
          <w:i/>
          <w:iCs/>
          <w:sz w:val="22"/>
          <w:szCs w:val="22"/>
          <w:u w:val="single"/>
        </w:rPr>
        <w:t xml:space="preserve"> </w:t>
      </w:r>
    </w:p>
    <w:p w14:paraId="6A6E150A" w14:textId="1C29FE72" w:rsidR="00E6322D" w:rsidRPr="00530A90" w:rsidRDefault="00E6322D" w:rsidP="00FF5098">
      <w:pPr>
        <w:jc w:val="both"/>
        <w:rPr>
          <w:rFonts w:ascii="Arial" w:hAnsi="Arial" w:cs="Arial"/>
          <w:i/>
          <w:iCs/>
          <w:sz w:val="22"/>
          <w:szCs w:val="22"/>
          <w:u w:val="single"/>
        </w:rPr>
      </w:pPr>
    </w:p>
    <w:p w14:paraId="12131EC7" w14:textId="795F481D" w:rsidR="00E6322D" w:rsidRPr="00530A90" w:rsidRDefault="00E6322D" w:rsidP="00FF5098">
      <w:pPr>
        <w:jc w:val="both"/>
        <w:rPr>
          <w:rFonts w:ascii="Arial" w:hAnsi="Arial" w:cs="Arial"/>
          <w:i/>
          <w:iCs/>
          <w:sz w:val="22"/>
          <w:szCs w:val="22"/>
          <w:u w:val="single"/>
        </w:rPr>
      </w:pPr>
      <w:r w:rsidRPr="00530A90">
        <w:rPr>
          <w:rFonts w:ascii="Arial" w:hAnsi="Arial" w:cs="Arial"/>
          <w:i/>
          <w:iCs/>
          <w:sz w:val="22"/>
          <w:szCs w:val="22"/>
          <w:u w:val="single"/>
        </w:rPr>
        <w:t xml:space="preserve">Floating </w:t>
      </w:r>
      <w:proofErr w:type="gramStart"/>
      <w:r w:rsidRPr="00530A90">
        <w:rPr>
          <w:rFonts w:ascii="Arial" w:hAnsi="Arial" w:cs="Arial"/>
          <w:i/>
          <w:iCs/>
          <w:sz w:val="22"/>
          <w:szCs w:val="22"/>
          <w:u w:val="single"/>
        </w:rPr>
        <w:t>Charge</w:t>
      </w:r>
      <w:r w:rsidR="008A047E">
        <w:rPr>
          <w:rFonts w:ascii="Arial" w:hAnsi="Arial" w:cs="Arial"/>
          <w:i/>
          <w:iCs/>
          <w:sz w:val="22"/>
          <w:szCs w:val="22"/>
          <w:u w:val="single"/>
        </w:rPr>
        <w:t>;</w:t>
      </w:r>
      <w:proofErr w:type="gramEnd"/>
      <w:r w:rsidR="008A047E">
        <w:rPr>
          <w:rFonts w:ascii="Arial" w:hAnsi="Arial" w:cs="Arial"/>
          <w:i/>
          <w:iCs/>
          <w:sz w:val="22"/>
          <w:szCs w:val="22"/>
          <w:u w:val="single"/>
        </w:rPr>
        <w:t xml:space="preserve"> the liquidating company can have more than one floating charge holder and in this case then and only then will </w:t>
      </w:r>
    </w:p>
    <w:p w14:paraId="5C2AEF79" w14:textId="7631ECEA" w:rsidR="00A374E1" w:rsidRPr="00530A90" w:rsidRDefault="00A374E1" w:rsidP="00FF5098">
      <w:pPr>
        <w:jc w:val="both"/>
        <w:rPr>
          <w:rFonts w:ascii="Arial" w:hAnsi="Arial" w:cs="Arial"/>
          <w:i/>
          <w:iCs/>
          <w:sz w:val="22"/>
          <w:szCs w:val="22"/>
          <w:u w:val="single"/>
        </w:rPr>
      </w:pPr>
    </w:p>
    <w:p w14:paraId="745AC5CA" w14:textId="749DB3CE" w:rsidR="00A374E1" w:rsidRPr="00530A90" w:rsidRDefault="00530A90" w:rsidP="00FF5098">
      <w:pPr>
        <w:jc w:val="both"/>
        <w:rPr>
          <w:rFonts w:ascii="Arial" w:hAnsi="Arial" w:cs="Arial"/>
          <w:i/>
          <w:iCs/>
          <w:sz w:val="22"/>
          <w:szCs w:val="22"/>
          <w:u w:val="single"/>
        </w:rPr>
      </w:pPr>
      <w:r w:rsidRPr="00530A90">
        <w:rPr>
          <w:rFonts w:ascii="Arial" w:hAnsi="Arial" w:cs="Arial"/>
          <w:i/>
          <w:iCs/>
          <w:sz w:val="22"/>
          <w:szCs w:val="22"/>
          <w:u w:val="single"/>
        </w:rPr>
        <w:t>Then,</w:t>
      </w:r>
      <w:r w:rsidR="00AD1828" w:rsidRPr="00530A90">
        <w:rPr>
          <w:rFonts w:ascii="Arial" w:hAnsi="Arial" w:cs="Arial"/>
          <w:i/>
          <w:iCs/>
          <w:sz w:val="22"/>
          <w:szCs w:val="22"/>
          <w:u w:val="single"/>
        </w:rPr>
        <w:t xml:space="preserve"> </w:t>
      </w:r>
      <w:r w:rsidR="00A374E1" w:rsidRPr="00530A90">
        <w:rPr>
          <w:rFonts w:ascii="Arial" w:hAnsi="Arial" w:cs="Arial"/>
          <w:i/>
          <w:iCs/>
          <w:sz w:val="22"/>
          <w:szCs w:val="22"/>
          <w:u w:val="single"/>
        </w:rPr>
        <w:t>Unsecured Creditors</w:t>
      </w:r>
      <w:r w:rsidRPr="00530A90">
        <w:rPr>
          <w:rFonts w:ascii="Arial" w:hAnsi="Arial" w:cs="Arial"/>
          <w:i/>
          <w:iCs/>
          <w:sz w:val="22"/>
          <w:szCs w:val="22"/>
          <w:u w:val="single"/>
        </w:rPr>
        <w:t xml:space="preserve">, in comparison to preferential creditors, </w:t>
      </w:r>
      <w:r w:rsidR="00A374E1" w:rsidRPr="00530A90">
        <w:rPr>
          <w:rFonts w:ascii="Arial" w:hAnsi="Arial" w:cs="Arial"/>
          <w:i/>
          <w:iCs/>
          <w:sz w:val="22"/>
          <w:szCs w:val="22"/>
          <w:u w:val="single"/>
        </w:rPr>
        <w:t xml:space="preserve">are the class of creditors without the benefit of any security or title to assets. </w:t>
      </w:r>
      <w:r w:rsidRPr="00530A90">
        <w:rPr>
          <w:rFonts w:ascii="Arial" w:hAnsi="Arial" w:cs="Arial"/>
          <w:i/>
          <w:iCs/>
          <w:sz w:val="22"/>
          <w:szCs w:val="22"/>
          <w:u w:val="single"/>
        </w:rPr>
        <w:t>U</w:t>
      </w:r>
      <w:r w:rsidR="00A374E1" w:rsidRPr="00530A90">
        <w:rPr>
          <w:rFonts w:ascii="Arial" w:hAnsi="Arial" w:cs="Arial"/>
          <w:i/>
          <w:iCs/>
          <w:sz w:val="22"/>
          <w:szCs w:val="22"/>
          <w:u w:val="single"/>
        </w:rPr>
        <w:t xml:space="preserve">nsecured creditors are </w:t>
      </w:r>
      <w:r w:rsidRPr="00530A90">
        <w:rPr>
          <w:rFonts w:ascii="Arial" w:hAnsi="Arial" w:cs="Arial"/>
          <w:i/>
          <w:iCs/>
          <w:sz w:val="22"/>
          <w:szCs w:val="22"/>
          <w:u w:val="single"/>
        </w:rPr>
        <w:t xml:space="preserve">usually </w:t>
      </w:r>
      <w:r w:rsidR="00A374E1" w:rsidRPr="00530A90">
        <w:rPr>
          <w:rFonts w:ascii="Arial" w:hAnsi="Arial" w:cs="Arial"/>
          <w:i/>
          <w:iCs/>
          <w:sz w:val="22"/>
          <w:szCs w:val="22"/>
          <w:u w:val="single"/>
        </w:rPr>
        <w:t xml:space="preserve">ordinary trade suppliers and taxation liabilities. </w:t>
      </w:r>
    </w:p>
    <w:p w14:paraId="2A9035E7" w14:textId="797097EF" w:rsidR="00E6322D" w:rsidRPr="00530A90" w:rsidRDefault="00E6322D" w:rsidP="00FF5098">
      <w:pPr>
        <w:jc w:val="both"/>
        <w:rPr>
          <w:rFonts w:ascii="Arial" w:hAnsi="Arial" w:cs="Arial"/>
          <w:i/>
          <w:iCs/>
          <w:sz w:val="22"/>
          <w:szCs w:val="22"/>
          <w:u w:val="single"/>
        </w:rPr>
      </w:pPr>
    </w:p>
    <w:p w14:paraId="6F81B4CA" w14:textId="585C905F" w:rsidR="00E6322D" w:rsidRPr="00530A90" w:rsidRDefault="00841D4F" w:rsidP="00FF5098">
      <w:pPr>
        <w:jc w:val="both"/>
        <w:rPr>
          <w:rFonts w:ascii="Arial" w:hAnsi="Arial" w:cs="Arial"/>
          <w:i/>
          <w:iCs/>
          <w:color w:val="7B7B7B" w:themeColor="accent3" w:themeShade="BF"/>
          <w:sz w:val="22"/>
          <w:szCs w:val="22"/>
          <w:u w:val="single"/>
          <w:lang w:val="en-GB"/>
        </w:rPr>
      </w:pPr>
      <w:r>
        <w:rPr>
          <w:rFonts w:ascii="Arial" w:hAnsi="Arial" w:cs="Arial"/>
          <w:i/>
          <w:iCs/>
          <w:sz w:val="22"/>
          <w:szCs w:val="22"/>
          <w:u w:val="single"/>
        </w:rPr>
        <w:t>Lastly,</w:t>
      </w:r>
      <w:r w:rsidR="00E6322D" w:rsidRPr="00530A90">
        <w:rPr>
          <w:rFonts w:ascii="Arial" w:hAnsi="Arial" w:cs="Arial"/>
          <w:i/>
          <w:iCs/>
          <w:sz w:val="22"/>
          <w:szCs w:val="22"/>
          <w:u w:val="single"/>
        </w:rPr>
        <w:t xml:space="preserve"> </w:t>
      </w:r>
      <w:r>
        <w:rPr>
          <w:rFonts w:ascii="Arial" w:hAnsi="Arial" w:cs="Arial"/>
          <w:i/>
          <w:iCs/>
          <w:sz w:val="22"/>
          <w:szCs w:val="22"/>
          <w:u w:val="single"/>
        </w:rPr>
        <w:t>i</w:t>
      </w:r>
      <w:r w:rsidR="00530A90" w:rsidRPr="00530A90">
        <w:rPr>
          <w:rFonts w:ascii="Arial" w:hAnsi="Arial" w:cs="Arial"/>
          <w:i/>
          <w:iCs/>
          <w:sz w:val="22"/>
          <w:szCs w:val="22"/>
          <w:u w:val="single"/>
        </w:rPr>
        <w:t>f the company is found to be solvent after the payment of all the above-mentioned liabilities, the surplus will be paid to the members. This will be dictated by the Articles of Association.</w:t>
      </w:r>
    </w:p>
    <w:p w14:paraId="3DAA6780" w14:textId="35F146A0" w:rsidR="00962045" w:rsidRPr="00530A90" w:rsidRDefault="00962045" w:rsidP="002A37BB">
      <w:pPr>
        <w:jc w:val="both"/>
        <w:rPr>
          <w:rFonts w:ascii="Arial" w:hAnsi="Arial" w:cs="Arial"/>
          <w:sz w:val="22"/>
          <w:szCs w:val="22"/>
          <w:u w:val="single"/>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463E529C"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w:t>
      </w:r>
      <w:r w:rsidRPr="00CB79E4">
        <w:rPr>
          <w:rFonts w:ascii="Arial" w:hAnsi="Arial" w:cs="Arial"/>
        </w:rPr>
        <w:lastRenderedPageBreak/>
        <w:t xml:space="preserve">repayment of the company’s loans, </w:t>
      </w:r>
      <w:proofErr w:type="spellStart"/>
      <w:r w:rsidR="00891690">
        <w:rPr>
          <w:rFonts w:ascii="Arial" w:hAnsi="Arial" w:cs="Arial"/>
        </w:rPr>
        <w:t>C</w:t>
      </w:r>
      <w:r w:rsidR="00AF65D1">
        <w:rPr>
          <w:rFonts w:ascii="Arial" w:hAnsi="Arial" w:cs="Arial"/>
        </w:rPr>
        <w:t>or</w:t>
      </w:r>
      <w:r w:rsidR="00891690">
        <w:rPr>
          <w:rFonts w:ascii="Arial" w:hAnsi="Arial" w:cs="Arial"/>
        </w:rPr>
        <w:t>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2617BBD3" w14:textId="2660313D"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t>
      </w:r>
      <w:r w:rsidR="0000690F">
        <w:rPr>
          <w:rFonts w:ascii="Arial" w:hAnsi="Arial" w:cs="Arial"/>
        </w:rPr>
        <w:t>was</w:t>
      </w:r>
      <w:r w:rsidR="0070524B">
        <w:rPr>
          <w:rFonts w:ascii="Arial" w:hAnsi="Arial" w:cs="Arial"/>
        </w:rPr>
        <w:t xml:space="preserve">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w:t>
      </w: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09E6094" w:rsidR="007E2919" w:rsidRPr="005E4C44" w:rsidRDefault="007E2919" w:rsidP="007E2919">
      <w:pPr>
        <w:rPr>
          <w:rFonts w:ascii="Arial" w:hAnsi="Arial" w:cs="Arial"/>
          <w:sz w:val="22"/>
          <w:szCs w:val="22"/>
        </w:rPr>
      </w:pPr>
      <w:r w:rsidRPr="005E4C44">
        <w:rPr>
          <w:rFonts w:ascii="Arial" w:hAnsi="Arial" w:cs="Arial"/>
          <w:sz w:val="22"/>
          <w:szCs w:val="22"/>
        </w:rPr>
        <w:t xml:space="preserve">The floating charge in </w:t>
      </w:r>
      <w:proofErr w:type="spellStart"/>
      <w:r w:rsidRPr="005E4C44">
        <w:rPr>
          <w:rFonts w:ascii="Arial" w:hAnsi="Arial" w:cs="Arial"/>
          <w:sz w:val="22"/>
          <w:szCs w:val="22"/>
        </w:rPr>
        <w:t>favour</w:t>
      </w:r>
      <w:proofErr w:type="spellEnd"/>
      <w:r w:rsidRPr="005E4C44">
        <w:rPr>
          <w:rFonts w:ascii="Arial" w:hAnsi="Arial" w:cs="Arial"/>
          <w:sz w:val="22"/>
          <w:szCs w:val="22"/>
        </w:rPr>
        <w:t xml:space="preserve"> of </w:t>
      </w:r>
      <w:proofErr w:type="spellStart"/>
      <w:r w:rsidRPr="005E4C44">
        <w:rPr>
          <w:rFonts w:ascii="Arial" w:hAnsi="Arial" w:cs="Arial"/>
          <w:sz w:val="22"/>
          <w:szCs w:val="22"/>
        </w:rPr>
        <w:t>Stercus</w:t>
      </w:r>
      <w:proofErr w:type="spellEnd"/>
      <w:r w:rsidRPr="005E4C44">
        <w:rPr>
          <w:rFonts w:ascii="Arial" w:hAnsi="Arial" w:cs="Arial"/>
          <w:sz w:val="22"/>
          <w:szCs w:val="22"/>
        </w:rPr>
        <w:t xml:space="preserve"> Bank </w:t>
      </w:r>
      <w:proofErr w:type="gramStart"/>
      <w:r w:rsidRPr="005E4C44">
        <w:rPr>
          <w:rFonts w:ascii="Arial" w:hAnsi="Arial" w:cs="Arial"/>
          <w:sz w:val="22"/>
          <w:szCs w:val="22"/>
        </w:rPr>
        <w:t>plc;</w:t>
      </w:r>
      <w:proofErr w:type="gramEnd"/>
    </w:p>
    <w:p w14:paraId="451B70BA" w14:textId="61081683" w:rsidR="007E2919" w:rsidRPr="005E4C44" w:rsidRDefault="007E2919" w:rsidP="007E2919">
      <w:pPr>
        <w:rPr>
          <w:rFonts w:ascii="Arial" w:hAnsi="Arial" w:cs="Arial"/>
          <w:b/>
          <w:sz w:val="22"/>
          <w:szCs w:val="22"/>
        </w:rPr>
      </w:pPr>
    </w:p>
    <w:p w14:paraId="68F6B3E4" w14:textId="44956954" w:rsidR="0053665F" w:rsidRPr="005E4C44" w:rsidRDefault="00841D4F" w:rsidP="00FF5098">
      <w:pPr>
        <w:jc w:val="both"/>
        <w:rPr>
          <w:rFonts w:ascii="Arial" w:hAnsi="Arial" w:cs="Arial"/>
          <w:i/>
          <w:iCs/>
          <w:sz w:val="22"/>
          <w:szCs w:val="22"/>
          <w:u w:val="single"/>
          <w:lang w:val="en-GB"/>
        </w:rPr>
      </w:pPr>
      <w:r w:rsidRPr="005E4C44">
        <w:rPr>
          <w:rFonts w:ascii="Arial" w:hAnsi="Arial" w:cs="Arial"/>
          <w:i/>
          <w:iCs/>
          <w:sz w:val="22"/>
          <w:szCs w:val="22"/>
          <w:u w:val="single"/>
          <w:lang w:val="en-GB"/>
        </w:rPr>
        <w:t>According to Section 176A of the Act “</w:t>
      </w:r>
      <w:r w:rsidR="0055504D" w:rsidRPr="005E4C44">
        <w:rPr>
          <w:rFonts w:ascii="Arial" w:hAnsi="Arial" w:cs="Arial"/>
          <w:i/>
          <w:iCs/>
          <w:sz w:val="22"/>
          <w:szCs w:val="22"/>
          <w:u w:val="single"/>
          <w:lang w:val="en-GB"/>
        </w:rPr>
        <w:t>The administrator shall make a prescribed part of the company’s net property available for the satisfaction of the unsecured debts and shall not distribute that part to the proprietor of a floating charge except in so far as it exceeds the amount required for the satisfaction of unsecured debts.”</w:t>
      </w:r>
    </w:p>
    <w:p w14:paraId="32F695E1" w14:textId="38E0B4D3" w:rsidR="008A047E" w:rsidRPr="005E4C44" w:rsidRDefault="008A047E" w:rsidP="00FF5098">
      <w:pPr>
        <w:jc w:val="both"/>
        <w:rPr>
          <w:rFonts w:ascii="Arial" w:hAnsi="Arial" w:cs="Arial"/>
          <w:i/>
          <w:iCs/>
          <w:sz w:val="22"/>
          <w:szCs w:val="22"/>
          <w:u w:val="single"/>
          <w:lang w:val="en-GB"/>
        </w:rPr>
      </w:pPr>
    </w:p>
    <w:p w14:paraId="70239325" w14:textId="41B366D0" w:rsidR="0055504D" w:rsidRPr="005E4C44" w:rsidRDefault="008A047E" w:rsidP="00FF5098">
      <w:pPr>
        <w:jc w:val="both"/>
        <w:rPr>
          <w:rFonts w:ascii="Arial" w:hAnsi="Arial" w:cs="Arial"/>
          <w:i/>
          <w:iCs/>
          <w:sz w:val="22"/>
          <w:szCs w:val="22"/>
          <w:u w:val="single"/>
          <w:lang w:val="en-GB"/>
        </w:rPr>
      </w:pPr>
      <w:proofErr w:type="gramStart"/>
      <w:r w:rsidRPr="005E4C44">
        <w:rPr>
          <w:rFonts w:ascii="Arial" w:hAnsi="Arial" w:cs="Arial"/>
          <w:i/>
          <w:iCs/>
          <w:sz w:val="22"/>
          <w:szCs w:val="22"/>
          <w:u w:val="single"/>
          <w:lang w:val="en-GB"/>
        </w:rPr>
        <w:t>In an effort to</w:t>
      </w:r>
      <w:proofErr w:type="gramEnd"/>
      <w:r w:rsidRPr="005E4C44">
        <w:rPr>
          <w:rFonts w:ascii="Arial" w:hAnsi="Arial" w:cs="Arial"/>
          <w:i/>
          <w:iCs/>
          <w:sz w:val="22"/>
          <w:szCs w:val="22"/>
          <w:u w:val="single"/>
          <w:lang w:val="en-GB"/>
        </w:rPr>
        <w:t xml:space="preserve"> prevent the bank from demanding payment of outstanding loans, </w:t>
      </w:r>
      <w:r w:rsidRPr="005E4C44">
        <w:rPr>
          <w:rFonts w:ascii="Arial" w:hAnsi="Arial" w:cs="Arial"/>
          <w:i/>
          <w:iCs/>
          <w:sz w:val="22"/>
          <w:szCs w:val="22"/>
          <w:u w:val="single"/>
          <w:lang w:val="en-GB"/>
        </w:rPr>
        <w:t>the company granted a floating charge granted the debenture which held the floating charge</w:t>
      </w:r>
      <w:r w:rsidRPr="005E4C44">
        <w:rPr>
          <w:rFonts w:ascii="Arial" w:hAnsi="Arial" w:cs="Arial"/>
          <w:i/>
          <w:iCs/>
          <w:sz w:val="22"/>
          <w:szCs w:val="22"/>
          <w:u w:val="single"/>
          <w:lang w:val="en-GB"/>
        </w:rPr>
        <w:t xml:space="preserve">. Due to the </w:t>
      </w:r>
      <w:r w:rsidR="006054FE" w:rsidRPr="005E4C44">
        <w:rPr>
          <w:rFonts w:ascii="Arial" w:hAnsi="Arial" w:cs="Arial"/>
          <w:i/>
          <w:iCs/>
          <w:sz w:val="22"/>
          <w:szCs w:val="22"/>
          <w:u w:val="single"/>
          <w:lang w:val="en-GB"/>
        </w:rPr>
        <w:t>order of priority of payments, floating charge holders are recognized after the payment of fixed charges, liquidation expenses and preferential creditors. But</w:t>
      </w:r>
      <w:r w:rsidR="0055504D" w:rsidRPr="005E4C44">
        <w:rPr>
          <w:rFonts w:ascii="Arial" w:hAnsi="Arial" w:cs="Arial"/>
          <w:i/>
          <w:iCs/>
          <w:sz w:val="22"/>
          <w:szCs w:val="22"/>
          <w:u w:val="single"/>
          <w:lang w:val="en-GB"/>
        </w:rPr>
        <w:t>, by way of section 176A, since the company that has gone into liquidation</w:t>
      </w:r>
      <w:r w:rsidR="00C45504" w:rsidRPr="005E4C44">
        <w:rPr>
          <w:rFonts w:ascii="Arial" w:hAnsi="Arial" w:cs="Arial"/>
          <w:i/>
          <w:iCs/>
          <w:sz w:val="22"/>
          <w:szCs w:val="22"/>
          <w:u w:val="single"/>
          <w:lang w:val="en-GB"/>
        </w:rPr>
        <w:t xml:space="preserve"> on 14</w:t>
      </w:r>
      <w:r w:rsidR="00C45504" w:rsidRPr="005E4C44">
        <w:rPr>
          <w:rFonts w:ascii="Arial" w:hAnsi="Arial" w:cs="Arial"/>
          <w:i/>
          <w:iCs/>
          <w:sz w:val="22"/>
          <w:szCs w:val="22"/>
          <w:u w:val="single"/>
          <w:vertAlign w:val="superscript"/>
          <w:lang w:val="en-GB"/>
        </w:rPr>
        <w:t>th</w:t>
      </w:r>
      <w:r w:rsidR="00C45504" w:rsidRPr="005E4C44">
        <w:rPr>
          <w:rFonts w:ascii="Arial" w:hAnsi="Arial" w:cs="Arial"/>
          <w:i/>
          <w:iCs/>
          <w:sz w:val="22"/>
          <w:szCs w:val="22"/>
          <w:u w:val="single"/>
          <w:lang w:val="en-GB"/>
        </w:rPr>
        <w:t xml:space="preserve"> October 2021</w:t>
      </w:r>
      <w:r w:rsidR="0055504D" w:rsidRPr="005E4C44">
        <w:rPr>
          <w:rFonts w:ascii="Arial" w:hAnsi="Arial" w:cs="Arial"/>
          <w:i/>
          <w:iCs/>
          <w:sz w:val="22"/>
          <w:szCs w:val="22"/>
          <w:u w:val="single"/>
          <w:lang w:val="en-GB"/>
        </w:rPr>
        <w:t xml:space="preserve"> </w:t>
      </w:r>
      <w:r w:rsidR="00C45504" w:rsidRPr="005E4C44">
        <w:rPr>
          <w:rFonts w:ascii="Arial" w:hAnsi="Arial" w:cs="Arial"/>
          <w:i/>
          <w:iCs/>
          <w:sz w:val="22"/>
          <w:szCs w:val="22"/>
          <w:u w:val="single"/>
          <w:lang w:val="en-GB"/>
        </w:rPr>
        <w:t>(</w:t>
      </w:r>
      <w:r w:rsidR="0055504D" w:rsidRPr="005E4C44">
        <w:rPr>
          <w:rFonts w:ascii="Arial" w:hAnsi="Arial" w:cs="Arial"/>
          <w:i/>
          <w:iCs/>
          <w:sz w:val="22"/>
          <w:szCs w:val="22"/>
          <w:u w:val="single"/>
          <w:lang w:val="en-GB"/>
        </w:rPr>
        <w:t>after 15 September 2003</w:t>
      </w:r>
      <w:r w:rsidR="00C45504" w:rsidRPr="005E4C44">
        <w:rPr>
          <w:rFonts w:ascii="Arial" w:hAnsi="Arial" w:cs="Arial"/>
          <w:i/>
          <w:iCs/>
          <w:sz w:val="22"/>
          <w:szCs w:val="22"/>
          <w:u w:val="single"/>
          <w:lang w:val="en-GB"/>
        </w:rPr>
        <w:t>)</w:t>
      </w:r>
      <w:r w:rsidR="0055504D" w:rsidRPr="005E4C44">
        <w:rPr>
          <w:rFonts w:ascii="Arial" w:hAnsi="Arial" w:cs="Arial"/>
          <w:i/>
          <w:iCs/>
          <w:sz w:val="22"/>
          <w:szCs w:val="22"/>
          <w:u w:val="single"/>
          <w:lang w:val="en-GB"/>
        </w:rPr>
        <w:t>, the prescribed part of the company’s net property which is available will go towards paying Beans and Leaves Ltd</w:t>
      </w:r>
      <w:r w:rsidR="00C45504" w:rsidRPr="005E4C44">
        <w:rPr>
          <w:rFonts w:ascii="Arial" w:hAnsi="Arial" w:cs="Arial"/>
          <w:i/>
          <w:iCs/>
          <w:sz w:val="22"/>
          <w:szCs w:val="22"/>
          <w:u w:val="single"/>
          <w:lang w:val="en-GB"/>
        </w:rPr>
        <w:t xml:space="preserve"> firstly before the floating charge holder,</w:t>
      </w:r>
      <w:r w:rsidRPr="005E4C44">
        <w:rPr>
          <w:rFonts w:ascii="Arial" w:hAnsi="Arial" w:cs="Arial"/>
          <w:i/>
          <w:iCs/>
          <w:sz w:val="22"/>
          <w:szCs w:val="22"/>
          <w:u w:val="single"/>
          <w:lang w:val="en-GB"/>
        </w:rPr>
        <w:t xml:space="preserve"> </w:t>
      </w:r>
      <w:proofErr w:type="spellStart"/>
      <w:r w:rsidRPr="005E4C44">
        <w:rPr>
          <w:rFonts w:ascii="Arial" w:hAnsi="Arial" w:cs="Arial"/>
          <w:i/>
          <w:iCs/>
          <w:sz w:val="22"/>
          <w:szCs w:val="22"/>
          <w:u w:val="single"/>
          <w:lang w:val="en-GB"/>
        </w:rPr>
        <w:t>Stercus</w:t>
      </w:r>
      <w:proofErr w:type="spellEnd"/>
      <w:r w:rsidRPr="005E4C44">
        <w:rPr>
          <w:rFonts w:ascii="Arial" w:hAnsi="Arial" w:cs="Arial"/>
          <w:i/>
          <w:iCs/>
          <w:sz w:val="22"/>
          <w:szCs w:val="22"/>
          <w:u w:val="single"/>
          <w:lang w:val="en-GB"/>
        </w:rPr>
        <w:t xml:space="preserve"> Bank plc. </w:t>
      </w:r>
    </w:p>
    <w:p w14:paraId="77C4C1F5" w14:textId="5251D2EF" w:rsidR="008A047E" w:rsidRPr="005E4C44" w:rsidRDefault="008A047E" w:rsidP="00FF5098">
      <w:pPr>
        <w:jc w:val="both"/>
        <w:rPr>
          <w:rFonts w:ascii="Arial" w:hAnsi="Arial" w:cs="Arial"/>
          <w:i/>
          <w:iCs/>
          <w:sz w:val="22"/>
          <w:szCs w:val="22"/>
          <w:u w:val="single"/>
          <w:lang w:val="en-GB"/>
        </w:rPr>
      </w:pPr>
    </w:p>
    <w:p w14:paraId="2815E947" w14:textId="77276F22" w:rsidR="008A047E" w:rsidRPr="005E4C44" w:rsidRDefault="008A047E" w:rsidP="00FF5098">
      <w:pPr>
        <w:jc w:val="both"/>
        <w:rPr>
          <w:rFonts w:ascii="Arial" w:hAnsi="Arial" w:cs="Arial"/>
          <w:i/>
          <w:iCs/>
          <w:sz w:val="22"/>
          <w:szCs w:val="22"/>
          <w:u w:val="single"/>
          <w:lang w:val="en-GB"/>
        </w:rPr>
      </w:pPr>
      <w:r w:rsidRPr="005E4C44">
        <w:rPr>
          <w:rFonts w:ascii="Arial" w:hAnsi="Arial" w:cs="Arial"/>
          <w:i/>
          <w:iCs/>
          <w:sz w:val="22"/>
          <w:szCs w:val="22"/>
          <w:u w:val="single"/>
          <w:lang w:val="en-GB"/>
        </w:rPr>
        <w:t xml:space="preserve">If there is an excess of </w:t>
      </w:r>
      <w:r w:rsidRPr="005E4C44">
        <w:rPr>
          <w:rFonts w:ascii="Arial" w:hAnsi="Arial" w:cs="Arial"/>
          <w:i/>
          <w:iCs/>
          <w:sz w:val="22"/>
          <w:szCs w:val="22"/>
          <w:u w:val="single"/>
        </w:rPr>
        <w:t>£8,000</w:t>
      </w:r>
      <w:r w:rsidRPr="005E4C44">
        <w:rPr>
          <w:rFonts w:ascii="Arial" w:hAnsi="Arial" w:cs="Arial"/>
          <w:i/>
          <w:iCs/>
          <w:sz w:val="22"/>
          <w:szCs w:val="22"/>
          <w:u w:val="single"/>
        </w:rPr>
        <w:t>, which is owed to the supplier, then and only then will the floating charge holder be paid.</w:t>
      </w:r>
    </w:p>
    <w:p w14:paraId="74C366AC" w14:textId="745834D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66DE91C3"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r w:rsidR="006345E1">
        <w:rPr>
          <w:rFonts w:ascii="Arial" w:hAnsi="Arial" w:cs="Arial"/>
          <w:b/>
          <w:sz w:val="24"/>
        </w:rPr>
        <w:t xml:space="preserve"> </w:t>
      </w:r>
    </w:p>
    <w:p w14:paraId="7916647F" w14:textId="470BBF53" w:rsidR="007E2919" w:rsidRDefault="007E2919" w:rsidP="007E2919">
      <w:pPr>
        <w:rPr>
          <w:rFonts w:ascii="Arial" w:hAnsi="Arial" w:cs="Arial"/>
          <w:b/>
          <w:sz w:val="24"/>
        </w:rPr>
      </w:pPr>
    </w:p>
    <w:p w14:paraId="28B7B160" w14:textId="7CCCE3FD" w:rsid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517CC6DF" w14:textId="3AE64522" w:rsidR="00C10FA6" w:rsidRDefault="00C10FA6" w:rsidP="007E2919">
      <w:pPr>
        <w:rPr>
          <w:rFonts w:ascii="Arial" w:hAnsi="Arial" w:cs="Arial"/>
          <w:sz w:val="24"/>
        </w:rPr>
      </w:pPr>
    </w:p>
    <w:p w14:paraId="2ACF5F8B" w14:textId="70911CBA" w:rsidR="00294780" w:rsidRPr="00294780" w:rsidRDefault="00294780" w:rsidP="007E2919">
      <w:pPr>
        <w:rPr>
          <w:rFonts w:ascii="Arial" w:hAnsi="Arial" w:cs="Arial"/>
          <w:i/>
          <w:iCs/>
          <w:sz w:val="24"/>
          <w:u w:val="single"/>
        </w:rPr>
      </w:pPr>
    </w:p>
    <w:p w14:paraId="0A08057B" w14:textId="746A208C" w:rsidR="00294780" w:rsidRPr="00294780" w:rsidRDefault="00294780" w:rsidP="007E2919">
      <w:pPr>
        <w:rPr>
          <w:rFonts w:ascii="Arial" w:hAnsi="Arial" w:cs="Arial"/>
          <w:i/>
          <w:iCs/>
          <w:sz w:val="24"/>
          <w:u w:val="single"/>
        </w:rPr>
      </w:pPr>
      <w:r w:rsidRPr="00294780">
        <w:rPr>
          <w:rFonts w:ascii="Arial" w:hAnsi="Arial" w:cs="Arial"/>
          <w:i/>
          <w:iCs/>
          <w:sz w:val="24"/>
          <w:u w:val="single"/>
        </w:rPr>
        <w:t>Any property which is not a floating charge</w:t>
      </w:r>
      <w:r w:rsidRPr="00294780">
        <w:rPr>
          <w:rFonts w:ascii="Arial" w:hAnsi="Arial" w:cs="Arial"/>
          <w:i/>
          <w:iCs/>
          <w:sz w:val="24"/>
          <w:u w:val="single"/>
        </w:rPr>
        <w:t>, like in this instance, paragraph 71 of schedule B1 of the Act provides that “the liquidator may apply to court for an order permitting him to dispose of that property which the where the court thinks such disposal would be likely to promote the purpose of administration.”</w:t>
      </w:r>
    </w:p>
    <w:p w14:paraId="03F0C1A9" w14:textId="46423361" w:rsidR="006054FE" w:rsidRPr="00294780" w:rsidRDefault="006054FE" w:rsidP="007E2919">
      <w:pPr>
        <w:rPr>
          <w:rFonts w:ascii="Arial" w:hAnsi="Arial" w:cs="Arial"/>
          <w:i/>
          <w:iCs/>
          <w:sz w:val="24"/>
          <w:u w:val="single"/>
        </w:rPr>
      </w:pPr>
    </w:p>
    <w:p w14:paraId="22156C91" w14:textId="1CD7DF5F" w:rsidR="00294780" w:rsidRDefault="006054FE" w:rsidP="007E2919">
      <w:pPr>
        <w:rPr>
          <w:rFonts w:ascii="Arial" w:hAnsi="Arial" w:cs="Arial"/>
          <w:i/>
          <w:iCs/>
          <w:sz w:val="24"/>
          <w:u w:val="single"/>
        </w:rPr>
      </w:pPr>
      <w:r w:rsidRPr="00294780">
        <w:rPr>
          <w:rFonts w:ascii="Arial" w:hAnsi="Arial" w:cs="Arial"/>
          <w:i/>
          <w:iCs/>
          <w:sz w:val="24"/>
          <w:u w:val="single"/>
        </w:rPr>
        <w:t>Five months before the company was placed into compulsory liquidation, the coffee machines were sold at an enormous d</w:t>
      </w:r>
      <w:r w:rsidR="00294780" w:rsidRPr="00294780">
        <w:rPr>
          <w:rFonts w:ascii="Arial" w:hAnsi="Arial" w:cs="Arial"/>
          <w:i/>
          <w:iCs/>
          <w:sz w:val="24"/>
          <w:u w:val="single"/>
        </w:rPr>
        <w:t xml:space="preserve">iscount to a director of the company. </w:t>
      </w:r>
      <w:r w:rsidR="00294780">
        <w:rPr>
          <w:rFonts w:ascii="Arial" w:hAnsi="Arial" w:cs="Arial"/>
          <w:i/>
          <w:iCs/>
          <w:sz w:val="24"/>
          <w:u w:val="single"/>
        </w:rPr>
        <w:t>Due to the large discount giving it is evident and stated that the directors were aware that the company was in fin</w:t>
      </w:r>
      <w:r w:rsidR="00440E89">
        <w:rPr>
          <w:rFonts w:ascii="Arial" w:hAnsi="Arial" w:cs="Arial"/>
          <w:i/>
          <w:iCs/>
          <w:sz w:val="24"/>
          <w:u w:val="single"/>
        </w:rPr>
        <w:t>ancial trouble. This sale should not have been facilitated by the directors in this instance.</w:t>
      </w:r>
    </w:p>
    <w:p w14:paraId="20A10A98" w14:textId="5D201CD8" w:rsidR="00440E89" w:rsidRDefault="00440E89" w:rsidP="007E2919">
      <w:pPr>
        <w:rPr>
          <w:rFonts w:ascii="Arial" w:hAnsi="Arial" w:cs="Arial"/>
          <w:i/>
          <w:iCs/>
          <w:sz w:val="24"/>
          <w:u w:val="single"/>
        </w:rPr>
      </w:pPr>
    </w:p>
    <w:p w14:paraId="68955269" w14:textId="77777777" w:rsidR="00440E89" w:rsidRPr="00294780" w:rsidRDefault="00440E89" w:rsidP="00440E89">
      <w:pPr>
        <w:rPr>
          <w:rFonts w:ascii="Arial" w:hAnsi="Arial" w:cs="Arial"/>
          <w:i/>
          <w:iCs/>
          <w:sz w:val="24"/>
          <w:u w:val="single"/>
        </w:rPr>
      </w:pPr>
      <w:r w:rsidRPr="00294780">
        <w:rPr>
          <w:rFonts w:ascii="Arial" w:hAnsi="Arial" w:cs="Arial"/>
          <w:i/>
          <w:iCs/>
          <w:sz w:val="24"/>
          <w:u w:val="single"/>
        </w:rPr>
        <w:t>The liquidator should review this purchase as it seems to be an act of malfeasance.</w:t>
      </w:r>
    </w:p>
    <w:p w14:paraId="11182377" w14:textId="661541F4" w:rsidR="00440E89" w:rsidRDefault="00440E89" w:rsidP="007E2919">
      <w:pPr>
        <w:rPr>
          <w:rFonts w:ascii="Arial" w:hAnsi="Arial" w:cs="Arial"/>
          <w:i/>
          <w:iCs/>
          <w:sz w:val="24"/>
          <w:u w:val="single"/>
        </w:rPr>
      </w:pPr>
    </w:p>
    <w:p w14:paraId="29D79BB5" w14:textId="5622067E" w:rsidR="00440E89" w:rsidRPr="00294780" w:rsidRDefault="00440E89" w:rsidP="00440E89">
      <w:pPr>
        <w:rPr>
          <w:rFonts w:ascii="Arial" w:hAnsi="Arial" w:cs="Arial"/>
          <w:i/>
          <w:iCs/>
          <w:sz w:val="24"/>
          <w:u w:val="single"/>
        </w:rPr>
      </w:pPr>
      <w:r w:rsidRPr="00294780">
        <w:rPr>
          <w:rFonts w:ascii="Arial" w:hAnsi="Arial" w:cs="Arial"/>
          <w:i/>
          <w:iCs/>
          <w:sz w:val="24"/>
          <w:u w:val="single"/>
        </w:rPr>
        <w:t xml:space="preserve">If Beans and Leaves Ltd. is the supplier of the coffee machines, then the proceedings will be paid towards their outstanding invoices. </w:t>
      </w:r>
      <w:r>
        <w:rPr>
          <w:rFonts w:ascii="Arial" w:hAnsi="Arial" w:cs="Arial"/>
          <w:i/>
          <w:iCs/>
          <w:sz w:val="24"/>
          <w:u w:val="single"/>
        </w:rPr>
        <w:t xml:space="preserve">Since the machines were sold such far below market price, the sale of other assets will have to supplement the short fall. </w:t>
      </w:r>
    </w:p>
    <w:p w14:paraId="78CA5A7B" w14:textId="7BC31BB4" w:rsidR="007E2919" w:rsidRDefault="007E2919" w:rsidP="007E2919">
      <w:pPr>
        <w:rPr>
          <w:rFonts w:ascii="Arial" w:hAnsi="Arial" w:cs="Arial"/>
          <w:b/>
          <w:sz w:val="24"/>
        </w:rPr>
      </w:pP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Pr="005E4C44" w:rsidRDefault="007E2919" w:rsidP="00B04033">
      <w:pPr>
        <w:rPr>
          <w:rFonts w:ascii="Arial" w:hAnsi="Arial" w:cs="Arial"/>
          <w:b/>
          <w:sz w:val="22"/>
          <w:szCs w:val="22"/>
        </w:rPr>
      </w:pPr>
      <w:r w:rsidRPr="005E4C44">
        <w:rPr>
          <w:rFonts w:ascii="Arial" w:hAnsi="Arial" w:cs="Arial"/>
          <w:b/>
          <w:sz w:val="22"/>
          <w:szCs w:val="22"/>
        </w:rPr>
        <w:t xml:space="preserve"> </w:t>
      </w:r>
    </w:p>
    <w:p w14:paraId="186A3DED" w14:textId="492A3DE7" w:rsidR="00440E89" w:rsidRPr="005E4C44" w:rsidRDefault="00440E89" w:rsidP="00440E89">
      <w:pPr>
        <w:rPr>
          <w:rFonts w:ascii="Arial" w:hAnsi="Arial" w:cs="Arial"/>
          <w:i/>
          <w:iCs/>
          <w:sz w:val="22"/>
          <w:szCs w:val="22"/>
          <w:u w:val="single"/>
        </w:rPr>
      </w:pPr>
      <w:r w:rsidRPr="005E4C44">
        <w:rPr>
          <w:rFonts w:ascii="Arial" w:hAnsi="Arial" w:cs="Arial"/>
          <w:i/>
          <w:iCs/>
          <w:sz w:val="22"/>
          <w:szCs w:val="22"/>
          <w:u w:val="single"/>
          <w:lang w:val="en-GB"/>
        </w:rPr>
        <w:t xml:space="preserve">As stated above </w:t>
      </w:r>
      <w:proofErr w:type="gramStart"/>
      <w:r w:rsidRPr="005E4C44">
        <w:rPr>
          <w:rFonts w:ascii="Arial" w:hAnsi="Arial" w:cs="Arial"/>
          <w:i/>
          <w:iCs/>
          <w:sz w:val="22"/>
          <w:szCs w:val="22"/>
          <w:u w:val="single"/>
          <w:lang w:val="en-GB"/>
        </w:rPr>
        <w:t>in regard to</w:t>
      </w:r>
      <w:proofErr w:type="gramEnd"/>
      <w:r w:rsidRPr="005E4C44">
        <w:rPr>
          <w:rFonts w:ascii="Arial" w:hAnsi="Arial" w:cs="Arial"/>
          <w:i/>
          <w:iCs/>
          <w:sz w:val="22"/>
          <w:szCs w:val="22"/>
          <w:u w:val="single"/>
          <w:lang w:val="en-GB"/>
        </w:rPr>
        <w:t xml:space="preserve"> the coffee machine, </w:t>
      </w:r>
      <w:r w:rsidRPr="005E4C44">
        <w:rPr>
          <w:rFonts w:ascii="Arial" w:hAnsi="Arial" w:cs="Arial"/>
          <w:i/>
          <w:iCs/>
          <w:sz w:val="22"/>
          <w:szCs w:val="22"/>
          <w:u w:val="single"/>
        </w:rPr>
        <w:t>i</w:t>
      </w:r>
      <w:r w:rsidRPr="005E4C44">
        <w:rPr>
          <w:rFonts w:ascii="Arial" w:hAnsi="Arial" w:cs="Arial"/>
          <w:i/>
          <w:iCs/>
          <w:sz w:val="22"/>
          <w:szCs w:val="22"/>
          <w:u w:val="single"/>
        </w:rPr>
        <w:t>f</w:t>
      </w:r>
      <w:r w:rsidRPr="005E4C44">
        <w:rPr>
          <w:rFonts w:ascii="Arial" w:hAnsi="Arial" w:cs="Arial"/>
          <w:i/>
          <w:iCs/>
          <w:sz w:val="22"/>
          <w:szCs w:val="22"/>
          <w:u w:val="single"/>
        </w:rPr>
        <w:t xml:space="preserve"> </w:t>
      </w:r>
      <w:r w:rsidRPr="005E4C44">
        <w:rPr>
          <w:rFonts w:ascii="Arial" w:hAnsi="Arial" w:cs="Arial"/>
          <w:i/>
          <w:iCs/>
          <w:sz w:val="22"/>
          <w:szCs w:val="22"/>
          <w:u w:val="single"/>
        </w:rPr>
        <w:t xml:space="preserve">Beans and Leaves Ltd. is the supplier of the coffee machines, then the proceedings will be paid towards their outstanding invoices. Since the machines were sold such far below market price, the sale of other assets will have to supplement the short fall. </w:t>
      </w:r>
    </w:p>
    <w:p w14:paraId="2FF74EA8" w14:textId="006B034E" w:rsidR="00440E89" w:rsidRPr="005E4C44" w:rsidRDefault="00440E89" w:rsidP="00440E89">
      <w:pPr>
        <w:rPr>
          <w:rFonts w:ascii="Arial" w:hAnsi="Arial" w:cs="Arial"/>
          <w:i/>
          <w:iCs/>
          <w:sz w:val="22"/>
          <w:szCs w:val="22"/>
          <w:u w:val="single"/>
        </w:rPr>
      </w:pPr>
    </w:p>
    <w:p w14:paraId="332ACDEC" w14:textId="77777777" w:rsidR="008B71C5" w:rsidRPr="005E4C44" w:rsidRDefault="008B71C5" w:rsidP="00440E89">
      <w:pPr>
        <w:rPr>
          <w:rFonts w:ascii="Arial" w:hAnsi="Arial" w:cs="Arial"/>
          <w:i/>
          <w:iCs/>
          <w:sz w:val="22"/>
          <w:szCs w:val="22"/>
          <w:u w:val="single"/>
        </w:rPr>
      </w:pPr>
      <w:proofErr w:type="gramStart"/>
      <w:r w:rsidRPr="005E4C44">
        <w:rPr>
          <w:rFonts w:ascii="Arial" w:hAnsi="Arial" w:cs="Arial"/>
          <w:i/>
          <w:iCs/>
          <w:sz w:val="22"/>
          <w:szCs w:val="22"/>
          <w:u w:val="single"/>
        </w:rPr>
        <w:t>In regard to</w:t>
      </w:r>
      <w:proofErr w:type="gramEnd"/>
      <w:r w:rsidR="00440E89" w:rsidRPr="005E4C44">
        <w:rPr>
          <w:rFonts w:ascii="Arial" w:hAnsi="Arial" w:cs="Arial"/>
          <w:i/>
          <w:iCs/>
          <w:sz w:val="22"/>
          <w:szCs w:val="22"/>
          <w:u w:val="single"/>
        </w:rPr>
        <w:t xml:space="preserve"> Beans and Leaves Ltd. as a supplier, Section 233 of the Act applies to essential goods and services. The supply of the beans is considered essential to the operation of the business. </w:t>
      </w:r>
      <w:r w:rsidRPr="005E4C44">
        <w:rPr>
          <w:rFonts w:ascii="Arial" w:hAnsi="Arial" w:cs="Arial"/>
          <w:i/>
          <w:iCs/>
          <w:sz w:val="22"/>
          <w:szCs w:val="22"/>
          <w:u w:val="single"/>
        </w:rPr>
        <w:t xml:space="preserve">Section 233 speaks to “suppliers not being allowed to require payment of outstanding debts </w:t>
      </w:r>
      <w:proofErr w:type="gramStart"/>
      <w:r w:rsidRPr="005E4C44">
        <w:rPr>
          <w:rFonts w:ascii="Arial" w:hAnsi="Arial" w:cs="Arial"/>
          <w:i/>
          <w:iCs/>
          <w:sz w:val="22"/>
          <w:szCs w:val="22"/>
          <w:u w:val="single"/>
        </w:rPr>
        <w:t>in order to</w:t>
      </w:r>
      <w:proofErr w:type="gramEnd"/>
      <w:r w:rsidRPr="005E4C44">
        <w:rPr>
          <w:rFonts w:ascii="Arial" w:hAnsi="Arial" w:cs="Arial"/>
          <w:i/>
          <w:iCs/>
          <w:sz w:val="22"/>
          <w:szCs w:val="22"/>
          <w:u w:val="single"/>
        </w:rPr>
        <w:t xml:space="preserve"> secure a new or continued supply, therefore although Beans and Leaves Ltd tried to demand the outstanding monies, they cannot terminate the supply of the goods because it is considered an essential good to the company in liquidation. </w:t>
      </w:r>
    </w:p>
    <w:p w14:paraId="5BF2F283" w14:textId="77777777" w:rsidR="008B71C5" w:rsidRPr="005E4C44" w:rsidRDefault="008B71C5" w:rsidP="00440E89">
      <w:pPr>
        <w:rPr>
          <w:rFonts w:ascii="Arial" w:hAnsi="Arial" w:cs="Arial"/>
          <w:i/>
          <w:iCs/>
          <w:sz w:val="22"/>
          <w:szCs w:val="22"/>
          <w:u w:val="single"/>
        </w:rPr>
      </w:pPr>
    </w:p>
    <w:p w14:paraId="01EA4D3A" w14:textId="124E8547" w:rsidR="00440E89" w:rsidRPr="005E4C44" w:rsidRDefault="008B71C5" w:rsidP="00440E89">
      <w:pPr>
        <w:rPr>
          <w:rFonts w:ascii="Arial" w:hAnsi="Arial" w:cs="Arial"/>
          <w:i/>
          <w:iCs/>
          <w:sz w:val="22"/>
          <w:szCs w:val="22"/>
          <w:u w:val="single"/>
        </w:rPr>
      </w:pPr>
      <w:r w:rsidRPr="005E4C44">
        <w:rPr>
          <w:rFonts w:ascii="Arial" w:hAnsi="Arial" w:cs="Arial"/>
          <w:i/>
          <w:iCs/>
          <w:sz w:val="22"/>
          <w:szCs w:val="22"/>
          <w:u w:val="single"/>
        </w:rPr>
        <w:t xml:space="preserve">Section does allow suppliers to stipulate that the liquidator must personally guarantee payment of charges in respect to the supply, which done by the company in this scenario. </w:t>
      </w:r>
    </w:p>
    <w:p w14:paraId="003ABC31" w14:textId="68524DC2" w:rsidR="008B71C5" w:rsidRPr="005E4C44" w:rsidRDefault="008B71C5" w:rsidP="00440E89">
      <w:pPr>
        <w:rPr>
          <w:rFonts w:ascii="Arial" w:hAnsi="Arial" w:cs="Arial"/>
          <w:i/>
          <w:iCs/>
          <w:sz w:val="22"/>
          <w:szCs w:val="22"/>
          <w:u w:val="single"/>
        </w:rPr>
      </w:pPr>
    </w:p>
    <w:p w14:paraId="6FA13DBB" w14:textId="26EB10CA" w:rsidR="0000690F" w:rsidRPr="005E4C44" w:rsidRDefault="008B71C5" w:rsidP="0000690F">
      <w:pPr>
        <w:rPr>
          <w:rFonts w:ascii="Arial" w:hAnsi="Arial" w:cs="Arial"/>
          <w:i/>
          <w:iCs/>
          <w:sz w:val="22"/>
          <w:szCs w:val="22"/>
          <w:u w:val="single"/>
        </w:rPr>
      </w:pPr>
      <w:r w:rsidRPr="005E4C44">
        <w:rPr>
          <w:rFonts w:ascii="Arial" w:hAnsi="Arial" w:cs="Arial"/>
          <w:i/>
          <w:iCs/>
          <w:sz w:val="22"/>
          <w:szCs w:val="22"/>
          <w:u w:val="single"/>
        </w:rPr>
        <w:t xml:space="preserve">Under Section 233B, it </w:t>
      </w:r>
      <w:r w:rsidR="0000690F" w:rsidRPr="005E4C44">
        <w:rPr>
          <w:rFonts w:ascii="Arial" w:hAnsi="Arial" w:cs="Arial"/>
          <w:i/>
          <w:iCs/>
          <w:sz w:val="22"/>
          <w:szCs w:val="22"/>
          <w:u w:val="single"/>
        </w:rPr>
        <w:t>prohibits</w:t>
      </w:r>
      <w:r w:rsidRPr="005E4C44">
        <w:rPr>
          <w:rFonts w:ascii="Arial" w:hAnsi="Arial" w:cs="Arial"/>
          <w:i/>
          <w:iCs/>
          <w:sz w:val="22"/>
          <w:szCs w:val="22"/>
          <w:u w:val="single"/>
        </w:rPr>
        <w:t xml:space="preserve"> any clause</w:t>
      </w:r>
      <w:r w:rsidR="0000690F" w:rsidRPr="005E4C44">
        <w:rPr>
          <w:rFonts w:ascii="Arial" w:hAnsi="Arial" w:cs="Arial"/>
          <w:i/>
          <w:iCs/>
          <w:sz w:val="22"/>
          <w:szCs w:val="22"/>
          <w:u w:val="single"/>
        </w:rPr>
        <w:t>s in agreements by Beans and Leaves Ltd to terminate or “do any other thing” in relations to the contract if the company is placed into a formal liquidation.</w:t>
      </w:r>
    </w:p>
    <w:p w14:paraId="42A1A1E9" w14:textId="77777777" w:rsidR="0000690F" w:rsidRPr="005E4C44" w:rsidRDefault="0000690F" w:rsidP="0000690F">
      <w:pPr>
        <w:rPr>
          <w:rFonts w:ascii="Arial" w:hAnsi="Arial" w:cs="Arial"/>
          <w:i/>
          <w:iCs/>
          <w:sz w:val="22"/>
          <w:szCs w:val="22"/>
          <w:u w:val="single"/>
        </w:rPr>
      </w:pPr>
    </w:p>
    <w:p w14:paraId="3944217E" w14:textId="36A4C6F7" w:rsidR="008769B2" w:rsidRPr="005E4C44" w:rsidRDefault="0000690F" w:rsidP="0000690F">
      <w:pPr>
        <w:rPr>
          <w:rFonts w:ascii="Arial" w:hAnsi="Arial" w:cs="Arial"/>
          <w:i/>
          <w:iCs/>
          <w:sz w:val="22"/>
          <w:szCs w:val="22"/>
          <w:u w:val="single"/>
        </w:rPr>
      </w:pPr>
      <w:r w:rsidRPr="005E4C44">
        <w:rPr>
          <w:rFonts w:ascii="Arial" w:hAnsi="Arial" w:cs="Arial"/>
          <w:i/>
          <w:iCs/>
          <w:sz w:val="22"/>
          <w:szCs w:val="22"/>
          <w:u w:val="single"/>
        </w:rPr>
        <w:t xml:space="preserve"> So now that the company has been placed into liquidation, Beans and Leaves cannot terminate their contract with the company.</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383A" w14:textId="77777777" w:rsidR="00511339" w:rsidRDefault="00511339" w:rsidP="00241B44">
      <w:r>
        <w:separator/>
      </w:r>
    </w:p>
  </w:endnote>
  <w:endnote w:type="continuationSeparator" w:id="0">
    <w:p w14:paraId="24D67C32" w14:textId="77777777" w:rsidR="00511339" w:rsidRDefault="005113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A6D9A20" w:rsidR="00241FA3" w:rsidRPr="009B4976" w:rsidRDefault="0000690F" w:rsidP="009B4976">
    <w:pPr>
      <w:pStyle w:val="Footer"/>
      <w:ind w:right="360"/>
      <w:rPr>
        <w:rFonts w:ascii="Arial" w:hAnsi="Arial" w:cs="Arial"/>
        <w:sz w:val="18"/>
        <w:szCs w:val="18"/>
        <w:lang w:val="en-GB"/>
      </w:rPr>
    </w:pPr>
    <w:r>
      <w:rPr>
        <w:rFonts w:ascii="Arial" w:hAnsi="Arial" w:cs="Arial"/>
        <w:sz w:val="18"/>
        <w:szCs w:val="18"/>
        <w:lang w:val="en-GB"/>
      </w:rPr>
      <w:t>202122-555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6BB6" w14:textId="77777777" w:rsidR="00511339" w:rsidRDefault="00511339" w:rsidP="00241B44">
      <w:r>
        <w:separator/>
      </w:r>
    </w:p>
  </w:footnote>
  <w:footnote w:type="continuationSeparator" w:id="0">
    <w:p w14:paraId="36F23B6C" w14:textId="77777777" w:rsidR="00511339" w:rsidRDefault="005113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AB5"/>
    <w:multiLevelType w:val="hybridMultilevel"/>
    <w:tmpl w:val="20BE9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7C1226"/>
    <w:multiLevelType w:val="hybridMultilevel"/>
    <w:tmpl w:val="D1621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844B2"/>
    <w:multiLevelType w:val="hybridMultilevel"/>
    <w:tmpl w:val="13AE7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640B9"/>
    <w:multiLevelType w:val="hybridMultilevel"/>
    <w:tmpl w:val="A67A17F6"/>
    <w:lvl w:ilvl="0" w:tplc="98A6C23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6713920"/>
    <w:multiLevelType w:val="hybridMultilevel"/>
    <w:tmpl w:val="597AF9A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1"/>
  </w:num>
  <w:num w:numId="5">
    <w:abstractNumId w:val="14"/>
  </w:num>
  <w:num w:numId="6">
    <w:abstractNumId w:val="2"/>
  </w:num>
  <w:num w:numId="7">
    <w:abstractNumId w:val="15"/>
  </w:num>
  <w:num w:numId="8">
    <w:abstractNumId w:val="20"/>
  </w:num>
  <w:num w:numId="9">
    <w:abstractNumId w:val="12"/>
  </w:num>
  <w:num w:numId="10">
    <w:abstractNumId w:val="21"/>
  </w:num>
  <w:num w:numId="11">
    <w:abstractNumId w:val="7"/>
  </w:num>
  <w:num w:numId="12">
    <w:abstractNumId w:val="18"/>
  </w:num>
  <w:num w:numId="13">
    <w:abstractNumId w:val="13"/>
  </w:num>
  <w:num w:numId="14">
    <w:abstractNumId w:val="6"/>
  </w:num>
  <w:num w:numId="15">
    <w:abstractNumId w:val="16"/>
  </w:num>
  <w:num w:numId="16">
    <w:abstractNumId w:val="19"/>
  </w:num>
  <w:num w:numId="17">
    <w:abstractNumId w:val="10"/>
  </w:num>
  <w:num w:numId="18">
    <w:abstractNumId w:val="9"/>
  </w:num>
  <w:num w:numId="19">
    <w:abstractNumId w:val="4"/>
  </w:num>
  <w:num w:numId="20">
    <w:abstractNumId w:val="3"/>
  </w:num>
  <w:num w:numId="21">
    <w:abstractNumId w:val="17"/>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90F"/>
    <w:rsid w:val="00010BA0"/>
    <w:rsid w:val="00013A09"/>
    <w:rsid w:val="00020557"/>
    <w:rsid w:val="00021FC2"/>
    <w:rsid w:val="000250C7"/>
    <w:rsid w:val="00026F16"/>
    <w:rsid w:val="000334C9"/>
    <w:rsid w:val="00037621"/>
    <w:rsid w:val="00044D46"/>
    <w:rsid w:val="00045088"/>
    <w:rsid w:val="00045904"/>
    <w:rsid w:val="000502FD"/>
    <w:rsid w:val="00065166"/>
    <w:rsid w:val="00067657"/>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2B9A"/>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4D8B"/>
    <w:rsid w:val="002356EA"/>
    <w:rsid w:val="0024116D"/>
    <w:rsid w:val="00241B44"/>
    <w:rsid w:val="00241FA3"/>
    <w:rsid w:val="00245EFB"/>
    <w:rsid w:val="0025386E"/>
    <w:rsid w:val="002638B0"/>
    <w:rsid w:val="0026647A"/>
    <w:rsid w:val="002668D3"/>
    <w:rsid w:val="0027299F"/>
    <w:rsid w:val="00284EBE"/>
    <w:rsid w:val="002903A7"/>
    <w:rsid w:val="0029433F"/>
    <w:rsid w:val="00294780"/>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57808"/>
    <w:rsid w:val="00361A0A"/>
    <w:rsid w:val="00364836"/>
    <w:rsid w:val="00364F12"/>
    <w:rsid w:val="0036565C"/>
    <w:rsid w:val="0036625E"/>
    <w:rsid w:val="0037465A"/>
    <w:rsid w:val="00382C98"/>
    <w:rsid w:val="0038533C"/>
    <w:rsid w:val="00386568"/>
    <w:rsid w:val="00390B57"/>
    <w:rsid w:val="003948D5"/>
    <w:rsid w:val="00394B4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0E89"/>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42D"/>
    <w:rsid w:val="004E3A6B"/>
    <w:rsid w:val="004E622C"/>
    <w:rsid w:val="004F5FDF"/>
    <w:rsid w:val="00511339"/>
    <w:rsid w:val="005177FE"/>
    <w:rsid w:val="0052263B"/>
    <w:rsid w:val="00524728"/>
    <w:rsid w:val="00530A90"/>
    <w:rsid w:val="005331CA"/>
    <w:rsid w:val="0053665F"/>
    <w:rsid w:val="00537970"/>
    <w:rsid w:val="00540E3A"/>
    <w:rsid w:val="00544127"/>
    <w:rsid w:val="005463A9"/>
    <w:rsid w:val="00553EB2"/>
    <w:rsid w:val="0055504D"/>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4C44"/>
    <w:rsid w:val="005E6076"/>
    <w:rsid w:val="005E7008"/>
    <w:rsid w:val="005F026D"/>
    <w:rsid w:val="005F2AEA"/>
    <w:rsid w:val="005F2D0B"/>
    <w:rsid w:val="005F4B31"/>
    <w:rsid w:val="006054FE"/>
    <w:rsid w:val="00610388"/>
    <w:rsid w:val="00610AC7"/>
    <w:rsid w:val="00612CA5"/>
    <w:rsid w:val="006153EC"/>
    <w:rsid w:val="00621A17"/>
    <w:rsid w:val="00627CC9"/>
    <w:rsid w:val="00627E7B"/>
    <w:rsid w:val="00630542"/>
    <w:rsid w:val="00632E44"/>
    <w:rsid w:val="006345E1"/>
    <w:rsid w:val="00634622"/>
    <w:rsid w:val="00636808"/>
    <w:rsid w:val="00641515"/>
    <w:rsid w:val="00654C2F"/>
    <w:rsid w:val="00657087"/>
    <w:rsid w:val="006624AB"/>
    <w:rsid w:val="006639DB"/>
    <w:rsid w:val="006661EF"/>
    <w:rsid w:val="0067554F"/>
    <w:rsid w:val="00677AEB"/>
    <w:rsid w:val="00680EF2"/>
    <w:rsid w:val="00687A1D"/>
    <w:rsid w:val="00697EA1"/>
    <w:rsid w:val="006A2646"/>
    <w:rsid w:val="006A6530"/>
    <w:rsid w:val="006B435A"/>
    <w:rsid w:val="006B4C64"/>
    <w:rsid w:val="006D282B"/>
    <w:rsid w:val="006D6BD5"/>
    <w:rsid w:val="006E481A"/>
    <w:rsid w:val="006E5298"/>
    <w:rsid w:val="006F2D33"/>
    <w:rsid w:val="006F4A78"/>
    <w:rsid w:val="006F734A"/>
    <w:rsid w:val="00700D83"/>
    <w:rsid w:val="00704852"/>
    <w:rsid w:val="0070524B"/>
    <w:rsid w:val="007074E9"/>
    <w:rsid w:val="00713DA4"/>
    <w:rsid w:val="00714BF1"/>
    <w:rsid w:val="00721383"/>
    <w:rsid w:val="007234B6"/>
    <w:rsid w:val="0073158B"/>
    <w:rsid w:val="007333CC"/>
    <w:rsid w:val="0073399A"/>
    <w:rsid w:val="00740DAD"/>
    <w:rsid w:val="00742AF3"/>
    <w:rsid w:val="007603F5"/>
    <w:rsid w:val="00763348"/>
    <w:rsid w:val="00764DB0"/>
    <w:rsid w:val="0076764D"/>
    <w:rsid w:val="007713D5"/>
    <w:rsid w:val="0077498C"/>
    <w:rsid w:val="007809BC"/>
    <w:rsid w:val="00784128"/>
    <w:rsid w:val="00787BCC"/>
    <w:rsid w:val="00793173"/>
    <w:rsid w:val="007A2A33"/>
    <w:rsid w:val="007A5171"/>
    <w:rsid w:val="007B5C89"/>
    <w:rsid w:val="007C138F"/>
    <w:rsid w:val="007C1FCC"/>
    <w:rsid w:val="007C6201"/>
    <w:rsid w:val="007D7C92"/>
    <w:rsid w:val="007E1154"/>
    <w:rsid w:val="007E2919"/>
    <w:rsid w:val="007E46A8"/>
    <w:rsid w:val="007E6BA4"/>
    <w:rsid w:val="007F41F8"/>
    <w:rsid w:val="007F659B"/>
    <w:rsid w:val="00800865"/>
    <w:rsid w:val="0080441E"/>
    <w:rsid w:val="0080454E"/>
    <w:rsid w:val="00804C32"/>
    <w:rsid w:val="00806302"/>
    <w:rsid w:val="00807119"/>
    <w:rsid w:val="0082483F"/>
    <w:rsid w:val="008279C0"/>
    <w:rsid w:val="00841D4F"/>
    <w:rsid w:val="00867701"/>
    <w:rsid w:val="008723F3"/>
    <w:rsid w:val="008769B2"/>
    <w:rsid w:val="00876F56"/>
    <w:rsid w:val="00881DE6"/>
    <w:rsid w:val="008837A6"/>
    <w:rsid w:val="0089145D"/>
    <w:rsid w:val="00891690"/>
    <w:rsid w:val="008A047E"/>
    <w:rsid w:val="008A4DF2"/>
    <w:rsid w:val="008A6CFE"/>
    <w:rsid w:val="008B5333"/>
    <w:rsid w:val="008B6223"/>
    <w:rsid w:val="008B71C5"/>
    <w:rsid w:val="008B72B8"/>
    <w:rsid w:val="008C66E0"/>
    <w:rsid w:val="008D1616"/>
    <w:rsid w:val="008E3339"/>
    <w:rsid w:val="008F20FC"/>
    <w:rsid w:val="008F5FFE"/>
    <w:rsid w:val="00905A43"/>
    <w:rsid w:val="00912C79"/>
    <w:rsid w:val="00921B8C"/>
    <w:rsid w:val="00924DAF"/>
    <w:rsid w:val="00931D14"/>
    <w:rsid w:val="00940EF9"/>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933"/>
    <w:rsid w:val="00A047EE"/>
    <w:rsid w:val="00A057D0"/>
    <w:rsid w:val="00A17EA8"/>
    <w:rsid w:val="00A2274A"/>
    <w:rsid w:val="00A235B7"/>
    <w:rsid w:val="00A27A7A"/>
    <w:rsid w:val="00A3137A"/>
    <w:rsid w:val="00A34ABE"/>
    <w:rsid w:val="00A374E1"/>
    <w:rsid w:val="00A407EF"/>
    <w:rsid w:val="00A46B4C"/>
    <w:rsid w:val="00A5117B"/>
    <w:rsid w:val="00A56D34"/>
    <w:rsid w:val="00A60074"/>
    <w:rsid w:val="00A6627C"/>
    <w:rsid w:val="00A71019"/>
    <w:rsid w:val="00A81029"/>
    <w:rsid w:val="00A845F5"/>
    <w:rsid w:val="00A93702"/>
    <w:rsid w:val="00A96489"/>
    <w:rsid w:val="00AB2425"/>
    <w:rsid w:val="00AB685C"/>
    <w:rsid w:val="00AB6C2D"/>
    <w:rsid w:val="00AC08F7"/>
    <w:rsid w:val="00AC317D"/>
    <w:rsid w:val="00AC3839"/>
    <w:rsid w:val="00AC7082"/>
    <w:rsid w:val="00AD1828"/>
    <w:rsid w:val="00AD4BE8"/>
    <w:rsid w:val="00AE5B6F"/>
    <w:rsid w:val="00AF228E"/>
    <w:rsid w:val="00AF65D1"/>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43EF"/>
    <w:rsid w:val="00B86DB1"/>
    <w:rsid w:val="00B87869"/>
    <w:rsid w:val="00B9639B"/>
    <w:rsid w:val="00BA1CFD"/>
    <w:rsid w:val="00BB0F2B"/>
    <w:rsid w:val="00BE4FF3"/>
    <w:rsid w:val="00BF2C93"/>
    <w:rsid w:val="00BF50F7"/>
    <w:rsid w:val="00C02F29"/>
    <w:rsid w:val="00C10FA6"/>
    <w:rsid w:val="00C17718"/>
    <w:rsid w:val="00C20AFE"/>
    <w:rsid w:val="00C22A25"/>
    <w:rsid w:val="00C305F5"/>
    <w:rsid w:val="00C35671"/>
    <w:rsid w:val="00C35B77"/>
    <w:rsid w:val="00C376EB"/>
    <w:rsid w:val="00C45504"/>
    <w:rsid w:val="00C46A92"/>
    <w:rsid w:val="00C46EC1"/>
    <w:rsid w:val="00C52796"/>
    <w:rsid w:val="00C53E2C"/>
    <w:rsid w:val="00C550C8"/>
    <w:rsid w:val="00C55824"/>
    <w:rsid w:val="00C56B61"/>
    <w:rsid w:val="00C606C3"/>
    <w:rsid w:val="00C620F4"/>
    <w:rsid w:val="00C72848"/>
    <w:rsid w:val="00C7736C"/>
    <w:rsid w:val="00C82D87"/>
    <w:rsid w:val="00C867B8"/>
    <w:rsid w:val="00C8712A"/>
    <w:rsid w:val="00C902C8"/>
    <w:rsid w:val="00C91062"/>
    <w:rsid w:val="00C919D1"/>
    <w:rsid w:val="00C963D3"/>
    <w:rsid w:val="00CB1983"/>
    <w:rsid w:val="00CB2CBB"/>
    <w:rsid w:val="00CB7CAC"/>
    <w:rsid w:val="00CC5335"/>
    <w:rsid w:val="00CC5BA4"/>
    <w:rsid w:val="00CD1002"/>
    <w:rsid w:val="00CD4998"/>
    <w:rsid w:val="00CE1035"/>
    <w:rsid w:val="00CE6E50"/>
    <w:rsid w:val="00CF2819"/>
    <w:rsid w:val="00CF4F9D"/>
    <w:rsid w:val="00CF70DC"/>
    <w:rsid w:val="00D148DC"/>
    <w:rsid w:val="00D17FDC"/>
    <w:rsid w:val="00D21D8C"/>
    <w:rsid w:val="00D53719"/>
    <w:rsid w:val="00D63EFD"/>
    <w:rsid w:val="00D80380"/>
    <w:rsid w:val="00D81CA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322D"/>
    <w:rsid w:val="00E6452F"/>
    <w:rsid w:val="00E64F45"/>
    <w:rsid w:val="00E6742D"/>
    <w:rsid w:val="00E71CB0"/>
    <w:rsid w:val="00E755A6"/>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08B"/>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428629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Forbes</cp:lastModifiedBy>
  <cp:revision>3</cp:revision>
  <cp:lastPrinted>2019-08-27T05:42:00Z</cp:lastPrinted>
  <dcterms:created xsi:type="dcterms:W3CDTF">2022-03-01T06:30:00Z</dcterms:created>
  <dcterms:modified xsi:type="dcterms:W3CDTF">2022-03-01T06:31:00Z</dcterms:modified>
</cp:coreProperties>
</file>