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provides effective mechanisms for dealing with cases of cross-border insolvency so as to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280D78" w:rsidRDefault="0050157D" w:rsidP="00D45AEA">
      <w:pPr>
        <w:pStyle w:val="ListParagraph"/>
        <w:numPr>
          <w:ilvl w:val="0"/>
          <w:numId w:val="12"/>
        </w:numPr>
        <w:ind w:left="426"/>
        <w:jc w:val="both"/>
        <w:rPr>
          <w:rFonts w:ascii="Arial" w:hAnsi="Arial" w:cs="Arial"/>
          <w:sz w:val="22"/>
          <w:szCs w:val="22"/>
          <w:highlight w:val="yellow"/>
          <w:lang w:val="en-GB"/>
        </w:rPr>
      </w:pPr>
      <w:r w:rsidRPr="00280D78">
        <w:rPr>
          <w:rFonts w:ascii="Arial" w:hAnsi="Arial" w:cs="Arial"/>
          <w:sz w:val="22"/>
          <w:szCs w:val="22"/>
          <w:highlight w:val="yellow"/>
          <w:lang w:val="en-GB"/>
        </w:rPr>
        <w:t>The Model Law is a substantive unification of insolvency law so as to promote co</w:t>
      </w:r>
      <w:r w:rsidR="00B61419" w:rsidRPr="00280D78">
        <w:rPr>
          <w:rFonts w:ascii="Arial" w:hAnsi="Arial" w:cs="Arial"/>
          <w:sz w:val="22"/>
          <w:szCs w:val="22"/>
          <w:highlight w:val="yellow"/>
          <w:lang w:val="en-GB"/>
        </w:rPr>
        <w:t>-</w:t>
      </w:r>
      <w:r w:rsidRPr="00280D78">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280D78"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280D78">
        <w:rPr>
          <w:rFonts w:ascii="Arial" w:hAnsi="Arial" w:cs="Arial"/>
          <w:sz w:val="22"/>
          <w:szCs w:val="22"/>
          <w:highlight w:val="yellow"/>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280D78" w:rsidRDefault="00853A74" w:rsidP="00853A74">
      <w:pPr>
        <w:pStyle w:val="ListParagraph"/>
        <w:numPr>
          <w:ilvl w:val="0"/>
          <w:numId w:val="16"/>
        </w:numPr>
        <w:ind w:left="426"/>
        <w:jc w:val="both"/>
        <w:rPr>
          <w:rFonts w:ascii="Arial" w:hAnsi="Arial" w:cs="Arial"/>
          <w:sz w:val="22"/>
          <w:szCs w:val="22"/>
          <w:highlight w:val="yellow"/>
          <w:lang w:val="en-GB"/>
        </w:rPr>
      </w:pPr>
      <w:r w:rsidRPr="00280D78">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280D78" w:rsidRDefault="00E57410" w:rsidP="00322F3B">
      <w:pPr>
        <w:pStyle w:val="ListParagraph"/>
        <w:numPr>
          <w:ilvl w:val="0"/>
          <w:numId w:val="18"/>
        </w:numPr>
        <w:ind w:left="426"/>
        <w:jc w:val="both"/>
        <w:rPr>
          <w:rFonts w:ascii="Arial" w:hAnsi="Arial" w:cs="Arial"/>
          <w:sz w:val="22"/>
          <w:szCs w:val="22"/>
          <w:highlight w:val="yellow"/>
          <w:lang w:val="en-GB"/>
        </w:rPr>
      </w:pPr>
      <w:r w:rsidRPr="00280D78">
        <w:rPr>
          <w:rFonts w:ascii="Arial" w:hAnsi="Arial" w:cs="Arial"/>
          <w:sz w:val="22"/>
          <w:szCs w:val="22"/>
          <w:highlight w:val="yellow"/>
          <w:lang w:val="en-GB"/>
        </w:rPr>
        <w:t xml:space="preserve">The </w:t>
      </w:r>
      <w:r w:rsidRPr="00280D78">
        <w:rPr>
          <w:rFonts w:ascii="Arial" w:hAnsi="Arial" w:cs="Arial"/>
          <w:i/>
          <w:iCs/>
          <w:sz w:val="22"/>
          <w:szCs w:val="22"/>
          <w:highlight w:val="yellow"/>
          <w:lang w:val="en-GB"/>
        </w:rPr>
        <w:t>locus standi</w:t>
      </w:r>
      <w:r w:rsidRPr="00280D78">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280D78" w:rsidRDefault="00C504E5" w:rsidP="00C504E5">
      <w:pPr>
        <w:pStyle w:val="ListParagraph"/>
        <w:numPr>
          <w:ilvl w:val="0"/>
          <w:numId w:val="20"/>
        </w:numPr>
        <w:ind w:left="426"/>
        <w:jc w:val="both"/>
        <w:rPr>
          <w:rFonts w:ascii="Arial" w:hAnsi="Arial" w:cs="Arial"/>
          <w:sz w:val="22"/>
          <w:szCs w:val="22"/>
          <w:highlight w:val="yellow"/>
          <w:lang w:val="en-GB"/>
        </w:rPr>
      </w:pPr>
      <w:r w:rsidRPr="00280D78">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280D78">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280D78">
        <w:rPr>
          <w:rFonts w:ascii="Arial" w:hAnsi="Arial" w:cs="Arial"/>
          <w:sz w:val="22"/>
          <w:szCs w:val="22"/>
          <w:highlight w:val="yellow"/>
          <w:lang w:val="en-GB"/>
        </w:rPr>
        <w:t>will</w:t>
      </w:r>
      <w:r w:rsidRPr="00280D78">
        <w:rPr>
          <w:rFonts w:ascii="Arial" w:hAnsi="Arial" w:cs="Arial"/>
          <w:sz w:val="22"/>
          <w:szCs w:val="22"/>
          <w:highlight w:val="yellow"/>
          <w:lang w:val="en-GB"/>
        </w:rPr>
        <w:t xml:space="preserve"> not be either adjusted or terminated if consistent with the domestic insolvency proceedings</w:t>
      </w:r>
      <w:r w:rsidRPr="009B5832">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280D78">
        <w:rPr>
          <w:rFonts w:ascii="Arial" w:hAnsi="Arial" w:cs="Arial"/>
          <w:sz w:val="22"/>
          <w:szCs w:val="22"/>
          <w:highlight w:val="yellow"/>
          <w:lang w:val="en-GB"/>
        </w:rPr>
        <w:t xml:space="preserve">The court should consider both </w:t>
      </w:r>
      <w:r w:rsidR="00E73529" w:rsidRPr="00280D78">
        <w:rPr>
          <w:rFonts w:ascii="Arial" w:hAnsi="Arial" w:cs="Arial"/>
          <w:sz w:val="22"/>
          <w:szCs w:val="22"/>
          <w:highlight w:val="yellow"/>
          <w:lang w:val="en-GB"/>
        </w:rPr>
        <w:t>(</w:t>
      </w:r>
      <w:r w:rsidRPr="00280D78">
        <w:rPr>
          <w:rFonts w:ascii="Arial" w:hAnsi="Arial" w:cs="Arial"/>
          <w:sz w:val="22"/>
          <w:szCs w:val="22"/>
          <w:highlight w:val="yellow"/>
          <w:lang w:val="en-GB"/>
        </w:rPr>
        <w:t>a</w:t>
      </w:r>
      <w:r w:rsidR="00E73529" w:rsidRPr="00280D78">
        <w:rPr>
          <w:rFonts w:ascii="Arial" w:hAnsi="Arial" w:cs="Arial"/>
          <w:sz w:val="22"/>
          <w:szCs w:val="22"/>
          <w:highlight w:val="yellow"/>
          <w:lang w:val="en-GB"/>
        </w:rPr>
        <w:t>)</w:t>
      </w:r>
      <w:r w:rsidRPr="00280D78">
        <w:rPr>
          <w:rFonts w:ascii="Arial" w:hAnsi="Arial" w:cs="Arial"/>
          <w:sz w:val="22"/>
          <w:szCs w:val="22"/>
          <w:highlight w:val="yellow"/>
          <w:lang w:val="en-GB"/>
        </w:rPr>
        <w:t xml:space="preserve"> and </w:t>
      </w:r>
      <w:r w:rsidR="00E73529" w:rsidRPr="00280D78">
        <w:rPr>
          <w:rFonts w:ascii="Arial" w:hAnsi="Arial" w:cs="Arial"/>
          <w:sz w:val="22"/>
          <w:szCs w:val="22"/>
          <w:highlight w:val="yellow"/>
          <w:lang w:val="en-GB"/>
        </w:rPr>
        <w:t>(</w:t>
      </w:r>
      <w:r w:rsidRPr="00280D78">
        <w:rPr>
          <w:rFonts w:ascii="Arial" w:hAnsi="Arial" w:cs="Arial"/>
          <w:sz w:val="22"/>
          <w:szCs w:val="22"/>
          <w:highlight w:val="yellow"/>
          <w:lang w:val="en-GB"/>
        </w:rPr>
        <w:t>b</w:t>
      </w:r>
      <w:r w:rsidR="00E73529" w:rsidRPr="00280D78">
        <w:rPr>
          <w:rFonts w:ascii="Arial" w:hAnsi="Arial" w:cs="Arial"/>
          <w:sz w:val="22"/>
          <w:szCs w:val="22"/>
          <w:highlight w:val="yellow"/>
          <w:lang w:val="en-GB"/>
        </w:rPr>
        <w:t>)</w:t>
      </w:r>
      <w:r w:rsidRPr="00280D78">
        <w:rPr>
          <w:rFonts w:ascii="Arial" w:hAnsi="Arial" w:cs="Arial"/>
          <w:sz w:val="22"/>
          <w:szCs w:val="22"/>
          <w:highlight w:val="yellow"/>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280D78" w:rsidRDefault="004E0549" w:rsidP="00114082">
      <w:pPr>
        <w:pStyle w:val="ListParagraph"/>
        <w:numPr>
          <w:ilvl w:val="0"/>
          <w:numId w:val="28"/>
        </w:numPr>
        <w:ind w:left="426"/>
        <w:jc w:val="both"/>
        <w:rPr>
          <w:rFonts w:ascii="Arial" w:hAnsi="Arial" w:cs="Arial"/>
          <w:sz w:val="22"/>
          <w:szCs w:val="22"/>
          <w:highlight w:val="yellow"/>
          <w:lang w:val="en-GB"/>
        </w:rPr>
      </w:pPr>
      <w:r w:rsidRPr="00280D78">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280D78" w:rsidRDefault="00573E73" w:rsidP="00114082">
      <w:pPr>
        <w:pStyle w:val="ListParagraph"/>
        <w:numPr>
          <w:ilvl w:val="0"/>
          <w:numId w:val="29"/>
        </w:numPr>
        <w:ind w:left="426"/>
        <w:jc w:val="both"/>
        <w:rPr>
          <w:rFonts w:ascii="Arial" w:hAnsi="Arial" w:cs="Arial"/>
          <w:sz w:val="22"/>
          <w:szCs w:val="22"/>
          <w:highlight w:val="yellow"/>
          <w:lang w:val="en-GB"/>
        </w:rPr>
      </w:pPr>
      <w:r w:rsidRPr="00280D78">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280D78">
        <w:rPr>
          <w:rFonts w:ascii="Arial" w:hAnsi="Arial" w:cs="Arial"/>
          <w:sz w:val="22"/>
          <w:szCs w:val="22"/>
          <w:highlight w:val="yellow"/>
          <w:lang w:val="en-GB"/>
        </w:rPr>
        <w:t>The UNCITRAL Guide of Enactment and the Judicial Perspective</w:t>
      </w:r>
      <w:r w:rsidR="00835FD1" w:rsidRPr="00280D78">
        <w:rPr>
          <w:rFonts w:ascii="Arial" w:hAnsi="Arial" w:cs="Arial"/>
          <w:sz w:val="22"/>
          <w:szCs w:val="22"/>
          <w:highlight w:val="yellow"/>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44A6AB9F"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Model Law, a court in the enacting state must recognize proceedings as a “foreign main proceeding” if the conditions prescribed under </w:t>
      </w:r>
      <w:r w:rsidRPr="00891087">
        <w:rPr>
          <w:rFonts w:ascii="Arial" w:hAnsi="Arial" w:cs="Arial"/>
          <w:color w:val="7B7B7B" w:themeColor="accent3" w:themeShade="BF"/>
          <w:sz w:val="22"/>
          <w:szCs w:val="22"/>
          <w:lang w:val="en-GB"/>
        </w:rPr>
        <w:t>Article 2(b)</w:t>
      </w:r>
      <w:r>
        <w:rPr>
          <w:rFonts w:ascii="Arial" w:hAnsi="Arial" w:cs="Arial"/>
          <w:color w:val="7B7B7B" w:themeColor="accent3" w:themeShade="BF"/>
          <w:sz w:val="22"/>
          <w:szCs w:val="22"/>
          <w:lang w:val="en-GB"/>
        </w:rPr>
        <w:t xml:space="preserve"> are satisfied. In this context, a foreign proceeding will be recognized as a “foreign main proceeding” if such proceedings are commenced where the debtor has its ‘centre of main interest’ (COMI). Suppose the proceedings are commenced where the debtor has an establishment within the meaning of </w:t>
      </w:r>
      <w:r w:rsidRPr="00891087">
        <w:rPr>
          <w:rFonts w:ascii="Arial" w:hAnsi="Arial" w:cs="Arial"/>
          <w:color w:val="7B7B7B" w:themeColor="accent3" w:themeShade="BF"/>
          <w:sz w:val="22"/>
          <w:szCs w:val="22"/>
          <w:lang w:val="en-GB"/>
        </w:rPr>
        <w:t>Article 2(f) of</w:t>
      </w:r>
      <w:r w:rsidRPr="00315365">
        <w:rPr>
          <w:rFonts w:ascii="Arial" w:hAnsi="Arial" w:cs="Arial"/>
          <w:color w:val="7B7B7B" w:themeColor="accent3" w:themeShade="BF"/>
          <w:sz w:val="22"/>
          <w:szCs w:val="22"/>
          <w:lang w:val="en-GB"/>
        </w:rPr>
        <w:t xml:space="preserve"> the Model Law</w:t>
      </w:r>
      <w:r>
        <w:rPr>
          <w:rFonts w:ascii="Arial" w:hAnsi="Arial" w:cs="Arial"/>
          <w:color w:val="7B7B7B" w:themeColor="accent3" w:themeShade="BF"/>
          <w:sz w:val="22"/>
          <w:szCs w:val="22"/>
          <w:lang w:val="en-GB"/>
        </w:rPr>
        <w:t>. In that case, the court must recognize these proceedings as “foreign non-main” proceedings in the enacting state. Therefore, the relevant date for determining the COMI or establishment of the debtor is significant, as this determination will dictate the nature of the relief available to the foreign representative.</w:t>
      </w:r>
    </w:p>
    <w:p w14:paraId="4912BC91" w14:textId="77777777" w:rsidR="00280D78" w:rsidRDefault="00280D78" w:rsidP="00280D78">
      <w:pPr>
        <w:jc w:val="both"/>
        <w:rPr>
          <w:rFonts w:ascii="Arial" w:hAnsi="Arial" w:cs="Arial"/>
          <w:sz w:val="22"/>
          <w:szCs w:val="22"/>
          <w:lang w:val="en-GB"/>
        </w:rPr>
      </w:pPr>
    </w:p>
    <w:p w14:paraId="6ED8DD4A" w14:textId="77777777" w:rsidR="00280D78" w:rsidRPr="00514006" w:rsidRDefault="00280D78" w:rsidP="00280D78">
      <w:pPr>
        <w:jc w:val="both"/>
        <w:rPr>
          <w:rFonts w:ascii="Arial" w:hAnsi="Arial" w:cs="Arial"/>
          <w:color w:val="7B7B7B" w:themeColor="accent3" w:themeShade="BF"/>
          <w:sz w:val="22"/>
          <w:szCs w:val="22"/>
          <w:lang w:val="en-GB"/>
        </w:rPr>
      </w:pPr>
      <w:r w:rsidRPr="00514006">
        <w:rPr>
          <w:rFonts w:ascii="Arial" w:hAnsi="Arial" w:cs="Arial"/>
          <w:color w:val="7B7B7B" w:themeColor="accent3" w:themeShade="BF"/>
          <w:sz w:val="22"/>
          <w:szCs w:val="22"/>
          <w:lang w:val="en-GB"/>
        </w:rPr>
        <w:t>As the Model Law does not provide further guidance on the standard for determining the COMI or establishment of the debtor, various approaches have been adopted by jurisdictions concerning this determination. The UK approach is that the COMI or establishment is determined on the date of commencement of the foreign originating proceedings</w:t>
      </w:r>
      <w:r w:rsidRPr="00514006">
        <w:rPr>
          <w:rStyle w:val="FootnoteReference"/>
          <w:rFonts w:ascii="Arial" w:hAnsi="Arial" w:cs="Arial"/>
          <w:color w:val="7B7B7B" w:themeColor="accent3" w:themeShade="BF"/>
          <w:sz w:val="22"/>
          <w:szCs w:val="22"/>
          <w:lang w:val="en-GB"/>
        </w:rPr>
        <w:footnoteReference w:id="1"/>
      </w:r>
      <w:r w:rsidRPr="00514006">
        <w:rPr>
          <w:rFonts w:ascii="Arial" w:hAnsi="Arial" w:cs="Arial"/>
          <w:color w:val="7B7B7B" w:themeColor="accent3" w:themeShade="BF"/>
          <w:sz w:val="22"/>
          <w:szCs w:val="22"/>
          <w:lang w:val="en-GB"/>
        </w:rPr>
        <w:t xml:space="preserve">. However, </w:t>
      </w:r>
      <w:r w:rsidRPr="00514006">
        <w:rPr>
          <w:rFonts w:ascii="Arial" w:hAnsi="Arial" w:cs="Arial"/>
          <w:color w:val="7B7B7B" w:themeColor="accent3" w:themeShade="BF"/>
          <w:sz w:val="22"/>
          <w:szCs w:val="22"/>
          <w:lang w:val="en-GB"/>
        </w:rPr>
        <w:lastRenderedPageBreak/>
        <w:t xml:space="preserve">it should be noted that in the recent case of </w:t>
      </w:r>
      <w:r w:rsidRPr="00514006">
        <w:rPr>
          <w:rFonts w:ascii="Arial" w:hAnsi="Arial" w:cs="Arial"/>
          <w:i/>
          <w:color w:val="7B7B7B" w:themeColor="accent3" w:themeShade="BF"/>
          <w:sz w:val="22"/>
          <w:szCs w:val="22"/>
          <w:lang w:val="en-GB"/>
        </w:rPr>
        <w:t xml:space="preserve">Re </w:t>
      </w:r>
      <w:proofErr w:type="spellStart"/>
      <w:r w:rsidRPr="00514006">
        <w:rPr>
          <w:rFonts w:ascii="Arial" w:hAnsi="Arial" w:cs="Arial"/>
          <w:i/>
          <w:color w:val="7B7B7B" w:themeColor="accent3" w:themeShade="BF"/>
          <w:sz w:val="22"/>
          <w:szCs w:val="22"/>
          <w:lang w:val="en-GB"/>
        </w:rPr>
        <w:t>Tosia</w:t>
      </w:r>
      <w:proofErr w:type="spellEnd"/>
      <w:r w:rsidRPr="00514006">
        <w:rPr>
          <w:rFonts w:ascii="Arial" w:hAnsi="Arial" w:cs="Arial"/>
          <w:i/>
          <w:color w:val="7B7B7B" w:themeColor="accent3" w:themeShade="BF"/>
          <w:sz w:val="22"/>
          <w:szCs w:val="22"/>
          <w:lang w:val="en-GB"/>
        </w:rPr>
        <w:t xml:space="preserve"> Limited, </w:t>
      </w:r>
      <w:r w:rsidRPr="00514006">
        <w:rPr>
          <w:rFonts w:ascii="Arial" w:hAnsi="Arial" w:cs="Arial"/>
          <w:color w:val="7B7B7B" w:themeColor="accent3" w:themeShade="BF"/>
          <w:sz w:val="22"/>
          <w:szCs w:val="22"/>
          <w:lang w:val="en-GB"/>
        </w:rPr>
        <w:t xml:space="preserve">the UK Court followed the US approach. In </w:t>
      </w:r>
      <w:r w:rsidRPr="00514006">
        <w:rPr>
          <w:rFonts w:ascii="Arial" w:hAnsi="Arial" w:cs="Arial"/>
          <w:i/>
          <w:color w:val="7B7B7B" w:themeColor="accent3" w:themeShade="BF"/>
          <w:sz w:val="22"/>
          <w:szCs w:val="22"/>
          <w:lang w:val="en-GB"/>
        </w:rPr>
        <w:t xml:space="preserve">Re </w:t>
      </w:r>
      <w:proofErr w:type="spellStart"/>
      <w:r w:rsidRPr="00514006">
        <w:rPr>
          <w:rFonts w:ascii="Arial" w:hAnsi="Arial" w:cs="Arial"/>
          <w:i/>
          <w:color w:val="7B7B7B" w:themeColor="accent3" w:themeShade="BF"/>
          <w:sz w:val="22"/>
          <w:szCs w:val="22"/>
          <w:lang w:val="en-GB"/>
        </w:rPr>
        <w:t>Tosia</w:t>
      </w:r>
      <w:proofErr w:type="spellEnd"/>
      <w:r w:rsidRPr="00514006">
        <w:rPr>
          <w:rFonts w:ascii="Arial" w:hAnsi="Arial" w:cs="Arial"/>
          <w:i/>
          <w:color w:val="7B7B7B" w:themeColor="accent3" w:themeShade="BF"/>
          <w:sz w:val="22"/>
          <w:szCs w:val="22"/>
          <w:lang w:val="en-GB"/>
        </w:rPr>
        <w:t xml:space="preserve">, </w:t>
      </w:r>
      <w:r w:rsidRPr="00514006">
        <w:rPr>
          <w:rFonts w:ascii="Arial" w:hAnsi="Arial" w:cs="Arial"/>
          <w:color w:val="7B7B7B" w:themeColor="accent3" w:themeShade="BF"/>
          <w:sz w:val="22"/>
          <w:szCs w:val="22"/>
          <w:lang w:val="en-GB"/>
        </w:rPr>
        <w:t>the UK Court held that the appropriate date for determining a debtor’s COMI or establishment for the purpose of recognition was the date of the recognition application</w:t>
      </w:r>
      <w:r w:rsidRPr="00514006">
        <w:rPr>
          <w:rStyle w:val="FootnoteReference"/>
          <w:rFonts w:ascii="Arial" w:hAnsi="Arial" w:cs="Arial"/>
          <w:color w:val="7B7B7B" w:themeColor="accent3" w:themeShade="BF"/>
          <w:sz w:val="22"/>
          <w:szCs w:val="22"/>
          <w:lang w:val="en-GB"/>
        </w:rPr>
        <w:footnoteReference w:id="2"/>
      </w:r>
      <w:r w:rsidRPr="00514006">
        <w:rPr>
          <w:rFonts w:ascii="Arial" w:hAnsi="Arial" w:cs="Arial"/>
          <w:color w:val="7B7B7B" w:themeColor="accent3" w:themeShade="BF"/>
          <w:sz w:val="22"/>
          <w:szCs w:val="22"/>
          <w:lang w:val="en-GB"/>
        </w:rPr>
        <w:t>.</w:t>
      </w:r>
    </w:p>
    <w:p w14:paraId="10AE5F30" w14:textId="77777777" w:rsidR="00280D78" w:rsidRPr="00514006" w:rsidRDefault="00280D78" w:rsidP="00280D78">
      <w:pPr>
        <w:jc w:val="both"/>
        <w:rPr>
          <w:rFonts w:ascii="Arial" w:hAnsi="Arial" w:cs="Arial"/>
          <w:color w:val="7B7B7B" w:themeColor="accent3" w:themeShade="BF"/>
          <w:sz w:val="22"/>
          <w:szCs w:val="22"/>
          <w:lang w:val="en-GB"/>
        </w:rPr>
      </w:pPr>
    </w:p>
    <w:p w14:paraId="0C867F4B" w14:textId="77777777" w:rsidR="00280D78" w:rsidRPr="00514006" w:rsidRDefault="00280D78" w:rsidP="00280D78">
      <w:pPr>
        <w:jc w:val="both"/>
        <w:rPr>
          <w:rFonts w:ascii="Arial" w:hAnsi="Arial" w:cs="Arial"/>
          <w:color w:val="7B7B7B" w:themeColor="accent3" w:themeShade="BF"/>
          <w:sz w:val="22"/>
          <w:szCs w:val="22"/>
          <w:lang w:val="en-GB"/>
        </w:rPr>
      </w:pPr>
      <w:r w:rsidRPr="00514006">
        <w:rPr>
          <w:rFonts w:ascii="Arial" w:hAnsi="Arial" w:cs="Arial"/>
          <w:color w:val="7B7B7B" w:themeColor="accent3" w:themeShade="BF"/>
          <w:sz w:val="22"/>
          <w:szCs w:val="22"/>
          <w:lang w:val="en-GB"/>
        </w:rPr>
        <w:t xml:space="preserve">As indicated above, the US has adopted a different approach from the suggested approach set out in the Guide to Enactment and Interpretation towards the date for determination of a debtor’s COMI or establishment. In </w:t>
      </w:r>
      <w:r w:rsidRPr="00514006">
        <w:rPr>
          <w:rFonts w:ascii="Arial" w:hAnsi="Arial" w:cs="Arial"/>
          <w:i/>
          <w:color w:val="7B7B7B" w:themeColor="accent3" w:themeShade="BF"/>
          <w:sz w:val="22"/>
          <w:szCs w:val="22"/>
          <w:lang w:val="en-GB"/>
        </w:rPr>
        <w:t xml:space="preserve">Morning Mist Holdings Ltd v </w:t>
      </w:r>
      <w:proofErr w:type="spellStart"/>
      <w:r w:rsidRPr="00514006">
        <w:rPr>
          <w:rFonts w:ascii="Arial" w:hAnsi="Arial" w:cs="Arial"/>
          <w:i/>
          <w:color w:val="7B7B7B" w:themeColor="accent3" w:themeShade="BF"/>
          <w:sz w:val="22"/>
          <w:szCs w:val="22"/>
          <w:lang w:val="en-GB"/>
        </w:rPr>
        <w:t>Krys</w:t>
      </w:r>
      <w:proofErr w:type="spellEnd"/>
      <w:r w:rsidRPr="00514006">
        <w:rPr>
          <w:rFonts w:ascii="Arial" w:hAnsi="Arial" w:cs="Arial"/>
          <w:i/>
          <w:color w:val="7B7B7B" w:themeColor="accent3" w:themeShade="BF"/>
          <w:sz w:val="22"/>
          <w:szCs w:val="22"/>
          <w:lang w:val="en-GB"/>
        </w:rPr>
        <w:t xml:space="preserve"> (Matter of Fairfield Sentry Ltd) (2</w:t>
      </w:r>
      <w:r w:rsidRPr="00514006">
        <w:rPr>
          <w:rFonts w:ascii="Arial" w:hAnsi="Arial" w:cs="Arial"/>
          <w:i/>
          <w:color w:val="7B7B7B" w:themeColor="accent3" w:themeShade="BF"/>
          <w:sz w:val="22"/>
          <w:szCs w:val="22"/>
          <w:vertAlign w:val="superscript"/>
          <w:lang w:val="en-GB"/>
        </w:rPr>
        <w:t>nd</w:t>
      </w:r>
      <w:r w:rsidRPr="00514006">
        <w:rPr>
          <w:rFonts w:ascii="Arial" w:hAnsi="Arial" w:cs="Arial"/>
          <w:i/>
          <w:color w:val="7B7B7B" w:themeColor="accent3" w:themeShade="BF"/>
          <w:sz w:val="22"/>
          <w:szCs w:val="22"/>
          <w:lang w:val="en-GB"/>
        </w:rPr>
        <w:t xml:space="preserve"> Cir Appeals Apr.16 2013),</w:t>
      </w:r>
      <w:r w:rsidRPr="00514006">
        <w:rPr>
          <w:rFonts w:ascii="Arial" w:hAnsi="Arial" w:cs="Arial"/>
          <w:color w:val="7B7B7B" w:themeColor="accent3" w:themeShade="BF"/>
          <w:sz w:val="22"/>
          <w:szCs w:val="22"/>
          <w:lang w:val="en-GB"/>
        </w:rPr>
        <w:t xml:space="preserve"> the Second Circuit of Appeals found that the appropriate date for the purpose of recognition is the date of the recognition application</w:t>
      </w:r>
      <w:r w:rsidRPr="00514006">
        <w:rPr>
          <w:rStyle w:val="FootnoteReference"/>
          <w:rFonts w:ascii="Arial" w:hAnsi="Arial" w:cs="Arial"/>
          <w:color w:val="7B7B7B" w:themeColor="accent3" w:themeShade="BF"/>
          <w:sz w:val="22"/>
          <w:szCs w:val="22"/>
          <w:lang w:val="en-GB"/>
        </w:rPr>
        <w:footnoteReference w:id="3"/>
      </w:r>
      <w:r w:rsidRPr="00514006">
        <w:rPr>
          <w:rFonts w:ascii="Arial" w:hAnsi="Arial" w:cs="Arial"/>
          <w:color w:val="7B7B7B" w:themeColor="accent3" w:themeShade="BF"/>
          <w:sz w:val="22"/>
          <w:szCs w:val="22"/>
          <w:lang w:val="en-GB"/>
        </w:rPr>
        <w:t>.</w:t>
      </w:r>
    </w:p>
    <w:p w14:paraId="1ECE2555" w14:textId="77777777" w:rsidR="00280D78" w:rsidRPr="00514006" w:rsidRDefault="00280D78" w:rsidP="00280D78">
      <w:pPr>
        <w:jc w:val="both"/>
        <w:rPr>
          <w:rFonts w:ascii="Arial" w:hAnsi="Arial" w:cs="Arial"/>
          <w:color w:val="7B7B7B" w:themeColor="accent3" w:themeShade="BF"/>
          <w:sz w:val="22"/>
          <w:szCs w:val="22"/>
          <w:lang w:val="en-GB"/>
        </w:rPr>
      </w:pPr>
    </w:p>
    <w:p w14:paraId="657AF37C" w14:textId="77777777" w:rsidR="00280D78" w:rsidRPr="00514006" w:rsidRDefault="00280D78" w:rsidP="00280D78">
      <w:pPr>
        <w:jc w:val="both"/>
        <w:rPr>
          <w:rFonts w:ascii="Arial" w:hAnsi="Arial" w:cs="Arial"/>
          <w:color w:val="7B7B7B" w:themeColor="accent3" w:themeShade="BF"/>
          <w:sz w:val="22"/>
          <w:szCs w:val="22"/>
          <w:lang w:val="en-GB"/>
        </w:rPr>
      </w:pPr>
      <w:r w:rsidRPr="00514006">
        <w:rPr>
          <w:rFonts w:ascii="Arial" w:hAnsi="Arial" w:cs="Arial"/>
          <w:color w:val="7B7B7B" w:themeColor="accent3" w:themeShade="BF"/>
          <w:sz w:val="22"/>
          <w:szCs w:val="22"/>
          <w:lang w:val="en-GB"/>
        </w:rPr>
        <w:t>The Australian position for the purpose of recognition is the date of the hearing of the recognition application</w:t>
      </w:r>
      <w:r w:rsidRPr="00514006">
        <w:rPr>
          <w:rStyle w:val="FootnoteReference"/>
          <w:rFonts w:ascii="Arial" w:hAnsi="Arial" w:cs="Arial"/>
          <w:color w:val="7B7B7B" w:themeColor="accent3" w:themeShade="BF"/>
          <w:sz w:val="22"/>
          <w:szCs w:val="22"/>
          <w:lang w:val="en-GB"/>
        </w:rPr>
        <w:footnoteReference w:id="4"/>
      </w:r>
      <w:r w:rsidRPr="00514006">
        <w:rPr>
          <w:rFonts w:ascii="Arial" w:hAnsi="Arial" w:cs="Arial"/>
          <w:color w:val="7B7B7B" w:themeColor="accent3" w:themeShade="BF"/>
          <w:sz w:val="22"/>
          <w:szCs w:val="22"/>
          <w:lang w:val="en-GB"/>
        </w:rPr>
        <w:t>.</w:t>
      </w:r>
    </w:p>
    <w:p w14:paraId="38DBD26F" w14:textId="77777777" w:rsidR="00280D78" w:rsidRPr="00514006" w:rsidRDefault="00280D78" w:rsidP="00280D78">
      <w:pPr>
        <w:jc w:val="both"/>
        <w:rPr>
          <w:rFonts w:ascii="Arial" w:hAnsi="Arial" w:cs="Arial"/>
          <w:color w:val="7B7B7B" w:themeColor="accent3" w:themeShade="BF"/>
          <w:sz w:val="22"/>
          <w:szCs w:val="22"/>
          <w:lang w:val="en-GB"/>
        </w:rPr>
      </w:pPr>
    </w:p>
    <w:p w14:paraId="6424C5DD" w14:textId="77777777" w:rsidR="00280D78" w:rsidRPr="00514006" w:rsidRDefault="00280D78" w:rsidP="00280D78">
      <w:pPr>
        <w:jc w:val="both"/>
        <w:rPr>
          <w:rFonts w:ascii="Arial" w:hAnsi="Arial" w:cs="Arial"/>
          <w:color w:val="7B7B7B" w:themeColor="accent3" w:themeShade="BF"/>
          <w:sz w:val="22"/>
          <w:szCs w:val="22"/>
          <w:lang w:val="en-GB"/>
        </w:rPr>
      </w:pPr>
      <w:r w:rsidRPr="00514006">
        <w:rPr>
          <w:rFonts w:ascii="Arial" w:hAnsi="Arial" w:cs="Arial"/>
          <w:color w:val="7B7B7B" w:themeColor="accent3" w:themeShade="BF"/>
          <w:sz w:val="22"/>
          <w:szCs w:val="22"/>
          <w:lang w:val="en-GB"/>
        </w:rPr>
        <w:t xml:space="preserve">The Singapore position has been clarified in </w:t>
      </w:r>
      <w:r w:rsidRPr="00514006">
        <w:rPr>
          <w:rFonts w:ascii="Arial" w:hAnsi="Arial" w:cs="Arial"/>
          <w:i/>
          <w:color w:val="7B7B7B" w:themeColor="accent3" w:themeShade="BF"/>
          <w:sz w:val="22"/>
          <w:szCs w:val="22"/>
          <w:lang w:val="en-GB"/>
        </w:rPr>
        <w:t xml:space="preserve">Re Zetta Jet Pte Ltd &amp; </w:t>
      </w:r>
      <w:proofErr w:type="spellStart"/>
      <w:r w:rsidRPr="00514006">
        <w:rPr>
          <w:rFonts w:ascii="Arial" w:hAnsi="Arial" w:cs="Arial"/>
          <w:i/>
          <w:color w:val="7B7B7B" w:themeColor="accent3" w:themeShade="BF"/>
          <w:sz w:val="22"/>
          <w:szCs w:val="22"/>
          <w:lang w:val="en-GB"/>
        </w:rPr>
        <w:t>Ors</w:t>
      </w:r>
      <w:proofErr w:type="spellEnd"/>
      <w:r w:rsidRPr="00514006">
        <w:rPr>
          <w:rFonts w:ascii="Arial" w:hAnsi="Arial" w:cs="Arial"/>
          <w:i/>
          <w:color w:val="7B7B7B" w:themeColor="accent3" w:themeShade="BF"/>
          <w:sz w:val="22"/>
          <w:szCs w:val="22"/>
          <w:lang w:val="en-GB"/>
        </w:rPr>
        <w:t xml:space="preserve"> (Asia Aviation Holdings Pte Ltd, intervener) [2019] SGHC 53</w:t>
      </w:r>
      <w:r w:rsidRPr="00514006">
        <w:rPr>
          <w:rFonts w:ascii="Arial" w:hAnsi="Arial" w:cs="Arial"/>
          <w:color w:val="7B7B7B" w:themeColor="accent3" w:themeShade="BF"/>
          <w:sz w:val="22"/>
          <w:szCs w:val="22"/>
          <w:lang w:val="en-GB"/>
        </w:rPr>
        <w:t>. In this case, the High Court of Singapore followed the US approach for recognition, being the date of filing the recognition application. The rationale underpinning this decision was that the postponement of the date for determination might lead to the manipulation of the debtor’s COMI.</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64DB07D1"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u w:val="single"/>
          <w:lang w:val="en-GB"/>
        </w:rPr>
        <w:t>Statement 1</w:t>
      </w:r>
      <w:r>
        <w:rPr>
          <w:rFonts w:ascii="Arial" w:hAnsi="Arial" w:cs="Arial"/>
          <w:color w:val="7B7B7B" w:themeColor="accent3" w:themeShade="BF"/>
          <w:sz w:val="22"/>
          <w:szCs w:val="22"/>
          <w:lang w:val="en-GB"/>
        </w:rPr>
        <w:t xml:space="preserve"> “</w:t>
      </w:r>
      <w:r>
        <w:rPr>
          <w:rFonts w:ascii="Arial" w:hAnsi="Arial" w:cs="Arial"/>
          <w:i/>
          <w:color w:val="7B7B7B" w:themeColor="accent3" w:themeShade="BF"/>
          <w:sz w:val="22"/>
          <w:szCs w:val="22"/>
          <w:lang w:val="en-GB"/>
        </w:rPr>
        <w:t>This Article provides guidance in case of concurrence of two foreign non-main proceedings”</w:t>
      </w:r>
    </w:p>
    <w:p w14:paraId="41C7BD0F" w14:textId="77777777" w:rsidR="00280D78" w:rsidRDefault="00280D78" w:rsidP="00280D78">
      <w:pPr>
        <w:jc w:val="both"/>
        <w:rPr>
          <w:rFonts w:ascii="Arial" w:hAnsi="Arial" w:cs="Arial"/>
          <w:color w:val="7B7B7B" w:themeColor="accent3" w:themeShade="BF"/>
          <w:sz w:val="22"/>
          <w:szCs w:val="22"/>
          <w:lang w:val="en-GB"/>
        </w:rPr>
      </w:pPr>
    </w:p>
    <w:p w14:paraId="26ACC403"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V of the Model Law provides guidance on the primacy of proceedings where more than one insolvency proceeding is opened against a single debtor</w:t>
      </w:r>
      <w:r>
        <w:rPr>
          <w:rStyle w:val="FootnoteReference"/>
          <w:rFonts w:ascii="Arial" w:hAnsi="Arial" w:cs="Arial"/>
          <w:color w:val="7B7B7B" w:themeColor="accent3" w:themeShade="BF"/>
          <w:sz w:val="22"/>
          <w:szCs w:val="22"/>
          <w:lang w:val="en-GB"/>
        </w:rPr>
        <w:footnoteReference w:id="5"/>
      </w:r>
      <w:r>
        <w:rPr>
          <w:rFonts w:ascii="Arial" w:hAnsi="Arial" w:cs="Arial"/>
          <w:color w:val="7B7B7B" w:themeColor="accent3" w:themeShade="BF"/>
          <w:sz w:val="22"/>
          <w:szCs w:val="22"/>
          <w:lang w:val="en-GB"/>
        </w:rPr>
        <w:t>.</w:t>
      </w:r>
    </w:p>
    <w:p w14:paraId="4CE87F94" w14:textId="77777777" w:rsidR="00280D78" w:rsidRDefault="00280D78" w:rsidP="00280D78">
      <w:pPr>
        <w:jc w:val="both"/>
        <w:rPr>
          <w:rFonts w:ascii="Arial" w:hAnsi="Arial" w:cs="Arial"/>
          <w:color w:val="7B7B7B" w:themeColor="accent3" w:themeShade="BF"/>
          <w:sz w:val="22"/>
          <w:szCs w:val="22"/>
          <w:lang w:val="en-GB"/>
        </w:rPr>
      </w:pPr>
    </w:p>
    <w:p w14:paraId="0E733E77"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30 of the Model Law deals with cases where there is a foreign main, and foreign non-main proceeding opened against a debtor (Article 30(a) and (b)) and where more than one non-main foreign proceeding is opened against a debtor (Article 30(c)). In particular, </w:t>
      </w:r>
    </w:p>
    <w:p w14:paraId="76300BB5" w14:textId="77777777" w:rsidR="00280D78" w:rsidRDefault="00280D78" w:rsidP="00280D78">
      <w:pPr>
        <w:jc w:val="both"/>
        <w:rPr>
          <w:rFonts w:ascii="Arial" w:hAnsi="Arial" w:cs="Arial"/>
          <w:color w:val="7B7B7B" w:themeColor="accent3" w:themeShade="BF"/>
          <w:sz w:val="22"/>
          <w:szCs w:val="22"/>
          <w:lang w:val="en-GB"/>
        </w:rPr>
      </w:pPr>
    </w:p>
    <w:p w14:paraId="2C3E0C9A"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Art. 30 – Coordination of more than one foreign proceeding</w:t>
      </w:r>
    </w:p>
    <w:p w14:paraId="63762E82" w14:textId="77777777" w:rsidR="00280D78" w:rsidRDefault="00280D78" w:rsidP="00280D78">
      <w:pPr>
        <w:ind w:left="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In matters referred to in Article 1, in respect of more than one foreign proceeding regarding the same debtor, the court shall seek cooperation and coordination under articles 25, 26, and 27, and the following shall apply:</w:t>
      </w:r>
    </w:p>
    <w:p w14:paraId="47E324C4" w14:textId="77777777" w:rsidR="00280D78" w:rsidRDefault="00280D78" w:rsidP="00280D78">
      <w:pPr>
        <w:ind w:left="720"/>
        <w:jc w:val="both"/>
        <w:rPr>
          <w:rFonts w:ascii="Arial" w:hAnsi="Arial" w:cs="Arial"/>
          <w:i/>
          <w:color w:val="7B7B7B" w:themeColor="accent3" w:themeShade="BF"/>
          <w:sz w:val="22"/>
          <w:szCs w:val="22"/>
          <w:lang w:val="en-GB"/>
        </w:rPr>
      </w:pPr>
    </w:p>
    <w:p w14:paraId="7006507C" w14:textId="77777777" w:rsidR="00280D78" w:rsidRDefault="00280D78" w:rsidP="00280D78">
      <w:pPr>
        <w:ind w:left="720"/>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lastRenderedPageBreak/>
        <w:t>(c) If after recognition of a foreign non-main proceeding, another foreign non-main proceeding is recognized, the court shall grant, modify, or terminate relief to facilitate coordination of the proceedings.”</w:t>
      </w:r>
    </w:p>
    <w:p w14:paraId="3D4AAAB8" w14:textId="77777777" w:rsidR="00280D78" w:rsidRDefault="00280D78" w:rsidP="00280D78">
      <w:pPr>
        <w:jc w:val="both"/>
        <w:rPr>
          <w:rFonts w:ascii="Arial" w:hAnsi="Arial" w:cs="Arial"/>
          <w:color w:val="7B7B7B" w:themeColor="accent3" w:themeShade="BF"/>
          <w:sz w:val="22"/>
          <w:szCs w:val="22"/>
          <w:lang w:val="en-GB"/>
        </w:rPr>
      </w:pPr>
    </w:p>
    <w:p w14:paraId="7484307A" w14:textId="77777777" w:rsidR="00280D78" w:rsidRPr="00315365"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30(c) aims to ensure the fair administration of cross-border insolvencies by facilitating the coordination and relief available under those proceedings.</w:t>
      </w:r>
    </w:p>
    <w:p w14:paraId="0E44BE25" w14:textId="77777777" w:rsidR="00280D78" w:rsidRDefault="00280D78" w:rsidP="00280D78">
      <w:pPr>
        <w:jc w:val="both"/>
        <w:rPr>
          <w:rFonts w:ascii="Arial" w:hAnsi="Arial" w:cs="Arial"/>
          <w:color w:val="7B7B7B" w:themeColor="accent3" w:themeShade="BF"/>
          <w:sz w:val="22"/>
          <w:szCs w:val="22"/>
          <w:lang w:val="en-GB"/>
        </w:rPr>
      </w:pPr>
    </w:p>
    <w:p w14:paraId="7E3F54CC"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u w:val="single"/>
          <w:lang w:val="en-GB"/>
        </w:rPr>
        <w:t>Statement 2</w:t>
      </w:r>
      <w:proofErr w:type="gramStart"/>
      <w:r>
        <w:rPr>
          <w:rFonts w:ascii="Arial" w:hAnsi="Arial" w:cs="Arial"/>
          <w:b/>
          <w:color w:val="7B7B7B" w:themeColor="accent3" w:themeShade="BF"/>
          <w:sz w:val="22"/>
          <w:szCs w:val="22"/>
          <w:u w:val="single"/>
          <w:lang w:val="en-GB"/>
        </w:rPr>
        <w:t>:</w:t>
      </w:r>
      <w:r>
        <w:rPr>
          <w:rFonts w:ascii="Arial" w:hAnsi="Arial" w:cs="Arial"/>
          <w:color w:val="7B7B7B" w:themeColor="accent3" w:themeShade="BF"/>
          <w:sz w:val="22"/>
          <w:szCs w:val="22"/>
          <w:lang w:val="en-GB"/>
        </w:rPr>
        <w:t xml:space="preserve">  “</w:t>
      </w:r>
      <w:proofErr w:type="gramEnd"/>
      <w:r>
        <w:rPr>
          <w:rFonts w:ascii="Arial" w:hAnsi="Arial" w:cs="Arial"/>
          <w:color w:val="7B7B7B" w:themeColor="accent3" w:themeShade="BF"/>
          <w:sz w:val="22"/>
          <w:szCs w:val="22"/>
          <w:lang w:val="en-GB"/>
        </w:rPr>
        <w:t>The rule in this article does not affect secured creditors”</w:t>
      </w:r>
    </w:p>
    <w:p w14:paraId="5EA521A0" w14:textId="77777777" w:rsidR="00280D78" w:rsidRDefault="00280D78" w:rsidP="00280D78">
      <w:pPr>
        <w:jc w:val="both"/>
        <w:rPr>
          <w:rFonts w:ascii="Arial" w:hAnsi="Arial" w:cs="Arial"/>
          <w:color w:val="7B7B7B" w:themeColor="accent3" w:themeShade="BF"/>
          <w:sz w:val="22"/>
          <w:szCs w:val="22"/>
          <w:lang w:val="en-GB"/>
        </w:rPr>
      </w:pPr>
    </w:p>
    <w:p w14:paraId="0007D95C"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32 – Rule of Payment in Concurrent Proceedings</w:t>
      </w:r>
    </w:p>
    <w:p w14:paraId="482A56EB" w14:textId="77777777" w:rsidR="00280D78" w:rsidRDefault="00280D78" w:rsidP="00280D78">
      <w:pPr>
        <w:jc w:val="both"/>
        <w:rPr>
          <w:rFonts w:ascii="Arial" w:hAnsi="Arial" w:cs="Arial"/>
          <w:color w:val="7B7B7B" w:themeColor="accent3" w:themeShade="BF"/>
          <w:sz w:val="22"/>
          <w:szCs w:val="22"/>
          <w:lang w:val="en-GB"/>
        </w:rPr>
      </w:pPr>
    </w:p>
    <w:p w14:paraId="1B554D91" w14:textId="77777777" w:rsidR="00280D78" w:rsidRDefault="00280D78" w:rsidP="00280D78">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i/>
          <w:color w:val="7B7B7B" w:themeColor="accent3" w:themeShade="BF"/>
          <w:sz w:val="22"/>
          <w:szCs w:val="22"/>
          <w:lang w:val="en-GB"/>
        </w:rPr>
        <w:t>Without prejudice to secured claims or rights in rem, a creditor who has received part payment in respect of its claim in a proceeding pursuant to a law relating to insolvency in a foreign state may not receive a payment for the same claim in a proceeding [domestic law] regarding the same debtor, so long as the payment to the other creditors of the same class is proportionately less than the payment the creditor has already received.”</w:t>
      </w:r>
    </w:p>
    <w:p w14:paraId="328D6CC6" w14:textId="77777777" w:rsidR="00280D78" w:rsidRDefault="00280D78" w:rsidP="00280D78">
      <w:pPr>
        <w:jc w:val="both"/>
        <w:rPr>
          <w:rFonts w:ascii="Arial" w:hAnsi="Arial" w:cs="Arial"/>
          <w:color w:val="7B7B7B" w:themeColor="accent3" w:themeShade="BF"/>
          <w:sz w:val="22"/>
          <w:szCs w:val="22"/>
          <w:lang w:val="en-GB"/>
        </w:rPr>
      </w:pPr>
    </w:p>
    <w:p w14:paraId="7692AB23"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32 (known as the </w:t>
      </w:r>
      <w:proofErr w:type="spellStart"/>
      <w:r>
        <w:rPr>
          <w:rFonts w:ascii="Arial" w:hAnsi="Arial" w:cs="Arial"/>
          <w:color w:val="7B7B7B" w:themeColor="accent3" w:themeShade="BF"/>
          <w:sz w:val="22"/>
          <w:szCs w:val="22"/>
          <w:lang w:val="en-GB"/>
        </w:rPr>
        <w:t>Hotch</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Potch</w:t>
      </w:r>
      <w:proofErr w:type="spellEnd"/>
      <w:r>
        <w:rPr>
          <w:rFonts w:ascii="Arial" w:hAnsi="Arial" w:cs="Arial"/>
          <w:color w:val="7B7B7B" w:themeColor="accent3" w:themeShade="BF"/>
          <w:sz w:val="22"/>
          <w:szCs w:val="22"/>
          <w:lang w:val="en-GB"/>
        </w:rPr>
        <w:t xml:space="preserve"> Rule) ensures the equal treatment of creditors in circumstances where it would be possible for a creditor of the same class to receive more favourable treatment for its claim in a different jurisdiction</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As expressly stated above, this rule does not affect secured creditors to the extent that their claims are paid in full.</w:t>
      </w:r>
    </w:p>
    <w:p w14:paraId="73BC5B4B" w14:textId="77777777" w:rsidR="00280D78" w:rsidRDefault="00280D78" w:rsidP="00280D78">
      <w:pPr>
        <w:jc w:val="both"/>
        <w:rPr>
          <w:rFonts w:ascii="Arial" w:hAnsi="Arial" w:cs="Arial"/>
          <w:color w:val="7B7B7B" w:themeColor="accent3" w:themeShade="BF"/>
          <w:sz w:val="22"/>
          <w:szCs w:val="22"/>
          <w:lang w:val="en-GB"/>
        </w:rPr>
      </w:pPr>
    </w:p>
    <w:p w14:paraId="1C073692"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Statement 3:</w:t>
      </w:r>
      <w:r>
        <w:rPr>
          <w:rFonts w:ascii="Arial" w:hAnsi="Arial" w:cs="Arial"/>
          <w:color w:val="7B7B7B" w:themeColor="accent3" w:themeShade="BF"/>
          <w:sz w:val="22"/>
          <w:szCs w:val="22"/>
          <w:u w:val="single"/>
          <w:lang w:val="en-GB"/>
        </w:rPr>
        <w:t xml:space="preserve"> </w:t>
      </w:r>
      <w:r>
        <w:rPr>
          <w:rFonts w:ascii="Arial" w:hAnsi="Arial" w:cs="Arial"/>
          <w:color w:val="7B7B7B" w:themeColor="accent3" w:themeShade="BF"/>
          <w:sz w:val="22"/>
          <w:szCs w:val="22"/>
          <w:lang w:val="en-GB"/>
        </w:rPr>
        <w:t xml:space="preserve"> This Article contains a rebuttable presumption regarding an undefined key concept in the MLCBI.</w:t>
      </w:r>
    </w:p>
    <w:p w14:paraId="5BC54F49" w14:textId="77777777" w:rsidR="00280D78" w:rsidRDefault="00280D78" w:rsidP="00280D78">
      <w:pPr>
        <w:jc w:val="both"/>
        <w:rPr>
          <w:rFonts w:ascii="Arial" w:hAnsi="Arial" w:cs="Arial"/>
          <w:color w:val="7B7B7B" w:themeColor="accent3" w:themeShade="BF"/>
          <w:sz w:val="22"/>
          <w:szCs w:val="22"/>
          <w:lang w:val="en-GB"/>
        </w:rPr>
      </w:pPr>
    </w:p>
    <w:p w14:paraId="3B7F91F7"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16 – Presumptions concerning recognition</w:t>
      </w:r>
    </w:p>
    <w:p w14:paraId="280F8088" w14:textId="77777777" w:rsidR="00280D78" w:rsidRDefault="00280D78" w:rsidP="00280D78">
      <w:pPr>
        <w:jc w:val="both"/>
        <w:rPr>
          <w:rFonts w:ascii="Arial" w:hAnsi="Arial" w:cs="Arial"/>
          <w:color w:val="7B7B7B" w:themeColor="accent3" w:themeShade="BF"/>
          <w:sz w:val="22"/>
          <w:szCs w:val="22"/>
          <w:lang w:val="en-GB"/>
        </w:rPr>
      </w:pPr>
    </w:p>
    <w:p w14:paraId="75C2A60A" w14:textId="77777777" w:rsidR="00280D78" w:rsidRDefault="00280D78" w:rsidP="00280D78">
      <w:pPr>
        <w:ind w:left="720"/>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w:t>
      </w:r>
      <w:r>
        <w:rPr>
          <w:rFonts w:ascii="Arial" w:hAnsi="Arial" w:cs="Arial"/>
          <w:i/>
          <w:color w:val="7B7B7B" w:themeColor="accent3" w:themeShade="BF"/>
          <w:sz w:val="22"/>
          <w:szCs w:val="22"/>
          <w:lang w:val="en-GB"/>
        </w:rPr>
        <w:t>3 In the absence of proof to the contrary, the debtor’s registered office or habitual residence in the case of an individual is presumed to be the centre of the debtor’s main interest.”</w:t>
      </w:r>
    </w:p>
    <w:p w14:paraId="4768B628" w14:textId="77777777" w:rsidR="00280D78" w:rsidRDefault="00280D78" w:rsidP="00280D78">
      <w:pPr>
        <w:jc w:val="both"/>
        <w:rPr>
          <w:rFonts w:ascii="Arial" w:hAnsi="Arial" w:cs="Arial"/>
          <w:i/>
          <w:color w:val="7B7B7B" w:themeColor="accent3" w:themeShade="BF"/>
          <w:sz w:val="22"/>
          <w:szCs w:val="22"/>
          <w:lang w:val="en-GB"/>
        </w:rPr>
      </w:pPr>
    </w:p>
    <w:p w14:paraId="1721055C"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presumption aims to save both time and costs by dispensing with evidentiary requirements required to establish a debtor’s COMI. However, this is a rebuttable presumption and a court in the enacting state, if established on evidence the contrary is the case</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Under the case law that has developed on this issue, courts have identified the following factors as the most relevant</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w:t>
      </w:r>
    </w:p>
    <w:p w14:paraId="68D75251" w14:textId="77777777" w:rsidR="00280D78" w:rsidRDefault="00280D78" w:rsidP="00280D7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location of the debtor’s primary assets</w:t>
      </w:r>
    </w:p>
    <w:p w14:paraId="277DDA99" w14:textId="77777777" w:rsidR="00280D78" w:rsidRDefault="00280D78" w:rsidP="00280D7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jurisdiction whose law would apply to most disputes</w:t>
      </w:r>
    </w:p>
    <w:p w14:paraId="2237EC03" w14:textId="77777777" w:rsidR="00280D78" w:rsidRDefault="00280D78" w:rsidP="00280D7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location of the majority of the debtor’s creditors or of a majority of the creditors who would be affected by the case</w:t>
      </w:r>
    </w:p>
    <w:p w14:paraId="5665ED0E" w14:textId="77777777" w:rsidR="00280D78" w:rsidRDefault="00280D78" w:rsidP="00280D7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location of those who actually manage the debtor</w:t>
      </w:r>
    </w:p>
    <w:p w14:paraId="1F44143F" w14:textId="77777777" w:rsidR="00280D78" w:rsidRDefault="00280D78" w:rsidP="00280D7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location of the debtor’s ‘nerve centre.’</w:t>
      </w:r>
    </w:p>
    <w:p w14:paraId="11C9666B" w14:textId="77777777" w:rsidR="00280D78" w:rsidRDefault="00280D78" w:rsidP="00280D78">
      <w:pPr>
        <w:jc w:val="both"/>
        <w:rPr>
          <w:rFonts w:ascii="Arial" w:hAnsi="Arial" w:cs="Arial"/>
          <w:color w:val="7B7B7B" w:themeColor="accent3" w:themeShade="BF"/>
          <w:sz w:val="22"/>
          <w:szCs w:val="22"/>
          <w:lang w:val="en-GB"/>
        </w:rPr>
      </w:pPr>
    </w:p>
    <w:p w14:paraId="766ACCD1" w14:textId="77777777" w:rsidR="00280D78" w:rsidRPr="00315365"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undertaking this exercise, it is intended to assist the court to ensure that the location of foreign proceedings corresponds to the actual location of the debtor’s COMI as ascertained by creditors</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33695B78"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 xml:space="preserve">The purpose of the Model Law is to provide a procedural framework for dealing with issues arising out of cross-border insolvencies. The Model Law is/was not intended to provide universal substantive insolvency law. Against this backdrop, the English Court of Appeal in </w:t>
      </w:r>
      <w:r w:rsidRPr="00437989">
        <w:rPr>
          <w:rFonts w:ascii="Arial" w:hAnsi="Arial" w:cs="Arial"/>
          <w:i/>
          <w:color w:val="7B7B7B" w:themeColor="accent3" w:themeShade="BF"/>
          <w:sz w:val="22"/>
          <w:szCs w:val="22"/>
          <w:lang w:val="en-GB"/>
        </w:rPr>
        <w:t>Re OJSC International Bank [2019] 2 All ER</w:t>
      </w:r>
      <w:r w:rsidRPr="00437989">
        <w:rPr>
          <w:rFonts w:ascii="Arial" w:hAnsi="Arial" w:cs="Arial"/>
          <w:color w:val="7B7B7B" w:themeColor="accent3" w:themeShade="BF"/>
          <w:sz w:val="22"/>
          <w:szCs w:val="22"/>
          <w:lang w:val="en-GB"/>
        </w:rPr>
        <w:t xml:space="preserve"> had to consider whether it was appropriate to grant an indefinite stay which in effect would defeat the English creditors substantive rights under domestic law or whether the Court could prolong the stay after the foreign proceedings had come to an end.</w:t>
      </w:r>
    </w:p>
    <w:p w14:paraId="6BE6E448" w14:textId="77777777" w:rsidR="00280D78" w:rsidRPr="00437989" w:rsidRDefault="00280D78" w:rsidP="00280D78">
      <w:pPr>
        <w:jc w:val="both"/>
        <w:rPr>
          <w:rFonts w:ascii="Arial" w:hAnsi="Arial" w:cs="Arial"/>
          <w:color w:val="7B7B7B" w:themeColor="accent3" w:themeShade="BF"/>
          <w:sz w:val="22"/>
          <w:szCs w:val="22"/>
          <w:lang w:val="en-GB"/>
        </w:rPr>
      </w:pPr>
    </w:p>
    <w:p w14:paraId="13D093C2"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In considering the first question, the Court confirmed that the scope of the Model law was limited to procedural aspects, and it does not intend the substantive unification of insolvency law. The Court explained that if the available relief under Article 21 (post recognition relief) had been intended to override the substantive rights of creditors, the Court would have expected that this would have been made explicit in the Model Law. On this basis, the Court found that the provisions of the Model Law do not empower the English Court to vary or discharge the substantive rights conferred to the creditors under English law.</w:t>
      </w:r>
    </w:p>
    <w:p w14:paraId="43C1436E" w14:textId="77777777" w:rsidR="00280D78" w:rsidRPr="00437989" w:rsidRDefault="00280D78" w:rsidP="00280D78">
      <w:pPr>
        <w:jc w:val="both"/>
        <w:rPr>
          <w:rFonts w:ascii="Arial" w:hAnsi="Arial" w:cs="Arial"/>
          <w:color w:val="7B7B7B" w:themeColor="accent3" w:themeShade="BF"/>
          <w:sz w:val="22"/>
          <w:szCs w:val="22"/>
          <w:lang w:val="en-GB"/>
        </w:rPr>
      </w:pPr>
    </w:p>
    <w:p w14:paraId="6844B783"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As to whether the stay could be granted beyond the end of the foreign proceedings, the Court of Appeal found that once the foreign proceedings had come to an end and the foreign representative is no longer in office, there is no scope for further orders to be made and any relief granted under the Model Law should also come to an end. In this case, the purpose of the reconstruction had been achieved, and the company had resumed trading. The Court recognized that the reconstruction had been extended beyond its original termination date by a change in Azeri law but nevertheless found that the reconstruction as an insolvency proceeding had ended.</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18DEFAEA"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circumstances where proceedings have been opened against a debtor under domestic law, upon recognition of foreign proceedings Article 20 of the Model Law provides:</w:t>
      </w:r>
    </w:p>
    <w:p w14:paraId="3D4C90CA" w14:textId="77777777" w:rsidR="00280D78" w:rsidRDefault="00280D78" w:rsidP="00280D78">
      <w:pPr>
        <w:jc w:val="both"/>
        <w:rPr>
          <w:rFonts w:ascii="Arial" w:hAnsi="Arial" w:cs="Arial"/>
          <w:color w:val="7B7B7B" w:themeColor="accent3" w:themeShade="BF"/>
          <w:sz w:val="22"/>
          <w:szCs w:val="22"/>
          <w:lang w:val="en-GB"/>
        </w:rPr>
      </w:pPr>
    </w:p>
    <w:p w14:paraId="3D5B6E8C" w14:textId="77777777" w:rsidR="00280D78" w:rsidRDefault="00280D78" w:rsidP="00280D78">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ab/>
      </w:r>
      <w:r>
        <w:rPr>
          <w:rFonts w:ascii="Arial" w:hAnsi="Arial" w:cs="Arial"/>
          <w:i/>
          <w:color w:val="7B7B7B" w:themeColor="accent3" w:themeShade="BF"/>
          <w:sz w:val="22"/>
          <w:szCs w:val="22"/>
          <w:lang w:val="en-GB"/>
        </w:rPr>
        <w:t>“1. Upon recognition of a foreign proceeding that is a foreign main proceeding</w:t>
      </w:r>
    </w:p>
    <w:p w14:paraId="77ACD08A" w14:textId="77777777" w:rsidR="00280D78" w:rsidRDefault="00280D78" w:rsidP="00280D78">
      <w:pPr>
        <w:pStyle w:val="ListParagraph"/>
        <w:numPr>
          <w:ilvl w:val="0"/>
          <w:numId w:val="42"/>
        </w:numPr>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Commencement or continuation of individual actions or individual proceedings concerning the debtor’s assets, rights, obligations or liabilities is stayed;</w:t>
      </w:r>
    </w:p>
    <w:p w14:paraId="3BC93C9D" w14:textId="77777777" w:rsidR="00280D78" w:rsidRDefault="00280D78" w:rsidP="00280D78">
      <w:pPr>
        <w:pStyle w:val="ListParagraph"/>
        <w:numPr>
          <w:ilvl w:val="0"/>
          <w:numId w:val="42"/>
        </w:numPr>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 xml:space="preserve">Execution against the debtor’s assets is stayed; and </w:t>
      </w:r>
    </w:p>
    <w:p w14:paraId="32271DE4" w14:textId="77777777" w:rsidR="00280D78" w:rsidRPr="00BA51C3" w:rsidRDefault="00280D78" w:rsidP="00280D78">
      <w:pPr>
        <w:pStyle w:val="ListParagraph"/>
        <w:numPr>
          <w:ilvl w:val="0"/>
          <w:numId w:val="42"/>
        </w:numPr>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The right to transfer, encumber or otherwise dispose of any assets of the debtor is suspended.</w:t>
      </w:r>
    </w:p>
    <w:p w14:paraId="21B278EA" w14:textId="77777777" w:rsidR="00280D78" w:rsidRDefault="00280D78" w:rsidP="00280D78">
      <w:pPr>
        <w:jc w:val="both"/>
        <w:rPr>
          <w:rFonts w:ascii="Arial" w:hAnsi="Arial" w:cs="Arial"/>
          <w:color w:val="7B7B7B" w:themeColor="accent3" w:themeShade="BF"/>
          <w:sz w:val="22"/>
          <w:szCs w:val="22"/>
          <w:lang w:val="en-GB"/>
        </w:rPr>
      </w:pPr>
    </w:p>
    <w:p w14:paraId="56D56E9D"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20 (2) expressly limits the scope of the stay as the effect of the stay depends on any limitations that exist under the domestic law of the enacting state</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 xml:space="preserve">. Additionally, Article 20(3) does not affect the right of a creditor to commence individual actions against the debtor for the </w:t>
      </w:r>
      <w:r>
        <w:rPr>
          <w:rFonts w:ascii="Arial" w:hAnsi="Arial" w:cs="Arial"/>
          <w:color w:val="7B7B7B" w:themeColor="accent3" w:themeShade="BF"/>
          <w:sz w:val="22"/>
          <w:szCs w:val="22"/>
          <w:lang w:val="en-GB"/>
        </w:rPr>
        <w:lastRenderedPageBreak/>
        <w:t xml:space="preserve">purpose of preserving a claim against the debtor or the right to request the commencement of a proceeding under the domestic law of the enacting state or the right to file a claim in such proceedings (Article 20(4)). </w:t>
      </w:r>
    </w:p>
    <w:p w14:paraId="5501736C" w14:textId="77777777" w:rsidR="00280D78" w:rsidRDefault="00280D78" w:rsidP="00280D78">
      <w:pPr>
        <w:jc w:val="both"/>
        <w:rPr>
          <w:rFonts w:ascii="Arial" w:hAnsi="Arial" w:cs="Arial"/>
          <w:color w:val="7B7B7B" w:themeColor="accent3" w:themeShade="BF"/>
          <w:sz w:val="22"/>
          <w:szCs w:val="22"/>
          <w:lang w:val="en-GB"/>
        </w:rPr>
      </w:pPr>
    </w:p>
    <w:p w14:paraId="33B5CFC6"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18 of the Model Law expressly mandates from the time of filing a recognition application a positive obligation on the foreign representative to “promptly inform” the court in the enacting state of:</w:t>
      </w:r>
    </w:p>
    <w:p w14:paraId="60F0BB17" w14:textId="77777777" w:rsidR="00280D78" w:rsidRDefault="00280D78" w:rsidP="00280D78">
      <w:pPr>
        <w:jc w:val="both"/>
        <w:rPr>
          <w:rFonts w:ascii="Arial" w:hAnsi="Arial" w:cs="Arial"/>
          <w:color w:val="7B7B7B" w:themeColor="accent3" w:themeShade="BF"/>
          <w:sz w:val="22"/>
          <w:szCs w:val="22"/>
          <w:lang w:val="en-GB"/>
        </w:rPr>
      </w:pPr>
    </w:p>
    <w:p w14:paraId="0E464B3C" w14:textId="77777777" w:rsidR="00280D78" w:rsidRDefault="00280D78" w:rsidP="00280D78">
      <w:pPr>
        <w:ind w:left="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 xml:space="preserve">“Any substantial change in the status of the recognized foreign proceedings or the status of the foreign representative’s appointment; and </w:t>
      </w:r>
    </w:p>
    <w:p w14:paraId="39C0E329" w14:textId="77777777" w:rsidR="00280D78" w:rsidRDefault="00280D78" w:rsidP="00280D78">
      <w:pPr>
        <w:ind w:left="720"/>
        <w:jc w:val="both"/>
        <w:rPr>
          <w:rFonts w:ascii="Arial" w:hAnsi="Arial" w:cs="Arial"/>
          <w:i/>
          <w:color w:val="7B7B7B" w:themeColor="accent3" w:themeShade="BF"/>
          <w:sz w:val="22"/>
          <w:szCs w:val="22"/>
          <w:lang w:val="en-GB"/>
        </w:rPr>
      </w:pPr>
    </w:p>
    <w:p w14:paraId="37D775BC" w14:textId="77777777" w:rsidR="00280D78" w:rsidRDefault="00280D78" w:rsidP="00280D78">
      <w:pPr>
        <w:ind w:left="720"/>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Any other foreign proceeding regarding the same debtor becomes known to the foreign representative.”</w:t>
      </w:r>
    </w:p>
    <w:p w14:paraId="5FCC7EF8" w14:textId="77777777" w:rsidR="00280D78" w:rsidRDefault="00280D78" w:rsidP="00280D78">
      <w:pPr>
        <w:ind w:left="720"/>
        <w:jc w:val="both"/>
        <w:rPr>
          <w:rFonts w:ascii="Arial" w:hAnsi="Arial" w:cs="Arial"/>
          <w:color w:val="7B7B7B" w:themeColor="accent3" w:themeShade="BF"/>
          <w:sz w:val="22"/>
          <w:szCs w:val="22"/>
          <w:lang w:val="en-GB"/>
        </w:rPr>
      </w:pPr>
    </w:p>
    <w:p w14:paraId="432FC97C"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provision accepts that upon the filing of a recognition application, the circumstances of the case may change, which may affect the relief available to the foreign representative. In this regard, the purpose of this obligation is to allow the court in the enacting state to modify or terminate any relief granted upon recognition of the foreign proceeding</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CAE95B" w14:textId="77777777" w:rsidR="00280D78" w:rsidRPr="00514006"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indicated above, the Model Law provides a procedural framework for states to advance a uniform approach to deal with issues arising under cross-border insolvencies. The Model Law achieves this by granting access to a foreign representative or creditors to the courts in the enacting state, and by the coordination of relief in the enacting state to assist parallel insolvency proceedings in different states against the same debtor.</w:t>
      </w:r>
    </w:p>
    <w:p w14:paraId="43670D38" w14:textId="77777777" w:rsidR="00280D78" w:rsidRPr="00437989" w:rsidRDefault="00280D78" w:rsidP="00280D78">
      <w:pPr>
        <w:jc w:val="both"/>
        <w:rPr>
          <w:rFonts w:ascii="Arial" w:hAnsi="Arial" w:cs="Arial"/>
          <w:color w:val="7B7B7B" w:themeColor="accent3" w:themeShade="BF"/>
          <w:sz w:val="22"/>
          <w:szCs w:val="22"/>
          <w:lang w:val="en-GB"/>
        </w:rPr>
      </w:pPr>
    </w:p>
    <w:p w14:paraId="6372E9EB"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As to access, Article 9 of the Model Law confers standing for foreign representatives or creditors to appear before the courts in the enacting state without the need to meet the formal requirements for standing prescribed under domestic law. Under Article 9, there is no prior requirement for recognition for the foreign representative or creditor to be conferred standing. Article 11 provides standing to a foreign representative or creditor to commence domestic insolvency proceedings in the enacting state provided that the foreign representative or creditor satisfies the other requirements to commence proceedings under the law of the enacting state. Similar to Article 9, Article 11 of the Model Law also does not require prior recognition of the foreign proceeding to confer standing.</w:t>
      </w:r>
    </w:p>
    <w:p w14:paraId="4A84CEA3" w14:textId="77777777" w:rsidR="00280D78" w:rsidRPr="00437989" w:rsidRDefault="00280D78" w:rsidP="00280D78">
      <w:pPr>
        <w:jc w:val="both"/>
        <w:rPr>
          <w:rFonts w:ascii="Arial" w:hAnsi="Arial" w:cs="Arial"/>
          <w:color w:val="7B7B7B" w:themeColor="accent3" w:themeShade="BF"/>
          <w:sz w:val="22"/>
          <w:szCs w:val="22"/>
          <w:lang w:val="en-GB"/>
        </w:rPr>
      </w:pPr>
    </w:p>
    <w:p w14:paraId="63F81D20"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 xml:space="preserve">The access rights under the Model Law seek to maintain the status quo to allow courts in the enacting state to coordinate relief in concurrent proceedings. </w:t>
      </w:r>
      <w:r>
        <w:rPr>
          <w:rFonts w:ascii="Arial" w:hAnsi="Arial" w:cs="Arial"/>
          <w:color w:val="7B7B7B" w:themeColor="accent3" w:themeShade="BF"/>
          <w:sz w:val="22"/>
          <w:szCs w:val="22"/>
          <w:lang w:val="en-GB"/>
        </w:rPr>
        <w:t xml:space="preserve">The Model Law grants a foreign </w:t>
      </w:r>
      <w:r>
        <w:rPr>
          <w:rFonts w:ascii="Arial" w:hAnsi="Arial" w:cs="Arial"/>
          <w:color w:val="7B7B7B" w:themeColor="accent3" w:themeShade="BF"/>
          <w:sz w:val="22"/>
          <w:szCs w:val="22"/>
          <w:lang w:val="en-GB"/>
        </w:rPr>
        <w:lastRenderedPageBreak/>
        <w:t xml:space="preserve">representative immediate access to the Court in the enacting state to apply for relief or assistance swiftly and seek interim relief should the circumstances of the case require. By conferring standing to a foreign representative and/or creditor this saves both time and expense and obviates the need to commence separate proceedings which are costly. </w:t>
      </w:r>
      <w:r w:rsidRPr="00437989">
        <w:rPr>
          <w:rFonts w:ascii="Arial" w:hAnsi="Arial" w:cs="Arial"/>
          <w:color w:val="7B7B7B" w:themeColor="accent3" w:themeShade="BF"/>
          <w:sz w:val="22"/>
          <w:szCs w:val="22"/>
          <w:lang w:val="en-GB"/>
        </w:rPr>
        <w:t xml:space="preserve">The purpose of these provides (Articles 9 &amp; 11) is two-fold. First, to minimize the diminution of value of the debtor’s estate, which in some circumstances may create value for the benefit of all creditors, and second, to allow for the orderly administration of the debtor’s insolvency estate. </w:t>
      </w:r>
    </w:p>
    <w:p w14:paraId="408253A1" w14:textId="77777777" w:rsidR="00280D78" w:rsidRPr="00437989" w:rsidRDefault="00280D78" w:rsidP="00280D78">
      <w:pPr>
        <w:jc w:val="both"/>
        <w:rPr>
          <w:rFonts w:ascii="Arial" w:hAnsi="Arial" w:cs="Arial"/>
          <w:color w:val="7B7B7B" w:themeColor="accent3" w:themeShade="BF"/>
          <w:sz w:val="22"/>
          <w:szCs w:val="22"/>
          <w:lang w:val="en-GB"/>
        </w:rPr>
      </w:pPr>
    </w:p>
    <w:p w14:paraId="62CF1CC1"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Similar to access, coordination of cross-border insolvencies assists in the orderly administration of the debtor’s insolvency estate. Communication between courts or insolvency practitioners may occur prior to recognition of the proceedings. The purpose of the Model Law is to protect the assets of the debtor by preventing the dissipation of assets and maximizing the value of the debtor’s estate. Coordination and/or communication allows the insolvency practitioner to tailor relief to the particular circumstances of each case. This is especially so where a business seeks to implement a scheme of arrangement to restructure its debts and continue as a going concern. Another advantage of communication/cooperation is to remove the need for the court/insolvency practitioner to make formal applications through diplomatic or judicial channels. This method is both time-consuming and increases the costs of administration, which has the effect of reducing the estate of a debtor. The Model Law achieves this by providing a framework for courts and practitioners.</w:t>
      </w:r>
    </w:p>
    <w:p w14:paraId="3E8F0D14" w14:textId="77777777" w:rsidR="00280D78" w:rsidRPr="00437989" w:rsidRDefault="00280D78" w:rsidP="00280D78">
      <w:pPr>
        <w:jc w:val="both"/>
        <w:rPr>
          <w:rFonts w:ascii="Arial" w:hAnsi="Arial" w:cs="Arial"/>
          <w:color w:val="7B7B7B" w:themeColor="accent3" w:themeShade="BF"/>
          <w:sz w:val="22"/>
          <w:szCs w:val="22"/>
          <w:lang w:val="en-GB"/>
        </w:rPr>
      </w:pPr>
    </w:p>
    <w:p w14:paraId="10F58080"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Article 25 of the Model Law provides that a court in the enacting state shall cooperate with foreign courts or foreign representatives</w:t>
      </w:r>
      <w:r w:rsidRPr="00437989">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 xml:space="preserve"> </w:t>
      </w:r>
      <w:r w:rsidRPr="00437989">
        <w:rPr>
          <w:rFonts w:ascii="Arial" w:hAnsi="Arial" w:cs="Arial"/>
          <w:color w:val="7B7B7B" w:themeColor="accent3" w:themeShade="BF"/>
          <w:sz w:val="22"/>
          <w:szCs w:val="22"/>
          <w:lang w:val="en-GB"/>
        </w:rPr>
        <w:t>to the maximum extent possible. The Court in the enacting state may do this by communicating directly with or request assistance directly from a foreign court or representative</w:t>
      </w:r>
      <w:r w:rsidRPr="00437989">
        <w:rPr>
          <w:rStyle w:val="FootnoteReference"/>
          <w:rFonts w:ascii="Arial" w:hAnsi="Arial" w:cs="Arial"/>
          <w:color w:val="7B7B7B" w:themeColor="accent3" w:themeShade="BF"/>
          <w:sz w:val="22"/>
          <w:szCs w:val="22"/>
          <w:lang w:val="en-GB"/>
        </w:rPr>
        <w:footnoteReference w:id="13"/>
      </w:r>
      <w:r w:rsidRPr="00437989">
        <w:rPr>
          <w:rFonts w:ascii="Arial" w:hAnsi="Arial" w:cs="Arial"/>
          <w:color w:val="7B7B7B" w:themeColor="accent3" w:themeShade="BF"/>
          <w:sz w:val="22"/>
          <w:szCs w:val="22"/>
          <w:lang w:val="en-GB"/>
        </w:rPr>
        <w:t>.</w:t>
      </w:r>
    </w:p>
    <w:p w14:paraId="354F65DF" w14:textId="77777777" w:rsidR="00280D78" w:rsidRPr="00437989" w:rsidRDefault="00280D78" w:rsidP="00280D78">
      <w:pPr>
        <w:jc w:val="both"/>
        <w:rPr>
          <w:rFonts w:ascii="Arial" w:hAnsi="Arial" w:cs="Arial"/>
          <w:color w:val="7B7B7B" w:themeColor="accent3" w:themeShade="BF"/>
          <w:sz w:val="22"/>
          <w:szCs w:val="22"/>
          <w:lang w:val="en-GB"/>
        </w:rPr>
      </w:pPr>
    </w:p>
    <w:p w14:paraId="4203FEC4"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Article 26 of the Model Law deals with communication and cooperation between insolvency practitioners. This Article provides that the insolvency practitioner under the supervision of the Court shall carry out its functions and cooperate to the maximum extent possible with foreign courts and foreign representatives</w:t>
      </w:r>
      <w:r w:rsidRPr="00437989">
        <w:rPr>
          <w:rStyle w:val="FootnoteReference"/>
          <w:rFonts w:ascii="Arial" w:hAnsi="Arial" w:cs="Arial"/>
          <w:color w:val="7B7B7B" w:themeColor="accent3" w:themeShade="BF"/>
          <w:sz w:val="22"/>
          <w:szCs w:val="22"/>
          <w:lang w:val="en-GB"/>
        </w:rPr>
        <w:footnoteReference w:id="14"/>
      </w:r>
      <w:r w:rsidRPr="00437989">
        <w:rPr>
          <w:rFonts w:ascii="Arial" w:hAnsi="Arial" w:cs="Arial"/>
          <w:color w:val="7B7B7B" w:themeColor="accent3" w:themeShade="BF"/>
          <w:sz w:val="22"/>
          <w:szCs w:val="22"/>
          <w:lang w:val="en-GB"/>
        </w:rPr>
        <w:t>. The insolvency practitioner may do this under the supervision of the Court by communicating directly with the foreign Court or foreign representative</w:t>
      </w:r>
      <w:r w:rsidRPr="00437989">
        <w:rPr>
          <w:rStyle w:val="FootnoteReference"/>
          <w:rFonts w:ascii="Arial" w:hAnsi="Arial" w:cs="Arial"/>
          <w:color w:val="7B7B7B" w:themeColor="accent3" w:themeShade="BF"/>
          <w:sz w:val="22"/>
          <w:szCs w:val="22"/>
          <w:lang w:val="en-GB"/>
        </w:rPr>
        <w:footnoteReference w:id="15"/>
      </w:r>
      <w:r w:rsidRPr="00437989">
        <w:rPr>
          <w:rFonts w:ascii="Arial" w:hAnsi="Arial" w:cs="Arial"/>
          <w:color w:val="7B7B7B" w:themeColor="accent3" w:themeShade="BF"/>
          <w:sz w:val="22"/>
          <w:szCs w:val="22"/>
          <w:lang w:val="en-GB"/>
        </w:rPr>
        <w:t>.</w:t>
      </w:r>
    </w:p>
    <w:p w14:paraId="2E518E7B" w14:textId="77777777" w:rsidR="00280D78" w:rsidRPr="00437989" w:rsidRDefault="00280D78" w:rsidP="00280D78">
      <w:pPr>
        <w:jc w:val="both"/>
        <w:rPr>
          <w:rFonts w:ascii="Arial" w:hAnsi="Arial" w:cs="Arial"/>
          <w:color w:val="7B7B7B" w:themeColor="accent3" w:themeShade="BF"/>
          <w:sz w:val="22"/>
          <w:szCs w:val="22"/>
          <w:lang w:val="en-GB"/>
        </w:rPr>
      </w:pPr>
    </w:p>
    <w:p w14:paraId="09D3C008"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Article 27 of the Model Law provides a non-exhaustive list of methods to implement cooperation and includes:</w:t>
      </w:r>
    </w:p>
    <w:p w14:paraId="1B7AA0FD"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Appointment of a person or body to act at the direction of the Court</w:t>
      </w:r>
      <w:r w:rsidRPr="00437989">
        <w:rPr>
          <w:rStyle w:val="FootnoteReference"/>
          <w:rFonts w:ascii="Arial" w:hAnsi="Arial" w:cs="Arial"/>
          <w:color w:val="7B7B7B" w:themeColor="accent3" w:themeShade="BF"/>
          <w:sz w:val="22"/>
          <w:szCs w:val="22"/>
          <w:lang w:val="en-GB"/>
        </w:rPr>
        <w:footnoteReference w:id="16"/>
      </w:r>
      <w:r w:rsidRPr="00437989">
        <w:rPr>
          <w:rFonts w:ascii="Arial" w:hAnsi="Arial" w:cs="Arial"/>
          <w:color w:val="7B7B7B" w:themeColor="accent3" w:themeShade="BF"/>
          <w:sz w:val="22"/>
          <w:szCs w:val="22"/>
          <w:lang w:val="en-GB"/>
        </w:rPr>
        <w:t>;</w:t>
      </w:r>
    </w:p>
    <w:p w14:paraId="4A7ED896"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Communication of information by any means considered appropriate by the Court</w:t>
      </w:r>
      <w:r w:rsidRPr="00437989">
        <w:rPr>
          <w:rStyle w:val="FootnoteReference"/>
          <w:rFonts w:ascii="Arial" w:hAnsi="Arial" w:cs="Arial"/>
          <w:color w:val="7B7B7B" w:themeColor="accent3" w:themeShade="BF"/>
          <w:sz w:val="22"/>
          <w:szCs w:val="22"/>
          <w:lang w:val="en-GB"/>
        </w:rPr>
        <w:footnoteReference w:id="17"/>
      </w:r>
      <w:r w:rsidRPr="00437989">
        <w:rPr>
          <w:rFonts w:ascii="Arial" w:hAnsi="Arial" w:cs="Arial"/>
          <w:color w:val="7B7B7B" w:themeColor="accent3" w:themeShade="BF"/>
          <w:sz w:val="22"/>
          <w:szCs w:val="22"/>
          <w:lang w:val="en-GB"/>
        </w:rPr>
        <w:t>;</w:t>
      </w:r>
    </w:p>
    <w:p w14:paraId="7F47C1B0"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Coordination of the administration and supervision of the debtor’s assets and affairs</w:t>
      </w:r>
      <w:r w:rsidRPr="00437989">
        <w:rPr>
          <w:rStyle w:val="FootnoteReference"/>
          <w:rFonts w:ascii="Arial" w:hAnsi="Arial" w:cs="Arial"/>
          <w:color w:val="7B7B7B" w:themeColor="accent3" w:themeShade="BF"/>
          <w:sz w:val="22"/>
          <w:szCs w:val="22"/>
          <w:lang w:val="en-GB"/>
        </w:rPr>
        <w:footnoteReference w:id="18"/>
      </w:r>
      <w:r w:rsidRPr="00437989">
        <w:rPr>
          <w:rFonts w:ascii="Arial" w:hAnsi="Arial" w:cs="Arial"/>
          <w:color w:val="7B7B7B" w:themeColor="accent3" w:themeShade="BF"/>
          <w:sz w:val="22"/>
          <w:szCs w:val="22"/>
          <w:lang w:val="en-GB"/>
        </w:rPr>
        <w:t>;</w:t>
      </w:r>
    </w:p>
    <w:p w14:paraId="7EDE7CE9"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Approval or implementation by courts and agreements concerning the coordination of proceedings</w:t>
      </w:r>
      <w:r w:rsidRPr="00437989">
        <w:rPr>
          <w:rStyle w:val="FootnoteReference"/>
          <w:rFonts w:ascii="Arial" w:hAnsi="Arial" w:cs="Arial"/>
          <w:color w:val="7B7B7B" w:themeColor="accent3" w:themeShade="BF"/>
          <w:sz w:val="22"/>
          <w:szCs w:val="22"/>
          <w:lang w:val="en-GB"/>
        </w:rPr>
        <w:footnoteReference w:id="19"/>
      </w:r>
      <w:r w:rsidRPr="00437989">
        <w:rPr>
          <w:rFonts w:ascii="Arial" w:hAnsi="Arial" w:cs="Arial"/>
          <w:color w:val="7B7B7B" w:themeColor="accent3" w:themeShade="BF"/>
          <w:sz w:val="22"/>
          <w:szCs w:val="22"/>
          <w:lang w:val="en-GB"/>
        </w:rPr>
        <w:t>;</w:t>
      </w:r>
    </w:p>
    <w:p w14:paraId="386B0024"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Coordination of concurrent proceedings regarding the same debtor</w:t>
      </w:r>
      <w:r w:rsidRPr="00437989">
        <w:rPr>
          <w:rStyle w:val="FootnoteReference"/>
          <w:rFonts w:ascii="Arial" w:hAnsi="Arial" w:cs="Arial"/>
          <w:color w:val="7B7B7B" w:themeColor="accent3" w:themeShade="BF"/>
          <w:sz w:val="22"/>
          <w:szCs w:val="22"/>
          <w:lang w:val="en-GB"/>
        </w:rPr>
        <w:footnoteReference w:id="20"/>
      </w:r>
      <w:r w:rsidRPr="00437989">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lastRenderedPageBreak/>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50084285"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 provides for the recognition of two distinct types of insolvency proceedings “foreign main” and “foreign non-main” proceedings. Article 15 of the Model law imports into the domestic law of the enacting state the procedural requirements for recognition. The purpose of this provision, together with Article 16 is to facilitate a swift and simple framework for foreign insolvency proceedings to be recognised</w:t>
      </w:r>
      <w:r>
        <w:rPr>
          <w:rStyle w:val="FootnoteReference"/>
          <w:rFonts w:ascii="Arial" w:hAnsi="Arial" w:cs="Arial"/>
          <w:color w:val="7B7B7B" w:themeColor="accent3" w:themeShade="BF"/>
          <w:sz w:val="22"/>
          <w:szCs w:val="22"/>
          <w:lang w:val="en-GB"/>
        </w:rPr>
        <w:footnoteReference w:id="21"/>
      </w:r>
      <w:r>
        <w:rPr>
          <w:rFonts w:ascii="Arial" w:hAnsi="Arial" w:cs="Arial"/>
          <w:color w:val="7B7B7B" w:themeColor="accent3" w:themeShade="BF"/>
          <w:sz w:val="22"/>
          <w:szCs w:val="22"/>
          <w:lang w:val="en-GB"/>
        </w:rPr>
        <w:t>. The Model law achieves this by containing certain evidential presumptions to expediate the process</w:t>
      </w:r>
      <w:r>
        <w:rPr>
          <w:rStyle w:val="FootnoteReference"/>
          <w:rFonts w:ascii="Arial" w:hAnsi="Arial" w:cs="Arial"/>
          <w:color w:val="7B7B7B" w:themeColor="accent3" w:themeShade="BF"/>
          <w:sz w:val="22"/>
          <w:szCs w:val="22"/>
          <w:lang w:val="en-GB"/>
        </w:rPr>
        <w:footnoteReference w:id="22"/>
      </w:r>
      <w:r>
        <w:rPr>
          <w:rFonts w:ascii="Arial" w:hAnsi="Arial" w:cs="Arial"/>
          <w:color w:val="7B7B7B" w:themeColor="accent3" w:themeShade="BF"/>
          <w:sz w:val="22"/>
          <w:szCs w:val="22"/>
          <w:lang w:val="en-GB"/>
        </w:rPr>
        <w:t>. However, it must be kept in mind that the court in the enacting state retains a discretion if it is satisfied on the evidence the contrary position exists</w:t>
      </w:r>
      <w:r>
        <w:rPr>
          <w:rStyle w:val="FootnoteReference"/>
          <w:rFonts w:ascii="Arial" w:hAnsi="Arial" w:cs="Arial"/>
          <w:color w:val="7B7B7B" w:themeColor="accent3" w:themeShade="BF"/>
          <w:sz w:val="22"/>
          <w:szCs w:val="22"/>
          <w:lang w:val="en-GB"/>
        </w:rPr>
        <w:footnoteReference w:id="23"/>
      </w:r>
      <w:r>
        <w:rPr>
          <w:rFonts w:ascii="Arial" w:hAnsi="Arial" w:cs="Arial"/>
          <w:color w:val="7B7B7B" w:themeColor="accent3" w:themeShade="BF"/>
          <w:sz w:val="22"/>
          <w:szCs w:val="22"/>
          <w:lang w:val="en-GB"/>
        </w:rPr>
        <w:t>.</w:t>
      </w:r>
    </w:p>
    <w:p w14:paraId="67ECCE71" w14:textId="77777777" w:rsidR="00280D78" w:rsidRDefault="00280D78" w:rsidP="00280D78">
      <w:pPr>
        <w:jc w:val="both"/>
        <w:rPr>
          <w:rFonts w:ascii="Arial" w:hAnsi="Arial" w:cs="Arial"/>
          <w:sz w:val="22"/>
          <w:szCs w:val="22"/>
          <w:shd w:val="clear" w:color="auto" w:fill="FFFFFF"/>
          <w:lang w:val="en-GB"/>
        </w:rPr>
      </w:pPr>
    </w:p>
    <w:p w14:paraId="02B8B4FF"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Article 15 provides an express requirement for the following documentation to be filed in support of a recognition application:</w:t>
      </w:r>
    </w:p>
    <w:p w14:paraId="03045C5A"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5957A7A3"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 certified copy of the decision commencing the foreign proceeding and appointing the foreign representative</w:t>
      </w:r>
      <w:r w:rsidRPr="00437989">
        <w:rPr>
          <w:rStyle w:val="FootnoteReference"/>
          <w:rFonts w:ascii="Arial" w:hAnsi="Arial" w:cs="Arial"/>
          <w:color w:val="7B7B7B" w:themeColor="accent3" w:themeShade="BF"/>
          <w:sz w:val="22"/>
          <w:szCs w:val="22"/>
          <w:shd w:val="clear" w:color="auto" w:fill="FFFFFF"/>
          <w:lang w:val="en-GB"/>
        </w:rPr>
        <w:footnoteReference w:id="24"/>
      </w:r>
      <w:r w:rsidRPr="00437989">
        <w:rPr>
          <w:rFonts w:ascii="Arial" w:hAnsi="Arial" w:cs="Arial"/>
          <w:color w:val="7B7B7B" w:themeColor="accent3" w:themeShade="BF"/>
          <w:sz w:val="22"/>
          <w:szCs w:val="22"/>
          <w:shd w:val="clear" w:color="auto" w:fill="FFFFFF"/>
          <w:lang w:val="en-GB"/>
        </w:rPr>
        <w:t>; or</w:t>
      </w:r>
    </w:p>
    <w:p w14:paraId="12C6F8DF"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 certificate from the foreign Court affirming the existence of a foreign proceeding and appointment of a foreign representative</w:t>
      </w:r>
      <w:r w:rsidRPr="00437989">
        <w:rPr>
          <w:rStyle w:val="FootnoteReference"/>
          <w:rFonts w:ascii="Arial" w:hAnsi="Arial" w:cs="Arial"/>
          <w:color w:val="7B7B7B" w:themeColor="accent3" w:themeShade="BF"/>
          <w:sz w:val="22"/>
          <w:szCs w:val="22"/>
          <w:shd w:val="clear" w:color="auto" w:fill="FFFFFF"/>
          <w:lang w:val="en-GB"/>
        </w:rPr>
        <w:footnoteReference w:id="25"/>
      </w:r>
      <w:r w:rsidRPr="00437989">
        <w:rPr>
          <w:rFonts w:ascii="Arial" w:hAnsi="Arial" w:cs="Arial"/>
          <w:color w:val="7B7B7B" w:themeColor="accent3" w:themeShade="BF"/>
          <w:sz w:val="22"/>
          <w:szCs w:val="22"/>
          <w:shd w:val="clear" w:color="auto" w:fill="FFFFFF"/>
          <w:lang w:val="en-GB"/>
        </w:rPr>
        <w:t>.</w:t>
      </w:r>
    </w:p>
    <w:p w14:paraId="76463AFB"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7F51A352"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Article 15(3) obliges the foreign representative to provide a statement identifying all foreign proceedings in respect of a debtor known to the foreign representative at the time of filing the recognition application. This obligation is an ongoing duty as from the time of filing the application for recognition; the foreign representative must promptly inform the Court of:</w:t>
      </w:r>
    </w:p>
    <w:p w14:paraId="79F36F9B"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0B0D8007"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Any substantial change in the status of the recognized foreign proceeding or status of the foreign representative’s appointment</w:t>
      </w:r>
      <w:r w:rsidRPr="00437989">
        <w:rPr>
          <w:rStyle w:val="FootnoteReference"/>
          <w:rFonts w:ascii="Arial" w:hAnsi="Arial" w:cs="Arial"/>
          <w:color w:val="7B7B7B" w:themeColor="accent3" w:themeShade="BF"/>
          <w:sz w:val="22"/>
          <w:szCs w:val="22"/>
          <w:shd w:val="clear" w:color="auto" w:fill="FFFFFF"/>
          <w:lang w:val="en-GB"/>
        </w:rPr>
        <w:footnoteReference w:id="26"/>
      </w:r>
      <w:r w:rsidRPr="00437989">
        <w:rPr>
          <w:rFonts w:ascii="Arial" w:hAnsi="Arial" w:cs="Arial"/>
          <w:color w:val="7B7B7B" w:themeColor="accent3" w:themeShade="BF"/>
          <w:sz w:val="22"/>
          <w:szCs w:val="22"/>
          <w:shd w:val="clear" w:color="auto" w:fill="FFFFFF"/>
          <w:lang w:val="en-GB"/>
        </w:rPr>
        <w:t>; or</w:t>
      </w:r>
    </w:p>
    <w:p w14:paraId="1FF5439E"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Any other foreign proceeding regarding the same debtor that becomes known to the foreign representative</w:t>
      </w:r>
      <w:r w:rsidRPr="00437989">
        <w:rPr>
          <w:rStyle w:val="FootnoteReference"/>
          <w:rFonts w:ascii="Arial" w:hAnsi="Arial" w:cs="Arial"/>
          <w:color w:val="7B7B7B" w:themeColor="accent3" w:themeShade="BF"/>
          <w:sz w:val="22"/>
          <w:szCs w:val="22"/>
          <w:shd w:val="clear" w:color="auto" w:fill="FFFFFF"/>
          <w:lang w:val="en-GB"/>
        </w:rPr>
        <w:footnoteReference w:id="27"/>
      </w:r>
      <w:r w:rsidRPr="00437989">
        <w:rPr>
          <w:rFonts w:ascii="Arial" w:hAnsi="Arial" w:cs="Arial"/>
          <w:color w:val="7B7B7B" w:themeColor="accent3" w:themeShade="BF"/>
          <w:sz w:val="22"/>
          <w:szCs w:val="22"/>
          <w:shd w:val="clear" w:color="auto" w:fill="FFFFFF"/>
          <w:lang w:val="en-GB"/>
        </w:rPr>
        <w:t>.</w:t>
      </w:r>
    </w:p>
    <w:p w14:paraId="1F2FCB48"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07965C8E"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This evidence assists the Court to ensure the fair and orderly administration of the debtor’s insolvency and ensure any relief granted in the enacting state is consistent with any other insolvency proceeding</w:t>
      </w:r>
      <w:r w:rsidRPr="00437989">
        <w:rPr>
          <w:rStyle w:val="FootnoteReference"/>
          <w:rFonts w:ascii="Arial" w:hAnsi="Arial" w:cs="Arial"/>
          <w:color w:val="7B7B7B" w:themeColor="accent3" w:themeShade="BF"/>
          <w:sz w:val="22"/>
          <w:szCs w:val="22"/>
          <w:shd w:val="clear" w:color="auto" w:fill="FFFFFF"/>
          <w:lang w:val="en-GB"/>
        </w:rPr>
        <w:footnoteReference w:id="28"/>
      </w:r>
      <w:r w:rsidRPr="00437989">
        <w:rPr>
          <w:rFonts w:ascii="Arial" w:hAnsi="Arial" w:cs="Arial"/>
          <w:color w:val="7B7B7B" w:themeColor="accent3" w:themeShade="BF"/>
          <w:sz w:val="22"/>
          <w:szCs w:val="22"/>
          <w:shd w:val="clear" w:color="auto" w:fill="FFFFFF"/>
          <w:lang w:val="en-GB"/>
        </w:rPr>
        <w:t>.</w:t>
      </w:r>
    </w:p>
    <w:p w14:paraId="2E696D6F"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1D97F77E"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As indicated above, the Court in the enacting state is entitled to presume that the documents submitted in support of a recognition application are authentic</w:t>
      </w:r>
      <w:r w:rsidRPr="00437989">
        <w:rPr>
          <w:rStyle w:val="FootnoteReference"/>
          <w:rFonts w:ascii="Arial" w:hAnsi="Arial" w:cs="Arial"/>
          <w:color w:val="7B7B7B" w:themeColor="accent3" w:themeShade="BF"/>
          <w:sz w:val="22"/>
          <w:szCs w:val="22"/>
          <w:shd w:val="clear" w:color="auto" w:fill="FFFFFF"/>
          <w:lang w:val="en-GB"/>
        </w:rPr>
        <w:footnoteReference w:id="29"/>
      </w:r>
      <w:r w:rsidRPr="00437989">
        <w:rPr>
          <w:rFonts w:ascii="Arial" w:hAnsi="Arial" w:cs="Arial"/>
          <w:color w:val="7B7B7B" w:themeColor="accent3" w:themeShade="BF"/>
          <w:sz w:val="22"/>
          <w:szCs w:val="22"/>
          <w:shd w:val="clear" w:color="auto" w:fill="FFFFFF"/>
          <w:lang w:val="en-GB"/>
        </w:rPr>
        <w:t>. Further, in the absence of proof to the contrary, a debtor’s registered office is presumed to be the COMI of a debtor</w:t>
      </w:r>
      <w:r w:rsidRPr="00437989">
        <w:rPr>
          <w:rStyle w:val="FootnoteReference"/>
          <w:rFonts w:ascii="Arial" w:hAnsi="Arial" w:cs="Arial"/>
          <w:color w:val="7B7B7B" w:themeColor="accent3" w:themeShade="BF"/>
          <w:sz w:val="22"/>
          <w:szCs w:val="22"/>
          <w:shd w:val="clear" w:color="auto" w:fill="FFFFFF"/>
          <w:lang w:val="en-GB"/>
        </w:rPr>
        <w:footnoteReference w:id="30"/>
      </w:r>
      <w:r w:rsidRPr="00437989">
        <w:rPr>
          <w:rFonts w:ascii="Arial" w:hAnsi="Arial" w:cs="Arial"/>
          <w:color w:val="7B7B7B" w:themeColor="accent3" w:themeShade="BF"/>
          <w:sz w:val="22"/>
          <w:szCs w:val="22"/>
          <w:shd w:val="clear" w:color="auto" w:fill="FFFFFF"/>
          <w:lang w:val="en-GB"/>
        </w:rPr>
        <w:t>.</w:t>
      </w:r>
    </w:p>
    <w:p w14:paraId="69FE7124"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61476025"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Article 17 of the Model law expressly mandates that foreign proceedings shall be recognized as a matter of course if the requirements therein are satisfied</w:t>
      </w:r>
      <w:r w:rsidRPr="00437989">
        <w:rPr>
          <w:rStyle w:val="FootnoteReference"/>
          <w:rFonts w:ascii="Arial" w:hAnsi="Arial" w:cs="Arial"/>
          <w:color w:val="7B7B7B" w:themeColor="accent3" w:themeShade="BF"/>
          <w:sz w:val="22"/>
          <w:szCs w:val="22"/>
          <w:shd w:val="clear" w:color="auto" w:fill="FFFFFF"/>
          <w:lang w:val="en-GB"/>
        </w:rPr>
        <w:footnoteReference w:id="31"/>
      </w:r>
      <w:r w:rsidRPr="00437989">
        <w:rPr>
          <w:rFonts w:ascii="Arial" w:hAnsi="Arial" w:cs="Arial"/>
          <w:color w:val="7B7B7B" w:themeColor="accent3" w:themeShade="BF"/>
          <w:sz w:val="22"/>
          <w:szCs w:val="22"/>
          <w:shd w:val="clear" w:color="auto" w:fill="FFFFFF"/>
          <w:lang w:val="en-GB"/>
        </w:rPr>
        <w:t>. It should be noted that Article 17 is subject to the public policy exception</w:t>
      </w:r>
      <w:r w:rsidRPr="00437989">
        <w:rPr>
          <w:rStyle w:val="FootnoteReference"/>
          <w:rFonts w:ascii="Arial" w:hAnsi="Arial" w:cs="Arial"/>
          <w:color w:val="7B7B7B" w:themeColor="accent3" w:themeShade="BF"/>
          <w:sz w:val="22"/>
          <w:szCs w:val="22"/>
          <w:shd w:val="clear" w:color="auto" w:fill="FFFFFF"/>
          <w:lang w:val="en-GB"/>
        </w:rPr>
        <w:footnoteReference w:id="32"/>
      </w:r>
      <w:r w:rsidRPr="00437989">
        <w:rPr>
          <w:rFonts w:ascii="Arial" w:hAnsi="Arial" w:cs="Arial"/>
          <w:color w:val="7B7B7B" w:themeColor="accent3" w:themeShade="BF"/>
          <w:sz w:val="22"/>
          <w:szCs w:val="22"/>
          <w:shd w:val="clear" w:color="auto" w:fill="FFFFFF"/>
          <w:lang w:val="en-GB"/>
        </w:rPr>
        <w:t>, but this should rarely be a basis for the refusal of a recognition application</w:t>
      </w:r>
      <w:r w:rsidRPr="00437989">
        <w:rPr>
          <w:rStyle w:val="FootnoteReference"/>
          <w:rFonts w:ascii="Arial" w:hAnsi="Arial" w:cs="Arial"/>
          <w:color w:val="7B7B7B" w:themeColor="accent3" w:themeShade="BF"/>
          <w:sz w:val="22"/>
          <w:szCs w:val="22"/>
          <w:shd w:val="clear" w:color="auto" w:fill="FFFFFF"/>
          <w:lang w:val="en-GB"/>
        </w:rPr>
        <w:footnoteReference w:id="33"/>
      </w:r>
      <w:r w:rsidRPr="00437989">
        <w:rPr>
          <w:rFonts w:ascii="Arial" w:hAnsi="Arial" w:cs="Arial"/>
          <w:color w:val="7B7B7B" w:themeColor="accent3" w:themeShade="BF"/>
          <w:sz w:val="22"/>
          <w:szCs w:val="22"/>
          <w:shd w:val="clear" w:color="auto" w:fill="FFFFFF"/>
          <w:lang w:val="en-GB"/>
        </w:rPr>
        <w:t>.</w:t>
      </w:r>
    </w:p>
    <w:p w14:paraId="0A406521"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637455DD"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In particular, a foreign proceeding shall be recognized if:</w:t>
      </w:r>
    </w:p>
    <w:p w14:paraId="010EE5F1"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3397FC2F"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It is a foreign proceeding within the meaning of Article 2(a)</w:t>
      </w:r>
      <w:r w:rsidRPr="00437989">
        <w:rPr>
          <w:rStyle w:val="FootnoteReference"/>
          <w:rFonts w:ascii="Arial" w:hAnsi="Arial" w:cs="Arial"/>
          <w:color w:val="7B7B7B" w:themeColor="accent3" w:themeShade="BF"/>
          <w:sz w:val="22"/>
          <w:szCs w:val="22"/>
          <w:shd w:val="clear" w:color="auto" w:fill="FFFFFF"/>
          <w:lang w:val="en-GB"/>
        </w:rPr>
        <w:footnoteReference w:id="34"/>
      </w:r>
      <w:r w:rsidRPr="00437989">
        <w:rPr>
          <w:rFonts w:ascii="Arial" w:hAnsi="Arial" w:cs="Arial"/>
          <w:color w:val="7B7B7B" w:themeColor="accent3" w:themeShade="BF"/>
          <w:sz w:val="22"/>
          <w:szCs w:val="22"/>
          <w:shd w:val="clear" w:color="auto" w:fill="FFFFFF"/>
          <w:lang w:val="en-GB"/>
        </w:rPr>
        <w:t>;</w:t>
      </w:r>
    </w:p>
    <w:p w14:paraId="68B2624D"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The foreign representative applying for recognition is a person or body within the meaning of Article 2(d)</w:t>
      </w:r>
      <w:r w:rsidRPr="00437989">
        <w:rPr>
          <w:rStyle w:val="FootnoteReference"/>
          <w:rFonts w:ascii="Arial" w:hAnsi="Arial" w:cs="Arial"/>
          <w:color w:val="7B7B7B" w:themeColor="accent3" w:themeShade="BF"/>
          <w:sz w:val="22"/>
          <w:szCs w:val="22"/>
          <w:shd w:val="clear" w:color="auto" w:fill="FFFFFF"/>
          <w:lang w:val="en-GB"/>
        </w:rPr>
        <w:footnoteReference w:id="35"/>
      </w:r>
      <w:r w:rsidRPr="00437989">
        <w:rPr>
          <w:rFonts w:ascii="Arial" w:hAnsi="Arial" w:cs="Arial"/>
          <w:color w:val="7B7B7B" w:themeColor="accent3" w:themeShade="BF"/>
          <w:sz w:val="22"/>
          <w:szCs w:val="22"/>
          <w:shd w:val="clear" w:color="auto" w:fill="FFFFFF"/>
          <w:lang w:val="en-GB"/>
        </w:rPr>
        <w:t>;</w:t>
      </w:r>
    </w:p>
    <w:p w14:paraId="1E721767"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The application meets the requirements of Article 15(2)</w:t>
      </w:r>
      <w:r w:rsidRPr="00437989">
        <w:rPr>
          <w:rStyle w:val="FootnoteReference"/>
          <w:rFonts w:ascii="Arial" w:hAnsi="Arial" w:cs="Arial"/>
          <w:color w:val="7B7B7B" w:themeColor="accent3" w:themeShade="BF"/>
          <w:sz w:val="22"/>
          <w:szCs w:val="22"/>
          <w:shd w:val="clear" w:color="auto" w:fill="FFFFFF"/>
          <w:lang w:val="en-GB"/>
        </w:rPr>
        <w:footnoteReference w:id="36"/>
      </w:r>
      <w:r w:rsidRPr="00437989">
        <w:rPr>
          <w:rFonts w:ascii="Arial" w:hAnsi="Arial" w:cs="Arial"/>
          <w:color w:val="7B7B7B" w:themeColor="accent3" w:themeShade="BF"/>
          <w:sz w:val="22"/>
          <w:szCs w:val="22"/>
          <w:shd w:val="clear" w:color="auto" w:fill="FFFFFF"/>
          <w:lang w:val="en-GB"/>
        </w:rPr>
        <w:t>;</w:t>
      </w:r>
    </w:p>
    <w:p w14:paraId="19F88A1C"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The application has been submitted to the Court referred to in Article 4</w:t>
      </w:r>
      <w:r w:rsidRPr="00437989">
        <w:rPr>
          <w:rStyle w:val="FootnoteReference"/>
          <w:rFonts w:ascii="Arial" w:hAnsi="Arial" w:cs="Arial"/>
          <w:color w:val="7B7B7B" w:themeColor="accent3" w:themeShade="BF"/>
          <w:sz w:val="22"/>
          <w:szCs w:val="22"/>
          <w:shd w:val="clear" w:color="auto" w:fill="FFFFFF"/>
          <w:lang w:val="en-GB"/>
        </w:rPr>
        <w:footnoteReference w:id="37"/>
      </w:r>
      <w:r w:rsidRPr="00437989">
        <w:rPr>
          <w:rFonts w:ascii="Arial" w:hAnsi="Arial" w:cs="Arial"/>
          <w:color w:val="7B7B7B" w:themeColor="accent3" w:themeShade="BF"/>
          <w:sz w:val="22"/>
          <w:szCs w:val="22"/>
          <w:shd w:val="clear" w:color="auto" w:fill="FFFFFF"/>
          <w:lang w:val="en-GB"/>
        </w:rPr>
        <w:t>.</w:t>
      </w:r>
    </w:p>
    <w:p w14:paraId="6ED716C8"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4C91E2DA"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Article 17 then goes on to provide a foreign proceeding shall be recognized:</w:t>
      </w:r>
    </w:p>
    <w:p w14:paraId="13B8AA20"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2E635ACD"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As a foreign main proceeding if it takes place in the state where a debtor has its COMI</w:t>
      </w:r>
      <w:r w:rsidRPr="00437989">
        <w:rPr>
          <w:rStyle w:val="FootnoteReference"/>
          <w:rFonts w:ascii="Arial" w:hAnsi="Arial" w:cs="Arial"/>
          <w:color w:val="7B7B7B" w:themeColor="accent3" w:themeShade="BF"/>
          <w:sz w:val="22"/>
          <w:szCs w:val="22"/>
          <w:shd w:val="clear" w:color="auto" w:fill="FFFFFF"/>
          <w:lang w:val="en-GB"/>
        </w:rPr>
        <w:footnoteReference w:id="38"/>
      </w:r>
      <w:r w:rsidRPr="00437989">
        <w:rPr>
          <w:rFonts w:ascii="Arial" w:hAnsi="Arial" w:cs="Arial"/>
          <w:color w:val="7B7B7B" w:themeColor="accent3" w:themeShade="BF"/>
          <w:sz w:val="22"/>
          <w:szCs w:val="22"/>
          <w:shd w:val="clear" w:color="auto" w:fill="FFFFFF"/>
          <w:lang w:val="en-GB"/>
        </w:rPr>
        <w:t>; or</w:t>
      </w:r>
    </w:p>
    <w:p w14:paraId="349F47C2"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As a foreign non-main proceeding if the debtor has an establishment within the meaning of Article 2(f) in the foreign state</w:t>
      </w:r>
      <w:r w:rsidRPr="00437989">
        <w:rPr>
          <w:rStyle w:val="FootnoteReference"/>
          <w:rFonts w:ascii="Arial" w:hAnsi="Arial" w:cs="Arial"/>
          <w:color w:val="7B7B7B" w:themeColor="accent3" w:themeShade="BF"/>
          <w:sz w:val="22"/>
          <w:szCs w:val="22"/>
          <w:shd w:val="clear" w:color="auto" w:fill="FFFFFF"/>
          <w:lang w:val="en-GB"/>
        </w:rPr>
        <w:footnoteReference w:id="39"/>
      </w:r>
      <w:r w:rsidRPr="00437989">
        <w:rPr>
          <w:rFonts w:ascii="Arial" w:hAnsi="Arial" w:cs="Arial"/>
          <w:color w:val="7B7B7B" w:themeColor="accent3" w:themeShade="BF"/>
          <w:sz w:val="22"/>
          <w:szCs w:val="22"/>
          <w:shd w:val="clear" w:color="auto" w:fill="FFFFFF"/>
          <w:lang w:val="en-GB"/>
        </w:rPr>
        <w:t>.</w:t>
      </w:r>
    </w:p>
    <w:p w14:paraId="5D90BCC9"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14A746A9" w14:textId="77777777" w:rsidR="00280D78" w:rsidRDefault="00280D78" w:rsidP="00280D78">
      <w:p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In making this determination, the key consideration for the Court is to ensure that the location of foreign proceedings correspond to the actual location of the debtor’s COMI as ascertained by creditors</w:t>
      </w:r>
      <w:r w:rsidRPr="00437989">
        <w:rPr>
          <w:rStyle w:val="FootnoteReference"/>
          <w:rFonts w:ascii="Arial" w:hAnsi="Arial" w:cs="Arial"/>
          <w:color w:val="7B7B7B" w:themeColor="accent3" w:themeShade="BF"/>
          <w:sz w:val="22"/>
          <w:szCs w:val="22"/>
          <w:shd w:val="clear" w:color="auto" w:fill="FFFFFF"/>
          <w:lang w:val="en-GB"/>
        </w:rPr>
        <w:footnoteReference w:id="40"/>
      </w:r>
      <w:r w:rsidRPr="00437989">
        <w:rPr>
          <w:rFonts w:ascii="Arial" w:hAnsi="Arial" w:cs="Arial"/>
          <w:color w:val="7B7B7B" w:themeColor="accent3" w:themeShade="BF"/>
          <w:sz w:val="22"/>
          <w:szCs w:val="22"/>
          <w:shd w:val="clear" w:color="auto" w:fill="FFFFFF"/>
          <w:lang w:val="en-GB"/>
        </w:rPr>
        <w:t>. Additionally, as set out above, the Court is entitled to presume that the registered office of a debtor is its COMI</w:t>
      </w:r>
      <w:r w:rsidRPr="00437989">
        <w:rPr>
          <w:rStyle w:val="FootnoteReference"/>
          <w:rFonts w:ascii="Arial" w:hAnsi="Arial" w:cs="Arial"/>
          <w:color w:val="7B7B7B" w:themeColor="accent3" w:themeShade="BF"/>
          <w:sz w:val="22"/>
          <w:szCs w:val="22"/>
          <w:shd w:val="clear" w:color="auto" w:fill="FFFFFF"/>
          <w:lang w:val="en-GB"/>
        </w:rPr>
        <w:footnoteReference w:id="41"/>
      </w:r>
      <w:r w:rsidRPr="00437989">
        <w:rPr>
          <w:rFonts w:ascii="Arial" w:hAnsi="Arial" w:cs="Arial"/>
          <w:color w:val="7B7B7B" w:themeColor="accent3" w:themeShade="BF"/>
          <w:sz w:val="22"/>
          <w:szCs w:val="22"/>
          <w:shd w:val="clear" w:color="auto" w:fill="FFFFFF"/>
          <w:lang w:val="en-GB"/>
        </w:rPr>
        <w:t>. This is significant for two reasons. Firstly, if a proceeding is recognized as a foreign main proceeding, upon recognition, automatic relief follows from that determination. Secondly, if the current proceedings are not current, then such proceeding is not eligible for recognition under the Model Law</w:t>
      </w:r>
      <w:r w:rsidRPr="00437989">
        <w:rPr>
          <w:rStyle w:val="FootnoteReference"/>
          <w:rFonts w:ascii="Arial" w:hAnsi="Arial" w:cs="Arial"/>
          <w:color w:val="7B7B7B" w:themeColor="accent3" w:themeShade="BF"/>
          <w:sz w:val="22"/>
          <w:szCs w:val="22"/>
          <w:shd w:val="clear" w:color="auto" w:fill="FFFFFF"/>
          <w:lang w:val="en-GB"/>
        </w:rPr>
        <w:footnoteReference w:id="42"/>
      </w:r>
      <w:r w:rsidRPr="00437989">
        <w:rPr>
          <w:rFonts w:ascii="Arial" w:hAnsi="Arial" w:cs="Arial"/>
          <w:color w:val="7B7B7B" w:themeColor="accent3" w:themeShade="BF"/>
          <w:sz w:val="22"/>
          <w:szCs w:val="22"/>
          <w:shd w:val="clear" w:color="auto" w:fill="FFFFFF"/>
          <w:lang w:val="en-GB"/>
        </w:rPr>
        <w:t xml:space="preserve">. As set out above at 2.2, the factors that </w:t>
      </w:r>
      <w:proofErr w:type="spellStart"/>
      <w:r w:rsidRPr="00437989">
        <w:rPr>
          <w:rFonts w:ascii="Arial" w:hAnsi="Arial" w:cs="Arial"/>
          <w:color w:val="7B7B7B" w:themeColor="accent3" w:themeShade="BF"/>
          <w:sz w:val="22"/>
          <w:szCs w:val="22"/>
          <w:shd w:val="clear" w:color="auto" w:fill="FFFFFF"/>
          <w:lang w:val="en-GB"/>
        </w:rPr>
        <w:t>Court’s</w:t>
      </w:r>
      <w:proofErr w:type="spellEnd"/>
      <w:r w:rsidRPr="00437989">
        <w:rPr>
          <w:rFonts w:ascii="Arial" w:hAnsi="Arial" w:cs="Arial"/>
          <w:color w:val="7B7B7B" w:themeColor="accent3" w:themeShade="BF"/>
          <w:sz w:val="22"/>
          <w:szCs w:val="22"/>
          <w:shd w:val="clear" w:color="auto" w:fill="FFFFFF"/>
          <w:lang w:val="en-GB"/>
        </w:rPr>
        <w:t xml:space="preserve"> have identified most relevant for determining a debtor’s COMI</w:t>
      </w:r>
      <w:r w:rsidRPr="00437989">
        <w:rPr>
          <w:rStyle w:val="FootnoteReference"/>
          <w:rFonts w:ascii="Arial" w:hAnsi="Arial" w:cs="Arial"/>
          <w:color w:val="7B7B7B" w:themeColor="accent3" w:themeShade="BF"/>
          <w:sz w:val="22"/>
          <w:szCs w:val="22"/>
          <w:shd w:val="clear" w:color="auto" w:fill="FFFFFF"/>
          <w:lang w:val="en-GB"/>
        </w:rPr>
        <w:footnoteReference w:id="43"/>
      </w:r>
      <w:r w:rsidRPr="00437989">
        <w:rPr>
          <w:rFonts w:ascii="Arial" w:hAnsi="Arial" w:cs="Arial"/>
          <w:color w:val="7B7B7B" w:themeColor="accent3" w:themeShade="BF"/>
          <w:sz w:val="22"/>
          <w:szCs w:val="22"/>
          <w:shd w:val="clear" w:color="auto" w:fill="FFFFFF"/>
          <w:lang w:val="en-GB"/>
        </w:rPr>
        <w:t xml:space="preserve"> are:</w:t>
      </w:r>
    </w:p>
    <w:p w14:paraId="704E7A7D"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0DBDF6FD"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The location of the debtor’s primary assets;</w:t>
      </w:r>
    </w:p>
    <w:p w14:paraId="4BB8F8D7"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The jurisdiction whose law would apply to most disputes;</w:t>
      </w:r>
    </w:p>
    <w:p w14:paraId="122F1B09"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The location of the majority of a debtor’s creditors or of a majority of the creditors who would be affected by the case</w:t>
      </w:r>
      <w:r>
        <w:rPr>
          <w:rFonts w:ascii="Arial" w:hAnsi="Arial" w:cs="Arial"/>
          <w:color w:val="7B7B7B" w:themeColor="accent3" w:themeShade="BF"/>
          <w:sz w:val="22"/>
          <w:szCs w:val="22"/>
          <w:shd w:val="clear" w:color="auto" w:fill="FFFFFF"/>
          <w:lang w:val="en-GB"/>
        </w:rPr>
        <w:t>;</w:t>
      </w:r>
    </w:p>
    <w:p w14:paraId="342CF453"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The location of those who actually manage the debtor</w:t>
      </w:r>
      <w:r>
        <w:rPr>
          <w:rFonts w:ascii="Arial" w:hAnsi="Arial" w:cs="Arial"/>
          <w:color w:val="7B7B7B" w:themeColor="accent3" w:themeShade="BF"/>
          <w:sz w:val="22"/>
          <w:szCs w:val="22"/>
          <w:shd w:val="clear" w:color="auto" w:fill="FFFFFF"/>
          <w:lang w:val="en-GB"/>
        </w:rPr>
        <w:t>; and</w:t>
      </w:r>
    </w:p>
    <w:p w14:paraId="3BA5D5A4"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The location of the debtor’s ‘nerve centre.’</w:t>
      </w:r>
    </w:p>
    <w:p w14:paraId="6401C4F9"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32EE80D7" w14:textId="77777777" w:rsidR="00280D78" w:rsidRDefault="00280D78" w:rsidP="00280D78">
      <w:p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 xml:space="preserve">Moreover, Article 17(4) provides that the provisions of Articles 15, 16, 17, and 18 of the Model </w:t>
      </w:r>
      <w:r>
        <w:rPr>
          <w:rFonts w:ascii="Arial" w:hAnsi="Arial" w:cs="Arial"/>
          <w:color w:val="7B7B7B" w:themeColor="accent3" w:themeShade="BF"/>
          <w:sz w:val="22"/>
          <w:szCs w:val="22"/>
          <w:shd w:val="clear" w:color="auto" w:fill="FFFFFF"/>
          <w:lang w:val="en-GB"/>
        </w:rPr>
        <w:t>L</w:t>
      </w:r>
      <w:r w:rsidRPr="00437989">
        <w:rPr>
          <w:rFonts w:ascii="Arial" w:hAnsi="Arial" w:cs="Arial"/>
          <w:color w:val="7B7B7B" w:themeColor="accent3" w:themeShade="BF"/>
          <w:sz w:val="22"/>
          <w:szCs w:val="22"/>
          <w:shd w:val="clear" w:color="auto" w:fill="FFFFFF"/>
          <w:lang w:val="en-GB"/>
        </w:rPr>
        <w:t xml:space="preserve">aw do not prevent the modification or termination of recognition if it is shown that the grounds for granting it were fully or in part lacking or cease to exist. Accordingly, a court in the enacting state may modify or terminate the recognition decision if there has been a change in </w:t>
      </w:r>
      <w:r w:rsidRPr="00437989">
        <w:rPr>
          <w:rFonts w:ascii="Arial" w:hAnsi="Arial" w:cs="Arial"/>
          <w:color w:val="7B7B7B" w:themeColor="accent3" w:themeShade="BF"/>
          <w:sz w:val="22"/>
          <w:szCs w:val="22"/>
          <w:shd w:val="clear" w:color="auto" w:fill="FFFFFF"/>
          <w:lang w:val="en-GB"/>
        </w:rPr>
        <w:lastRenderedPageBreak/>
        <w:t>circumstances</w:t>
      </w:r>
      <w:r w:rsidRPr="00437989">
        <w:rPr>
          <w:rStyle w:val="FootnoteReference"/>
          <w:rFonts w:ascii="Arial" w:hAnsi="Arial" w:cs="Arial"/>
          <w:color w:val="7B7B7B" w:themeColor="accent3" w:themeShade="BF"/>
          <w:sz w:val="22"/>
          <w:szCs w:val="22"/>
          <w:shd w:val="clear" w:color="auto" w:fill="FFFFFF"/>
          <w:lang w:val="en-GB"/>
        </w:rPr>
        <w:footnoteReference w:id="44"/>
      </w:r>
      <w:r w:rsidRPr="00437989">
        <w:rPr>
          <w:rFonts w:ascii="Arial" w:hAnsi="Arial" w:cs="Arial"/>
          <w:color w:val="7B7B7B" w:themeColor="accent3" w:themeShade="BF"/>
          <w:sz w:val="22"/>
          <w:szCs w:val="22"/>
          <w:shd w:val="clear" w:color="auto" w:fill="FFFFFF"/>
          <w:lang w:val="en-GB"/>
        </w:rPr>
        <w:t>. In this regard, Article 18 imposes a positive obligation to assist the Court by requiring a foreign representative to notify the court ‘promptly’ of:</w:t>
      </w:r>
    </w:p>
    <w:p w14:paraId="02D17FAB"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3A1B6224"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Any change in status of the foreignized foreign proceeding or the status of the foreign representative</w:t>
      </w:r>
      <w:r w:rsidRPr="00437989">
        <w:rPr>
          <w:rStyle w:val="FootnoteReference"/>
          <w:rFonts w:ascii="Arial" w:hAnsi="Arial" w:cs="Arial"/>
          <w:color w:val="7B7B7B" w:themeColor="accent3" w:themeShade="BF"/>
          <w:sz w:val="22"/>
          <w:szCs w:val="22"/>
          <w:shd w:val="clear" w:color="auto" w:fill="FFFFFF"/>
          <w:lang w:val="en-GB"/>
        </w:rPr>
        <w:footnoteReference w:id="45"/>
      </w:r>
      <w:r w:rsidRPr="00437989">
        <w:rPr>
          <w:rFonts w:ascii="Arial" w:hAnsi="Arial" w:cs="Arial"/>
          <w:color w:val="7B7B7B" w:themeColor="accent3" w:themeShade="BF"/>
          <w:sz w:val="22"/>
          <w:szCs w:val="22"/>
          <w:shd w:val="clear" w:color="auto" w:fill="FFFFFF"/>
          <w:lang w:val="en-GB"/>
        </w:rPr>
        <w:t xml:space="preserve"> ; and</w:t>
      </w:r>
    </w:p>
    <w:p w14:paraId="4790E090"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Any other foreign proceeding concerning the same debtor that becomes known to the foreign representative</w:t>
      </w:r>
      <w:r w:rsidRPr="00437989">
        <w:rPr>
          <w:rStyle w:val="FootnoteReference"/>
          <w:rFonts w:ascii="Arial" w:hAnsi="Arial" w:cs="Arial"/>
          <w:color w:val="7B7B7B" w:themeColor="accent3" w:themeShade="BF"/>
          <w:sz w:val="22"/>
          <w:szCs w:val="22"/>
          <w:shd w:val="clear" w:color="auto" w:fill="FFFFFF"/>
          <w:lang w:val="en-GB"/>
        </w:rPr>
        <w:footnoteReference w:id="46"/>
      </w:r>
      <w:r w:rsidRPr="00437989">
        <w:rPr>
          <w:rFonts w:ascii="Arial" w:hAnsi="Arial" w:cs="Arial"/>
          <w:color w:val="7B7B7B" w:themeColor="accent3" w:themeShade="BF"/>
          <w:sz w:val="22"/>
          <w:szCs w:val="22"/>
          <w:shd w:val="clear" w:color="auto" w:fill="FFFFFF"/>
          <w:lang w:val="en-GB"/>
        </w:rPr>
        <w:t>.</w:t>
      </w:r>
    </w:p>
    <w:p w14:paraId="1C03CADB"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p>
    <w:p w14:paraId="588A0587" w14:textId="77777777" w:rsidR="00280D78" w:rsidRPr="00437989" w:rsidRDefault="00280D78" w:rsidP="00280D78">
      <w:pPr>
        <w:jc w:val="both"/>
        <w:rPr>
          <w:rFonts w:ascii="Arial" w:hAnsi="Arial" w:cs="Arial"/>
          <w:color w:val="7B7B7B" w:themeColor="accent3" w:themeShade="BF"/>
          <w:sz w:val="22"/>
          <w:szCs w:val="22"/>
          <w:shd w:val="clear" w:color="auto" w:fill="FFFFFF"/>
          <w:lang w:val="en-GB"/>
        </w:rPr>
      </w:pPr>
      <w:r w:rsidRPr="00437989">
        <w:rPr>
          <w:rFonts w:ascii="Arial" w:hAnsi="Arial" w:cs="Arial"/>
          <w:color w:val="7B7B7B" w:themeColor="accent3" w:themeShade="BF"/>
          <w:sz w:val="22"/>
          <w:szCs w:val="22"/>
          <w:shd w:val="clear" w:color="auto" w:fill="FFFFFF"/>
          <w:lang w:val="en-GB"/>
        </w:rPr>
        <w:t>Against this procedural framework for recognition, the Model law does not contain a reciprocity requirement nor an abuse of process provision. Some states that have enacted the Model law have included a reciprocity requirement for recognition</w:t>
      </w:r>
      <w:r w:rsidRPr="00437989">
        <w:rPr>
          <w:rStyle w:val="FootnoteReference"/>
          <w:rFonts w:ascii="Arial" w:hAnsi="Arial" w:cs="Arial"/>
          <w:color w:val="7B7B7B" w:themeColor="accent3" w:themeShade="BF"/>
          <w:sz w:val="22"/>
          <w:szCs w:val="22"/>
          <w:shd w:val="clear" w:color="auto" w:fill="FFFFFF"/>
          <w:lang w:val="en-GB"/>
        </w:rPr>
        <w:footnoteReference w:id="47"/>
      </w:r>
      <w:r w:rsidRPr="00437989">
        <w:rPr>
          <w:rFonts w:ascii="Arial" w:hAnsi="Arial" w:cs="Arial"/>
          <w:color w:val="7B7B7B" w:themeColor="accent3" w:themeShade="BF"/>
          <w:sz w:val="22"/>
          <w:szCs w:val="22"/>
          <w:shd w:val="clear" w:color="auto" w:fill="FFFFFF"/>
          <w:lang w:val="en-GB"/>
        </w:rPr>
        <w:t xml:space="preserve">. The effect of this may render the implementation, and, therefore recognition toothless. As to abuse of process, the courts deal with this in the enacting state under domestic law. Consequently, courts in the enacting state on a recognition application may </w:t>
      </w:r>
      <w:proofErr w:type="gramStart"/>
      <w:r w:rsidRPr="00437989">
        <w:rPr>
          <w:rFonts w:ascii="Arial" w:hAnsi="Arial" w:cs="Arial"/>
          <w:color w:val="7B7B7B" w:themeColor="accent3" w:themeShade="BF"/>
          <w:sz w:val="22"/>
          <w:szCs w:val="22"/>
          <w:shd w:val="clear" w:color="auto" w:fill="FFFFFF"/>
          <w:lang w:val="en-GB"/>
        </w:rPr>
        <w:t>take into account</w:t>
      </w:r>
      <w:proofErr w:type="gramEnd"/>
      <w:r w:rsidRPr="00437989">
        <w:rPr>
          <w:rFonts w:ascii="Arial" w:hAnsi="Arial" w:cs="Arial"/>
          <w:color w:val="7B7B7B" w:themeColor="accent3" w:themeShade="BF"/>
          <w:sz w:val="22"/>
          <w:szCs w:val="22"/>
          <w:shd w:val="clear" w:color="auto" w:fill="FFFFFF"/>
          <w:lang w:val="en-GB"/>
        </w:rPr>
        <w:t xml:space="preserve"> any abuse of process in considering whether to grant or decline recognition</w:t>
      </w:r>
      <w:r w:rsidRPr="00437989">
        <w:rPr>
          <w:rStyle w:val="FootnoteReference"/>
          <w:rFonts w:ascii="Arial" w:hAnsi="Arial" w:cs="Arial"/>
          <w:color w:val="7B7B7B" w:themeColor="accent3" w:themeShade="BF"/>
          <w:sz w:val="22"/>
          <w:szCs w:val="22"/>
          <w:shd w:val="clear" w:color="auto" w:fill="FFFFFF"/>
          <w:lang w:val="en-GB"/>
        </w:rPr>
        <w:footnoteReference w:id="48"/>
      </w:r>
      <w:r w:rsidRPr="00437989">
        <w:rPr>
          <w:rFonts w:ascii="Arial" w:hAnsi="Arial" w:cs="Arial"/>
          <w:color w:val="7B7B7B" w:themeColor="accent3" w:themeShade="BF"/>
          <w:sz w:val="22"/>
          <w:szCs w:val="22"/>
          <w:shd w:val="clear" w:color="auto" w:fill="FFFFFF"/>
          <w:lang w:val="en-GB"/>
        </w:rPr>
        <w:t>. Further</w:t>
      </w:r>
      <w:r>
        <w:rPr>
          <w:rFonts w:ascii="Arial" w:hAnsi="Arial" w:cs="Arial"/>
          <w:color w:val="7B7B7B" w:themeColor="accent3" w:themeShade="BF"/>
          <w:sz w:val="22"/>
          <w:szCs w:val="22"/>
          <w:shd w:val="clear" w:color="auto" w:fill="FFFFFF"/>
          <w:lang w:val="en-GB"/>
        </w:rPr>
        <w:t>,</w:t>
      </w:r>
      <w:r w:rsidRPr="00437989">
        <w:rPr>
          <w:rFonts w:ascii="Arial" w:hAnsi="Arial" w:cs="Arial"/>
          <w:color w:val="7B7B7B" w:themeColor="accent3" w:themeShade="BF"/>
          <w:sz w:val="22"/>
          <w:szCs w:val="22"/>
          <w:shd w:val="clear" w:color="auto" w:fill="FFFFFF"/>
          <w:lang w:val="en-GB"/>
        </w:rPr>
        <w:t xml:space="preserve"> foreign representatives have a duty of full and frank disclosure</w:t>
      </w:r>
      <w:r>
        <w:rPr>
          <w:rFonts w:ascii="Arial" w:hAnsi="Arial" w:cs="Arial"/>
          <w:color w:val="7B7B7B" w:themeColor="accent3" w:themeShade="BF"/>
          <w:sz w:val="22"/>
          <w:szCs w:val="22"/>
          <w:shd w:val="clear" w:color="auto" w:fill="FFFFFF"/>
          <w:lang w:val="en-GB"/>
        </w:rPr>
        <w:t>.</w:t>
      </w:r>
      <w:r w:rsidRPr="00437989">
        <w:rPr>
          <w:rFonts w:ascii="Arial" w:hAnsi="Arial" w:cs="Arial"/>
          <w:color w:val="7B7B7B" w:themeColor="accent3" w:themeShade="BF"/>
          <w:sz w:val="22"/>
          <w:szCs w:val="22"/>
          <w:shd w:val="clear" w:color="auto" w:fill="FFFFFF"/>
          <w:lang w:val="en-GB"/>
        </w:rPr>
        <w:t xml:space="preserve"> </w:t>
      </w:r>
      <w:r>
        <w:rPr>
          <w:rFonts w:ascii="Arial" w:hAnsi="Arial" w:cs="Arial"/>
          <w:color w:val="7B7B7B" w:themeColor="accent3" w:themeShade="BF"/>
          <w:sz w:val="22"/>
          <w:szCs w:val="22"/>
          <w:shd w:val="clear" w:color="auto" w:fill="FFFFFF"/>
          <w:lang w:val="en-GB"/>
        </w:rPr>
        <w:t>T</w:t>
      </w:r>
      <w:r w:rsidRPr="00437989">
        <w:rPr>
          <w:rFonts w:ascii="Arial" w:hAnsi="Arial" w:cs="Arial"/>
          <w:color w:val="7B7B7B" w:themeColor="accent3" w:themeShade="BF"/>
          <w:sz w:val="22"/>
          <w:szCs w:val="22"/>
          <w:shd w:val="clear" w:color="auto" w:fill="FFFFFF"/>
          <w:lang w:val="en-GB"/>
        </w:rPr>
        <w:t>hus</w:t>
      </w:r>
      <w:r>
        <w:rPr>
          <w:rFonts w:ascii="Arial" w:hAnsi="Arial" w:cs="Arial"/>
          <w:color w:val="7B7B7B" w:themeColor="accent3" w:themeShade="BF"/>
          <w:sz w:val="22"/>
          <w:szCs w:val="22"/>
          <w:shd w:val="clear" w:color="auto" w:fill="FFFFFF"/>
          <w:lang w:val="en-GB"/>
        </w:rPr>
        <w:t>,</w:t>
      </w:r>
      <w:r w:rsidRPr="00437989">
        <w:rPr>
          <w:rFonts w:ascii="Arial" w:hAnsi="Arial" w:cs="Arial"/>
          <w:color w:val="7B7B7B" w:themeColor="accent3" w:themeShade="BF"/>
          <w:sz w:val="22"/>
          <w:szCs w:val="22"/>
          <w:shd w:val="clear" w:color="auto" w:fill="FFFFFF"/>
          <w:lang w:val="en-GB"/>
        </w:rPr>
        <w:t xml:space="preserve"> if a foreign representative fails to comply with its disclosure requirements, this may constitute an abuse of process under the domestic laws of the enacting state with the recognition application being refused</w:t>
      </w:r>
      <w:r w:rsidRPr="00437989">
        <w:rPr>
          <w:rStyle w:val="FootnoteReference"/>
          <w:rFonts w:ascii="Arial" w:hAnsi="Arial" w:cs="Arial"/>
          <w:color w:val="7B7B7B" w:themeColor="accent3" w:themeShade="BF"/>
          <w:sz w:val="22"/>
          <w:szCs w:val="22"/>
          <w:shd w:val="clear" w:color="auto" w:fill="FFFFFF"/>
          <w:lang w:val="en-GB"/>
        </w:rPr>
        <w:footnoteReference w:id="49"/>
      </w:r>
      <w:r w:rsidRPr="00437989">
        <w:rPr>
          <w:rFonts w:ascii="Arial" w:hAnsi="Arial" w:cs="Arial"/>
          <w:color w:val="7B7B7B" w:themeColor="accent3" w:themeShade="BF"/>
          <w:sz w:val="22"/>
          <w:szCs w:val="22"/>
          <w:shd w:val="clear" w:color="auto" w:fill="FFFFFF"/>
          <w:lang w:val="en-GB"/>
        </w:rPr>
        <w:t>.</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B68EBA5"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 fundamental principle under the Model law is that relief is necessary for the fair and orderly conduct of the administration of a debtor’s estate. This is so whether the relief is on an interim basis (Article 19) or discretionary post-recognition relief (Article 21). In addition, Article 20 of the Model law provides automatic relief upon foreign proceedings' recognition.</w:t>
      </w:r>
    </w:p>
    <w:p w14:paraId="1324E43F" w14:textId="77777777" w:rsidR="00280D78" w:rsidRPr="00437989" w:rsidRDefault="00280D78" w:rsidP="00280D78">
      <w:pPr>
        <w:jc w:val="both"/>
        <w:rPr>
          <w:rFonts w:ascii="Arial" w:hAnsi="Arial" w:cs="Arial"/>
          <w:color w:val="7B7B7B" w:themeColor="accent3" w:themeShade="BF"/>
          <w:sz w:val="22"/>
          <w:szCs w:val="22"/>
          <w:lang w:val="en-GB"/>
        </w:rPr>
      </w:pPr>
    </w:p>
    <w:p w14:paraId="09550D6C" w14:textId="77777777" w:rsidR="00280D78" w:rsidRPr="00437989" w:rsidRDefault="00280D78" w:rsidP="00280D78">
      <w:pPr>
        <w:jc w:val="both"/>
        <w:rPr>
          <w:rFonts w:ascii="Arial" w:hAnsi="Arial" w:cs="Arial"/>
          <w:b/>
          <w:color w:val="7B7B7B" w:themeColor="accent3" w:themeShade="BF"/>
          <w:sz w:val="22"/>
          <w:szCs w:val="22"/>
          <w:lang w:val="en-GB"/>
        </w:rPr>
      </w:pPr>
      <w:r w:rsidRPr="00437989">
        <w:rPr>
          <w:rFonts w:ascii="Arial" w:hAnsi="Arial" w:cs="Arial"/>
          <w:b/>
          <w:color w:val="7B7B7B" w:themeColor="accent3" w:themeShade="BF"/>
          <w:sz w:val="22"/>
          <w:szCs w:val="22"/>
          <w:lang w:val="en-GB"/>
        </w:rPr>
        <w:t>Automatic Relief</w:t>
      </w:r>
    </w:p>
    <w:p w14:paraId="1EF0951E" w14:textId="77777777" w:rsidR="00280D78" w:rsidRPr="00437989" w:rsidRDefault="00280D78" w:rsidP="00280D78">
      <w:pPr>
        <w:jc w:val="both"/>
        <w:rPr>
          <w:rFonts w:ascii="Arial" w:hAnsi="Arial" w:cs="Arial"/>
          <w:color w:val="7B7B7B" w:themeColor="accent3" w:themeShade="BF"/>
          <w:sz w:val="22"/>
          <w:szCs w:val="22"/>
          <w:lang w:val="en-GB"/>
        </w:rPr>
      </w:pPr>
    </w:p>
    <w:p w14:paraId="0E95722C"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As to automatic relief, the effect of a recognition order will differ depending on whether the foreign proceedings are recognised as “foreign main proceedings” or “foreign non-main proceedings.”</w:t>
      </w:r>
      <w:r w:rsidRPr="00437989">
        <w:rPr>
          <w:rStyle w:val="FootnoteReference"/>
          <w:rFonts w:ascii="Arial" w:hAnsi="Arial" w:cs="Arial"/>
          <w:color w:val="7B7B7B" w:themeColor="accent3" w:themeShade="BF"/>
          <w:sz w:val="22"/>
          <w:szCs w:val="22"/>
          <w:lang w:val="en-GB"/>
        </w:rPr>
        <w:footnoteReference w:id="50"/>
      </w:r>
    </w:p>
    <w:p w14:paraId="1649C666" w14:textId="77777777" w:rsidR="00280D78" w:rsidRPr="00437989" w:rsidRDefault="00280D78" w:rsidP="00280D78">
      <w:pPr>
        <w:jc w:val="both"/>
        <w:rPr>
          <w:rFonts w:ascii="Arial" w:hAnsi="Arial" w:cs="Arial"/>
          <w:color w:val="7B7B7B" w:themeColor="accent3" w:themeShade="BF"/>
          <w:sz w:val="22"/>
          <w:szCs w:val="22"/>
          <w:lang w:val="en-GB"/>
        </w:rPr>
      </w:pPr>
    </w:p>
    <w:p w14:paraId="274CE450"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If the proceedings are recognised as “foreign main proceedings,” pursuant to Article 20 of the Model law, an automatic stay will prevent:</w:t>
      </w:r>
    </w:p>
    <w:p w14:paraId="4BDF9FD0"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The commencement of or continuation of actions or proceedings concerning a debtor’s rights, obligations or liabilities (Article 20(1)(a));</w:t>
      </w:r>
    </w:p>
    <w:p w14:paraId="5D02C4BB"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Execution against a debtor’s assets (Article 20(1)(b)); and</w:t>
      </w:r>
    </w:p>
    <w:p w14:paraId="4E420F6D"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The transfer, encumbrance, or other disposal of a debtor’s assets (Article 20(1)(c)).</w:t>
      </w:r>
    </w:p>
    <w:p w14:paraId="5756AC1A" w14:textId="77777777" w:rsidR="00280D78" w:rsidRPr="00437989" w:rsidRDefault="00280D78" w:rsidP="00280D78">
      <w:pPr>
        <w:jc w:val="both"/>
        <w:rPr>
          <w:rFonts w:ascii="Arial" w:hAnsi="Arial" w:cs="Arial"/>
          <w:color w:val="7B7B7B" w:themeColor="accent3" w:themeShade="BF"/>
          <w:sz w:val="22"/>
          <w:szCs w:val="22"/>
          <w:lang w:val="en-GB"/>
        </w:rPr>
      </w:pPr>
    </w:p>
    <w:p w14:paraId="331543AD"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lastRenderedPageBreak/>
        <w:t>As indicated above, the effect of a recognition order in “foreign main proceedings” is automatic, and no further application to the court in the enacting state is required</w:t>
      </w:r>
      <w:r w:rsidRPr="00437989">
        <w:rPr>
          <w:rStyle w:val="FootnoteReference"/>
          <w:rFonts w:ascii="Arial" w:hAnsi="Arial" w:cs="Arial"/>
          <w:color w:val="7B7B7B" w:themeColor="accent3" w:themeShade="BF"/>
          <w:sz w:val="22"/>
          <w:szCs w:val="22"/>
          <w:lang w:val="en-GB"/>
        </w:rPr>
        <w:footnoteReference w:id="51"/>
      </w:r>
      <w:r w:rsidRPr="00437989">
        <w:rPr>
          <w:rFonts w:ascii="Arial" w:hAnsi="Arial" w:cs="Arial"/>
          <w:color w:val="7B7B7B" w:themeColor="accent3" w:themeShade="BF"/>
          <w:sz w:val="22"/>
          <w:szCs w:val="22"/>
          <w:lang w:val="en-GB"/>
        </w:rPr>
        <w:t>. However, Article 20(2) confers, if provided for under the domestic law of the enacting state, a power to modify or terminate the automatic relief which follows upon recognition of a “foreign main proceeding</w:t>
      </w:r>
      <w:r w:rsidRPr="00437989">
        <w:rPr>
          <w:rStyle w:val="FootnoteReference"/>
          <w:rFonts w:ascii="Arial" w:hAnsi="Arial" w:cs="Arial"/>
          <w:color w:val="7B7B7B" w:themeColor="accent3" w:themeShade="BF"/>
          <w:sz w:val="22"/>
          <w:szCs w:val="22"/>
          <w:lang w:val="en-GB"/>
        </w:rPr>
        <w:footnoteReference w:id="52"/>
      </w:r>
      <w:r w:rsidRPr="00437989">
        <w:rPr>
          <w:rFonts w:ascii="Arial" w:hAnsi="Arial" w:cs="Arial"/>
          <w:color w:val="7B7B7B" w:themeColor="accent3" w:themeShade="BF"/>
          <w:sz w:val="22"/>
          <w:szCs w:val="22"/>
          <w:lang w:val="en-GB"/>
        </w:rPr>
        <w:t>.</w:t>
      </w:r>
    </w:p>
    <w:p w14:paraId="51D222B5" w14:textId="77777777" w:rsidR="00280D78" w:rsidRPr="00437989" w:rsidRDefault="00280D78" w:rsidP="00280D78">
      <w:pPr>
        <w:jc w:val="both"/>
        <w:rPr>
          <w:rFonts w:ascii="Arial" w:hAnsi="Arial" w:cs="Arial"/>
          <w:color w:val="7B7B7B" w:themeColor="accent3" w:themeShade="BF"/>
          <w:sz w:val="22"/>
          <w:szCs w:val="22"/>
          <w:lang w:val="en-GB"/>
        </w:rPr>
      </w:pPr>
    </w:p>
    <w:p w14:paraId="058A51F3"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 xml:space="preserve">Moreover, the automatic relief does not </w:t>
      </w:r>
      <w:proofErr w:type="spellStart"/>
      <w:proofErr w:type="gramStart"/>
      <w:r w:rsidRPr="00437989">
        <w:rPr>
          <w:rFonts w:ascii="Arial" w:hAnsi="Arial" w:cs="Arial"/>
          <w:color w:val="7B7B7B" w:themeColor="accent3" w:themeShade="BF"/>
          <w:sz w:val="22"/>
          <w:szCs w:val="22"/>
          <w:lang w:val="en-GB"/>
        </w:rPr>
        <w:t>effect</w:t>
      </w:r>
      <w:proofErr w:type="spellEnd"/>
      <w:proofErr w:type="gramEnd"/>
      <w:r w:rsidRPr="00437989">
        <w:rPr>
          <w:rFonts w:ascii="Arial" w:hAnsi="Arial" w:cs="Arial"/>
          <w:color w:val="7B7B7B" w:themeColor="accent3" w:themeShade="BF"/>
          <w:sz w:val="22"/>
          <w:szCs w:val="22"/>
          <w:lang w:val="en-GB"/>
        </w:rPr>
        <w:t xml:space="preserve"> any right to commence individual actions or proceedings to the extent necessary to preserve a claim against a debtor</w:t>
      </w:r>
      <w:r w:rsidRPr="00437989">
        <w:rPr>
          <w:rStyle w:val="FootnoteReference"/>
          <w:rFonts w:ascii="Arial" w:hAnsi="Arial" w:cs="Arial"/>
          <w:color w:val="7B7B7B" w:themeColor="accent3" w:themeShade="BF"/>
          <w:sz w:val="22"/>
          <w:szCs w:val="22"/>
          <w:lang w:val="en-GB"/>
        </w:rPr>
        <w:footnoteReference w:id="53"/>
      </w:r>
      <w:r w:rsidRPr="00437989">
        <w:rPr>
          <w:rFonts w:ascii="Arial" w:hAnsi="Arial" w:cs="Arial"/>
          <w:color w:val="7B7B7B" w:themeColor="accent3" w:themeShade="BF"/>
          <w:sz w:val="22"/>
          <w:szCs w:val="22"/>
          <w:lang w:val="en-GB"/>
        </w:rPr>
        <w:t xml:space="preserve">. Further, Article 20(4) does not </w:t>
      </w:r>
      <w:proofErr w:type="spellStart"/>
      <w:proofErr w:type="gramStart"/>
      <w:r w:rsidRPr="00437989">
        <w:rPr>
          <w:rFonts w:ascii="Arial" w:hAnsi="Arial" w:cs="Arial"/>
          <w:color w:val="7B7B7B" w:themeColor="accent3" w:themeShade="BF"/>
          <w:sz w:val="22"/>
          <w:szCs w:val="22"/>
          <w:lang w:val="en-GB"/>
        </w:rPr>
        <w:t>effect</w:t>
      </w:r>
      <w:proofErr w:type="spellEnd"/>
      <w:proofErr w:type="gramEnd"/>
      <w:r w:rsidRPr="00437989">
        <w:rPr>
          <w:rFonts w:ascii="Arial" w:hAnsi="Arial" w:cs="Arial"/>
          <w:color w:val="7B7B7B" w:themeColor="accent3" w:themeShade="BF"/>
          <w:sz w:val="22"/>
          <w:szCs w:val="22"/>
          <w:lang w:val="en-GB"/>
        </w:rPr>
        <w:t xml:space="preserve"> any right to commence a proceeding under the domestic law of the enacting state or rights to file claims in such proceedings.</w:t>
      </w:r>
    </w:p>
    <w:p w14:paraId="267682BD" w14:textId="77777777" w:rsidR="00280D78" w:rsidRPr="00437989" w:rsidRDefault="00280D78" w:rsidP="00280D78">
      <w:pPr>
        <w:jc w:val="both"/>
        <w:rPr>
          <w:rFonts w:ascii="Arial" w:hAnsi="Arial" w:cs="Arial"/>
          <w:color w:val="7B7B7B" w:themeColor="accent3" w:themeShade="BF"/>
          <w:sz w:val="22"/>
          <w:szCs w:val="22"/>
          <w:lang w:val="en-GB"/>
        </w:rPr>
      </w:pPr>
    </w:p>
    <w:p w14:paraId="2B824DA0"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The stay of actions against a debtor or a debtor’s assets is envisaged to provide a foreign representative with “breathing space” until the foreign representative is in a position to restructure or liquidate the debtor</w:t>
      </w:r>
      <w:r w:rsidRPr="00437989">
        <w:rPr>
          <w:rStyle w:val="FootnoteReference"/>
          <w:rFonts w:ascii="Arial" w:hAnsi="Arial" w:cs="Arial"/>
          <w:color w:val="7B7B7B" w:themeColor="accent3" w:themeShade="BF"/>
          <w:sz w:val="22"/>
          <w:szCs w:val="22"/>
          <w:lang w:val="en-GB"/>
        </w:rPr>
        <w:footnoteReference w:id="54"/>
      </w:r>
      <w:r w:rsidRPr="00437989">
        <w:rPr>
          <w:rFonts w:ascii="Arial" w:hAnsi="Arial" w:cs="Arial"/>
          <w:color w:val="7B7B7B" w:themeColor="accent3" w:themeShade="BF"/>
          <w:sz w:val="22"/>
          <w:szCs w:val="22"/>
          <w:lang w:val="en-GB"/>
        </w:rPr>
        <w:t xml:space="preserve">. </w:t>
      </w:r>
    </w:p>
    <w:p w14:paraId="40E8B91C" w14:textId="77777777" w:rsidR="00280D78" w:rsidRPr="00437989" w:rsidRDefault="00280D78" w:rsidP="00280D78">
      <w:pPr>
        <w:jc w:val="both"/>
        <w:rPr>
          <w:rFonts w:ascii="Arial" w:hAnsi="Arial" w:cs="Arial"/>
          <w:color w:val="7B7B7B" w:themeColor="accent3" w:themeShade="BF"/>
          <w:sz w:val="22"/>
          <w:szCs w:val="22"/>
          <w:lang w:val="en-GB"/>
        </w:rPr>
      </w:pPr>
    </w:p>
    <w:p w14:paraId="3B1233AD" w14:textId="77777777" w:rsidR="00280D78" w:rsidRPr="00437989" w:rsidRDefault="00280D78" w:rsidP="00280D78">
      <w:pPr>
        <w:jc w:val="both"/>
        <w:rPr>
          <w:rFonts w:ascii="Arial" w:hAnsi="Arial" w:cs="Arial"/>
          <w:b/>
          <w:color w:val="7B7B7B" w:themeColor="accent3" w:themeShade="BF"/>
          <w:sz w:val="22"/>
          <w:szCs w:val="22"/>
          <w:lang w:val="en-GB"/>
        </w:rPr>
      </w:pPr>
      <w:r w:rsidRPr="00437989">
        <w:rPr>
          <w:rFonts w:ascii="Arial" w:hAnsi="Arial" w:cs="Arial"/>
          <w:b/>
          <w:color w:val="7B7B7B" w:themeColor="accent3" w:themeShade="BF"/>
          <w:sz w:val="22"/>
          <w:szCs w:val="22"/>
          <w:lang w:val="en-GB"/>
        </w:rPr>
        <w:t>Interim Relief</w:t>
      </w:r>
    </w:p>
    <w:p w14:paraId="445538C8" w14:textId="77777777" w:rsidR="00280D78" w:rsidRPr="00437989" w:rsidRDefault="00280D78" w:rsidP="00280D78">
      <w:pPr>
        <w:jc w:val="both"/>
        <w:rPr>
          <w:rFonts w:ascii="Arial" w:hAnsi="Arial" w:cs="Arial"/>
          <w:color w:val="7B7B7B" w:themeColor="accent3" w:themeShade="BF"/>
          <w:sz w:val="22"/>
          <w:szCs w:val="22"/>
          <w:lang w:val="en-GB"/>
        </w:rPr>
      </w:pPr>
    </w:p>
    <w:p w14:paraId="14702EB2"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In circumstances where urgent relief is required to protect the assets of a debtor or interests of creditors, pursuant to Article 19 of the Model law, upon an application of a foreign representative, the court in the enacting state may grant the following provisional relief:</w:t>
      </w:r>
    </w:p>
    <w:p w14:paraId="2EBC1491" w14:textId="77777777" w:rsidR="00280D78" w:rsidRPr="00437989" w:rsidRDefault="00280D78" w:rsidP="00280D78">
      <w:pPr>
        <w:jc w:val="both"/>
        <w:rPr>
          <w:rFonts w:ascii="Arial" w:hAnsi="Arial" w:cs="Arial"/>
          <w:color w:val="7B7B7B" w:themeColor="accent3" w:themeShade="BF"/>
          <w:sz w:val="22"/>
          <w:szCs w:val="22"/>
          <w:lang w:val="en-GB"/>
        </w:rPr>
      </w:pPr>
    </w:p>
    <w:p w14:paraId="006DD778"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 stay of execution against a debtor’s assets (Article 19(1)(a));</w:t>
      </w:r>
    </w:p>
    <w:p w14:paraId="10EFD370"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Entrusting the administration or realization of all or part of a debtor’s assets located in the enacting state to the foreign representative or other person determined by the court to preserve or protect the value of assets that, by their nature or because of other circumstances, are perishable or susceptible to devaluation (Article 19(1)(b);</w:t>
      </w:r>
    </w:p>
    <w:p w14:paraId="5B8F360C"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Suspending the right to transfer, encumber or otherwise dispose of any assets of a debtor (Article 19(1)(c) as read with Article 21(1)(c));</w:t>
      </w:r>
    </w:p>
    <w:p w14:paraId="20193ED8"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 xml:space="preserve">Providing for the examination of witnesses, the taking of evidence, or delivery of information concerning a debtor’s assets, affairs, rights, obligations, or liabilities (Article 19(1)(c) as read with Article 21(1)(d)); and </w:t>
      </w:r>
    </w:p>
    <w:p w14:paraId="038CA36A"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Granting any relief that may be available under domestic law to a liquidator pursuant to the laws of the enacting state (Article 19(1)(c) as read with Article 21(1)(g))</w:t>
      </w:r>
      <w:r w:rsidRPr="00437989">
        <w:rPr>
          <w:rStyle w:val="FootnoteReference"/>
          <w:rFonts w:ascii="Arial" w:hAnsi="Arial" w:cs="Arial"/>
          <w:color w:val="7B7B7B" w:themeColor="accent3" w:themeShade="BF"/>
          <w:sz w:val="22"/>
          <w:szCs w:val="22"/>
          <w:lang w:val="en-GB"/>
        </w:rPr>
        <w:footnoteReference w:id="55"/>
      </w:r>
      <w:r w:rsidRPr="00437989">
        <w:rPr>
          <w:rFonts w:ascii="Arial" w:hAnsi="Arial" w:cs="Arial"/>
          <w:color w:val="7B7B7B" w:themeColor="accent3" w:themeShade="BF"/>
          <w:sz w:val="22"/>
          <w:szCs w:val="22"/>
          <w:lang w:val="en-GB"/>
        </w:rPr>
        <w:t>.</w:t>
      </w:r>
    </w:p>
    <w:p w14:paraId="4565BCCD" w14:textId="77777777" w:rsidR="00280D78" w:rsidRPr="00437989" w:rsidRDefault="00280D78" w:rsidP="00280D78">
      <w:pPr>
        <w:jc w:val="both"/>
        <w:rPr>
          <w:rFonts w:ascii="Arial" w:hAnsi="Arial" w:cs="Arial"/>
          <w:color w:val="7B7B7B" w:themeColor="accent3" w:themeShade="BF"/>
          <w:sz w:val="22"/>
          <w:szCs w:val="22"/>
          <w:lang w:val="en-GB"/>
        </w:rPr>
      </w:pPr>
    </w:p>
    <w:p w14:paraId="6B08CD27"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This relief is available from the time of filing a recognition application until its disposal</w:t>
      </w:r>
      <w:r w:rsidRPr="00437989">
        <w:rPr>
          <w:rStyle w:val="FootnoteReference"/>
          <w:rFonts w:ascii="Arial" w:hAnsi="Arial" w:cs="Arial"/>
          <w:color w:val="7B7B7B" w:themeColor="accent3" w:themeShade="BF"/>
          <w:sz w:val="22"/>
          <w:szCs w:val="22"/>
          <w:lang w:val="en-GB"/>
        </w:rPr>
        <w:footnoteReference w:id="56"/>
      </w:r>
      <w:r w:rsidRPr="00437989">
        <w:rPr>
          <w:rFonts w:ascii="Arial" w:hAnsi="Arial" w:cs="Arial"/>
          <w:color w:val="7B7B7B" w:themeColor="accent3" w:themeShade="BF"/>
          <w:sz w:val="22"/>
          <w:szCs w:val="22"/>
          <w:lang w:val="en-GB"/>
        </w:rPr>
        <w:t>. In granting or denying or modifying, or terminating provisional relief under Article 19, the court in the enacting state must be satisfied that the rights of creditors and/or interested parties are ‘adequately protected</w:t>
      </w:r>
      <w:r w:rsidRPr="00437989">
        <w:rPr>
          <w:rStyle w:val="FootnoteReference"/>
          <w:rFonts w:ascii="Arial" w:hAnsi="Arial" w:cs="Arial"/>
          <w:color w:val="7B7B7B" w:themeColor="accent3" w:themeShade="BF"/>
          <w:sz w:val="22"/>
          <w:szCs w:val="22"/>
          <w:lang w:val="en-GB"/>
        </w:rPr>
        <w:footnoteReference w:id="57"/>
      </w:r>
      <w:r w:rsidRPr="00437989">
        <w:rPr>
          <w:rFonts w:ascii="Arial" w:hAnsi="Arial" w:cs="Arial"/>
          <w:color w:val="7B7B7B" w:themeColor="accent3" w:themeShade="BF"/>
          <w:sz w:val="22"/>
          <w:szCs w:val="22"/>
          <w:lang w:val="en-GB"/>
        </w:rPr>
        <w:t xml:space="preserve"> .’The court also retains a discretionary power to grant such relief on such terms and conditions as it sees fit</w:t>
      </w:r>
      <w:r w:rsidRPr="00437989">
        <w:rPr>
          <w:rStyle w:val="FootnoteReference"/>
          <w:rFonts w:ascii="Arial" w:hAnsi="Arial" w:cs="Arial"/>
          <w:color w:val="7B7B7B" w:themeColor="accent3" w:themeShade="BF"/>
          <w:sz w:val="22"/>
          <w:szCs w:val="22"/>
          <w:lang w:val="en-GB"/>
        </w:rPr>
        <w:footnoteReference w:id="58"/>
      </w:r>
      <w:r w:rsidRPr="00437989">
        <w:rPr>
          <w:rFonts w:ascii="Arial" w:hAnsi="Arial" w:cs="Arial"/>
          <w:color w:val="7B7B7B" w:themeColor="accent3" w:themeShade="BF"/>
          <w:sz w:val="22"/>
          <w:szCs w:val="22"/>
          <w:lang w:val="en-GB"/>
        </w:rPr>
        <w:t>.</w:t>
      </w:r>
    </w:p>
    <w:p w14:paraId="4BB33259" w14:textId="77777777" w:rsidR="00280D78" w:rsidRPr="00437989" w:rsidRDefault="00280D78" w:rsidP="00280D78">
      <w:pPr>
        <w:jc w:val="both"/>
        <w:rPr>
          <w:rFonts w:ascii="Arial" w:hAnsi="Arial" w:cs="Arial"/>
          <w:color w:val="7B7B7B" w:themeColor="accent3" w:themeShade="BF"/>
          <w:sz w:val="22"/>
          <w:szCs w:val="22"/>
          <w:lang w:val="en-GB"/>
        </w:rPr>
      </w:pPr>
    </w:p>
    <w:p w14:paraId="349F70CD"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In addition to the above, Article 6 of the Model law contains a general public policy exception, whereby a court in the enacting state may refuse to take any steps under the Model law if the same would be ‘manifestly contrary’ to the public policy of the enacting state. However, the Model law expressly provides that the public policy exception should be interpreted narrowly and only engaged in exceptional circumstances</w:t>
      </w:r>
      <w:r w:rsidRPr="00437989">
        <w:rPr>
          <w:rStyle w:val="FootnoteReference"/>
          <w:rFonts w:ascii="Arial" w:hAnsi="Arial" w:cs="Arial"/>
          <w:color w:val="7B7B7B" w:themeColor="accent3" w:themeShade="BF"/>
          <w:sz w:val="22"/>
          <w:szCs w:val="22"/>
          <w:lang w:val="en-GB"/>
        </w:rPr>
        <w:footnoteReference w:id="59"/>
      </w:r>
      <w:r w:rsidRPr="00437989">
        <w:rPr>
          <w:rFonts w:ascii="Arial" w:hAnsi="Arial" w:cs="Arial"/>
          <w:color w:val="7B7B7B" w:themeColor="accent3" w:themeShade="BF"/>
          <w:sz w:val="22"/>
          <w:szCs w:val="22"/>
          <w:lang w:val="en-GB"/>
        </w:rPr>
        <w:t>.</w:t>
      </w:r>
    </w:p>
    <w:p w14:paraId="63B73499" w14:textId="77777777" w:rsidR="00280D78" w:rsidRPr="00437989" w:rsidRDefault="00280D78" w:rsidP="00280D78">
      <w:pPr>
        <w:jc w:val="both"/>
        <w:rPr>
          <w:rFonts w:ascii="Arial" w:hAnsi="Arial" w:cs="Arial"/>
          <w:color w:val="7B7B7B" w:themeColor="accent3" w:themeShade="BF"/>
          <w:sz w:val="22"/>
          <w:szCs w:val="22"/>
          <w:lang w:val="en-GB"/>
        </w:rPr>
      </w:pPr>
    </w:p>
    <w:p w14:paraId="0669C068" w14:textId="77777777" w:rsidR="00280D78" w:rsidRPr="00437989" w:rsidRDefault="00280D78" w:rsidP="00280D78">
      <w:pPr>
        <w:jc w:val="both"/>
        <w:rPr>
          <w:rFonts w:ascii="Arial" w:hAnsi="Arial" w:cs="Arial"/>
          <w:b/>
          <w:color w:val="7B7B7B" w:themeColor="accent3" w:themeShade="BF"/>
          <w:sz w:val="22"/>
          <w:szCs w:val="22"/>
          <w:lang w:val="en-GB"/>
        </w:rPr>
      </w:pPr>
      <w:r w:rsidRPr="00437989">
        <w:rPr>
          <w:rFonts w:ascii="Arial" w:hAnsi="Arial" w:cs="Arial"/>
          <w:b/>
          <w:color w:val="7B7B7B" w:themeColor="accent3" w:themeShade="BF"/>
          <w:sz w:val="22"/>
          <w:szCs w:val="22"/>
          <w:lang w:val="en-GB"/>
        </w:rPr>
        <w:lastRenderedPageBreak/>
        <w:t>Post-Recognition Relief</w:t>
      </w:r>
    </w:p>
    <w:p w14:paraId="2206FBB2" w14:textId="77777777" w:rsidR="00280D78" w:rsidRPr="00437989" w:rsidRDefault="00280D78" w:rsidP="00280D78">
      <w:pPr>
        <w:jc w:val="both"/>
        <w:rPr>
          <w:rFonts w:ascii="Arial" w:hAnsi="Arial" w:cs="Arial"/>
          <w:color w:val="7B7B7B" w:themeColor="accent3" w:themeShade="BF"/>
          <w:sz w:val="22"/>
          <w:szCs w:val="22"/>
          <w:lang w:val="en-GB"/>
        </w:rPr>
      </w:pPr>
    </w:p>
    <w:p w14:paraId="00F2B210"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Upon foreign proceedings being recognized, Article 24 of the Model law provides that a foreign representative may intervene in any proceedings to which a debtor is a party provided the requirements under the domestic law of the enacting state are met. Further, Article 23 of the Model law confers standing to the foreign representative to commence proceedings to avoid certain transactions (under the enacting state's domestic laws) that are detrimental to creditors</w:t>
      </w:r>
      <w:r w:rsidRPr="00437989">
        <w:rPr>
          <w:rStyle w:val="FootnoteReference"/>
          <w:rFonts w:ascii="Arial" w:hAnsi="Arial" w:cs="Arial"/>
          <w:color w:val="7B7B7B" w:themeColor="accent3" w:themeShade="BF"/>
          <w:sz w:val="22"/>
          <w:szCs w:val="22"/>
          <w:lang w:val="en-GB"/>
        </w:rPr>
        <w:footnoteReference w:id="60"/>
      </w:r>
      <w:r w:rsidRPr="00437989">
        <w:rPr>
          <w:rFonts w:ascii="Arial" w:hAnsi="Arial" w:cs="Arial"/>
          <w:color w:val="7B7B7B" w:themeColor="accent3" w:themeShade="BF"/>
          <w:sz w:val="22"/>
          <w:szCs w:val="22"/>
          <w:lang w:val="en-GB"/>
        </w:rPr>
        <w:t>. By way of example, a foreign representative may commence an action to set aside a transaction at an undervalue. In the case of a foreign non-main proceeding, in order to grant such relief, the court must be satisfied that it relates to assets under the domestic law of the enacting state that should be administered in the foreign non-main proceeding</w:t>
      </w:r>
      <w:r w:rsidRPr="00437989">
        <w:rPr>
          <w:rStyle w:val="FootnoteReference"/>
          <w:rFonts w:ascii="Arial" w:hAnsi="Arial" w:cs="Arial"/>
          <w:color w:val="7B7B7B" w:themeColor="accent3" w:themeShade="BF"/>
          <w:sz w:val="22"/>
          <w:szCs w:val="22"/>
          <w:lang w:val="en-GB"/>
        </w:rPr>
        <w:footnoteReference w:id="61"/>
      </w:r>
      <w:r w:rsidRPr="00437989">
        <w:rPr>
          <w:rFonts w:ascii="Arial" w:hAnsi="Arial" w:cs="Arial"/>
          <w:color w:val="7B7B7B" w:themeColor="accent3" w:themeShade="BF"/>
          <w:sz w:val="22"/>
          <w:szCs w:val="22"/>
          <w:lang w:val="en-GB"/>
        </w:rPr>
        <w:t>.</w:t>
      </w:r>
    </w:p>
    <w:p w14:paraId="79A5AD7B" w14:textId="77777777" w:rsidR="00280D78" w:rsidRPr="00437989" w:rsidRDefault="00280D78" w:rsidP="00280D78">
      <w:pPr>
        <w:jc w:val="both"/>
        <w:rPr>
          <w:rFonts w:ascii="Arial" w:hAnsi="Arial" w:cs="Arial"/>
          <w:color w:val="7B7B7B" w:themeColor="accent3" w:themeShade="BF"/>
          <w:sz w:val="22"/>
          <w:szCs w:val="22"/>
          <w:lang w:val="en-GB"/>
        </w:rPr>
      </w:pPr>
    </w:p>
    <w:p w14:paraId="63FD4530" w14:textId="77777777" w:rsidR="00280D78"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The Court in the enacting state whether ‘non-main’ or ‘main’ foreign proceedings may grant provisional relief where it is necessary to protect the assets of a debtor or interests of a creditor including:</w:t>
      </w:r>
    </w:p>
    <w:p w14:paraId="06543169" w14:textId="77777777" w:rsidR="00280D78" w:rsidRPr="00437989" w:rsidRDefault="00280D78" w:rsidP="00280D78">
      <w:pPr>
        <w:jc w:val="both"/>
        <w:rPr>
          <w:rFonts w:ascii="Arial" w:hAnsi="Arial" w:cs="Arial"/>
          <w:color w:val="7B7B7B" w:themeColor="accent3" w:themeShade="BF"/>
          <w:sz w:val="22"/>
          <w:szCs w:val="22"/>
          <w:lang w:val="en-GB"/>
        </w:rPr>
      </w:pPr>
    </w:p>
    <w:p w14:paraId="66F83CFE"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Staying the commencement of or continuation of individual actions or individual proceedings concerning a debtor’s assets, rights, obligations, or liabilities to the extent that they have not been automatically stayed under Article 20 of the Model law</w:t>
      </w:r>
      <w:r w:rsidRPr="00437989">
        <w:rPr>
          <w:rStyle w:val="FootnoteReference"/>
          <w:rFonts w:ascii="Arial" w:hAnsi="Arial" w:cs="Arial"/>
          <w:color w:val="7B7B7B" w:themeColor="accent3" w:themeShade="BF"/>
          <w:sz w:val="22"/>
          <w:szCs w:val="22"/>
          <w:lang w:val="en-GB"/>
        </w:rPr>
        <w:footnoteReference w:id="62"/>
      </w:r>
      <w:r w:rsidRPr="00437989">
        <w:rPr>
          <w:rFonts w:ascii="Arial" w:hAnsi="Arial" w:cs="Arial"/>
          <w:color w:val="7B7B7B" w:themeColor="accent3" w:themeShade="BF"/>
          <w:sz w:val="22"/>
          <w:szCs w:val="22"/>
          <w:lang w:val="en-GB"/>
        </w:rPr>
        <w:t>;</w:t>
      </w:r>
    </w:p>
    <w:p w14:paraId="5C48D0C9"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Staying execution against a debtor’s assets to the extent, they have not been automatically stayed under Article 20 of the Model law</w:t>
      </w:r>
      <w:r w:rsidRPr="00437989">
        <w:rPr>
          <w:rStyle w:val="FootnoteReference"/>
          <w:rFonts w:ascii="Arial" w:hAnsi="Arial" w:cs="Arial"/>
          <w:color w:val="7B7B7B" w:themeColor="accent3" w:themeShade="BF"/>
          <w:sz w:val="22"/>
          <w:szCs w:val="22"/>
          <w:lang w:val="en-GB"/>
        </w:rPr>
        <w:footnoteReference w:id="63"/>
      </w:r>
      <w:r w:rsidRPr="00437989">
        <w:rPr>
          <w:rFonts w:ascii="Arial" w:hAnsi="Arial" w:cs="Arial"/>
          <w:color w:val="7B7B7B" w:themeColor="accent3" w:themeShade="BF"/>
          <w:sz w:val="22"/>
          <w:szCs w:val="22"/>
          <w:lang w:val="en-GB"/>
        </w:rPr>
        <w:t>;</w:t>
      </w:r>
    </w:p>
    <w:p w14:paraId="707E9A2A"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Suspending the right to transfer encumber or otherwise dispose of assets to the extent that they have not been suspended under Article 20 of the Model law</w:t>
      </w:r>
      <w:r w:rsidRPr="00437989">
        <w:rPr>
          <w:rStyle w:val="FootnoteReference"/>
          <w:rFonts w:ascii="Arial" w:hAnsi="Arial" w:cs="Arial"/>
          <w:color w:val="7B7B7B" w:themeColor="accent3" w:themeShade="BF"/>
          <w:sz w:val="22"/>
          <w:szCs w:val="22"/>
          <w:lang w:val="en-GB"/>
        </w:rPr>
        <w:footnoteReference w:id="64"/>
      </w:r>
      <w:r w:rsidRPr="00437989">
        <w:rPr>
          <w:rFonts w:ascii="Arial" w:hAnsi="Arial" w:cs="Arial"/>
          <w:color w:val="7B7B7B" w:themeColor="accent3" w:themeShade="BF"/>
          <w:sz w:val="22"/>
          <w:szCs w:val="22"/>
          <w:lang w:val="en-GB"/>
        </w:rPr>
        <w:t>;</w:t>
      </w:r>
    </w:p>
    <w:p w14:paraId="43ED33B8"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Providing for the examination of witnesses, the taking of evidence, or the delivery of information concerning a debtor’s rights, assets, affairs, obligations, or liabilities</w:t>
      </w:r>
      <w:r w:rsidRPr="00437989">
        <w:rPr>
          <w:rStyle w:val="FootnoteReference"/>
          <w:rFonts w:ascii="Arial" w:hAnsi="Arial" w:cs="Arial"/>
          <w:color w:val="7B7B7B" w:themeColor="accent3" w:themeShade="BF"/>
          <w:sz w:val="22"/>
          <w:szCs w:val="22"/>
          <w:lang w:val="en-GB"/>
        </w:rPr>
        <w:footnoteReference w:id="65"/>
      </w:r>
      <w:r w:rsidRPr="00437989">
        <w:rPr>
          <w:rFonts w:ascii="Arial" w:hAnsi="Arial" w:cs="Arial"/>
          <w:color w:val="7B7B7B" w:themeColor="accent3" w:themeShade="BF"/>
          <w:sz w:val="22"/>
          <w:szCs w:val="22"/>
          <w:lang w:val="en-GB"/>
        </w:rPr>
        <w:t>;</w:t>
      </w:r>
    </w:p>
    <w:p w14:paraId="7DE5FA6C"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Entrusting the administration or realization of all or part of the debtor’s assets located in the enacting state to the foreign representative or other person designated by the court</w:t>
      </w:r>
      <w:r w:rsidRPr="00437989">
        <w:rPr>
          <w:rStyle w:val="FootnoteReference"/>
          <w:rFonts w:ascii="Arial" w:hAnsi="Arial" w:cs="Arial"/>
          <w:color w:val="7B7B7B" w:themeColor="accent3" w:themeShade="BF"/>
          <w:sz w:val="22"/>
          <w:szCs w:val="22"/>
          <w:lang w:val="en-GB"/>
        </w:rPr>
        <w:footnoteReference w:id="66"/>
      </w:r>
      <w:r w:rsidRPr="00437989">
        <w:rPr>
          <w:rFonts w:ascii="Arial" w:hAnsi="Arial" w:cs="Arial"/>
          <w:color w:val="7B7B7B" w:themeColor="accent3" w:themeShade="BF"/>
          <w:sz w:val="22"/>
          <w:szCs w:val="22"/>
          <w:lang w:val="en-GB"/>
        </w:rPr>
        <w:t>;</w:t>
      </w:r>
    </w:p>
    <w:p w14:paraId="7AC5069A"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Extending provisional relief granted under Article 19 of the Model law</w:t>
      </w:r>
      <w:r w:rsidRPr="00437989">
        <w:rPr>
          <w:rStyle w:val="FootnoteReference"/>
          <w:rFonts w:ascii="Arial" w:hAnsi="Arial" w:cs="Arial"/>
          <w:color w:val="7B7B7B" w:themeColor="accent3" w:themeShade="BF"/>
          <w:sz w:val="22"/>
          <w:szCs w:val="22"/>
          <w:lang w:val="en-GB"/>
        </w:rPr>
        <w:footnoteReference w:id="67"/>
      </w:r>
      <w:r w:rsidRPr="00437989">
        <w:rPr>
          <w:rFonts w:ascii="Arial" w:hAnsi="Arial" w:cs="Arial"/>
          <w:color w:val="7B7B7B" w:themeColor="accent3" w:themeShade="BF"/>
          <w:sz w:val="22"/>
          <w:szCs w:val="22"/>
          <w:lang w:val="en-GB"/>
        </w:rPr>
        <w:t>; or</w:t>
      </w:r>
    </w:p>
    <w:p w14:paraId="739B4E6F" w14:textId="77777777" w:rsidR="00280D78" w:rsidRPr="00437989" w:rsidRDefault="00280D78" w:rsidP="00280D78">
      <w:pPr>
        <w:pStyle w:val="ListParagraph"/>
        <w:numPr>
          <w:ilvl w:val="0"/>
          <w:numId w:val="41"/>
        </w:num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Granting any additional relief that may be available to a liquidator under the domestic laws of the enacting state</w:t>
      </w:r>
      <w:r w:rsidRPr="00437989">
        <w:rPr>
          <w:rStyle w:val="FootnoteReference"/>
          <w:rFonts w:ascii="Arial" w:hAnsi="Arial" w:cs="Arial"/>
          <w:color w:val="7B7B7B" w:themeColor="accent3" w:themeShade="BF"/>
          <w:sz w:val="22"/>
          <w:szCs w:val="22"/>
          <w:lang w:val="en-GB"/>
        </w:rPr>
        <w:footnoteReference w:id="68"/>
      </w:r>
      <w:r w:rsidRPr="00437989">
        <w:rPr>
          <w:rFonts w:ascii="Arial" w:hAnsi="Arial" w:cs="Arial"/>
          <w:color w:val="7B7B7B" w:themeColor="accent3" w:themeShade="BF"/>
          <w:sz w:val="22"/>
          <w:szCs w:val="22"/>
          <w:lang w:val="en-GB"/>
        </w:rPr>
        <w:t>.</w:t>
      </w:r>
    </w:p>
    <w:p w14:paraId="281CE858" w14:textId="77777777" w:rsidR="00280D78" w:rsidRPr="00437989" w:rsidRDefault="00280D78" w:rsidP="00280D78">
      <w:pPr>
        <w:jc w:val="both"/>
        <w:rPr>
          <w:rFonts w:ascii="Arial" w:hAnsi="Arial" w:cs="Arial"/>
          <w:color w:val="7B7B7B" w:themeColor="accent3" w:themeShade="BF"/>
          <w:sz w:val="22"/>
          <w:szCs w:val="22"/>
          <w:lang w:val="en-GB"/>
        </w:rPr>
      </w:pPr>
    </w:p>
    <w:p w14:paraId="780A40B9"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If provisional relief is granted to a foreign representative of foreign non-main proceedings, the court must be satisfied that the provisional relief relates to assets under the law of the enacting state should be administrated in the foreign non-main proceedings</w:t>
      </w:r>
      <w:r w:rsidRPr="00437989">
        <w:rPr>
          <w:rStyle w:val="FootnoteReference"/>
          <w:rFonts w:ascii="Arial" w:hAnsi="Arial" w:cs="Arial"/>
          <w:color w:val="7B7B7B" w:themeColor="accent3" w:themeShade="BF"/>
          <w:sz w:val="22"/>
          <w:szCs w:val="22"/>
          <w:lang w:val="en-GB"/>
        </w:rPr>
        <w:footnoteReference w:id="69"/>
      </w:r>
      <w:r w:rsidRPr="00437989">
        <w:rPr>
          <w:rFonts w:ascii="Arial" w:hAnsi="Arial" w:cs="Arial"/>
          <w:color w:val="7B7B7B" w:themeColor="accent3" w:themeShade="BF"/>
          <w:sz w:val="22"/>
          <w:szCs w:val="22"/>
          <w:lang w:val="en-GB"/>
        </w:rPr>
        <w:t>. The purpose of Article 21(3) of the Model law is to ensure that the provisional relief granted by the court does not interfere with the administration of another insolvency proceeding</w:t>
      </w:r>
      <w:r w:rsidRPr="00437989">
        <w:rPr>
          <w:rStyle w:val="FootnoteReference"/>
          <w:rFonts w:ascii="Arial" w:hAnsi="Arial" w:cs="Arial"/>
          <w:color w:val="7B7B7B" w:themeColor="accent3" w:themeShade="BF"/>
          <w:sz w:val="22"/>
          <w:szCs w:val="22"/>
          <w:lang w:val="en-GB"/>
        </w:rPr>
        <w:footnoteReference w:id="70"/>
      </w:r>
      <w:r w:rsidRPr="00437989">
        <w:rPr>
          <w:rFonts w:ascii="Arial" w:hAnsi="Arial" w:cs="Arial"/>
          <w:color w:val="7B7B7B" w:themeColor="accent3" w:themeShade="BF"/>
          <w:sz w:val="22"/>
          <w:szCs w:val="22"/>
          <w:lang w:val="en-GB"/>
        </w:rPr>
        <w:t>.</w:t>
      </w:r>
    </w:p>
    <w:p w14:paraId="3C61E15C" w14:textId="77777777" w:rsidR="00280D78" w:rsidRPr="00437989" w:rsidRDefault="00280D78" w:rsidP="00280D78">
      <w:pPr>
        <w:jc w:val="both"/>
        <w:rPr>
          <w:rFonts w:ascii="Arial" w:hAnsi="Arial" w:cs="Arial"/>
          <w:color w:val="7B7B7B" w:themeColor="accent3" w:themeShade="BF"/>
          <w:sz w:val="22"/>
          <w:szCs w:val="22"/>
          <w:lang w:val="en-GB"/>
        </w:rPr>
      </w:pPr>
    </w:p>
    <w:p w14:paraId="120F4C7C"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 xml:space="preserve">While courts are given broad discretion to grant relief under Article 21 of the Model law, there are limits to the court’s discretion. In the case of </w:t>
      </w:r>
      <w:r w:rsidRPr="00437989">
        <w:rPr>
          <w:rFonts w:ascii="Arial" w:hAnsi="Arial" w:cs="Arial"/>
          <w:i/>
          <w:color w:val="7B7B7B" w:themeColor="accent3" w:themeShade="BF"/>
          <w:sz w:val="22"/>
          <w:szCs w:val="22"/>
          <w:lang w:val="en-GB"/>
        </w:rPr>
        <w:t>Pan Ocean Co Ltd</w:t>
      </w:r>
      <w:r w:rsidRPr="00437989">
        <w:rPr>
          <w:rStyle w:val="FootnoteReference"/>
          <w:rFonts w:ascii="Arial" w:hAnsi="Arial" w:cs="Arial"/>
          <w:i/>
          <w:color w:val="7B7B7B" w:themeColor="accent3" w:themeShade="BF"/>
          <w:sz w:val="22"/>
          <w:szCs w:val="22"/>
          <w:lang w:val="en-GB"/>
        </w:rPr>
        <w:footnoteReference w:id="71"/>
      </w:r>
      <w:r w:rsidRPr="00437989">
        <w:rPr>
          <w:rFonts w:ascii="Arial" w:hAnsi="Arial" w:cs="Arial"/>
          <w:color w:val="7B7B7B" w:themeColor="accent3" w:themeShade="BF"/>
          <w:sz w:val="22"/>
          <w:szCs w:val="22"/>
          <w:lang w:val="en-GB"/>
        </w:rPr>
        <w:t xml:space="preserve">, the court found that this broad discretion does not allow the court to give relief that is not available to the court in the enacting state under the enacting state’s domestic insolvency law. Further, the Supreme Court </w:t>
      </w:r>
      <w:r w:rsidRPr="00437989">
        <w:rPr>
          <w:rFonts w:ascii="Arial" w:hAnsi="Arial" w:cs="Arial"/>
          <w:color w:val="7B7B7B" w:themeColor="accent3" w:themeShade="BF"/>
          <w:sz w:val="22"/>
          <w:szCs w:val="22"/>
          <w:lang w:val="en-GB"/>
        </w:rPr>
        <w:lastRenderedPageBreak/>
        <w:t xml:space="preserve">in </w:t>
      </w:r>
      <w:r w:rsidRPr="00437989">
        <w:rPr>
          <w:rFonts w:ascii="Arial" w:hAnsi="Arial" w:cs="Arial"/>
          <w:i/>
          <w:color w:val="7B7B7B" w:themeColor="accent3" w:themeShade="BF"/>
          <w:sz w:val="22"/>
          <w:szCs w:val="22"/>
          <w:lang w:val="en-GB"/>
        </w:rPr>
        <w:t>Rubin v Euro Finance SA</w:t>
      </w:r>
      <w:r w:rsidRPr="00437989">
        <w:rPr>
          <w:rStyle w:val="FootnoteReference"/>
          <w:rFonts w:ascii="Arial" w:hAnsi="Arial" w:cs="Arial"/>
          <w:i/>
          <w:color w:val="7B7B7B" w:themeColor="accent3" w:themeShade="BF"/>
          <w:sz w:val="22"/>
          <w:szCs w:val="22"/>
          <w:lang w:val="en-GB"/>
        </w:rPr>
        <w:footnoteReference w:id="72"/>
      </w:r>
      <w:r w:rsidRPr="00437989">
        <w:rPr>
          <w:rFonts w:ascii="Arial" w:hAnsi="Arial" w:cs="Arial"/>
          <w:i/>
          <w:color w:val="7B7B7B" w:themeColor="accent3" w:themeShade="BF"/>
          <w:sz w:val="22"/>
          <w:szCs w:val="22"/>
          <w:lang w:val="en-GB"/>
        </w:rPr>
        <w:t xml:space="preserve"> </w:t>
      </w:r>
      <w:r w:rsidRPr="00437989">
        <w:rPr>
          <w:rFonts w:ascii="Arial" w:hAnsi="Arial" w:cs="Arial"/>
          <w:color w:val="7B7B7B" w:themeColor="accent3" w:themeShade="BF"/>
          <w:sz w:val="22"/>
          <w:szCs w:val="22"/>
          <w:lang w:val="en-GB"/>
        </w:rPr>
        <w:t>held that the discretionary relief available under the Cross-Border Insolvency Regulations (which implements the Model Law in England</w:t>
      </w:r>
      <w:r>
        <w:rPr>
          <w:rFonts w:ascii="Arial" w:hAnsi="Arial" w:cs="Arial"/>
          <w:color w:val="7B7B7B" w:themeColor="accent3" w:themeShade="BF"/>
          <w:sz w:val="22"/>
          <w:szCs w:val="22"/>
          <w:lang w:val="en-GB"/>
        </w:rPr>
        <w:t>)</w:t>
      </w:r>
      <w:r w:rsidRPr="00437989">
        <w:rPr>
          <w:rFonts w:ascii="Arial" w:hAnsi="Arial" w:cs="Arial"/>
          <w:color w:val="7B7B7B" w:themeColor="accent3" w:themeShade="BF"/>
          <w:sz w:val="22"/>
          <w:szCs w:val="22"/>
          <w:lang w:val="en-GB"/>
        </w:rPr>
        <w:t xml:space="preserve"> is limited to procedural, not substantive, relief. This is because the purpose of the Model Law is to provide a procedural framework </w:t>
      </w:r>
      <w:r>
        <w:rPr>
          <w:rFonts w:ascii="Arial" w:hAnsi="Arial" w:cs="Arial"/>
          <w:color w:val="7B7B7B" w:themeColor="accent3" w:themeShade="BF"/>
          <w:sz w:val="22"/>
          <w:szCs w:val="22"/>
          <w:lang w:val="en-GB"/>
        </w:rPr>
        <w:t xml:space="preserve">and </w:t>
      </w:r>
      <w:r w:rsidRPr="00437989">
        <w:rPr>
          <w:rFonts w:ascii="Arial" w:hAnsi="Arial" w:cs="Arial"/>
          <w:color w:val="7B7B7B" w:themeColor="accent3" w:themeShade="BF"/>
          <w:sz w:val="22"/>
          <w:szCs w:val="22"/>
          <w:lang w:val="en-GB"/>
        </w:rPr>
        <w:t>does not seek to create a uniform substantive insolvency law</w:t>
      </w:r>
      <w:r w:rsidRPr="00437989">
        <w:rPr>
          <w:rStyle w:val="FootnoteReference"/>
          <w:rFonts w:ascii="Arial" w:hAnsi="Arial" w:cs="Arial"/>
          <w:color w:val="7B7B7B" w:themeColor="accent3" w:themeShade="BF"/>
          <w:sz w:val="22"/>
          <w:szCs w:val="22"/>
          <w:lang w:val="en-GB"/>
        </w:rPr>
        <w:footnoteReference w:id="73"/>
      </w:r>
      <w:r w:rsidRPr="00437989">
        <w:rPr>
          <w:rFonts w:ascii="Arial" w:hAnsi="Arial" w:cs="Arial"/>
          <w:color w:val="7B7B7B" w:themeColor="accent3" w:themeShade="BF"/>
          <w:sz w:val="22"/>
          <w:szCs w:val="22"/>
          <w:lang w:val="en-GB"/>
        </w:rPr>
        <w:t>.</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117D8CE7"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A worldwide freezing order (</w:t>
      </w:r>
      <w:r w:rsidRPr="00437989">
        <w:rPr>
          <w:rFonts w:ascii="Arial" w:hAnsi="Arial" w:cs="Arial"/>
          <w:b/>
          <w:color w:val="7B7B7B" w:themeColor="accent3" w:themeShade="BF"/>
          <w:sz w:val="22"/>
          <w:szCs w:val="22"/>
          <w:lang w:val="en-GB"/>
        </w:rPr>
        <w:t>freezer</w:t>
      </w:r>
      <w:r w:rsidRPr="00437989">
        <w:rPr>
          <w:rFonts w:ascii="Arial" w:hAnsi="Arial" w:cs="Arial"/>
          <w:color w:val="7B7B7B" w:themeColor="accent3" w:themeShade="BF"/>
          <w:sz w:val="22"/>
          <w:szCs w:val="22"/>
          <w:lang w:val="en-GB"/>
        </w:rPr>
        <w:t xml:space="preserve">) is an injunction to restrain an individual from disposing of or dissipating its assets until the court determines the underlying claims between the parties. The purpose of a freezer is to maintain the status quo, so if the applicant is successful at trial, the applicant is able to enforce a judgment against a respondent's assets. </w:t>
      </w:r>
    </w:p>
    <w:p w14:paraId="1893418D" w14:textId="77777777" w:rsidR="00280D78" w:rsidRPr="00437989" w:rsidRDefault="00280D78" w:rsidP="00280D78">
      <w:pPr>
        <w:jc w:val="both"/>
        <w:rPr>
          <w:rFonts w:ascii="Arial" w:hAnsi="Arial" w:cs="Arial"/>
          <w:color w:val="7B7B7B" w:themeColor="accent3" w:themeShade="BF"/>
          <w:sz w:val="22"/>
          <w:szCs w:val="22"/>
          <w:lang w:val="en-GB"/>
        </w:rPr>
      </w:pPr>
    </w:p>
    <w:p w14:paraId="64468A93" w14:textId="77777777" w:rsidR="00280D78" w:rsidRPr="00437989"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Upon recognition of foreign proceedings, the court in the enacting state has the discretion to grant post-recognition relief under Article 21 of the Model Law. This relief may be granted where the court is satisfied that it is necessary to protect a debtor's assets or the interests of creditors</w:t>
      </w:r>
      <w:r w:rsidRPr="00437989">
        <w:rPr>
          <w:rStyle w:val="FootnoteReference"/>
          <w:rFonts w:ascii="Arial" w:hAnsi="Arial" w:cs="Arial"/>
          <w:color w:val="7B7B7B" w:themeColor="accent3" w:themeShade="BF"/>
          <w:sz w:val="22"/>
          <w:szCs w:val="22"/>
          <w:lang w:val="en-GB"/>
        </w:rPr>
        <w:footnoteReference w:id="74"/>
      </w:r>
      <w:r w:rsidRPr="00437989">
        <w:rPr>
          <w:rFonts w:ascii="Arial" w:hAnsi="Arial" w:cs="Arial"/>
          <w:color w:val="7B7B7B" w:themeColor="accent3" w:themeShade="BF"/>
          <w:sz w:val="22"/>
          <w:szCs w:val="22"/>
          <w:lang w:val="en-GB"/>
        </w:rPr>
        <w:t>. Pursuant to Article 21, this relief includes:</w:t>
      </w:r>
    </w:p>
    <w:p w14:paraId="013F06C4" w14:textId="77777777" w:rsidR="00280D78" w:rsidRPr="00437989" w:rsidRDefault="00280D78" w:rsidP="00280D78">
      <w:pPr>
        <w:jc w:val="both"/>
        <w:rPr>
          <w:rFonts w:ascii="Arial" w:hAnsi="Arial" w:cs="Arial"/>
          <w:color w:val="7B7B7B" w:themeColor="accent3" w:themeShade="BF"/>
          <w:sz w:val="22"/>
          <w:szCs w:val="22"/>
          <w:lang w:val="en-GB"/>
        </w:rPr>
      </w:pPr>
    </w:p>
    <w:p w14:paraId="69F34D1D" w14:textId="77777777" w:rsidR="00280D78" w:rsidRPr="00437989" w:rsidRDefault="00280D78" w:rsidP="00280D78">
      <w:pPr>
        <w:ind w:left="720"/>
        <w:jc w:val="both"/>
        <w:rPr>
          <w:rFonts w:ascii="Arial" w:hAnsi="Arial" w:cs="Arial"/>
          <w:i/>
          <w:color w:val="7B7B7B" w:themeColor="accent3" w:themeShade="BF"/>
          <w:sz w:val="22"/>
          <w:szCs w:val="22"/>
          <w:lang w:val="en-GB"/>
        </w:rPr>
      </w:pPr>
      <w:r w:rsidRPr="00437989">
        <w:rPr>
          <w:rFonts w:ascii="Arial" w:hAnsi="Arial" w:cs="Arial"/>
          <w:i/>
          <w:color w:val="7B7B7B" w:themeColor="accent3" w:themeShade="BF"/>
          <w:sz w:val="22"/>
          <w:szCs w:val="22"/>
          <w:lang w:val="en-GB"/>
        </w:rPr>
        <w:t>"(a) Staying the commencement or continuation of individual actions or individual proceedings concerning the debtor's assets, rights, obligations, or liabilities, to the extent they have not been stayed under paragraph 1(a) of Article 20.</w:t>
      </w:r>
    </w:p>
    <w:p w14:paraId="35E24F6B" w14:textId="77777777" w:rsidR="00280D78" w:rsidRPr="00437989" w:rsidRDefault="00280D78" w:rsidP="00280D78">
      <w:pPr>
        <w:ind w:left="720"/>
        <w:jc w:val="both"/>
        <w:rPr>
          <w:rFonts w:ascii="Arial" w:hAnsi="Arial" w:cs="Arial"/>
          <w:i/>
          <w:color w:val="7B7B7B" w:themeColor="accent3" w:themeShade="BF"/>
          <w:sz w:val="22"/>
          <w:szCs w:val="22"/>
          <w:lang w:val="en-GB"/>
        </w:rPr>
      </w:pPr>
    </w:p>
    <w:p w14:paraId="460D80CE" w14:textId="77777777" w:rsidR="00280D78" w:rsidRPr="00437989" w:rsidRDefault="00280D78" w:rsidP="00280D78">
      <w:pPr>
        <w:ind w:left="720"/>
        <w:jc w:val="both"/>
        <w:rPr>
          <w:rFonts w:ascii="Arial" w:hAnsi="Arial" w:cs="Arial"/>
          <w:i/>
          <w:color w:val="7B7B7B" w:themeColor="accent3" w:themeShade="BF"/>
          <w:sz w:val="22"/>
          <w:szCs w:val="22"/>
          <w:lang w:val="en-GB"/>
        </w:rPr>
      </w:pPr>
      <w:r w:rsidRPr="00437989">
        <w:rPr>
          <w:rFonts w:ascii="Arial" w:hAnsi="Arial" w:cs="Arial"/>
          <w:i/>
          <w:color w:val="7B7B7B" w:themeColor="accent3" w:themeShade="BF"/>
          <w:sz w:val="22"/>
          <w:szCs w:val="22"/>
          <w:lang w:val="en-GB"/>
        </w:rPr>
        <w:t>(b) Staying execution against the debtor's assets to the extent it has not been stayed under paragraph 1(b) of Article 20.</w:t>
      </w:r>
    </w:p>
    <w:p w14:paraId="0F133CE0" w14:textId="77777777" w:rsidR="00280D78" w:rsidRPr="00437989" w:rsidRDefault="00280D78" w:rsidP="00280D78">
      <w:pPr>
        <w:ind w:left="720"/>
        <w:jc w:val="both"/>
        <w:rPr>
          <w:rFonts w:ascii="Arial" w:hAnsi="Arial" w:cs="Arial"/>
          <w:color w:val="7B7B7B" w:themeColor="accent3" w:themeShade="BF"/>
          <w:sz w:val="22"/>
          <w:szCs w:val="22"/>
          <w:lang w:val="en-GB"/>
        </w:rPr>
      </w:pPr>
    </w:p>
    <w:p w14:paraId="70130F46" w14:textId="77777777" w:rsidR="00280D78" w:rsidRPr="00437989" w:rsidRDefault="00280D78" w:rsidP="00280D78">
      <w:pPr>
        <w:ind w:left="720"/>
        <w:jc w:val="both"/>
        <w:rPr>
          <w:rFonts w:ascii="Arial" w:hAnsi="Arial" w:cs="Arial"/>
          <w:i/>
          <w:color w:val="7B7B7B" w:themeColor="accent3" w:themeShade="BF"/>
          <w:sz w:val="22"/>
          <w:szCs w:val="22"/>
          <w:lang w:val="en-GB"/>
        </w:rPr>
      </w:pPr>
      <w:r w:rsidRPr="00437989">
        <w:rPr>
          <w:rFonts w:ascii="Arial" w:hAnsi="Arial" w:cs="Arial"/>
          <w:i/>
          <w:color w:val="7B7B7B" w:themeColor="accent3" w:themeShade="BF"/>
          <w:sz w:val="22"/>
          <w:szCs w:val="22"/>
          <w:lang w:val="en-GB"/>
        </w:rPr>
        <w:t>(c) Suspending the right to transfer, encumber or otherwise dispose of any assets of the debtor to the extent that this right has not been suspended under paragraph 1(c) of Article 20."</w:t>
      </w:r>
    </w:p>
    <w:p w14:paraId="263DEF96" w14:textId="77777777" w:rsidR="00280D78" w:rsidRPr="00437989" w:rsidRDefault="00280D78" w:rsidP="00280D78">
      <w:pPr>
        <w:ind w:left="720"/>
        <w:jc w:val="both"/>
        <w:rPr>
          <w:rFonts w:ascii="Arial" w:hAnsi="Arial" w:cs="Arial"/>
          <w:color w:val="7B7B7B" w:themeColor="accent3" w:themeShade="BF"/>
          <w:sz w:val="22"/>
          <w:szCs w:val="22"/>
          <w:lang w:val="en-GB"/>
        </w:rPr>
      </w:pPr>
    </w:p>
    <w:p w14:paraId="311D0A69" w14:textId="77777777" w:rsidR="00280D78" w:rsidRPr="00177508" w:rsidRDefault="00280D78" w:rsidP="00280D78">
      <w:pPr>
        <w:jc w:val="both"/>
        <w:rPr>
          <w:rFonts w:ascii="Arial" w:hAnsi="Arial" w:cs="Arial"/>
          <w:color w:val="7B7B7B" w:themeColor="accent3" w:themeShade="BF"/>
          <w:sz w:val="22"/>
          <w:szCs w:val="22"/>
          <w:lang w:val="en-GB"/>
        </w:rPr>
      </w:pPr>
      <w:r w:rsidRPr="00437989">
        <w:rPr>
          <w:rFonts w:ascii="Arial" w:hAnsi="Arial" w:cs="Arial"/>
          <w:color w:val="7B7B7B" w:themeColor="accent3" w:themeShade="BF"/>
          <w:sz w:val="22"/>
          <w:szCs w:val="22"/>
          <w:lang w:val="en-GB"/>
        </w:rPr>
        <w:t xml:space="preserve">If a court in the enacting state were to grant post-recognition relief to the foreign representative under Article 21(b), the effect of the 'moratorium" against the debtor's assets freezes those assets to protect those assets. As the discretionary relief available under Article 21 stays any actions against the debtor's assets, it is </w:t>
      </w:r>
      <w:r>
        <w:rPr>
          <w:rFonts w:ascii="Arial" w:hAnsi="Arial" w:cs="Arial"/>
          <w:color w:val="7B7B7B" w:themeColor="accent3" w:themeShade="BF"/>
          <w:sz w:val="22"/>
          <w:szCs w:val="22"/>
          <w:lang w:val="en-GB"/>
        </w:rPr>
        <w:t xml:space="preserve">therefore </w:t>
      </w:r>
      <w:r w:rsidRPr="00437989">
        <w:rPr>
          <w:rFonts w:ascii="Arial" w:hAnsi="Arial" w:cs="Arial"/>
          <w:color w:val="7B7B7B" w:themeColor="accent3" w:themeShade="BF"/>
          <w:sz w:val="22"/>
          <w:szCs w:val="22"/>
          <w:lang w:val="en-GB"/>
        </w:rPr>
        <w:t>unlikely that the freezing order would continue post-recognition. This is because there is no longer a risk that actions would be commenced against or that the debtor may transfer or otherwise dispose of its assets</w:t>
      </w:r>
      <w:r w:rsidRPr="00437989">
        <w:rPr>
          <w:rStyle w:val="FootnoteReference"/>
          <w:rFonts w:ascii="Arial" w:hAnsi="Arial" w:cs="Arial"/>
          <w:color w:val="7B7B7B" w:themeColor="accent3" w:themeShade="BF"/>
          <w:sz w:val="22"/>
          <w:szCs w:val="22"/>
          <w:lang w:val="en-GB"/>
        </w:rPr>
        <w:footnoteReference w:id="75"/>
      </w:r>
      <w:r w:rsidRPr="00437989">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w:t>
      </w:r>
      <w:r w:rsidRPr="009B5832">
        <w:rPr>
          <w:rFonts w:ascii="Arial" w:hAnsi="Arial" w:cs="Arial"/>
          <w:color w:val="000000"/>
          <w:sz w:val="22"/>
          <w:szCs w:val="22"/>
          <w:lang w:val="en-GB" w:eastAsia="en-GB"/>
        </w:rPr>
        <w:lastRenderedPageBreak/>
        <w:t>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w:t>
      </w:r>
      <w:proofErr w:type="gramStart"/>
      <w:r w:rsidRPr="009B5832">
        <w:rPr>
          <w:rFonts w:ascii="Arial" w:hAnsi="Arial" w:cs="Arial"/>
          <w:color w:val="000000"/>
          <w:sz w:val="22"/>
          <w:szCs w:val="22"/>
          <w:lang w:val="en-GB" w:eastAsia="en-GB"/>
        </w:rPr>
        <w:t>1)(</w:t>
      </w:r>
      <w:proofErr w:type="gramEnd"/>
      <w:r w:rsidRPr="009B5832">
        <w:rPr>
          <w:rFonts w:ascii="Arial" w:hAnsi="Arial" w:cs="Arial"/>
          <w:color w:val="000000"/>
          <w:sz w:val="22"/>
          <w:szCs w:val="22"/>
          <w:lang w:val="en-GB" w:eastAsia="en-GB"/>
        </w:rPr>
        <w:t xml:space="preserve">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employee of the Fund, who on behalf of the Fund and within </w:t>
      </w:r>
      <w:r w:rsidRPr="009B5832">
        <w:rPr>
          <w:rFonts w:ascii="Arial" w:hAnsi="Arial" w:cs="Arial"/>
          <w:i/>
          <w:iCs/>
          <w:color w:val="000000"/>
          <w:sz w:val="22"/>
          <w:szCs w:val="22"/>
          <w:lang w:val="en-GB" w:eastAsia="en-GB"/>
        </w:rPr>
        <w:lastRenderedPageBreak/>
        <w:t>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9B5832">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73638B76"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 considering whether the Bank’s liquidation constitutes a ‘foreign proceeding’ within the meaning of Article 2(a) of the UNCITRAL Model Law on Cross-Border Insolvency (</w:t>
      </w:r>
      <w:r>
        <w:rPr>
          <w:rFonts w:ascii="Arial" w:hAnsi="Arial" w:cs="Arial"/>
          <w:b/>
          <w:color w:val="7B7B7B" w:themeColor="accent3" w:themeShade="BF"/>
          <w:sz w:val="22"/>
          <w:szCs w:val="22"/>
          <w:lang w:val="en-GB"/>
        </w:rPr>
        <w:t>Model Law</w:t>
      </w:r>
      <w:r>
        <w:rPr>
          <w:rFonts w:ascii="Arial" w:hAnsi="Arial" w:cs="Arial"/>
          <w:color w:val="7B7B7B" w:themeColor="accent3" w:themeShade="BF"/>
          <w:sz w:val="22"/>
          <w:szCs w:val="22"/>
          <w:lang w:val="en-GB"/>
        </w:rPr>
        <w:t>), it is important to first set out the relevant legal principles.</w:t>
      </w:r>
    </w:p>
    <w:p w14:paraId="4CEA2EAB" w14:textId="77777777" w:rsidR="00280D78" w:rsidRDefault="00280D78" w:rsidP="00280D78">
      <w:pPr>
        <w:jc w:val="both"/>
        <w:rPr>
          <w:rFonts w:ascii="Arial" w:hAnsi="Arial" w:cs="Arial"/>
          <w:color w:val="7B7B7B" w:themeColor="accent3" w:themeShade="BF"/>
          <w:sz w:val="22"/>
          <w:szCs w:val="22"/>
          <w:lang w:val="en-GB"/>
        </w:rPr>
      </w:pPr>
    </w:p>
    <w:p w14:paraId="4F0D3940"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Legal Principles – UNCITRAL Model Law on Cross Border Insolvency</w:t>
      </w:r>
    </w:p>
    <w:p w14:paraId="495A3201" w14:textId="77777777" w:rsidR="00280D78" w:rsidRDefault="00280D78" w:rsidP="00280D78">
      <w:pPr>
        <w:jc w:val="both"/>
        <w:rPr>
          <w:rFonts w:ascii="Arial" w:hAnsi="Arial" w:cs="Arial"/>
          <w:color w:val="7B7B7B" w:themeColor="accent3" w:themeShade="BF"/>
          <w:sz w:val="22"/>
          <w:szCs w:val="22"/>
          <w:lang w:val="en-GB"/>
        </w:rPr>
      </w:pPr>
    </w:p>
    <w:p w14:paraId="243D1D77"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15 of the Model Law provides:</w:t>
      </w:r>
    </w:p>
    <w:p w14:paraId="57A0348C" w14:textId="77777777" w:rsidR="00280D78" w:rsidRDefault="00280D78" w:rsidP="00280D78">
      <w:pPr>
        <w:jc w:val="both"/>
        <w:rPr>
          <w:rFonts w:ascii="Arial" w:hAnsi="Arial" w:cs="Arial"/>
          <w:color w:val="7B7B7B" w:themeColor="accent3" w:themeShade="BF"/>
          <w:sz w:val="22"/>
          <w:szCs w:val="22"/>
          <w:lang w:val="en-GB"/>
        </w:rPr>
      </w:pPr>
    </w:p>
    <w:p w14:paraId="380CC24A" w14:textId="77777777" w:rsidR="00280D78" w:rsidRDefault="00280D78" w:rsidP="00280D7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may apply to the Court for recognition of the foreign proceeding in which the foreign representative has been appointed.</w:t>
      </w:r>
    </w:p>
    <w:p w14:paraId="5C866C25" w14:textId="77777777" w:rsidR="00280D78" w:rsidRPr="00890C08" w:rsidRDefault="00280D78" w:rsidP="00280D78">
      <w:pPr>
        <w:jc w:val="both"/>
        <w:rPr>
          <w:rFonts w:ascii="Arial" w:hAnsi="Arial" w:cs="Arial"/>
          <w:color w:val="7B7B7B" w:themeColor="accent3" w:themeShade="BF"/>
          <w:sz w:val="22"/>
          <w:szCs w:val="22"/>
          <w:lang w:val="en-GB"/>
        </w:rPr>
      </w:pPr>
    </w:p>
    <w:p w14:paraId="2BEFAA6C" w14:textId="77777777" w:rsidR="00280D78" w:rsidRDefault="00280D78" w:rsidP="00280D7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application for recognition shall be accompanied by:</w:t>
      </w:r>
    </w:p>
    <w:p w14:paraId="2469C90D" w14:textId="77777777" w:rsidR="00280D78" w:rsidRPr="00890C08" w:rsidRDefault="00280D78" w:rsidP="00280D78">
      <w:pPr>
        <w:pStyle w:val="ListParagraph"/>
        <w:rPr>
          <w:rFonts w:ascii="Arial" w:hAnsi="Arial" w:cs="Arial"/>
          <w:color w:val="7B7B7B" w:themeColor="accent3" w:themeShade="BF"/>
          <w:sz w:val="22"/>
          <w:szCs w:val="22"/>
          <w:lang w:val="en-GB"/>
        </w:rPr>
      </w:pPr>
    </w:p>
    <w:p w14:paraId="0952CD12" w14:textId="77777777" w:rsidR="00280D78" w:rsidRDefault="00280D78" w:rsidP="00280D78">
      <w:pPr>
        <w:pStyle w:val="ListParagraph"/>
        <w:numPr>
          <w:ilvl w:val="1"/>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certified copy of the decision commencing the foreign proceeding and appointing the foreign representative.</w:t>
      </w:r>
    </w:p>
    <w:p w14:paraId="4891DABE" w14:textId="77777777" w:rsidR="00280D78" w:rsidRPr="00890C08" w:rsidRDefault="00280D78" w:rsidP="00280D78">
      <w:pPr>
        <w:jc w:val="both"/>
        <w:rPr>
          <w:rFonts w:ascii="Arial" w:hAnsi="Arial" w:cs="Arial"/>
          <w:color w:val="7B7B7B" w:themeColor="accent3" w:themeShade="BF"/>
          <w:sz w:val="22"/>
          <w:szCs w:val="22"/>
          <w:lang w:val="en-GB"/>
        </w:rPr>
      </w:pPr>
    </w:p>
    <w:p w14:paraId="1E819580" w14:textId="77777777" w:rsidR="00280D78" w:rsidRDefault="00280D78" w:rsidP="00280D78">
      <w:pPr>
        <w:pStyle w:val="ListParagraph"/>
        <w:numPr>
          <w:ilvl w:val="1"/>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certificate from the foreign Court affirming the existence of the foreign proceeding and the appointment of the foreign representative </w:t>
      </w:r>
    </w:p>
    <w:p w14:paraId="6C51073F" w14:textId="77777777" w:rsidR="00280D78" w:rsidRPr="00890C08" w:rsidRDefault="00280D78" w:rsidP="00280D78">
      <w:pPr>
        <w:pStyle w:val="ListParagraph"/>
        <w:rPr>
          <w:rFonts w:ascii="Arial" w:hAnsi="Arial" w:cs="Arial"/>
          <w:color w:val="7B7B7B" w:themeColor="accent3" w:themeShade="BF"/>
          <w:sz w:val="22"/>
          <w:szCs w:val="22"/>
          <w:lang w:val="en-GB"/>
        </w:rPr>
      </w:pPr>
    </w:p>
    <w:p w14:paraId="7B8FDB1E" w14:textId="77777777" w:rsidR="00280D78" w:rsidRDefault="00280D78" w:rsidP="00280D78">
      <w:pPr>
        <w:pStyle w:val="ListParagraph"/>
        <w:numPr>
          <w:ilvl w:val="1"/>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absence of evidence referred to in subparagraphs (a) and (b), any other evidence acceptable to the Court of the existence of the foreign proceeding and of the appointment of the foreign representative.</w:t>
      </w:r>
    </w:p>
    <w:p w14:paraId="58D60901" w14:textId="77777777" w:rsidR="00280D78" w:rsidRPr="00890C08" w:rsidRDefault="00280D78" w:rsidP="00280D78">
      <w:pPr>
        <w:pStyle w:val="ListParagraph"/>
        <w:rPr>
          <w:rFonts w:ascii="Arial" w:hAnsi="Arial" w:cs="Arial"/>
          <w:color w:val="7B7B7B" w:themeColor="accent3" w:themeShade="BF"/>
          <w:sz w:val="22"/>
          <w:szCs w:val="22"/>
          <w:lang w:val="en-GB"/>
        </w:rPr>
      </w:pPr>
    </w:p>
    <w:p w14:paraId="262455FD" w14:textId="77777777" w:rsidR="00280D78" w:rsidRDefault="00280D78" w:rsidP="00280D7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application for recognition shall also be accompanied by a statement identifying all foreign proceedings in respect of the debtor that are known to the foreign representative.</w:t>
      </w:r>
    </w:p>
    <w:p w14:paraId="5B039098" w14:textId="77777777" w:rsidR="00280D78" w:rsidRPr="00890C08" w:rsidRDefault="00280D78" w:rsidP="00280D78">
      <w:pPr>
        <w:jc w:val="both"/>
        <w:rPr>
          <w:rFonts w:ascii="Arial" w:hAnsi="Arial" w:cs="Arial"/>
          <w:color w:val="7B7B7B" w:themeColor="accent3" w:themeShade="BF"/>
          <w:sz w:val="22"/>
          <w:szCs w:val="22"/>
          <w:lang w:val="en-GB"/>
        </w:rPr>
      </w:pPr>
    </w:p>
    <w:p w14:paraId="32CEEE36" w14:textId="77777777" w:rsidR="00280D78" w:rsidRDefault="00280D78" w:rsidP="00280D78">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may require a translation of documents supplied in support of the application for recognition into the official language of the State.</w:t>
      </w:r>
    </w:p>
    <w:p w14:paraId="47956309" w14:textId="77777777" w:rsidR="00280D78" w:rsidRPr="00890C08" w:rsidRDefault="00280D78" w:rsidP="00280D78">
      <w:pPr>
        <w:pStyle w:val="ListParagraph"/>
        <w:rPr>
          <w:rFonts w:ascii="Arial" w:hAnsi="Arial" w:cs="Arial"/>
          <w:color w:val="7B7B7B" w:themeColor="accent3" w:themeShade="BF"/>
          <w:sz w:val="22"/>
          <w:szCs w:val="22"/>
          <w:lang w:val="en-GB"/>
        </w:rPr>
      </w:pPr>
    </w:p>
    <w:p w14:paraId="49052CCE"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17 provides:</w:t>
      </w:r>
    </w:p>
    <w:p w14:paraId="6694C130" w14:textId="77777777" w:rsidR="00280D78" w:rsidRDefault="00280D78" w:rsidP="00280D78">
      <w:pPr>
        <w:jc w:val="both"/>
        <w:rPr>
          <w:rFonts w:ascii="Arial" w:hAnsi="Arial" w:cs="Arial"/>
          <w:color w:val="7B7B7B" w:themeColor="accent3" w:themeShade="BF"/>
          <w:sz w:val="22"/>
          <w:szCs w:val="22"/>
          <w:lang w:val="en-GB"/>
        </w:rPr>
      </w:pPr>
    </w:p>
    <w:p w14:paraId="73C42CEB" w14:textId="77777777" w:rsidR="00280D78" w:rsidRDefault="00280D78" w:rsidP="00280D78">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Subject to Article 6, a foreign proceeding shall be recognized if:</w:t>
      </w:r>
    </w:p>
    <w:p w14:paraId="47FC3572" w14:textId="77777777" w:rsidR="00280D78" w:rsidRPr="00890C08" w:rsidRDefault="00280D78" w:rsidP="00280D78">
      <w:pPr>
        <w:jc w:val="both"/>
        <w:rPr>
          <w:rFonts w:ascii="Arial" w:hAnsi="Arial" w:cs="Arial"/>
          <w:color w:val="7B7B7B" w:themeColor="accent3" w:themeShade="BF"/>
          <w:sz w:val="22"/>
          <w:szCs w:val="22"/>
          <w:lang w:val="en-GB"/>
        </w:rPr>
      </w:pPr>
    </w:p>
    <w:p w14:paraId="319B3CD8" w14:textId="77777777" w:rsidR="00280D78" w:rsidRDefault="00280D78" w:rsidP="00280D78">
      <w:pPr>
        <w:pStyle w:val="ListParagraph"/>
        <w:numPr>
          <w:ilvl w:val="1"/>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Foreign proceeding is a proceeding within the meaning of subparagraph (a) of Article 2;</w:t>
      </w:r>
    </w:p>
    <w:p w14:paraId="2B79E98F" w14:textId="77777777" w:rsidR="00280D78" w:rsidRPr="00890C08" w:rsidRDefault="00280D78" w:rsidP="00280D78">
      <w:pPr>
        <w:jc w:val="both"/>
        <w:rPr>
          <w:rFonts w:ascii="Arial" w:hAnsi="Arial" w:cs="Arial"/>
          <w:color w:val="7B7B7B" w:themeColor="accent3" w:themeShade="BF"/>
          <w:sz w:val="22"/>
          <w:szCs w:val="22"/>
          <w:lang w:val="en-GB"/>
        </w:rPr>
      </w:pPr>
    </w:p>
    <w:p w14:paraId="7F01EA89" w14:textId="77777777" w:rsidR="00280D78" w:rsidRDefault="00280D78" w:rsidP="00280D78">
      <w:pPr>
        <w:pStyle w:val="ListParagraph"/>
        <w:numPr>
          <w:ilvl w:val="1"/>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representative applying for recognition is a person or body within the meaning of subparagraph (d) of Article 2;</w:t>
      </w:r>
    </w:p>
    <w:p w14:paraId="078F96F0" w14:textId="77777777" w:rsidR="00280D78" w:rsidRPr="00890C08" w:rsidRDefault="00280D78" w:rsidP="00280D78">
      <w:pPr>
        <w:pStyle w:val="ListParagraph"/>
        <w:rPr>
          <w:rFonts w:ascii="Arial" w:hAnsi="Arial" w:cs="Arial"/>
          <w:color w:val="7B7B7B" w:themeColor="accent3" w:themeShade="BF"/>
          <w:sz w:val="22"/>
          <w:szCs w:val="22"/>
          <w:lang w:val="en-GB"/>
        </w:rPr>
      </w:pPr>
    </w:p>
    <w:p w14:paraId="2A9E30C2" w14:textId="77777777" w:rsidR="00280D78" w:rsidRDefault="00280D78" w:rsidP="00280D78">
      <w:pPr>
        <w:pStyle w:val="ListParagraph"/>
        <w:numPr>
          <w:ilvl w:val="1"/>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meets the requirements of paragraph 2 of Article 15; and</w:t>
      </w:r>
    </w:p>
    <w:p w14:paraId="11C14577" w14:textId="77777777" w:rsidR="00280D78" w:rsidRPr="00890C08" w:rsidRDefault="00280D78" w:rsidP="00280D78">
      <w:pPr>
        <w:pStyle w:val="ListParagraph"/>
        <w:rPr>
          <w:rFonts w:ascii="Arial" w:hAnsi="Arial" w:cs="Arial"/>
          <w:color w:val="7B7B7B" w:themeColor="accent3" w:themeShade="BF"/>
          <w:sz w:val="22"/>
          <w:szCs w:val="22"/>
          <w:lang w:val="en-GB"/>
        </w:rPr>
      </w:pPr>
    </w:p>
    <w:p w14:paraId="3E92A88B" w14:textId="77777777" w:rsidR="00280D78" w:rsidRDefault="00280D78" w:rsidP="00280D78">
      <w:pPr>
        <w:pStyle w:val="ListParagraph"/>
        <w:numPr>
          <w:ilvl w:val="1"/>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has been submitted to the Court referred to in Article 4.</w:t>
      </w:r>
    </w:p>
    <w:p w14:paraId="1B58ACD2" w14:textId="77777777" w:rsidR="00280D78" w:rsidRPr="00890C08" w:rsidRDefault="00280D78" w:rsidP="00280D78">
      <w:pPr>
        <w:pStyle w:val="ListParagraph"/>
        <w:rPr>
          <w:rFonts w:ascii="Arial" w:hAnsi="Arial" w:cs="Arial"/>
          <w:color w:val="7B7B7B" w:themeColor="accent3" w:themeShade="BF"/>
          <w:sz w:val="22"/>
          <w:szCs w:val="22"/>
          <w:lang w:val="en-GB"/>
        </w:rPr>
      </w:pPr>
    </w:p>
    <w:p w14:paraId="33EAC357" w14:textId="77777777" w:rsidR="00280D78" w:rsidRDefault="00280D78" w:rsidP="00280D78">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foreign proceeding shall be recognized </w:t>
      </w:r>
    </w:p>
    <w:p w14:paraId="5054AC48" w14:textId="77777777" w:rsidR="00280D78" w:rsidRPr="00890C08" w:rsidRDefault="00280D78" w:rsidP="00280D78">
      <w:pPr>
        <w:jc w:val="both"/>
        <w:rPr>
          <w:rFonts w:ascii="Arial" w:hAnsi="Arial" w:cs="Arial"/>
          <w:color w:val="7B7B7B" w:themeColor="accent3" w:themeShade="BF"/>
          <w:sz w:val="22"/>
          <w:szCs w:val="22"/>
          <w:lang w:val="en-GB"/>
        </w:rPr>
      </w:pPr>
    </w:p>
    <w:p w14:paraId="5B623187" w14:textId="77777777" w:rsidR="00280D78" w:rsidRDefault="00280D78" w:rsidP="00280D78">
      <w:pPr>
        <w:pStyle w:val="ListParagraph"/>
        <w:numPr>
          <w:ilvl w:val="1"/>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foreign main proceeding if it is taking place in the State where the debtor has the centre of its main interests; or</w:t>
      </w:r>
    </w:p>
    <w:p w14:paraId="6112ED0B" w14:textId="77777777" w:rsidR="00280D78" w:rsidRPr="00890C08" w:rsidRDefault="00280D78" w:rsidP="00280D78">
      <w:pPr>
        <w:jc w:val="both"/>
        <w:rPr>
          <w:rFonts w:ascii="Arial" w:hAnsi="Arial" w:cs="Arial"/>
          <w:color w:val="7B7B7B" w:themeColor="accent3" w:themeShade="BF"/>
          <w:sz w:val="22"/>
          <w:szCs w:val="22"/>
          <w:lang w:val="en-GB"/>
        </w:rPr>
      </w:pPr>
    </w:p>
    <w:p w14:paraId="2E1CB981" w14:textId="77777777" w:rsidR="00280D78" w:rsidRDefault="00280D78" w:rsidP="00280D78">
      <w:pPr>
        <w:pStyle w:val="ListParagraph"/>
        <w:numPr>
          <w:ilvl w:val="1"/>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foreign non-main proceeding if the debtor has an establishment within the meaning of subparagraph (f) of Article 2 in the foreign State.</w:t>
      </w:r>
    </w:p>
    <w:p w14:paraId="1F056308" w14:textId="77777777" w:rsidR="00280D78" w:rsidRPr="00890C08" w:rsidRDefault="00280D78" w:rsidP="00280D78">
      <w:pPr>
        <w:pStyle w:val="ListParagraph"/>
        <w:rPr>
          <w:rFonts w:ascii="Arial" w:hAnsi="Arial" w:cs="Arial"/>
          <w:color w:val="7B7B7B" w:themeColor="accent3" w:themeShade="BF"/>
          <w:sz w:val="22"/>
          <w:szCs w:val="22"/>
          <w:lang w:val="en-GB"/>
        </w:rPr>
      </w:pPr>
    </w:p>
    <w:p w14:paraId="2CB4E33A" w14:textId="77777777" w:rsidR="00280D78" w:rsidRDefault="00280D78" w:rsidP="00280D78">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application for recognition of a foreign proceeding shall be decided upon at the earliest possible time.</w:t>
      </w:r>
    </w:p>
    <w:p w14:paraId="327E0030" w14:textId="77777777" w:rsidR="00280D78" w:rsidRPr="00890C08" w:rsidRDefault="00280D78" w:rsidP="00280D78">
      <w:pPr>
        <w:jc w:val="both"/>
        <w:rPr>
          <w:rFonts w:ascii="Arial" w:hAnsi="Arial" w:cs="Arial"/>
          <w:color w:val="7B7B7B" w:themeColor="accent3" w:themeShade="BF"/>
          <w:sz w:val="22"/>
          <w:szCs w:val="22"/>
          <w:lang w:val="en-GB"/>
        </w:rPr>
      </w:pPr>
    </w:p>
    <w:p w14:paraId="26D9FC4B" w14:textId="77777777" w:rsidR="00280D78" w:rsidRDefault="00280D78" w:rsidP="00280D78">
      <w:pPr>
        <w:pStyle w:val="ListParagraph"/>
        <w:numPr>
          <w:ilvl w:val="0"/>
          <w:numId w:val="4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provisions of articles 15, 16, 17, and 18 do not prevent modification or termination of recognition if it is shown that the grounds for granting it were fully or partially lacking or have ceased to exist.</w:t>
      </w:r>
    </w:p>
    <w:p w14:paraId="13B08E55" w14:textId="77777777" w:rsidR="00280D78" w:rsidRPr="00890C08" w:rsidRDefault="00280D78" w:rsidP="00280D78">
      <w:pPr>
        <w:pStyle w:val="ListParagraph"/>
        <w:rPr>
          <w:rFonts w:ascii="Arial" w:hAnsi="Arial" w:cs="Arial"/>
          <w:color w:val="7B7B7B" w:themeColor="accent3" w:themeShade="BF"/>
          <w:sz w:val="22"/>
          <w:szCs w:val="22"/>
          <w:lang w:val="en-GB"/>
        </w:rPr>
      </w:pPr>
    </w:p>
    <w:p w14:paraId="7751187C" w14:textId="77777777" w:rsidR="00280D78" w:rsidRPr="00890C08" w:rsidRDefault="00280D78" w:rsidP="00280D78">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As can be seen from Article 17(1) of the Model Law, recognition is subject to Article 6, which provides that “</w:t>
      </w:r>
      <w:r>
        <w:rPr>
          <w:rFonts w:ascii="Arial" w:hAnsi="Arial" w:cs="Arial"/>
          <w:i/>
          <w:color w:val="7B7B7B" w:themeColor="accent3" w:themeShade="BF"/>
          <w:sz w:val="22"/>
          <w:szCs w:val="22"/>
          <w:lang w:val="en-GB"/>
        </w:rPr>
        <w:t>nothing in this law prevents the Court from refusing to take an action governed by this law if the action would be manifestly contrary to the law of this State.</w:t>
      </w:r>
    </w:p>
    <w:p w14:paraId="7D25436E" w14:textId="77777777" w:rsidR="00280D78" w:rsidRDefault="00280D78" w:rsidP="00280D78">
      <w:pPr>
        <w:jc w:val="both"/>
        <w:rPr>
          <w:rFonts w:ascii="Arial" w:hAnsi="Arial" w:cs="Arial"/>
          <w:color w:val="7B7B7B" w:themeColor="accent3" w:themeShade="BF"/>
          <w:sz w:val="22"/>
          <w:szCs w:val="22"/>
          <w:lang w:val="en-GB"/>
        </w:rPr>
      </w:pPr>
    </w:p>
    <w:p w14:paraId="1998D2DE" w14:textId="77777777" w:rsidR="00280D78" w:rsidRDefault="00280D78" w:rsidP="00280D78">
      <w:pPr>
        <w:jc w:val="both"/>
        <w:rPr>
          <w:rFonts w:ascii="Arial" w:hAnsi="Arial" w:cs="Arial"/>
          <w:color w:val="7B7B7B" w:themeColor="accent3" w:themeShade="BF"/>
          <w:sz w:val="22"/>
          <w:szCs w:val="22"/>
          <w:lang w:val="en-GB"/>
        </w:rPr>
      </w:pPr>
    </w:p>
    <w:p w14:paraId="16DE4486"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2(a) of the Model Law then goes on to broadly define a ‘foreign proceeding’ to mean:</w:t>
      </w:r>
    </w:p>
    <w:p w14:paraId="67F79328" w14:textId="77777777" w:rsidR="00280D78" w:rsidRDefault="00280D78" w:rsidP="00280D78">
      <w:pPr>
        <w:jc w:val="both"/>
        <w:rPr>
          <w:rFonts w:ascii="Arial" w:hAnsi="Arial" w:cs="Arial"/>
          <w:color w:val="7B7B7B" w:themeColor="accent3" w:themeShade="BF"/>
          <w:sz w:val="22"/>
          <w:szCs w:val="22"/>
          <w:lang w:val="en-GB"/>
        </w:rPr>
      </w:pPr>
    </w:p>
    <w:p w14:paraId="1FD55481" w14:textId="77777777" w:rsidR="00280D78" w:rsidRPr="00890C08" w:rsidRDefault="00280D78" w:rsidP="00280D78">
      <w:pPr>
        <w:ind w:left="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56178CB6" w14:textId="77777777" w:rsidR="00280D78" w:rsidRDefault="00280D78" w:rsidP="00280D78">
      <w:pPr>
        <w:jc w:val="both"/>
        <w:rPr>
          <w:rFonts w:ascii="Arial" w:hAnsi="Arial" w:cs="Arial"/>
          <w:color w:val="7B7B7B" w:themeColor="accent3" w:themeShade="BF"/>
          <w:sz w:val="22"/>
          <w:szCs w:val="22"/>
          <w:lang w:val="en-GB"/>
        </w:rPr>
      </w:pPr>
    </w:p>
    <w:p w14:paraId="607E16A1"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by virtue of Article 2(d) of the Model Law means:</w:t>
      </w:r>
    </w:p>
    <w:p w14:paraId="603709A2" w14:textId="77777777" w:rsidR="00280D78" w:rsidRDefault="00280D78" w:rsidP="00280D78">
      <w:pPr>
        <w:jc w:val="both"/>
        <w:rPr>
          <w:rFonts w:ascii="Arial" w:hAnsi="Arial" w:cs="Arial"/>
          <w:color w:val="7B7B7B" w:themeColor="accent3" w:themeShade="BF"/>
          <w:sz w:val="22"/>
          <w:szCs w:val="22"/>
          <w:lang w:val="en-GB"/>
        </w:rPr>
      </w:pPr>
    </w:p>
    <w:p w14:paraId="3A798250" w14:textId="77777777" w:rsidR="00280D78" w:rsidRDefault="00280D78" w:rsidP="00280D78">
      <w:pPr>
        <w:ind w:left="720"/>
        <w:jc w:val="both"/>
        <w:rPr>
          <w:rFonts w:ascii="Arial" w:hAnsi="Arial" w:cs="Arial"/>
          <w:color w:val="7B7B7B" w:themeColor="accent3" w:themeShade="BF"/>
          <w:sz w:val="22"/>
          <w:szCs w:val="22"/>
          <w:lang w:val="en-GB"/>
        </w:rPr>
      </w:pPr>
      <w:proofErr w:type="gramStart"/>
      <w:r>
        <w:rPr>
          <w:rFonts w:ascii="Arial" w:hAnsi="Arial" w:cs="Arial"/>
          <w:i/>
          <w:color w:val="7B7B7B" w:themeColor="accent3" w:themeShade="BF"/>
          <w:sz w:val="22"/>
          <w:szCs w:val="22"/>
          <w:lang w:val="en-GB"/>
        </w:rPr>
        <w:t>“ A</w:t>
      </w:r>
      <w:proofErr w:type="gramEnd"/>
      <w:r>
        <w:rPr>
          <w:rFonts w:ascii="Arial" w:hAnsi="Arial" w:cs="Arial"/>
          <w:i/>
          <w:color w:val="7B7B7B" w:themeColor="accent3" w:themeShade="BF"/>
          <w:sz w:val="22"/>
          <w:szCs w:val="22"/>
          <w:lang w:val="en-GB"/>
        </w:rPr>
        <w:t xml:space="preserve"> person or body, including one appointed on an interim basis, authorized in a foreign proceeding to administer the reorganization or the liquidation of the debtor’s assets or affairs to act as a representative in a foreign proceeding.”</w:t>
      </w:r>
    </w:p>
    <w:p w14:paraId="62891791" w14:textId="77777777" w:rsidR="00280D78" w:rsidRDefault="00280D78" w:rsidP="00280D78">
      <w:pPr>
        <w:ind w:left="720"/>
        <w:jc w:val="both"/>
        <w:rPr>
          <w:rFonts w:ascii="Arial" w:hAnsi="Arial" w:cs="Arial"/>
          <w:color w:val="7B7B7B" w:themeColor="accent3" w:themeShade="BF"/>
          <w:sz w:val="22"/>
          <w:szCs w:val="22"/>
          <w:lang w:val="en-GB"/>
        </w:rPr>
      </w:pPr>
    </w:p>
    <w:p w14:paraId="405A1415"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Within this framework, I will go on to consider whether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Bank’s liquidation constitutes a foreign proceeding; and (ii) whether Ms. G is a foreign representative. These questions will be discussed below in turn.</w:t>
      </w:r>
    </w:p>
    <w:p w14:paraId="5AC12D83" w14:textId="77777777" w:rsidR="00280D78" w:rsidRDefault="00280D78" w:rsidP="00280D78">
      <w:pPr>
        <w:jc w:val="both"/>
        <w:rPr>
          <w:rFonts w:ascii="Arial" w:hAnsi="Arial" w:cs="Arial"/>
          <w:color w:val="7B7B7B" w:themeColor="accent3" w:themeShade="BF"/>
          <w:sz w:val="22"/>
          <w:szCs w:val="22"/>
          <w:lang w:val="en-GB"/>
        </w:rPr>
      </w:pPr>
    </w:p>
    <w:p w14:paraId="3FFBEA29"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to whether the Bank’s liquidation in Country A constitutes a foreign proceeding, it must be established on the facts that it is a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collective judicial or administrative proceeding (ii) pursuant to the law relating to insolvency; and (iii) the assets and affairs of the debtor are subject to control or supervision by a foreign court.</w:t>
      </w:r>
    </w:p>
    <w:p w14:paraId="3E52EC21" w14:textId="77777777" w:rsidR="00280D78" w:rsidRDefault="00280D78" w:rsidP="00280D78">
      <w:pPr>
        <w:jc w:val="both"/>
        <w:rPr>
          <w:rFonts w:ascii="Arial" w:hAnsi="Arial" w:cs="Arial"/>
          <w:color w:val="7B7B7B" w:themeColor="accent3" w:themeShade="BF"/>
          <w:sz w:val="22"/>
          <w:szCs w:val="22"/>
          <w:lang w:val="en-GB"/>
        </w:rPr>
      </w:pPr>
    </w:p>
    <w:p w14:paraId="0E398189"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Collective judicial or administrative proceeding</w:t>
      </w:r>
    </w:p>
    <w:p w14:paraId="4F2B2C8D" w14:textId="77777777" w:rsidR="00280D78" w:rsidRDefault="00280D78" w:rsidP="00280D78">
      <w:pPr>
        <w:jc w:val="both"/>
        <w:rPr>
          <w:rFonts w:ascii="Arial" w:hAnsi="Arial" w:cs="Arial"/>
          <w:color w:val="7B7B7B" w:themeColor="accent3" w:themeShade="BF"/>
          <w:sz w:val="22"/>
          <w:szCs w:val="22"/>
          <w:lang w:val="en-GB"/>
        </w:rPr>
      </w:pPr>
    </w:p>
    <w:p w14:paraId="4658F783"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 Guide to Enactment and Interpretation (</w:t>
      </w:r>
      <w:r>
        <w:rPr>
          <w:rFonts w:ascii="Arial" w:hAnsi="Arial" w:cs="Arial"/>
          <w:b/>
          <w:color w:val="7B7B7B" w:themeColor="accent3" w:themeShade="BF"/>
          <w:sz w:val="22"/>
          <w:szCs w:val="22"/>
          <w:lang w:val="en-GB"/>
        </w:rPr>
        <w:t>Enactment Guide</w:t>
      </w:r>
      <w:r>
        <w:rPr>
          <w:rFonts w:ascii="Arial" w:hAnsi="Arial" w:cs="Arial"/>
          <w:color w:val="7B7B7B" w:themeColor="accent3" w:themeShade="BF"/>
          <w:sz w:val="22"/>
          <w:szCs w:val="22"/>
          <w:lang w:val="en-GB"/>
        </w:rPr>
        <w:t>) helpfully provides guidance in relation to whether a proceeding qualifies as a collective proceeding under the Model Law. In particular, paragraph 70 of the Enactment Guide provides:</w:t>
      </w:r>
    </w:p>
    <w:p w14:paraId="5E1C31B5" w14:textId="77777777" w:rsidR="00280D78" w:rsidRDefault="00280D78" w:rsidP="00280D78">
      <w:pPr>
        <w:jc w:val="both"/>
        <w:rPr>
          <w:rFonts w:ascii="Arial" w:hAnsi="Arial" w:cs="Arial"/>
          <w:color w:val="7B7B7B" w:themeColor="accent3" w:themeShade="BF"/>
          <w:sz w:val="22"/>
          <w:szCs w:val="22"/>
          <w:lang w:val="en-GB"/>
        </w:rPr>
      </w:pPr>
    </w:p>
    <w:p w14:paraId="7AABD3C7" w14:textId="77777777" w:rsidR="00280D78" w:rsidRDefault="00280D78" w:rsidP="00280D78">
      <w:pPr>
        <w:ind w:left="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“…a key consideration is whether substantially all of the assets and liabilities of the debtor are dealt with in the proceeding, subject to local priorities and statutory exception, and to local exclusions relating to the rights of secured creditors. A proceeding should not be considered to fail the test of collectively purely because a class of creditors’ rights is unaffected by it.”</w:t>
      </w:r>
    </w:p>
    <w:p w14:paraId="2CE87021" w14:textId="77777777" w:rsidR="00280D78" w:rsidRDefault="00280D78" w:rsidP="00280D78">
      <w:pPr>
        <w:ind w:left="720"/>
        <w:jc w:val="both"/>
        <w:rPr>
          <w:rFonts w:ascii="Arial" w:hAnsi="Arial" w:cs="Arial"/>
          <w:color w:val="7B7B7B" w:themeColor="accent3" w:themeShade="BF"/>
          <w:sz w:val="22"/>
          <w:szCs w:val="22"/>
          <w:lang w:val="en-GB"/>
        </w:rPr>
      </w:pPr>
    </w:p>
    <w:p w14:paraId="6C227F1F"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case, under Article 34 of DGF law, once the Bank has been classified as insolvent, the Bank is put into statutory administration. During this period, the Deposit Guarantee Fund (</w:t>
      </w:r>
      <w:r>
        <w:rPr>
          <w:rFonts w:ascii="Arial" w:hAnsi="Arial" w:cs="Arial"/>
          <w:b/>
          <w:color w:val="7B7B7B" w:themeColor="accent3" w:themeShade="BF"/>
          <w:sz w:val="22"/>
          <w:szCs w:val="22"/>
          <w:lang w:val="en-GB"/>
        </w:rPr>
        <w:t>DGF</w:t>
      </w:r>
      <w:r>
        <w:rPr>
          <w:rFonts w:ascii="Arial" w:hAnsi="Arial" w:cs="Arial"/>
          <w:color w:val="7B7B7B" w:themeColor="accent3" w:themeShade="BF"/>
          <w:sz w:val="22"/>
          <w:szCs w:val="22"/>
          <w:lang w:val="en-GB"/>
        </w:rPr>
        <w:t>) becomes responsible for removing the Bank from the market by winding down its affairs. Upon the DGF’s decision to revoke the Bank’s licence, it is placed into liquidation. Under Article 77 of DGF law, the DGF automatically becomes the liquidator of the bank and acquires the full powers of a liquidator under the laws of Country A.  During this time, all the powers of the bank’s management and control bodies are terminated, all banking activities are terminated, all money liabilities due and owing to the Bank are deemed to become due. In addition, and importantly for the purposes of determining whether this is a “collective proceeding” upon being put into liquidation, the DGF has extensive powers to:</w:t>
      </w:r>
    </w:p>
    <w:p w14:paraId="0273C000" w14:textId="77777777" w:rsidR="00280D78" w:rsidRDefault="00280D78" w:rsidP="00280D78">
      <w:pPr>
        <w:jc w:val="both"/>
        <w:rPr>
          <w:rFonts w:ascii="Arial" w:hAnsi="Arial" w:cs="Arial"/>
          <w:color w:val="7B7B7B" w:themeColor="accent3" w:themeShade="BF"/>
          <w:sz w:val="22"/>
          <w:szCs w:val="22"/>
          <w:lang w:val="en-GB"/>
        </w:rPr>
      </w:pPr>
    </w:p>
    <w:p w14:paraId="2D997DAB" w14:textId="77777777" w:rsidR="00280D78" w:rsidRDefault="00280D78" w:rsidP="00280D7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Compile a register of creditor claims and to seek to satisfy those claims;</w:t>
      </w:r>
    </w:p>
    <w:p w14:paraId="7476CF67" w14:textId="77777777" w:rsidR="00280D78" w:rsidRDefault="00280D78" w:rsidP="00280D7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power to dispose of the bank’s assets; </w:t>
      </w:r>
    </w:p>
    <w:p w14:paraId="0CFFA1CD" w14:textId="77777777" w:rsidR="00280D78" w:rsidRDefault="00280D78" w:rsidP="00280D7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power to exercise such other powers as are necessary to complete the liquidation of a bank;</w:t>
      </w:r>
    </w:p>
    <w:p w14:paraId="45EEE0DB" w14:textId="77777777" w:rsidR="00280D78" w:rsidRDefault="00280D78" w:rsidP="00280D7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power to take steps, find, identify and recover property to the bank; and</w:t>
      </w:r>
    </w:p>
    <w:p w14:paraId="783511EA" w14:textId="77777777" w:rsidR="00280D78" w:rsidRDefault="00280D78" w:rsidP="00280D78">
      <w:pPr>
        <w:pStyle w:val="ListParagraph"/>
        <w:numPr>
          <w:ilvl w:val="0"/>
          <w:numId w:val="4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power to dismiss employees and withdraw from/terminate contracts.</w:t>
      </w:r>
    </w:p>
    <w:p w14:paraId="26FD2E7A" w14:textId="77777777" w:rsidR="00280D78" w:rsidRDefault="00280D78" w:rsidP="00280D78">
      <w:pPr>
        <w:jc w:val="both"/>
        <w:rPr>
          <w:rFonts w:ascii="Arial" w:hAnsi="Arial" w:cs="Arial"/>
          <w:color w:val="7B7B7B" w:themeColor="accent3" w:themeShade="BF"/>
          <w:sz w:val="22"/>
          <w:szCs w:val="22"/>
          <w:lang w:val="en-GB"/>
        </w:rPr>
      </w:pPr>
    </w:p>
    <w:p w14:paraId="59ECCA85"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clear from the above that the DGF has the express power under the law of Country A to compile a register of creditor claims and seek to satisfy those claims. In this case, the DGF resolved to approve an amended list of creditor claims totalling approximately USD 1.13 billion. The Bank’s current estimated deficiency exceeds US 823 million. The purpose of the DGF’s powers is to assess the bank’s assets to take steps to determine the value of the assets and to take all steps necessary to realize their value for the benefit of creditors. There was no affidavit evidence to suggest that all the creditors of the Bank are prevented from filing a claim in the liquidation. </w:t>
      </w:r>
    </w:p>
    <w:p w14:paraId="6C22461A" w14:textId="77777777" w:rsidR="00280D78" w:rsidRDefault="00280D78" w:rsidP="00280D78">
      <w:pPr>
        <w:jc w:val="both"/>
        <w:rPr>
          <w:rFonts w:ascii="Arial" w:hAnsi="Arial" w:cs="Arial"/>
          <w:color w:val="7B7B7B" w:themeColor="accent3" w:themeShade="BF"/>
          <w:sz w:val="22"/>
          <w:szCs w:val="22"/>
          <w:lang w:val="en-GB"/>
        </w:rPr>
      </w:pPr>
    </w:p>
    <w:p w14:paraId="79E841F6"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also be considered administrative. During the provisional administration, the DGF assumes responsibility for administering the affairs of the Bank. Upon being put into liquidation, Article 37 confers very broad powers, which include managerial and supervisory powers to enter into contracts, restrict or terminate the bank’s transactions, and to file property and non-property claims with the Court. The DGF also has the power to take steps to find, identify and recover property belonging to the Bank.  </w:t>
      </w:r>
    </w:p>
    <w:p w14:paraId="5E377792" w14:textId="77777777" w:rsidR="00280D78" w:rsidRDefault="00280D78" w:rsidP="00280D78">
      <w:pPr>
        <w:jc w:val="both"/>
        <w:rPr>
          <w:rFonts w:ascii="Arial" w:hAnsi="Arial" w:cs="Arial"/>
          <w:color w:val="7B7B7B" w:themeColor="accent3" w:themeShade="BF"/>
          <w:sz w:val="22"/>
          <w:szCs w:val="22"/>
          <w:lang w:val="en-GB"/>
        </w:rPr>
      </w:pPr>
    </w:p>
    <w:p w14:paraId="10F309F6"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Law relating to insolvency</w:t>
      </w:r>
    </w:p>
    <w:p w14:paraId="56D1E7C0" w14:textId="77777777" w:rsidR="00280D78" w:rsidRDefault="00280D78" w:rsidP="00280D78">
      <w:pPr>
        <w:jc w:val="both"/>
        <w:rPr>
          <w:rFonts w:ascii="Arial" w:hAnsi="Arial" w:cs="Arial"/>
          <w:color w:val="7B7B7B" w:themeColor="accent3" w:themeShade="BF"/>
          <w:sz w:val="22"/>
          <w:szCs w:val="22"/>
          <w:lang w:val="en-GB"/>
        </w:rPr>
      </w:pPr>
    </w:p>
    <w:p w14:paraId="4DB4923B"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Paragraph 73 of the Enactment Guide provides:</w:t>
      </w:r>
    </w:p>
    <w:p w14:paraId="235AC757" w14:textId="77777777" w:rsidR="00280D78" w:rsidRDefault="00280D78" w:rsidP="00280D78">
      <w:pPr>
        <w:jc w:val="both"/>
        <w:rPr>
          <w:rFonts w:ascii="Arial" w:hAnsi="Arial" w:cs="Arial"/>
          <w:color w:val="7B7B7B" w:themeColor="accent3" w:themeShade="BF"/>
          <w:sz w:val="22"/>
          <w:szCs w:val="22"/>
          <w:lang w:val="en-GB"/>
        </w:rPr>
      </w:pPr>
    </w:p>
    <w:p w14:paraId="6C9E0947" w14:textId="77777777" w:rsidR="00280D78" w:rsidRDefault="00280D78" w:rsidP="00280D78">
      <w:pPr>
        <w:ind w:left="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“This formulation is used in the Model Law to acknowledge the fact that liquidation and reorganization might be conducted under law that is not labelled as insolvency law, but which nevertheless deals with or addresses insolvency or severe financial distress.”</w:t>
      </w:r>
    </w:p>
    <w:p w14:paraId="05D6DD3C" w14:textId="77777777" w:rsidR="00280D78" w:rsidRDefault="00280D78" w:rsidP="00280D78">
      <w:pPr>
        <w:ind w:left="720"/>
        <w:jc w:val="both"/>
        <w:rPr>
          <w:rFonts w:ascii="Arial" w:hAnsi="Arial" w:cs="Arial"/>
          <w:i/>
          <w:color w:val="7B7B7B" w:themeColor="accent3" w:themeShade="BF"/>
          <w:sz w:val="22"/>
          <w:szCs w:val="22"/>
          <w:lang w:val="en-GB"/>
        </w:rPr>
      </w:pPr>
    </w:p>
    <w:p w14:paraId="1EF204C4" w14:textId="77777777" w:rsidR="00280D78" w:rsidRPr="004B2CF2" w:rsidRDefault="00280D78" w:rsidP="00280D78">
      <w:pPr>
        <w:jc w:val="both"/>
        <w:rPr>
          <w:rFonts w:ascii="Arial" w:hAnsi="Arial" w:cs="Arial"/>
          <w:i/>
          <w:color w:val="7B7B7B" w:themeColor="accent3" w:themeShade="BF"/>
          <w:sz w:val="22"/>
          <w:szCs w:val="22"/>
          <w:lang w:val="en-GB"/>
        </w:rPr>
      </w:pPr>
      <w:r>
        <w:rPr>
          <w:rFonts w:ascii="Arial" w:hAnsi="Arial" w:cs="Arial"/>
          <w:color w:val="7B7B7B" w:themeColor="accent3" w:themeShade="BF"/>
          <w:sz w:val="22"/>
          <w:szCs w:val="22"/>
          <w:lang w:val="en-GB"/>
        </w:rPr>
        <w:t>The provision of DGF Law provides for both statutory administrations as well as liquidation of financially distressed or troubled banks. The liquidation of the Bank was commenced under these provisions, thus constitutes “</w:t>
      </w:r>
      <w:r>
        <w:rPr>
          <w:rFonts w:ascii="Arial" w:hAnsi="Arial" w:cs="Arial"/>
          <w:i/>
          <w:color w:val="7B7B7B" w:themeColor="accent3" w:themeShade="BF"/>
          <w:sz w:val="22"/>
          <w:szCs w:val="22"/>
          <w:lang w:val="en-GB"/>
        </w:rPr>
        <w:t>pursuant to the law of insolvency.”</w:t>
      </w:r>
    </w:p>
    <w:p w14:paraId="45AD8EFF" w14:textId="77777777" w:rsidR="00280D78" w:rsidRDefault="00280D78" w:rsidP="00280D78">
      <w:pPr>
        <w:jc w:val="both"/>
        <w:rPr>
          <w:rFonts w:ascii="Arial" w:hAnsi="Arial" w:cs="Arial"/>
          <w:color w:val="7B7B7B" w:themeColor="accent3" w:themeShade="BF"/>
          <w:sz w:val="22"/>
          <w:szCs w:val="22"/>
          <w:lang w:val="en-GB"/>
        </w:rPr>
      </w:pPr>
    </w:p>
    <w:p w14:paraId="2E53A487"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Subject to the control of a foreign court</w:t>
      </w:r>
    </w:p>
    <w:p w14:paraId="59DBAB5A" w14:textId="77777777" w:rsidR="00280D78" w:rsidRDefault="00280D78" w:rsidP="00280D78">
      <w:pPr>
        <w:jc w:val="both"/>
        <w:rPr>
          <w:rFonts w:ascii="Arial" w:hAnsi="Arial" w:cs="Arial"/>
          <w:color w:val="7B7B7B" w:themeColor="accent3" w:themeShade="BF"/>
          <w:sz w:val="22"/>
          <w:szCs w:val="22"/>
          <w:lang w:val="en-GB"/>
        </w:rPr>
      </w:pPr>
    </w:p>
    <w:p w14:paraId="5B499381"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2(e) of the Model Law, a foreign court means “</w:t>
      </w:r>
      <w:r>
        <w:rPr>
          <w:rFonts w:ascii="Arial" w:hAnsi="Arial" w:cs="Arial"/>
          <w:i/>
          <w:color w:val="7B7B7B" w:themeColor="accent3" w:themeShade="BF"/>
          <w:sz w:val="22"/>
          <w:szCs w:val="22"/>
          <w:lang w:val="en-GB"/>
        </w:rPr>
        <w:t>a judicial body or other authority competent to control or supervise a foreign proceeding.”</w:t>
      </w:r>
      <w:r>
        <w:rPr>
          <w:rFonts w:ascii="Arial" w:hAnsi="Arial" w:cs="Arial"/>
          <w:color w:val="7B7B7B" w:themeColor="accent3" w:themeShade="BF"/>
          <w:sz w:val="22"/>
          <w:szCs w:val="22"/>
          <w:lang w:val="en-GB"/>
        </w:rPr>
        <w:t xml:space="preserve"> The Enactment Guide at paragraph 74 provides:</w:t>
      </w:r>
    </w:p>
    <w:p w14:paraId="30ACA6B6" w14:textId="77777777" w:rsidR="00280D78" w:rsidRDefault="00280D78" w:rsidP="00280D78">
      <w:pPr>
        <w:jc w:val="both"/>
        <w:rPr>
          <w:rFonts w:ascii="Arial" w:hAnsi="Arial" w:cs="Arial"/>
          <w:color w:val="7B7B7B" w:themeColor="accent3" w:themeShade="BF"/>
          <w:sz w:val="22"/>
          <w:szCs w:val="22"/>
          <w:lang w:val="en-GB"/>
        </w:rPr>
      </w:pPr>
    </w:p>
    <w:p w14:paraId="6A846EB4" w14:textId="77777777" w:rsidR="00280D78" w:rsidRPr="006108F5" w:rsidRDefault="00280D78" w:rsidP="00280D78">
      <w:pPr>
        <w:ind w:left="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“Control or supervision may be exercised not only directly by the Court but also by an insolvency representative, where for example the insolvency representative is subject to control or supervision by the Court. Mere supervision of an insolvency representative by a licensing authority would not be sufficient.”</w:t>
      </w:r>
    </w:p>
    <w:p w14:paraId="7597E061" w14:textId="77777777" w:rsidR="00280D78" w:rsidRDefault="00280D78" w:rsidP="00280D78">
      <w:pPr>
        <w:jc w:val="both"/>
        <w:rPr>
          <w:rFonts w:ascii="Arial" w:hAnsi="Arial" w:cs="Arial"/>
          <w:color w:val="7B7B7B" w:themeColor="accent3" w:themeShade="BF"/>
          <w:sz w:val="22"/>
          <w:szCs w:val="22"/>
          <w:lang w:val="en-GB"/>
        </w:rPr>
      </w:pPr>
    </w:p>
    <w:p w14:paraId="5E87E624" w14:textId="77777777" w:rsidR="00280D78" w:rsidRDefault="00280D78" w:rsidP="00280D78">
      <w:pPr>
        <w:jc w:val="both"/>
        <w:rPr>
          <w:rFonts w:ascii="Arial" w:hAnsi="Arial" w:cs="Arial"/>
          <w:color w:val="7B7B7B" w:themeColor="accent3" w:themeShade="BF"/>
          <w:sz w:val="22"/>
          <w:szCs w:val="22"/>
          <w:lang w:val="en-GB"/>
        </w:rPr>
      </w:pPr>
    </w:p>
    <w:p w14:paraId="1E94EB7E"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Enactment Guide then goes on to state at paragraph 87 that:</w:t>
      </w:r>
    </w:p>
    <w:p w14:paraId="521AF047" w14:textId="77777777" w:rsidR="00280D78" w:rsidRDefault="00280D78" w:rsidP="00280D78">
      <w:pPr>
        <w:jc w:val="both"/>
        <w:rPr>
          <w:rFonts w:ascii="Arial" w:hAnsi="Arial" w:cs="Arial"/>
          <w:color w:val="7B7B7B" w:themeColor="accent3" w:themeShade="BF"/>
          <w:sz w:val="22"/>
          <w:szCs w:val="22"/>
          <w:lang w:val="en-GB"/>
        </w:rPr>
      </w:pPr>
    </w:p>
    <w:p w14:paraId="6E80B3C6" w14:textId="77777777" w:rsidR="00280D78" w:rsidRDefault="00280D78" w:rsidP="00280D78">
      <w:pPr>
        <w:ind w:left="720"/>
        <w:jc w:val="both"/>
        <w:rPr>
          <w:rFonts w:ascii="Arial" w:hAnsi="Arial" w:cs="Arial"/>
          <w:color w:val="7B7B7B" w:themeColor="accent3" w:themeShade="BF"/>
          <w:sz w:val="22"/>
          <w:szCs w:val="22"/>
          <w:lang w:val="en-GB"/>
        </w:rPr>
      </w:pPr>
      <w:r>
        <w:rPr>
          <w:rFonts w:ascii="Arial" w:hAnsi="Arial" w:cs="Arial"/>
          <w:i/>
          <w:color w:val="7B7B7B" w:themeColor="accent3" w:themeShade="BF"/>
          <w:sz w:val="22"/>
          <w:szCs w:val="22"/>
          <w:lang w:val="en-GB"/>
        </w:rPr>
        <w:t>“A foreign proceeding that meets the requisite of article 2, subparagraph (a) should receive the same treatment irrespective of whether it has been commenced or supervised by a judicial body or an administrative body</w:t>
      </w:r>
      <w:proofErr w:type="gramStart"/>
      <w:r>
        <w:rPr>
          <w:rFonts w:ascii="Arial" w:hAnsi="Arial" w:cs="Arial"/>
          <w:i/>
          <w:color w:val="7B7B7B" w:themeColor="accent3" w:themeShade="BF"/>
          <w:sz w:val="22"/>
          <w:szCs w:val="22"/>
          <w:lang w:val="en-GB"/>
        </w:rPr>
        <w:t>…..</w:t>
      </w:r>
      <w:proofErr w:type="gramEnd"/>
      <w:r>
        <w:rPr>
          <w:rFonts w:ascii="Arial" w:hAnsi="Arial" w:cs="Arial"/>
          <w:i/>
          <w:color w:val="7B7B7B" w:themeColor="accent3" w:themeShade="BF"/>
          <w:sz w:val="22"/>
          <w:szCs w:val="22"/>
          <w:lang w:val="en-GB"/>
        </w:rPr>
        <w:t xml:space="preserve"> the definition of foreign court in subparagraph (e) includes non-judicial authorities.”</w:t>
      </w:r>
    </w:p>
    <w:p w14:paraId="5A7DA6EB" w14:textId="77777777" w:rsidR="00280D78" w:rsidRDefault="00280D78" w:rsidP="00280D78">
      <w:pPr>
        <w:ind w:left="720"/>
        <w:jc w:val="both"/>
        <w:rPr>
          <w:rFonts w:ascii="Arial" w:hAnsi="Arial" w:cs="Arial"/>
          <w:color w:val="7B7B7B" w:themeColor="accent3" w:themeShade="BF"/>
          <w:sz w:val="22"/>
          <w:szCs w:val="22"/>
          <w:lang w:val="en-GB"/>
        </w:rPr>
      </w:pPr>
    </w:p>
    <w:p w14:paraId="2179661B" w14:textId="77777777" w:rsidR="00280D78" w:rsidRPr="006108F5"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Article 3, the DGF is a separate legal entity from the National Bank. It is also economically independent and maintains a separate balance sheet. Neither the National Bank </w:t>
      </w:r>
      <w:r>
        <w:rPr>
          <w:rFonts w:ascii="Arial" w:hAnsi="Arial" w:cs="Arial"/>
          <w:color w:val="7B7B7B" w:themeColor="accent3" w:themeShade="BF"/>
          <w:sz w:val="22"/>
          <w:szCs w:val="22"/>
          <w:lang w:val="en-GB"/>
        </w:rPr>
        <w:lastRenderedPageBreak/>
        <w:t>nor any other public authority has the right to interfere with the exercise of the DGF statutory function. The DGF is an independent body which is responsible for the liquidation of banks, thus should be treated as a foreign court within the meaning of Article 2(e) of the Model Law.</w:t>
      </w:r>
    </w:p>
    <w:p w14:paraId="494EE064" w14:textId="77777777" w:rsidR="00280D78" w:rsidRDefault="00280D78" w:rsidP="00280D78">
      <w:pPr>
        <w:jc w:val="both"/>
        <w:rPr>
          <w:rFonts w:ascii="Arial" w:hAnsi="Arial" w:cs="Arial"/>
          <w:color w:val="7B7B7B" w:themeColor="accent3" w:themeShade="BF"/>
          <w:sz w:val="22"/>
          <w:szCs w:val="22"/>
          <w:lang w:val="en-GB"/>
        </w:rPr>
      </w:pPr>
    </w:p>
    <w:p w14:paraId="72033A36"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Having considered that the proceedings are foreign proceedings within the meaning of Article 2(a), the Court must then go on to consider whether Ms. G has standing as a “foreign representative” within the meaning of Article 2(d).</w:t>
      </w:r>
    </w:p>
    <w:p w14:paraId="00DD1A50" w14:textId="77777777" w:rsidR="00280D78" w:rsidRDefault="00280D78" w:rsidP="00280D78">
      <w:pPr>
        <w:jc w:val="both"/>
        <w:rPr>
          <w:rFonts w:ascii="Arial" w:hAnsi="Arial" w:cs="Arial"/>
          <w:color w:val="7B7B7B" w:themeColor="accent3" w:themeShade="BF"/>
          <w:sz w:val="22"/>
          <w:szCs w:val="22"/>
          <w:lang w:val="en-GB"/>
        </w:rPr>
      </w:pPr>
    </w:p>
    <w:p w14:paraId="3D4729BB"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representative’ by virtue of Article 2(d) of the Model Law means:</w:t>
      </w:r>
    </w:p>
    <w:p w14:paraId="6E18CD63" w14:textId="77777777" w:rsidR="00280D78" w:rsidRDefault="00280D78" w:rsidP="00280D78">
      <w:pPr>
        <w:jc w:val="both"/>
        <w:rPr>
          <w:rFonts w:ascii="Arial" w:hAnsi="Arial" w:cs="Arial"/>
          <w:color w:val="7B7B7B" w:themeColor="accent3" w:themeShade="BF"/>
          <w:sz w:val="22"/>
          <w:szCs w:val="22"/>
          <w:lang w:val="en-GB"/>
        </w:rPr>
      </w:pPr>
    </w:p>
    <w:p w14:paraId="488C4E31" w14:textId="77777777" w:rsidR="00280D78" w:rsidRDefault="00280D78" w:rsidP="00280D78">
      <w:pPr>
        <w:ind w:left="720"/>
        <w:jc w:val="both"/>
        <w:rPr>
          <w:rFonts w:ascii="Arial" w:hAnsi="Arial" w:cs="Arial"/>
          <w:color w:val="7B7B7B" w:themeColor="accent3" w:themeShade="BF"/>
          <w:sz w:val="22"/>
          <w:szCs w:val="22"/>
          <w:lang w:val="en-GB"/>
        </w:rPr>
      </w:pPr>
      <w:proofErr w:type="gramStart"/>
      <w:r>
        <w:rPr>
          <w:rFonts w:ascii="Arial" w:hAnsi="Arial" w:cs="Arial"/>
          <w:i/>
          <w:color w:val="7B7B7B" w:themeColor="accent3" w:themeShade="BF"/>
          <w:sz w:val="22"/>
          <w:szCs w:val="22"/>
          <w:lang w:val="en-GB"/>
        </w:rPr>
        <w:t>“ A</w:t>
      </w:r>
      <w:proofErr w:type="gramEnd"/>
      <w:r>
        <w:rPr>
          <w:rFonts w:ascii="Arial" w:hAnsi="Arial" w:cs="Arial"/>
          <w:i/>
          <w:color w:val="7B7B7B" w:themeColor="accent3" w:themeShade="BF"/>
          <w:sz w:val="22"/>
          <w:szCs w:val="22"/>
          <w:lang w:val="en-GB"/>
        </w:rPr>
        <w:t xml:space="preserve"> person or body, including one appointed on an interim basis, authorized in a foreign proceeding to administer the reorganization or the liquidation of the debtor’s assets or affairs to act as a representative in a foreign proceeding.”</w:t>
      </w:r>
    </w:p>
    <w:p w14:paraId="49A09820" w14:textId="77777777" w:rsidR="00280D78" w:rsidRDefault="00280D78" w:rsidP="00280D78">
      <w:pPr>
        <w:jc w:val="both"/>
        <w:rPr>
          <w:rFonts w:ascii="Arial" w:hAnsi="Arial" w:cs="Arial"/>
          <w:color w:val="7B7B7B" w:themeColor="accent3" w:themeShade="BF"/>
          <w:sz w:val="22"/>
          <w:szCs w:val="22"/>
          <w:lang w:val="en-GB"/>
        </w:rPr>
      </w:pPr>
    </w:p>
    <w:p w14:paraId="30F8D3CD"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77 of the LBBA provides that DGF automatically becomes liquidator of a bank on the date it receives confirmation of the NB’s decision to revoke the bank’s licence. Article 48(3) of the DGF Law provides that the DGF may delegate its powers to an </w:t>
      </w:r>
      <w:r>
        <w:rPr>
          <w:rFonts w:ascii="Arial" w:hAnsi="Arial" w:cs="Arial"/>
          <w:i/>
          <w:color w:val="7B7B7B" w:themeColor="accent3" w:themeShade="BF"/>
          <w:sz w:val="22"/>
          <w:szCs w:val="22"/>
          <w:lang w:val="en-GB"/>
        </w:rPr>
        <w:t>“authorised officer or authorised person</w:t>
      </w:r>
      <w:r>
        <w:rPr>
          <w:rFonts w:ascii="Arial" w:hAnsi="Arial" w:cs="Arial"/>
          <w:color w:val="7B7B7B" w:themeColor="accent3" w:themeShade="BF"/>
          <w:sz w:val="22"/>
          <w:szCs w:val="22"/>
          <w:lang w:val="en-GB"/>
        </w:rPr>
        <w:t>. An authorised person is defined by Article 2(</w:t>
      </w:r>
      <w:proofErr w:type="gramStart"/>
      <w:r>
        <w:rPr>
          <w:rFonts w:ascii="Arial" w:hAnsi="Arial" w:cs="Arial"/>
          <w:color w:val="7B7B7B" w:themeColor="accent3" w:themeShade="BF"/>
          <w:sz w:val="22"/>
          <w:szCs w:val="22"/>
          <w:lang w:val="en-GB"/>
        </w:rPr>
        <w:t>1)(</w:t>
      </w:r>
      <w:proofErr w:type="gramEnd"/>
      <w:r>
        <w:rPr>
          <w:rFonts w:ascii="Arial" w:hAnsi="Arial" w:cs="Arial"/>
          <w:color w:val="7B7B7B" w:themeColor="accent3" w:themeShade="BF"/>
          <w:sz w:val="22"/>
          <w:szCs w:val="22"/>
          <w:lang w:val="en-GB"/>
        </w:rPr>
        <w:t>17) as “</w:t>
      </w:r>
      <w:r>
        <w:rPr>
          <w:rFonts w:ascii="Arial" w:hAnsi="Arial" w:cs="Arial"/>
          <w:i/>
          <w:color w:val="7B7B7B" w:themeColor="accent3" w:themeShade="BF"/>
          <w:sz w:val="22"/>
          <w:szCs w:val="22"/>
          <w:lang w:val="en-GB"/>
        </w:rPr>
        <w:t>an employee of the Fund, who on behalf of the Fund and within the powers provided for by this Law and/or delegated by the Fund, performs actions to ensure the bank’s withdrawal from the market during provisional administration of the insolvent bank and/or bank liquidation.</w:t>
      </w:r>
    </w:p>
    <w:p w14:paraId="54E22096" w14:textId="77777777" w:rsidR="00280D78" w:rsidRDefault="00280D78" w:rsidP="00280D78">
      <w:pPr>
        <w:jc w:val="both"/>
        <w:rPr>
          <w:rFonts w:ascii="Arial" w:hAnsi="Arial" w:cs="Arial"/>
          <w:color w:val="7B7B7B" w:themeColor="accent3" w:themeShade="BF"/>
          <w:sz w:val="22"/>
          <w:szCs w:val="22"/>
          <w:lang w:val="en-GB"/>
        </w:rPr>
      </w:pPr>
    </w:p>
    <w:p w14:paraId="0208EE6A" w14:textId="77777777" w:rsidR="00280D78" w:rsidRPr="00891087"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authorized person must not be a creditor of the bank nor have any conflict of interest with the bank. Article 35(1) then goes on to provide that an authorised person must have “</w:t>
      </w:r>
      <w:r>
        <w:rPr>
          <w:rFonts w:ascii="Arial" w:hAnsi="Arial" w:cs="Arial"/>
          <w:i/>
          <w:color w:val="7B7B7B" w:themeColor="accent3" w:themeShade="BF"/>
          <w:sz w:val="22"/>
          <w:szCs w:val="22"/>
          <w:lang w:val="en-GB"/>
        </w:rPr>
        <w:t>high professional and moral qualities, impeccable business reputation, complete higher education in the field of economics, finance or law… and professional experience necessary.</w:t>
      </w:r>
      <w:r>
        <w:rPr>
          <w:rFonts w:ascii="Arial" w:hAnsi="Arial" w:cs="Arial"/>
          <w:color w:val="7B7B7B" w:themeColor="accent3" w:themeShade="BF"/>
          <w:sz w:val="22"/>
          <w:szCs w:val="22"/>
          <w:lang w:val="en-GB"/>
        </w:rPr>
        <w:t>”</w:t>
      </w:r>
    </w:p>
    <w:p w14:paraId="2BAF1CC5" w14:textId="77777777" w:rsidR="00280D78" w:rsidRDefault="00280D78" w:rsidP="00280D78">
      <w:pPr>
        <w:jc w:val="both"/>
        <w:rPr>
          <w:rFonts w:ascii="Arial" w:hAnsi="Arial" w:cs="Arial"/>
          <w:color w:val="7B7B7B" w:themeColor="accent3" w:themeShade="BF"/>
          <w:sz w:val="22"/>
          <w:szCs w:val="22"/>
          <w:lang w:val="en-GB"/>
        </w:rPr>
      </w:pPr>
    </w:p>
    <w:p w14:paraId="77EF7740"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Ms. G was appointed pursuant to a Decision of the Executive Board of Directors of DGF. Ms. G is a leading liquidation professional. The DGF had delegated all liquidation powers in respect of the Bank as set out under Articles 37,38, 47-52, 521, and 53 of the DGF.   As a liquidator appointed pursuant to the laws of Country A, Ms. G has the requisite standing to apply for recognition as a foreign representative pursuant to Article 2(a) of the Model Law.</w:t>
      </w:r>
    </w:p>
    <w:p w14:paraId="38BEC03F" w14:textId="77777777" w:rsidR="00280D78" w:rsidRDefault="00280D78" w:rsidP="00280D78">
      <w:pPr>
        <w:jc w:val="both"/>
        <w:rPr>
          <w:rFonts w:ascii="Arial" w:hAnsi="Arial" w:cs="Arial"/>
          <w:color w:val="7B7B7B" w:themeColor="accent3" w:themeShade="BF"/>
          <w:sz w:val="22"/>
          <w:szCs w:val="22"/>
          <w:lang w:val="en-GB"/>
        </w:rPr>
      </w:pPr>
    </w:p>
    <w:p w14:paraId="08E1FD3E" w14:textId="77777777" w:rsidR="00280D78" w:rsidRPr="00891087"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should be noted that the Resolution appointing Ms. G expressly excludes from Ms. G’s authority certain powers, and such powers remain vested in DGF. Specifically, DGF retains the power to claim damages from a related party to the Bank, make a claim against a non-banking financial institution that raised money as loans or deposits from individuals, and arrange for the sale of the Bank’s assets. </w:t>
      </w:r>
    </w:p>
    <w:p w14:paraId="60BCEA85" w14:textId="77777777" w:rsidR="00280D78" w:rsidRDefault="00280D78" w:rsidP="00280D78">
      <w:pPr>
        <w:jc w:val="both"/>
        <w:rPr>
          <w:rFonts w:ascii="Arial" w:hAnsi="Arial" w:cs="Arial"/>
          <w:color w:val="7B7B7B" w:themeColor="accent3" w:themeShade="BF"/>
          <w:sz w:val="22"/>
          <w:szCs w:val="22"/>
          <w:lang w:val="en-GB"/>
        </w:rPr>
      </w:pPr>
    </w:p>
    <w:p w14:paraId="4A7DD698" w14:textId="77777777" w:rsidR="00280D78" w:rsidRDefault="00280D78" w:rsidP="00280D7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Taking the above factors into account, subject to satisfying the Court that no public policy considerations exist and meeting the evidentiary requirements of Article 15, the Court should recognize the Bank’s liquidation as a “foreign proceeding” and Ms G and/or DGF as “foreign representatives.”</w:t>
      </w:r>
    </w:p>
    <w:p w14:paraId="172B2D0A" w14:textId="5A0B0DB6" w:rsidR="00387106" w:rsidRPr="009B5832" w:rsidRDefault="00387106" w:rsidP="00707FC8">
      <w:pPr>
        <w:jc w:val="both"/>
        <w:rPr>
          <w:rFonts w:ascii="Arial" w:hAnsi="Arial" w:cs="Arial"/>
          <w:sz w:val="22"/>
          <w:szCs w:val="22"/>
          <w:lang w:val="en-GB"/>
        </w:rPr>
      </w:pPr>
      <w:bookmarkStart w:id="30" w:name="_GoBack"/>
      <w:bookmarkEnd w:id="30"/>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27B0" w14:textId="77777777" w:rsidR="00C45C98" w:rsidRDefault="00C45C98" w:rsidP="00241B44">
      <w:r>
        <w:separator/>
      </w:r>
    </w:p>
  </w:endnote>
  <w:endnote w:type="continuationSeparator" w:id="0">
    <w:p w14:paraId="35CDFC29" w14:textId="77777777" w:rsidR="00C45C98" w:rsidRDefault="00C45C9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6BD6B93F" w:rsidR="0036760B" w:rsidRPr="00784B4B" w:rsidRDefault="00280D78" w:rsidP="0036760B">
    <w:pPr>
      <w:pStyle w:val="Footer"/>
      <w:ind w:right="360" w:firstLine="360"/>
      <w:rPr>
        <w:rFonts w:ascii="Arial" w:hAnsi="Arial" w:cs="Arial"/>
        <w:sz w:val="18"/>
        <w:szCs w:val="18"/>
      </w:rPr>
    </w:pPr>
    <w:r>
      <w:rPr>
        <w:rFonts w:ascii="Arial" w:hAnsi="Arial" w:cs="Arial"/>
        <w:sz w:val="18"/>
        <w:szCs w:val="18"/>
      </w:rPr>
      <w:t>202122-544</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3BEB" w14:textId="77777777" w:rsidR="00C45C98" w:rsidRDefault="00C45C98" w:rsidP="00241B44">
      <w:r>
        <w:separator/>
      </w:r>
    </w:p>
  </w:footnote>
  <w:footnote w:type="continuationSeparator" w:id="0">
    <w:p w14:paraId="33D06134" w14:textId="77777777" w:rsidR="00C45C98" w:rsidRDefault="00C45C98" w:rsidP="00241B44">
      <w:r>
        <w:continuationSeparator/>
      </w:r>
    </w:p>
  </w:footnote>
  <w:footnote w:id="1">
    <w:p w14:paraId="71C78B72" w14:textId="77777777" w:rsidR="00280D78" w:rsidRDefault="00280D78" w:rsidP="00280D78">
      <w:pPr>
        <w:pStyle w:val="FootnoteText"/>
      </w:pPr>
      <w:r>
        <w:rPr>
          <w:rStyle w:val="FootnoteReference"/>
        </w:rPr>
        <w:footnoteRef/>
      </w:r>
      <w:r>
        <w:t xml:space="preserve"> Model Law Module </w:t>
      </w:r>
      <w:proofErr w:type="spellStart"/>
      <w:r>
        <w:t>pg</w:t>
      </w:r>
      <w:proofErr w:type="spellEnd"/>
      <w:r>
        <w:t xml:space="preserve"> 27.</w:t>
      </w:r>
    </w:p>
  </w:footnote>
  <w:footnote w:id="2">
    <w:p w14:paraId="0F3D7E4B" w14:textId="77777777" w:rsidR="00280D78" w:rsidRDefault="00280D78" w:rsidP="00280D78">
      <w:pPr>
        <w:pStyle w:val="FootnoteText"/>
      </w:pPr>
      <w:r>
        <w:rPr>
          <w:rStyle w:val="FootnoteReference"/>
        </w:rPr>
        <w:footnoteRef/>
      </w:r>
      <w:r>
        <w:t xml:space="preserve"> Https://www.globalrestrucuringwatch.com/2019/04/clarity-on-cross-border-conundrum</w:t>
      </w:r>
    </w:p>
  </w:footnote>
  <w:footnote w:id="3">
    <w:p w14:paraId="4522A9AF" w14:textId="77777777" w:rsidR="00280D78" w:rsidRDefault="00280D78" w:rsidP="00280D78">
      <w:pPr>
        <w:pStyle w:val="FootnoteText"/>
      </w:pPr>
      <w:r>
        <w:rPr>
          <w:rStyle w:val="FootnoteReference"/>
        </w:rPr>
        <w:footnoteRef/>
      </w:r>
      <w:r>
        <w:t xml:space="preserve"> Model Law Module p 27</w:t>
      </w:r>
    </w:p>
  </w:footnote>
  <w:footnote w:id="4">
    <w:p w14:paraId="5DD47F61" w14:textId="77777777" w:rsidR="00280D78" w:rsidRDefault="00280D78" w:rsidP="00280D78">
      <w:pPr>
        <w:pStyle w:val="FootnoteText"/>
      </w:pPr>
      <w:r>
        <w:rPr>
          <w:rStyle w:val="FootnoteReference"/>
        </w:rPr>
        <w:footnoteRef/>
      </w:r>
      <w:r>
        <w:t xml:space="preserve"> Australian Equity Investors [2012] FCA 1002</w:t>
      </w:r>
    </w:p>
  </w:footnote>
  <w:footnote w:id="5">
    <w:p w14:paraId="7A4065BC" w14:textId="77777777" w:rsidR="00280D78" w:rsidRDefault="00280D78" w:rsidP="00280D78">
      <w:pPr>
        <w:pStyle w:val="FootnoteText"/>
      </w:pPr>
      <w:r>
        <w:rPr>
          <w:rStyle w:val="FootnoteReference"/>
        </w:rPr>
        <w:footnoteRef/>
      </w:r>
      <w:r>
        <w:t xml:space="preserve"> Model Law Module p 43</w:t>
      </w:r>
    </w:p>
  </w:footnote>
  <w:footnote w:id="6">
    <w:p w14:paraId="138BC839" w14:textId="77777777" w:rsidR="00280D78" w:rsidRDefault="00280D78" w:rsidP="00280D78">
      <w:pPr>
        <w:pStyle w:val="FootnoteText"/>
      </w:pPr>
      <w:r>
        <w:rPr>
          <w:rStyle w:val="FootnoteReference"/>
        </w:rPr>
        <w:footnoteRef/>
      </w:r>
      <w:r>
        <w:t xml:space="preserve"> Guide to Enactment and Interpretation §239</w:t>
      </w:r>
    </w:p>
  </w:footnote>
  <w:footnote w:id="7">
    <w:p w14:paraId="748CEDF9" w14:textId="77777777" w:rsidR="00280D78" w:rsidRDefault="00280D78" w:rsidP="00280D78">
      <w:pPr>
        <w:pStyle w:val="FootnoteText"/>
      </w:pPr>
      <w:r>
        <w:rPr>
          <w:rStyle w:val="FootnoteReference"/>
        </w:rPr>
        <w:footnoteRef/>
      </w:r>
      <w:r>
        <w:t xml:space="preserve"> Guide to Enactment and Interpretation §137</w:t>
      </w:r>
    </w:p>
  </w:footnote>
  <w:footnote w:id="8">
    <w:p w14:paraId="5D925D4B" w14:textId="77777777" w:rsidR="00280D78" w:rsidRDefault="00280D78" w:rsidP="00280D78">
      <w:pPr>
        <w:pStyle w:val="FootnoteText"/>
      </w:pPr>
      <w:r>
        <w:rPr>
          <w:rStyle w:val="FootnoteReference"/>
        </w:rPr>
        <w:footnoteRef/>
      </w:r>
      <w:r>
        <w:t xml:space="preserve"> Model Law Module </w:t>
      </w:r>
      <w:proofErr w:type="spellStart"/>
      <w:r>
        <w:t>pg</w:t>
      </w:r>
      <w:proofErr w:type="spellEnd"/>
      <w:r>
        <w:t xml:space="preserve"> 26</w:t>
      </w:r>
    </w:p>
  </w:footnote>
  <w:footnote w:id="9">
    <w:p w14:paraId="5311FF8E" w14:textId="77777777" w:rsidR="00280D78" w:rsidRDefault="00280D78" w:rsidP="00280D78">
      <w:pPr>
        <w:pStyle w:val="FootnoteText"/>
      </w:pPr>
      <w:r>
        <w:rPr>
          <w:rStyle w:val="FootnoteReference"/>
        </w:rPr>
        <w:footnoteRef/>
      </w:r>
      <w:r>
        <w:t xml:space="preserve"> Model Law Module </w:t>
      </w:r>
      <w:proofErr w:type="spellStart"/>
      <w:r>
        <w:t>pg</w:t>
      </w:r>
      <w:proofErr w:type="spellEnd"/>
      <w:r>
        <w:t xml:space="preserve"> 27</w:t>
      </w:r>
    </w:p>
  </w:footnote>
  <w:footnote w:id="10">
    <w:p w14:paraId="1B516846" w14:textId="77777777" w:rsidR="00280D78" w:rsidRDefault="00280D78" w:rsidP="00280D78">
      <w:pPr>
        <w:pStyle w:val="FootnoteText"/>
      </w:pPr>
      <w:r>
        <w:rPr>
          <w:rStyle w:val="FootnoteReference"/>
        </w:rPr>
        <w:footnoteRef/>
      </w:r>
      <w:r>
        <w:t xml:space="preserve"> Guide to Enactment and Interpretation §183</w:t>
      </w:r>
    </w:p>
  </w:footnote>
  <w:footnote w:id="11">
    <w:p w14:paraId="1D1A112F" w14:textId="77777777" w:rsidR="00280D78" w:rsidRDefault="00280D78" w:rsidP="00280D78">
      <w:pPr>
        <w:pStyle w:val="FootnoteText"/>
      </w:pPr>
      <w:r>
        <w:rPr>
          <w:rStyle w:val="FootnoteReference"/>
        </w:rPr>
        <w:footnoteRef/>
      </w:r>
      <w:r>
        <w:t xml:space="preserve"> Guide to Enactment and Interpretation §165</w:t>
      </w:r>
    </w:p>
  </w:footnote>
  <w:footnote w:id="12">
    <w:p w14:paraId="7BF1248A" w14:textId="77777777" w:rsidR="00280D78" w:rsidRDefault="00280D78" w:rsidP="00280D78">
      <w:pPr>
        <w:pStyle w:val="FootnoteText"/>
      </w:pPr>
      <w:r>
        <w:rPr>
          <w:rStyle w:val="FootnoteReference"/>
        </w:rPr>
        <w:footnoteRef/>
      </w:r>
      <w:r>
        <w:t xml:space="preserve"> Article 25(a)</w:t>
      </w:r>
    </w:p>
  </w:footnote>
  <w:footnote w:id="13">
    <w:p w14:paraId="6D13BC90" w14:textId="77777777" w:rsidR="00280D78" w:rsidRDefault="00280D78" w:rsidP="00280D78">
      <w:pPr>
        <w:pStyle w:val="FootnoteText"/>
      </w:pPr>
      <w:r>
        <w:rPr>
          <w:rStyle w:val="FootnoteReference"/>
        </w:rPr>
        <w:footnoteRef/>
      </w:r>
      <w:r>
        <w:t xml:space="preserve"> Article 25(b)</w:t>
      </w:r>
    </w:p>
  </w:footnote>
  <w:footnote w:id="14">
    <w:p w14:paraId="2935D906" w14:textId="77777777" w:rsidR="00280D78" w:rsidRDefault="00280D78" w:rsidP="00280D78">
      <w:pPr>
        <w:pStyle w:val="FootnoteText"/>
      </w:pPr>
      <w:r>
        <w:rPr>
          <w:rStyle w:val="FootnoteReference"/>
        </w:rPr>
        <w:footnoteRef/>
      </w:r>
      <w:r>
        <w:t xml:space="preserve"> Article 26(a)</w:t>
      </w:r>
    </w:p>
  </w:footnote>
  <w:footnote w:id="15">
    <w:p w14:paraId="11D386A3" w14:textId="77777777" w:rsidR="00280D78" w:rsidRDefault="00280D78" w:rsidP="00280D78">
      <w:pPr>
        <w:pStyle w:val="FootnoteText"/>
      </w:pPr>
      <w:r>
        <w:rPr>
          <w:rStyle w:val="FootnoteReference"/>
        </w:rPr>
        <w:footnoteRef/>
      </w:r>
      <w:r>
        <w:t xml:space="preserve"> Article 26(b)</w:t>
      </w:r>
    </w:p>
  </w:footnote>
  <w:footnote w:id="16">
    <w:p w14:paraId="7AE0CB51" w14:textId="77777777" w:rsidR="00280D78" w:rsidRDefault="00280D78" w:rsidP="00280D78">
      <w:pPr>
        <w:pStyle w:val="FootnoteText"/>
      </w:pPr>
      <w:r>
        <w:rPr>
          <w:rStyle w:val="FootnoteReference"/>
        </w:rPr>
        <w:footnoteRef/>
      </w:r>
      <w:r>
        <w:t xml:space="preserve"> Article 27(a)</w:t>
      </w:r>
    </w:p>
  </w:footnote>
  <w:footnote w:id="17">
    <w:p w14:paraId="1CE4D3CB" w14:textId="77777777" w:rsidR="00280D78" w:rsidRDefault="00280D78" w:rsidP="00280D78">
      <w:pPr>
        <w:pStyle w:val="FootnoteText"/>
      </w:pPr>
      <w:r>
        <w:rPr>
          <w:rStyle w:val="FootnoteReference"/>
        </w:rPr>
        <w:footnoteRef/>
      </w:r>
      <w:r>
        <w:t xml:space="preserve"> Article 27(b)</w:t>
      </w:r>
    </w:p>
  </w:footnote>
  <w:footnote w:id="18">
    <w:p w14:paraId="119DE5D8" w14:textId="77777777" w:rsidR="00280D78" w:rsidRDefault="00280D78" w:rsidP="00280D78">
      <w:pPr>
        <w:pStyle w:val="FootnoteText"/>
      </w:pPr>
      <w:r>
        <w:rPr>
          <w:rStyle w:val="FootnoteReference"/>
        </w:rPr>
        <w:footnoteRef/>
      </w:r>
      <w:r>
        <w:t xml:space="preserve"> Article 27(c)</w:t>
      </w:r>
    </w:p>
  </w:footnote>
  <w:footnote w:id="19">
    <w:p w14:paraId="718753CD" w14:textId="77777777" w:rsidR="00280D78" w:rsidRDefault="00280D78" w:rsidP="00280D78">
      <w:pPr>
        <w:pStyle w:val="FootnoteText"/>
      </w:pPr>
      <w:r>
        <w:rPr>
          <w:rStyle w:val="FootnoteReference"/>
        </w:rPr>
        <w:footnoteRef/>
      </w:r>
      <w:r>
        <w:t xml:space="preserve"> Article 27(d)</w:t>
      </w:r>
    </w:p>
  </w:footnote>
  <w:footnote w:id="20">
    <w:p w14:paraId="6FA6D27C" w14:textId="77777777" w:rsidR="00280D78" w:rsidRDefault="00280D78" w:rsidP="00280D78">
      <w:pPr>
        <w:pStyle w:val="FootnoteText"/>
      </w:pPr>
      <w:r>
        <w:rPr>
          <w:rStyle w:val="FootnoteReference"/>
        </w:rPr>
        <w:footnoteRef/>
      </w:r>
      <w:r>
        <w:t xml:space="preserve"> Article 27(e)</w:t>
      </w:r>
    </w:p>
  </w:footnote>
  <w:footnote w:id="21">
    <w:p w14:paraId="4203014E" w14:textId="77777777" w:rsidR="00280D78" w:rsidRDefault="00280D78" w:rsidP="00280D78">
      <w:pPr>
        <w:pStyle w:val="FootnoteText"/>
      </w:pPr>
      <w:r>
        <w:rPr>
          <w:rStyle w:val="FootnoteReference"/>
        </w:rPr>
        <w:footnoteRef/>
      </w:r>
      <w:r>
        <w:t xml:space="preserve"> Guide to Enactment and Interpretation §127</w:t>
      </w:r>
    </w:p>
  </w:footnote>
  <w:footnote w:id="22">
    <w:p w14:paraId="0855F172" w14:textId="77777777" w:rsidR="00280D78" w:rsidRDefault="00280D78" w:rsidP="00280D78">
      <w:pPr>
        <w:pStyle w:val="FootnoteText"/>
      </w:pPr>
      <w:r>
        <w:rPr>
          <w:rStyle w:val="FootnoteReference"/>
        </w:rPr>
        <w:footnoteRef/>
      </w:r>
      <w:r>
        <w:t xml:space="preserve"> Guide to Enactment and Interpretation §128</w:t>
      </w:r>
    </w:p>
  </w:footnote>
  <w:footnote w:id="23">
    <w:p w14:paraId="641C494D" w14:textId="77777777" w:rsidR="00280D78" w:rsidRDefault="00280D78" w:rsidP="00280D78">
      <w:pPr>
        <w:pStyle w:val="FootnoteText"/>
      </w:pPr>
      <w:r>
        <w:rPr>
          <w:rStyle w:val="FootnoteReference"/>
        </w:rPr>
        <w:footnoteRef/>
      </w:r>
      <w:r>
        <w:t xml:space="preserve"> Guide to Enactment and Interpretation §129</w:t>
      </w:r>
    </w:p>
  </w:footnote>
  <w:footnote w:id="24">
    <w:p w14:paraId="2C34F33A" w14:textId="77777777" w:rsidR="00280D78" w:rsidRDefault="00280D78" w:rsidP="00280D78">
      <w:pPr>
        <w:pStyle w:val="FootnoteText"/>
      </w:pPr>
      <w:r>
        <w:rPr>
          <w:rStyle w:val="FootnoteReference"/>
        </w:rPr>
        <w:footnoteRef/>
      </w:r>
      <w:r>
        <w:t xml:space="preserve"> Article 15(2)(a)</w:t>
      </w:r>
    </w:p>
  </w:footnote>
  <w:footnote w:id="25">
    <w:p w14:paraId="0663D343" w14:textId="77777777" w:rsidR="00280D78" w:rsidRDefault="00280D78" w:rsidP="00280D78">
      <w:pPr>
        <w:pStyle w:val="FootnoteText"/>
      </w:pPr>
      <w:r>
        <w:rPr>
          <w:rStyle w:val="FootnoteReference"/>
        </w:rPr>
        <w:footnoteRef/>
      </w:r>
      <w:r>
        <w:t xml:space="preserve"> Article 15(2)(b)</w:t>
      </w:r>
    </w:p>
  </w:footnote>
  <w:footnote w:id="26">
    <w:p w14:paraId="3EAC66FD" w14:textId="77777777" w:rsidR="00280D78" w:rsidRDefault="00280D78" w:rsidP="00280D78">
      <w:pPr>
        <w:pStyle w:val="FootnoteText"/>
      </w:pPr>
      <w:r>
        <w:rPr>
          <w:rStyle w:val="FootnoteReference"/>
        </w:rPr>
        <w:footnoteRef/>
      </w:r>
      <w:r>
        <w:t xml:space="preserve"> Article 18(a)</w:t>
      </w:r>
    </w:p>
  </w:footnote>
  <w:footnote w:id="27">
    <w:p w14:paraId="76F7D3D8" w14:textId="77777777" w:rsidR="00280D78" w:rsidRDefault="00280D78" w:rsidP="00280D78">
      <w:pPr>
        <w:pStyle w:val="FootnoteText"/>
      </w:pPr>
      <w:r>
        <w:rPr>
          <w:rStyle w:val="FootnoteReference"/>
        </w:rPr>
        <w:footnoteRef/>
      </w:r>
      <w:r>
        <w:t xml:space="preserve"> Article 18(b)</w:t>
      </w:r>
    </w:p>
  </w:footnote>
  <w:footnote w:id="28">
    <w:p w14:paraId="1C8700CE" w14:textId="77777777" w:rsidR="00280D78" w:rsidRDefault="00280D78" w:rsidP="00280D78">
      <w:pPr>
        <w:pStyle w:val="FootnoteText"/>
      </w:pPr>
      <w:r>
        <w:rPr>
          <w:rStyle w:val="FootnoteReference"/>
        </w:rPr>
        <w:footnoteRef/>
      </w:r>
      <w:r>
        <w:t xml:space="preserve"> Guide to Enactment and Interpretation §132</w:t>
      </w:r>
    </w:p>
  </w:footnote>
  <w:footnote w:id="29">
    <w:p w14:paraId="023691B7" w14:textId="77777777" w:rsidR="00280D78" w:rsidRDefault="00280D78" w:rsidP="00280D78">
      <w:pPr>
        <w:pStyle w:val="FootnoteText"/>
      </w:pPr>
      <w:r>
        <w:rPr>
          <w:rStyle w:val="FootnoteReference"/>
        </w:rPr>
        <w:footnoteRef/>
      </w:r>
      <w:r>
        <w:t xml:space="preserve"> Article 16(2)</w:t>
      </w:r>
    </w:p>
  </w:footnote>
  <w:footnote w:id="30">
    <w:p w14:paraId="0280D9C6" w14:textId="77777777" w:rsidR="00280D78" w:rsidRDefault="00280D78" w:rsidP="00280D78">
      <w:pPr>
        <w:pStyle w:val="FootnoteText"/>
      </w:pPr>
      <w:r>
        <w:rPr>
          <w:rStyle w:val="FootnoteReference"/>
        </w:rPr>
        <w:footnoteRef/>
      </w:r>
      <w:r>
        <w:t xml:space="preserve"> Article 16(3)</w:t>
      </w:r>
    </w:p>
  </w:footnote>
  <w:footnote w:id="31">
    <w:p w14:paraId="242F2E91" w14:textId="77777777" w:rsidR="00280D78" w:rsidRDefault="00280D78" w:rsidP="00280D78">
      <w:pPr>
        <w:pStyle w:val="FootnoteText"/>
      </w:pPr>
      <w:r>
        <w:rPr>
          <w:rStyle w:val="FootnoteReference"/>
        </w:rPr>
        <w:footnoteRef/>
      </w:r>
      <w:r>
        <w:t xml:space="preserve"> Guide to Enactment and Interpretation §150</w:t>
      </w:r>
    </w:p>
  </w:footnote>
  <w:footnote w:id="32">
    <w:p w14:paraId="411A2C8A" w14:textId="77777777" w:rsidR="00280D78" w:rsidRDefault="00280D78" w:rsidP="00280D78">
      <w:pPr>
        <w:pStyle w:val="FootnoteText"/>
      </w:pPr>
      <w:r>
        <w:rPr>
          <w:rStyle w:val="FootnoteReference"/>
        </w:rPr>
        <w:footnoteRef/>
      </w:r>
      <w:r>
        <w:t xml:space="preserve"> Article 6</w:t>
      </w:r>
    </w:p>
  </w:footnote>
  <w:footnote w:id="33">
    <w:p w14:paraId="242B815A" w14:textId="77777777" w:rsidR="00280D78" w:rsidRDefault="00280D78" w:rsidP="00280D78">
      <w:pPr>
        <w:pStyle w:val="FootnoteText"/>
      </w:pPr>
      <w:r>
        <w:rPr>
          <w:rStyle w:val="FootnoteReference"/>
        </w:rPr>
        <w:footnoteRef/>
      </w:r>
      <w:r>
        <w:t xml:space="preserve"> Article 17(1); Guide to Enactment and Interpretation §161</w:t>
      </w:r>
    </w:p>
  </w:footnote>
  <w:footnote w:id="34">
    <w:p w14:paraId="340E1DA8" w14:textId="77777777" w:rsidR="00280D78" w:rsidRDefault="00280D78" w:rsidP="00280D78">
      <w:pPr>
        <w:pStyle w:val="FootnoteText"/>
      </w:pPr>
      <w:r>
        <w:rPr>
          <w:rStyle w:val="FootnoteReference"/>
        </w:rPr>
        <w:footnoteRef/>
      </w:r>
      <w:r>
        <w:t xml:space="preserve"> Article 17(1)(a)</w:t>
      </w:r>
    </w:p>
  </w:footnote>
  <w:footnote w:id="35">
    <w:p w14:paraId="1C948635" w14:textId="77777777" w:rsidR="00280D78" w:rsidRDefault="00280D78" w:rsidP="00280D78">
      <w:pPr>
        <w:pStyle w:val="FootnoteText"/>
      </w:pPr>
      <w:r>
        <w:rPr>
          <w:rStyle w:val="FootnoteReference"/>
        </w:rPr>
        <w:footnoteRef/>
      </w:r>
      <w:r>
        <w:t xml:space="preserve"> Article 17(1)(b)</w:t>
      </w:r>
    </w:p>
  </w:footnote>
  <w:footnote w:id="36">
    <w:p w14:paraId="08ED605F" w14:textId="77777777" w:rsidR="00280D78" w:rsidRDefault="00280D78" w:rsidP="00280D78">
      <w:pPr>
        <w:pStyle w:val="FootnoteText"/>
      </w:pPr>
      <w:r>
        <w:rPr>
          <w:rStyle w:val="FootnoteReference"/>
        </w:rPr>
        <w:footnoteRef/>
      </w:r>
      <w:r>
        <w:t xml:space="preserve"> Article 17(1)(c)</w:t>
      </w:r>
    </w:p>
  </w:footnote>
  <w:footnote w:id="37">
    <w:p w14:paraId="1596CA12" w14:textId="77777777" w:rsidR="00280D78" w:rsidRDefault="00280D78" w:rsidP="00280D78">
      <w:pPr>
        <w:pStyle w:val="FootnoteText"/>
      </w:pPr>
      <w:r>
        <w:rPr>
          <w:rStyle w:val="FootnoteReference"/>
        </w:rPr>
        <w:footnoteRef/>
      </w:r>
      <w:r>
        <w:t xml:space="preserve"> Article 17(1)(d)</w:t>
      </w:r>
    </w:p>
  </w:footnote>
  <w:footnote w:id="38">
    <w:p w14:paraId="54D2D8CC" w14:textId="77777777" w:rsidR="00280D78" w:rsidRDefault="00280D78" w:rsidP="00280D78">
      <w:pPr>
        <w:pStyle w:val="FootnoteText"/>
      </w:pPr>
      <w:r>
        <w:rPr>
          <w:rStyle w:val="FootnoteReference"/>
        </w:rPr>
        <w:footnoteRef/>
      </w:r>
      <w:r>
        <w:t xml:space="preserve"> Article 17(2)(a)</w:t>
      </w:r>
    </w:p>
  </w:footnote>
  <w:footnote w:id="39">
    <w:p w14:paraId="37D3F628" w14:textId="77777777" w:rsidR="00280D78" w:rsidRDefault="00280D78" w:rsidP="00280D78">
      <w:pPr>
        <w:pStyle w:val="FootnoteText"/>
      </w:pPr>
      <w:r>
        <w:rPr>
          <w:rStyle w:val="FootnoteReference"/>
        </w:rPr>
        <w:footnoteRef/>
      </w:r>
      <w:r>
        <w:t xml:space="preserve"> Article 17(2)(b)</w:t>
      </w:r>
    </w:p>
  </w:footnote>
  <w:footnote w:id="40">
    <w:p w14:paraId="59973386" w14:textId="77777777" w:rsidR="00280D78" w:rsidRDefault="00280D78" w:rsidP="00280D78">
      <w:pPr>
        <w:pStyle w:val="FootnoteText"/>
      </w:pPr>
      <w:r>
        <w:rPr>
          <w:rStyle w:val="FootnoteReference"/>
        </w:rPr>
        <w:footnoteRef/>
      </w:r>
      <w:r>
        <w:t xml:space="preserve"> Model Law Module </w:t>
      </w:r>
      <w:proofErr w:type="spellStart"/>
      <w:r>
        <w:t>pg</w:t>
      </w:r>
      <w:proofErr w:type="spellEnd"/>
      <w:r>
        <w:t xml:space="preserve"> 27</w:t>
      </w:r>
    </w:p>
  </w:footnote>
  <w:footnote w:id="41">
    <w:p w14:paraId="18A0711A" w14:textId="77777777" w:rsidR="00280D78" w:rsidRDefault="00280D78" w:rsidP="00280D78">
      <w:pPr>
        <w:pStyle w:val="FootnoteText"/>
      </w:pPr>
      <w:r>
        <w:rPr>
          <w:rStyle w:val="FootnoteReference"/>
        </w:rPr>
        <w:footnoteRef/>
      </w:r>
      <w:r>
        <w:t xml:space="preserve"> Article 16(3)</w:t>
      </w:r>
    </w:p>
  </w:footnote>
  <w:footnote w:id="42">
    <w:p w14:paraId="5E1FA89E" w14:textId="77777777" w:rsidR="00280D78" w:rsidRDefault="00280D78" w:rsidP="00280D78">
      <w:pPr>
        <w:pStyle w:val="FootnoteText"/>
      </w:pPr>
      <w:r>
        <w:rPr>
          <w:rStyle w:val="FootnoteReference"/>
        </w:rPr>
        <w:footnoteRef/>
      </w:r>
      <w:r>
        <w:t xml:space="preserve"> Guide to Enactment and Interpretation §158</w:t>
      </w:r>
    </w:p>
  </w:footnote>
  <w:footnote w:id="43">
    <w:p w14:paraId="7F949BBF" w14:textId="77777777" w:rsidR="00280D78" w:rsidRDefault="00280D78" w:rsidP="00280D78">
      <w:pPr>
        <w:pStyle w:val="FootnoteText"/>
      </w:pPr>
      <w:r>
        <w:rPr>
          <w:rStyle w:val="FootnoteReference"/>
        </w:rPr>
        <w:footnoteRef/>
      </w:r>
      <w:r>
        <w:t xml:space="preserve"> Module </w:t>
      </w:r>
      <w:proofErr w:type="spellStart"/>
      <w:r>
        <w:t>pg</w:t>
      </w:r>
      <w:proofErr w:type="spellEnd"/>
      <w:r>
        <w:t xml:space="preserve"> 26</w:t>
      </w:r>
    </w:p>
  </w:footnote>
  <w:footnote w:id="44">
    <w:p w14:paraId="0327F33D" w14:textId="77777777" w:rsidR="00280D78" w:rsidRDefault="00280D78" w:rsidP="00280D78">
      <w:pPr>
        <w:pStyle w:val="FootnoteText"/>
      </w:pPr>
      <w:r>
        <w:rPr>
          <w:rStyle w:val="FootnoteReference"/>
        </w:rPr>
        <w:footnoteRef/>
      </w:r>
      <w:r>
        <w:t xml:space="preserve"> Guide to Enactment and Interpretation §165</w:t>
      </w:r>
    </w:p>
  </w:footnote>
  <w:footnote w:id="45">
    <w:p w14:paraId="2EAB2096" w14:textId="77777777" w:rsidR="00280D78" w:rsidRDefault="00280D78" w:rsidP="00280D78">
      <w:pPr>
        <w:pStyle w:val="FootnoteText"/>
      </w:pPr>
      <w:r>
        <w:rPr>
          <w:rStyle w:val="FootnoteReference"/>
        </w:rPr>
        <w:footnoteRef/>
      </w:r>
      <w:r>
        <w:t xml:space="preserve"> Article 18(a)</w:t>
      </w:r>
    </w:p>
  </w:footnote>
  <w:footnote w:id="46">
    <w:p w14:paraId="760DE186" w14:textId="77777777" w:rsidR="00280D78" w:rsidRDefault="00280D78" w:rsidP="00280D78">
      <w:pPr>
        <w:pStyle w:val="FootnoteText"/>
      </w:pPr>
      <w:r>
        <w:rPr>
          <w:rStyle w:val="FootnoteReference"/>
        </w:rPr>
        <w:footnoteRef/>
      </w:r>
      <w:r>
        <w:t xml:space="preserve"> Article 18(b)</w:t>
      </w:r>
    </w:p>
  </w:footnote>
  <w:footnote w:id="47">
    <w:p w14:paraId="0D91CA05" w14:textId="77777777" w:rsidR="00280D78" w:rsidRDefault="00280D78" w:rsidP="00280D78">
      <w:pPr>
        <w:pStyle w:val="FootnoteText"/>
      </w:pPr>
      <w:r>
        <w:rPr>
          <w:rStyle w:val="FootnoteReference"/>
        </w:rPr>
        <w:footnoteRef/>
      </w:r>
      <w:r>
        <w:t xml:space="preserve"> Module 8.2.6</w:t>
      </w:r>
    </w:p>
  </w:footnote>
  <w:footnote w:id="48">
    <w:p w14:paraId="2CFFCA81" w14:textId="77777777" w:rsidR="00280D78" w:rsidRDefault="00280D78" w:rsidP="00280D78">
      <w:pPr>
        <w:pStyle w:val="FootnoteText"/>
      </w:pPr>
      <w:r>
        <w:rPr>
          <w:rStyle w:val="FootnoteReference"/>
        </w:rPr>
        <w:footnoteRef/>
      </w:r>
      <w:r>
        <w:t xml:space="preserve"> Guide to Enactment and Interpretation §161</w:t>
      </w:r>
    </w:p>
  </w:footnote>
  <w:footnote w:id="49">
    <w:p w14:paraId="6C08828A" w14:textId="77777777" w:rsidR="00280D78" w:rsidRDefault="00280D78" w:rsidP="00280D78">
      <w:pPr>
        <w:pStyle w:val="FootnoteText"/>
      </w:pPr>
      <w:r>
        <w:rPr>
          <w:rStyle w:val="FootnoteReference"/>
        </w:rPr>
        <w:footnoteRef/>
      </w:r>
      <w:r>
        <w:t xml:space="preserve"> Module §8.2.8</w:t>
      </w:r>
    </w:p>
  </w:footnote>
  <w:footnote w:id="50">
    <w:p w14:paraId="6FF5DE27" w14:textId="77777777" w:rsidR="00280D78" w:rsidRDefault="00280D78" w:rsidP="00280D78">
      <w:pPr>
        <w:pStyle w:val="FootnoteText"/>
      </w:pPr>
      <w:r>
        <w:rPr>
          <w:rStyle w:val="FootnoteReference"/>
        </w:rPr>
        <w:footnoteRef/>
      </w:r>
      <w:r>
        <w:t xml:space="preserve"> Bailey &amp; Grooves §35.6</w:t>
      </w:r>
    </w:p>
  </w:footnote>
  <w:footnote w:id="51">
    <w:p w14:paraId="46586558" w14:textId="77777777" w:rsidR="00280D78" w:rsidRDefault="00280D78" w:rsidP="00280D78">
      <w:pPr>
        <w:pStyle w:val="FootnoteText"/>
      </w:pPr>
      <w:r>
        <w:rPr>
          <w:rStyle w:val="FootnoteReference"/>
        </w:rPr>
        <w:footnoteRef/>
      </w:r>
      <w:r>
        <w:t xml:space="preserve"> Bailey &amp; Grooves §35.6</w:t>
      </w:r>
    </w:p>
  </w:footnote>
  <w:footnote w:id="52">
    <w:p w14:paraId="4834BF74" w14:textId="77777777" w:rsidR="00280D78" w:rsidRDefault="00280D78" w:rsidP="00280D78">
      <w:pPr>
        <w:pStyle w:val="FootnoteText"/>
      </w:pPr>
      <w:r>
        <w:rPr>
          <w:rStyle w:val="FootnoteReference"/>
        </w:rPr>
        <w:footnoteRef/>
      </w:r>
      <w:r>
        <w:t xml:space="preserve"> Module §8.3.2</w:t>
      </w:r>
    </w:p>
  </w:footnote>
  <w:footnote w:id="53">
    <w:p w14:paraId="2AA1A0DB" w14:textId="77777777" w:rsidR="00280D78" w:rsidRDefault="00280D78" w:rsidP="00280D78">
      <w:pPr>
        <w:pStyle w:val="FootnoteText"/>
      </w:pPr>
      <w:r>
        <w:rPr>
          <w:rStyle w:val="FootnoteReference"/>
        </w:rPr>
        <w:footnoteRef/>
      </w:r>
      <w:r>
        <w:t xml:space="preserve"> Article 20(3); Bailey &amp; grooves §35.7</w:t>
      </w:r>
    </w:p>
  </w:footnote>
  <w:footnote w:id="54">
    <w:p w14:paraId="15A4B1A0" w14:textId="77777777" w:rsidR="00280D78" w:rsidRDefault="00280D78" w:rsidP="00280D78">
      <w:pPr>
        <w:pStyle w:val="FootnoteText"/>
      </w:pPr>
      <w:r>
        <w:rPr>
          <w:rStyle w:val="FootnoteReference"/>
        </w:rPr>
        <w:footnoteRef/>
      </w:r>
      <w:r>
        <w:t xml:space="preserve"> Guide to Enactment &amp; Interpretation §37</w:t>
      </w:r>
    </w:p>
  </w:footnote>
  <w:footnote w:id="55">
    <w:p w14:paraId="6A3F0636" w14:textId="77777777" w:rsidR="00280D78" w:rsidRDefault="00280D78" w:rsidP="00280D78">
      <w:pPr>
        <w:pStyle w:val="FootnoteText"/>
      </w:pPr>
      <w:r>
        <w:rPr>
          <w:rStyle w:val="FootnoteReference"/>
        </w:rPr>
        <w:footnoteRef/>
      </w:r>
      <w:r>
        <w:t xml:space="preserve"> Module §8.3.2</w:t>
      </w:r>
    </w:p>
  </w:footnote>
  <w:footnote w:id="56">
    <w:p w14:paraId="0EDE4393" w14:textId="77777777" w:rsidR="00280D78" w:rsidRDefault="00280D78" w:rsidP="00280D78">
      <w:pPr>
        <w:pStyle w:val="FootnoteText"/>
      </w:pPr>
      <w:r>
        <w:rPr>
          <w:rStyle w:val="FootnoteReference"/>
        </w:rPr>
        <w:footnoteRef/>
      </w:r>
      <w:r>
        <w:t xml:space="preserve"> Article 19(2)</w:t>
      </w:r>
    </w:p>
  </w:footnote>
  <w:footnote w:id="57">
    <w:p w14:paraId="7FD31ED6" w14:textId="77777777" w:rsidR="00280D78" w:rsidRDefault="00280D78" w:rsidP="00280D78">
      <w:pPr>
        <w:pStyle w:val="FootnoteText"/>
      </w:pPr>
      <w:r>
        <w:rPr>
          <w:rStyle w:val="FootnoteReference"/>
        </w:rPr>
        <w:footnoteRef/>
      </w:r>
      <w:r>
        <w:t xml:space="preserve"> Article 22</w:t>
      </w:r>
    </w:p>
  </w:footnote>
  <w:footnote w:id="58">
    <w:p w14:paraId="61530009" w14:textId="77777777" w:rsidR="00280D78" w:rsidRDefault="00280D78" w:rsidP="00280D78">
      <w:pPr>
        <w:pStyle w:val="FootnoteText"/>
      </w:pPr>
      <w:r>
        <w:rPr>
          <w:rStyle w:val="FootnoteReference"/>
        </w:rPr>
        <w:footnoteRef/>
      </w:r>
      <w:r>
        <w:t xml:space="preserve"> Article 22(2)</w:t>
      </w:r>
    </w:p>
  </w:footnote>
  <w:footnote w:id="59">
    <w:p w14:paraId="483542B2" w14:textId="77777777" w:rsidR="00280D78" w:rsidRDefault="00280D78" w:rsidP="00280D78">
      <w:pPr>
        <w:pStyle w:val="FootnoteText"/>
      </w:pPr>
      <w:r>
        <w:rPr>
          <w:rStyle w:val="FootnoteReference"/>
        </w:rPr>
        <w:footnoteRef/>
      </w:r>
      <w:r>
        <w:t xml:space="preserve"> Module §6.8</w:t>
      </w:r>
    </w:p>
  </w:footnote>
  <w:footnote w:id="60">
    <w:p w14:paraId="3E4C6FF2" w14:textId="77777777" w:rsidR="00280D78" w:rsidRDefault="00280D78" w:rsidP="00280D78">
      <w:pPr>
        <w:pStyle w:val="FootnoteText"/>
      </w:pPr>
      <w:r>
        <w:rPr>
          <w:rStyle w:val="FootnoteReference"/>
        </w:rPr>
        <w:footnoteRef/>
      </w:r>
      <w:r>
        <w:t xml:space="preserve"> Article 23(1)</w:t>
      </w:r>
    </w:p>
  </w:footnote>
  <w:footnote w:id="61">
    <w:p w14:paraId="156F631E" w14:textId="77777777" w:rsidR="00280D78" w:rsidRDefault="00280D78" w:rsidP="00280D78">
      <w:pPr>
        <w:pStyle w:val="FootnoteText"/>
      </w:pPr>
      <w:r>
        <w:rPr>
          <w:rStyle w:val="FootnoteReference"/>
        </w:rPr>
        <w:footnoteRef/>
      </w:r>
      <w:r>
        <w:t xml:space="preserve"> Article 23(2)</w:t>
      </w:r>
    </w:p>
  </w:footnote>
  <w:footnote w:id="62">
    <w:p w14:paraId="6D3A4552" w14:textId="77777777" w:rsidR="00280D78" w:rsidRDefault="00280D78" w:rsidP="00280D78">
      <w:pPr>
        <w:pStyle w:val="FootnoteText"/>
      </w:pPr>
      <w:r>
        <w:rPr>
          <w:rStyle w:val="FootnoteReference"/>
        </w:rPr>
        <w:footnoteRef/>
      </w:r>
      <w:r>
        <w:t xml:space="preserve"> Article 21(1)(a)</w:t>
      </w:r>
    </w:p>
  </w:footnote>
  <w:footnote w:id="63">
    <w:p w14:paraId="6F82494E" w14:textId="77777777" w:rsidR="00280D78" w:rsidRDefault="00280D78" w:rsidP="00280D78">
      <w:pPr>
        <w:pStyle w:val="FootnoteText"/>
      </w:pPr>
      <w:r>
        <w:rPr>
          <w:rStyle w:val="FootnoteReference"/>
        </w:rPr>
        <w:footnoteRef/>
      </w:r>
      <w:r>
        <w:t xml:space="preserve"> Article 21(1)(b)</w:t>
      </w:r>
    </w:p>
  </w:footnote>
  <w:footnote w:id="64">
    <w:p w14:paraId="7443328A" w14:textId="77777777" w:rsidR="00280D78" w:rsidRDefault="00280D78" w:rsidP="00280D78">
      <w:pPr>
        <w:pStyle w:val="FootnoteText"/>
      </w:pPr>
      <w:r>
        <w:rPr>
          <w:rStyle w:val="FootnoteReference"/>
        </w:rPr>
        <w:footnoteRef/>
      </w:r>
      <w:r>
        <w:t xml:space="preserve"> Article 21(1)(c)</w:t>
      </w:r>
    </w:p>
  </w:footnote>
  <w:footnote w:id="65">
    <w:p w14:paraId="50F6C60D" w14:textId="77777777" w:rsidR="00280D78" w:rsidRDefault="00280D78" w:rsidP="00280D78">
      <w:pPr>
        <w:pStyle w:val="FootnoteText"/>
      </w:pPr>
      <w:r>
        <w:rPr>
          <w:rStyle w:val="FootnoteReference"/>
        </w:rPr>
        <w:footnoteRef/>
      </w:r>
      <w:r>
        <w:t xml:space="preserve"> Article 21(1)(d)</w:t>
      </w:r>
    </w:p>
  </w:footnote>
  <w:footnote w:id="66">
    <w:p w14:paraId="2618CC8C" w14:textId="77777777" w:rsidR="00280D78" w:rsidRDefault="00280D78" w:rsidP="00280D78">
      <w:pPr>
        <w:pStyle w:val="FootnoteText"/>
      </w:pPr>
      <w:r>
        <w:rPr>
          <w:rStyle w:val="FootnoteReference"/>
        </w:rPr>
        <w:footnoteRef/>
      </w:r>
      <w:r>
        <w:t xml:space="preserve"> Article 21(1)(e)</w:t>
      </w:r>
    </w:p>
  </w:footnote>
  <w:footnote w:id="67">
    <w:p w14:paraId="206BD8F3" w14:textId="77777777" w:rsidR="00280D78" w:rsidRDefault="00280D78" w:rsidP="00280D78">
      <w:pPr>
        <w:pStyle w:val="FootnoteText"/>
      </w:pPr>
      <w:r>
        <w:rPr>
          <w:rStyle w:val="FootnoteReference"/>
        </w:rPr>
        <w:footnoteRef/>
      </w:r>
      <w:r>
        <w:t xml:space="preserve"> Article 21(1)(f)</w:t>
      </w:r>
    </w:p>
  </w:footnote>
  <w:footnote w:id="68">
    <w:p w14:paraId="646E9DB2" w14:textId="77777777" w:rsidR="00280D78" w:rsidRDefault="00280D78" w:rsidP="00280D78">
      <w:pPr>
        <w:pStyle w:val="FootnoteText"/>
      </w:pPr>
      <w:r>
        <w:rPr>
          <w:rStyle w:val="FootnoteReference"/>
        </w:rPr>
        <w:footnoteRef/>
      </w:r>
      <w:r>
        <w:t xml:space="preserve"> Article 21(1)(g)</w:t>
      </w:r>
    </w:p>
  </w:footnote>
  <w:footnote w:id="69">
    <w:p w14:paraId="02A49115" w14:textId="77777777" w:rsidR="00280D78" w:rsidRDefault="00280D78" w:rsidP="00280D78">
      <w:pPr>
        <w:pStyle w:val="FootnoteText"/>
      </w:pPr>
      <w:r>
        <w:rPr>
          <w:rStyle w:val="FootnoteReference"/>
        </w:rPr>
        <w:footnoteRef/>
      </w:r>
      <w:r>
        <w:t xml:space="preserve"> Article 21(3)</w:t>
      </w:r>
    </w:p>
  </w:footnote>
  <w:footnote w:id="70">
    <w:p w14:paraId="7E5E76D1" w14:textId="77777777" w:rsidR="00280D78" w:rsidRDefault="00280D78" w:rsidP="00280D78">
      <w:pPr>
        <w:pStyle w:val="FootnoteText"/>
      </w:pPr>
      <w:r>
        <w:rPr>
          <w:rStyle w:val="FootnoteReference"/>
        </w:rPr>
        <w:footnoteRef/>
      </w:r>
      <w:r>
        <w:t xml:space="preserve"> Module §8.3.1</w:t>
      </w:r>
    </w:p>
  </w:footnote>
  <w:footnote w:id="71">
    <w:p w14:paraId="090125DE" w14:textId="77777777" w:rsidR="00280D78" w:rsidRPr="00840DCD" w:rsidRDefault="00280D78" w:rsidP="00280D78">
      <w:pPr>
        <w:pStyle w:val="FootnoteText"/>
        <w:rPr>
          <w:i/>
        </w:rPr>
      </w:pPr>
      <w:r>
        <w:rPr>
          <w:rStyle w:val="FootnoteReference"/>
        </w:rPr>
        <w:footnoteRef/>
      </w:r>
      <w:r>
        <w:t xml:space="preserve"> </w:t>
      </w:r>
      <w:r>
        <w:rPr>
          <w:i/>
        </w:rPr>
        <w:t>Pan Ocean Co Ltd [2014] EWHC 2124 (Ch)</w:t>
      </w:r>
    </w:p>
  </w:footnote>
  <w:footnote w:id="72">
    <w:p w14:paraId="0C167C76" w14:textId="77777777" w:rsidR="00280D78" w:rsidRPr="00840DCD" w:rsidRDefault="00280D78" w:rsidP="00280D78">
      <w:pPr>
        <w:pStyle w:val="FootnoteText"/>
      </w:pPr>
      <w:r>
        <w:rPr>
          <w:rStyle w:val="FootnoteReference"/>
        </w:rPr>
        <w:footnoteRef/>
      </w:r>
      <w:r>
        <w:t xml:space="preserve"> </w:t>
      </w:r>
      <w:r>
        <w:rPr>
          <w:i/>
        </w:rPr>
        <w:t xml:space="preserve">Rubin v Euro Finance SA [2013] B.C.C. </w:t>
      </w:r>
      <w:r>
        <w:t>1</w:t>
      </w:r>
    </w:p>
  </w:footnote>
  <w:footnote w:id="73">
    <w:p w14:paraId="55B160EE" w14:textId="77777777" w:rsidR="00280D78" w:rsidRPr="00840DCD" w:rsidRDefault="00280D78" w:rsidP="00280D78">
      <w:pPr>
        <w:pStyle w:val="FootnoteText"/>
        <w:rPr>
          <w:i/>
        </w:rPr>
      </w:pPr>
      <w:r>
        <w:rPr>
          <w:rStyle w:val="FootnoteReference"/>
        </w:rPr>
        <w:footnoteRef/>
      </w:r>
      <w:r>
        <w:t xml:space="preserve"> </w:t>
      </w:r>
      <w:proofErr w:type="spellStart"/>
      <w:r>
        <w:rPr>
          <w:i/>
        </w:rPr>
        <w:t>Bakhshiyeva</w:t>
      </w:r>
      <w:proofErr w:type="spellEnd"/>
      <w:r>
        <w:rPr>
          <w:i/>
        </w:rPr>
        <w:t xml:space="preserve"> v </w:t>
      </w:r>
      <w:proofErr w:type="spellStart"/>
      <w:r>
        <w:rPr>
          <w:i/>
        </w:rPr>
        <w:t>Sherbank</w:t>
      </w:r>
      <w:proofErr w:type="spellEnd"/>
      <w:r>
        <w:rPr>
          <w:i/>
        </w:rPr>
        <w:t xml:space="preserve"> of Russia</w:t>
      </w:r>
      <w:r>
        <w:t xml:space="preserve">; </w:t>
      </w:r>
      <w:r>
        <w:rPr>
          <w:i/>
        </w:rPr>
        <w:t xml:space="preserve">Re OJSV International Bank of </w:t>
      </w:r>
      <w:proofErr w:type="spellStart"/>
      <w:r>
        <w:rPr>
          <w:i/>
        </w:rPr>
        <w:t>Azerbajan</w:t>
      </w:r>
      <w:proofErr w:type="spellEnd"/>
      <w:r>
        <w:rPr>
          <w:i/>
        </w:rPr>
        <w:t xml:space="preserve"> [2019] 2 All ER 713</w:t>
      </w:r>
    </w:p>
  </w:footnote>
  <w:footnote w:id="74">
    <w:p w14:paraId="42252B79" w14:textId="77777777" w:rsidR="00280D78" w:rsidRDefault="00280D78" w:rsidP="00280D78">
      <w:pPr>
        <w:pStyle w:val="FootnoteText"/>
      </w:pPr>
      <w:r>
        <w:rPr>
          <w:rStyle w:val="FootnoteReference"/>
        </w:rPr>
        <w:footnoteRef/>
      </w:r>
      <w:r>
        <w:t xml:space="preserve"> Article 21(1) of the Model Law</w:t>
      </w:r>
    </w:p>
  </w:footnote>
  <w:footnote w:id="75">
    <w:p w14:paraId="270185D1" w14:textId="77777777" w:rsidR="00280D78" w:rsidRDefault="00280D78" w:rsidP="00280D78">
      <w:pPr>
        <w:pStyle w:val="FootnoteText"/>
      </w:pPr>
      <w:r>
        <w:rPr>
          <w:rStyle w:val="FootnoteReference"/>
        </w:rPr>
        <w:footnoteRef/>
      </w:r>
      <w:r>
        <w:t xml:space="preserve"> Article 21 1(c).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93FD0"/>
    <w:multiLevelType w:val="hybridMultilevel"/>
    <w:tmpl w:val="F0DA9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1BF2898"/>
    <w:multiLevelType w:val="hybridMultilevel"/>
    <w:tmpl w:val="4CAA6C0A"/>
    <w:lvl w:ilvl="0" w:tplc="D44C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572BC"/>
    <w:multiLevelType w:val="hybridMultilevel"/>
    <w:tmpl w:val="E83034F8"/>
    <w:lvl w:ilvl="0" w:tplc="0172CE4C">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F0715E"/>
    <w:multiLevelType w:val="hybridMultilevel"/>
    <w:tmpl w:val="D618F17E"/>
    <w:lvl w:ilvl="0" w:tplc="B2DC1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3"/>
  </w:num>
  <w:num w:numId="3">
    <w:abstractNumId w:val="29"/>
  </w:num>
  <w:num w:numId="4">
    <w:abstractNumId w:val="39"/>
  </w:num>
  <w:num w:numId="5">
    <w:abstractNumId w:val="6"/>
  </w:num>
  <w:num w:numId="6">
    <w:abstractNumId w:val="37"/>
  </w:num>
  <w:num w:numId="7">
    <w:abstractNumId w:val="13"/>
  </w:num>
  <w:num w:numId="8">
    <w:abstractNumId w:val="31"/>
  </w:num>
  <w:num w:numId="9">
    <w:abstractNumId w:val="16"/>
  </w:num>
  <w:num w:numId="10">
    <w:abstractNumId w:val="9"/>
  </w:num>
  <w:num w:numId="11">
    <w:abstractNumId w:val="18"/>
  </w:num>
  <w:num w:numId="12">
    <w:abstractNumId w:val="36"/>
  </w:num>
  <w:num w:numId="13">
    <w:abstractNumId w:val="4"/>
  </w:num>
  <w:num w:numId="14">
    <w:abstractNumId w:val="25"/>
  </w:num>
  <w:num w:numId="15">
    <w:abstractNumId w:val="10"/>
  </w:num>
  <w:num w:numId="16">
    <w:abstractNumId w:val="11"/>
  </w:num>
  <w:num w:numId="17">
    <w:abstractNumId w:val="21"/>
  </w:num>
  <w:num w:numId="18">
    <w:abstractNumId w:val="5"/>
  </w:num>
  <w:num w:numId="19">
    <w:abstractNumId w:val="20"/>
  </w:num>
  <w:num w:numId="20">
    <w:abstractNumId w:val="42"/>
  </w:num>
  <w:num w:numId="21">
    <w:abstractNumId w:val="12"/>
  </w:num>
  <w:num w:numId="22">
    <w:abstractNumId w:val="35"/>
  </w:num>
  <w:num w:numId="23">
    <w:abstractNumId w:val="40"/>
  </w:num>
  <w:num w:numId="24">
    <w:abstractNumId w:val="33"/>
  </w:num>
  <w:num w:numId="25">
    <w:abstractNumId w:val="24"/>
  </w:num>
  <w:num w:numId="26">
    <w:abstractNumId w:val="41"/>
  </w:num>
  <w:num w:numId="27">
    <w:abstractNumId w:val="38"/>
  </w:num>
  <w:num w:numId="28">
    <w:abstractNumId w:val="7"/>
  </w:num>
  <w:num w:numId="29">
    <w:abstractNumId w:val="8"/>
  </w:num>
  <w:num w:numId="30">
    <w:abstractNumId w:val="22"/>
  </w:num>
  <w:num w:numId="31">
    <w:abstractNumId w:val="2"/>
  </w:num>
  <w:num w:numId="32">
    <w:abstractNumId w:val="23"/>
  </w:num>
  <w:num w:numId="33">
    <w:abstractNumId w:val="0"/>
  </w:num>
  <w:num w:numId="34">
    <w:abstractNumId w:val="30"/>
  </w:num>
  <w:num w:numId="35">
    <w:abstractNumId w:val="15"/>
  </w:num>
  <w:num w:numId="36">
    <w:abstractNumId w:val="32"/>
  </w:num>
  <w:num w:numId="37">
    <w:abstractNumId w:val="17"/>
  </w:num>
  <w:num w:numId="38">
    <w:abstractNumId w:val="26"/>
  </w:num>
  <w:num w:numId="39">
    <w:abstractNumId w:val="3"/>
  </w:num>
  <w:num w:numId="40">
    <w:abstractNumId w:val="14"/>
  </w:num>
  <w:num w:numId="41">
    <w:abstractNumId w:val="28"/>
  </w:num>
  <w:num w:numId="42">
    <w:abstractNumId w:val="34"/>
  </w:num>
  <w:num w:numId="43">
    <w:abstractNumId w:val="27"/>
  </w:num>
  <w:num w:numId="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0D78"/>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51031"/>
    <w:rsid w:val="0095207B"/>
    <w:rsid w:val="00956085"/>
    <w:rsid w:val="00957951"/>
    <w:rsid w:val="00962045"/>
    <w:rsid w:val="009634F7"/>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47C5"/>
    <w:rsid w:val="00BB0F2B"/>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5C98"/>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49C2-C8B7-7D49-827E-BE0E6EFC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10124</Words>
  <Characters>57713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2019-08-27T05:42:00Z</cp:lastPrinted>
  <dcterms:created xsi:type="dcterms:W3CDTF">2022-02-20T17:29:00Z</dcterms:created>
  <dcterms:modified xsi:type="dcterms:W3CDTF">2022-02-20T17:29:00Z</dcterms:modified>
</cp:coreProperties>
</file>