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D69BFFD" w:rsidR="004B23A2" w:rsidRDefault="00D57202" w:rsidP="00567EB6">
      <w:pP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60E25" w:rsidRDefault="0050157D" w:rsidP="002308B8">
      <w:pPr>
        <w:pStyle w:val="ListParagraph"/>
        <w:numPr>
          <w:ilvl w:val="0"/>
          <w:numId w:val="1"/>
        </w:numPr>
        <w:ind w:left="426"/>
        <w:jc w:val="both"/>
        <w:rPr>
          <w:rFonts w:ascii="Arial" w:hAnsi="Arial" w:cs="Arial"/>
          <w:sz w:val="22"/>
          <w:szCs w:val="22"/>
          <w:lang w:val="en-GB"/>
        </w:rPr>
      </w:pPr>
      <w:bookmarkStart w:id="0" w:name="_Hlk1391126"/>
      <w:r w:rsidRPr="00960E25">
        <w:rPr>
          <w:rFonts w:ascii="Arial" w:hAnsi="Arial" w:cs="Arial"/>
          <w:sz w:val="22"/>
          <w:szCs w:val="22"/>
          <w:lang w:val="en-GB"/>
        </w:rPr>
        <w:t>The Model Law provides effective mechanisms for dealing with cases of cross-border insolvency so as to promote a number of objectives</w:t>
      </w:r>
      <w:r w:rsidR="00A83CB5" w:rsidRPr="00960E25">
        <w:rPr>
          <w:rFonts w:ascii="Arial" w:hAnsi="Arial" w:cs="Arial"/>
          <w:sz w:val="22"/>
          <w:szCs w:val="22"/>
          <w:lang w:val="en-GB"/>
        </w:rPr>
        <w:t>,</w:t>
      </w:r>
      <w:r w:rsidRPr="00960E25">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E7337F" w:rsidRDefault="0050157D" w:rsidP="002308B8">
      <w:pPr>
        <w:pStyle w:val="ListParagraph"/>
        <w:numPr>
          <w:ilvl w:val="0"/>
          <w:numId w:val="1"/>
        </w:numPr>
        <w:ind w:left="426"/>
        <w:jc w:val="both"/>
        <w:rPr>
          <w:rFonts w:ascii="Arial" w:hAnsi="Arial" w:cs="Arial"/>
          <w:sz w:val="22"/>
          <w:szCs w:val="22"/>
          <w:lang w:val="en-GB"/>
        </w:rPr>
      </w:pPr>
      <w:r w:rsidRPr="00E7337F">
        <w:rPr>
          <w:rFonts w:ascii="Arial" w:hAnsi="Arial" w:cs="Arial"/>
          <w:sz w:val="22"/>
          <w:szCs w:val="22"/>
          <w:lang w:val="en-GB"/>
        </w:rPr>
        <w:t>The Model Law provides effective mechanisms for dealing with cases of cross-border insolvency so as to promote a number of objectives</w:t>
      </w:r>
      <w:r w:rsidR="00B61419" w:rsidRPr="00E7337F">
        <w:rPr>
          <w:rFonts w:ascii="Arial" w:hAnsi="Arial" w:cs="Arial"/>
          <w:sz w:val="22"/>
          <w:szCs w:val="22"/>
          <w:lang w:val="en-GB"/>
        </w:rPr>
        <w:t>,</w:t>
      </w:r>
      <w:r w:rsidRPr="00E7337F">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2308B8">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E7337F" w:rsidRDefault="0050157D" w:rsidP="002308B8">
      <w:pPr>
        <w:pStyle w:val="ListParagraph"/>
        <w:numPr>
          <w:ilvl w:val="0"/>
          <w:numId w:val="1"/>
        </w:numPr>
        <w:ind w:left="426"/>
        <w:jc w:val="both"/>
        <w:rPr>
          <w:rFonts w:ascii="Arial" w:hAnsi="Arial" w:cs="Arial"/>
          <w:sz w:val="22"/>
          <w:szCs w:val="22"/>
          <w:highlight w:val="yellow"/>
          <w:lang w:val="en-GB"/>
        </w:rPr>
      </w:pPr>
      <w:bookmarkStart w:id="1" w:name="_Hlk47080379"/>
      <w:r w:rsidRPr="00E7337F">
        <w:rPr>
          <w:rFonts w:ascii="Arial" w:hAnsi="Arial" w:cs="Arial"/>
          <w:sz w:val="22"/>
          <w:szCs w:val="22"/>
          <w:highlight w:val="yellow"/>
          <w:lang w:val="en-GB"/>
        </w:rPr>
        <w:t xml:space="preserve">All of the above. </w:t>
      </w:r>
      <w:bookmarkEnd w:id="1"/>
      <w:r w:rsidRPr="00E7337F">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60E25" w:rsidRDefault="005F21F4" w:rsidP="002308B8">
      <w:pPr>
        <w:pStyle w:val="ListParagraph"/>
        <w:numPr>
          <w:ilvl w:val="0"/>
          <w:numId w:val="2"/>
        </w:numPr>
        <w:ind w:left="426"/>
        <w:jc w:val="both"/>
        <w:rPr>
          <w:rFonts w:ascii="Arial" w:hAnsi="Arial" w:cs="Arial"/>
          <w:sz w:val="22"/>
          <w:szCs w:val="22"/>
          <w:highlight w:val="yellow"/>
          <w:lang w:val="en-GB"/>
        </w:rPr>
      </w:pPr>
      <w:r w:rsidRPr="00960E25">
        <w:rPr>
          <w:rFonts w:ascii="Arial" w:hAnsi="Arial" w:cs="Arial"/>
          <w:sz w:val="22"/>
          <w:szCs w:val="22"/>
          <w:highlight w:val="yellow"/>
          <w:lang w:val="en-GB"/>
        </w:rPr>
        <w:t>The existence of a statutory basis in national (insolvency) laws for co</w:t>
      </w:r>
      <w:r w:rsidR="00B61419" w:rsidRPr="00960E25">
        <w:rPr>
          <w:rFonts w:ascii="Arial" w:hAnsi="Arial" w:cs="Arial"/>
          <w:sz w:val="22"/>
          <w:szCs w:val="22"/>
          <w:highlight w:val="yellow"/>
          <w:lang w:val="en-GB"/>
        </w:rPr>
        <w:t>-</w:t>
      </w:r>
      <w:r w:rsidRPr="00960E25">
        <w:rPr>
          <w:rFonts w:ascii="Arial" w:hAnsi="Arial" w:cs="Arial"/>
          <w:sz w:val="22"/>
          <w:szCs w:val="22"/>
          <w:highlight w:val="yellow"/>
          <w:lang w:val="en-GB"/>
        </w:rPr>
        <w:t>operation and co</w:t>
      </w:r>
      <w:r w:rsidR="00B61419" w:rsidRPr="00960E25">
        <w:rPr>
          <w:rFonts w:ascii="Arial" w:hAnsi="Arial" w:cs="Arial"/>
          <w:sz w:val="22"/>
          <w:szCs w:val="22"/>
          <w:highlight w:val="yellow"/>
          <w:lang w:val="en-GB"/>
        </w:rPr>
        <w:t>-</w:t>
      </w:r>
      <w:r w:rsidRPr="00960E25">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2308B8">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2308B8">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60E25" w:rsidRDefault="005F21F4" w:rsidP="002308B8">
      <w:pPr>
        <w:pStyle w:val="ListParagraph"/>
        <w:numPr>
          <w:ilvl w:val="0"/>
          <w:numId w:val="2"/>
        </w:numPr>
        <w:ind w:left="426"/>
        <w:jc w:val="both"/>
        <w:rPr>
          <w:rFonts w:ascii="Arial" w:hAnsi="Arial" w:cs="Arial"/>
          <w:sz w:val="22"/>
          <w:szCs w:val="22"/>
          <w:lang w:val="en-GB"/>
        </w:rPr>
      </w:pPr>
      <w:bookmarkStart w:id="2" w:name="_Hlk47080588"/>
      <w:r w:rsidRPr="00960E25">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3232F922" w:rsidR="00853A74" w:rsidRDefault="00853A74" w:rsidP="002308B8">
      <w:pPr>
        <w:pStyle w:val="ListParagraph"/>
        <w:numPr>
          <w:ilvl w:val="0"/>
          <w:numId w:val="3"/>
        </w:numPr>
        <w:ind w:left="426"/>
        <w:jc w:val="both"/>
        <w:rPr>
          <w:rFonts w:ascii="Arial" w:hAnsi="Arial" w:cs="Arial"/>
          <w:sz w:val="22"/>
          <w:szCs w:val="22"/>
          <w:lang w:val="en-GB"/>
        </w:rPr>
      </w:pPr>
      <w:r w:rsidRPr="00960E25">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688C604C" w14:textId="77777777" w:rsidR="00960E25" w:rsidRPr="00960E25" w:rsidRDefault="00960E25" w:rsidP="00960E25">
      <w:pPr>
        <w:pStyle w:val="ListParagraph"/>
        <w:ind w:left="426"/>
        <w:jc w:val="both"/>
        <w:rPr>
          <w:rFonts w:ascii="Arial" w:hAnsi="Arial" w:cs="Arial"/>
          <w:sz w:val="22"/>
          <w:szCs w:val="22"/>
          <w:lang w:val="en-GB"/>
        </w:rPr>
      </w:pPr>
    </w:p>
    <w:p w14:paraId="750FEB33" w14:textId="4AD80F87" w:rsidR="00853A74" w:rsidRPr="009B5832" w:rsidRDefault="00853A74" w:rsidP="002308B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2308B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60E25" w:rsidRDefault="00853A74" w:rsidP="002308B8">
      <w:pPr>
        <w:pStyle w:val="ListParagraph"/>
        <w:numPr>
          <w:ilvl w:val="0"/>
          <w:numId w:val="3"/>
        </w:numPr>
        <w:ind w:left="426"/>
        <w:jc w:val="both"/>
        <w:rPr>
          <w:rFonts w:ascii="Arial" w:hAnsi="Arial" w:cs="Arial"/>
          <w:sz w:val="22"/>
          <w:szCs w:val="22"/>
          <w:highlight w:val="yellow"/>
          <w:lang w:val="en-GB"/>
        </w:rPr>
      </w:pPr>
      <w:r w:rsidRPr="00960E25">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4B0A38" w:rsidRDefault="00E57410" w:rsidP="002308B8">
      <w:pPr>
        <w:pStyle w:val="ListParagraph"/>
        <w:numPr>
          <w:ilvl w:val="0"/>
          <w:numId w:val="4"/>
        </w:numPr>
        <w:ind w:left="426"/>
        <w:jc w:val="both"/>
        <w:rPr>
          <w:rFonts w:ascii="Arial" w:hAnsi="Arial" w:cs="Arial"/>
          <w:sz w:val="22"/>
          <w:szCs w:val="22"/>
          <w:highlight w:val="yellow"/>
          <w:lang w:val="en-GB"/>
        </w:rPr>
      </w:pPr>
      <w:r w:rsidRPr="004B0A38">
        <w:rPr>
          <w:rFonts w:ascii="Arial" w:hAnsi="Arial" w:cs="Arial"/>
          <w:sz w:val="22"/>
          <w:szCs w:val="22"/>
          <w:highlight w:val="yellow"/>
          <w:lang w:val="en-GB"/>
        </w:rPr>
        <w:t xml:space="preserve">The </w:t>
      </w:r>
      <w:r w:rsidRPr="004B0A38">
        <w:rPr>
          <w:rFonts w:ascii="Arial" w:hAnsi="Arial" w:cs="Arial"/>
          <w:i/>
          <w:iCs/>
          <w:sz w:val="22"/>
          <w:szCs w:val="22"/>
          <w:highlight w:val="yellow"/>
          <w:lang w:val="en-GB"/>
        </w:rPr>
        <w:t>locus standi</w:t>
      </w:r>
      <w:r w:rsidRPr="004B0A38">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2308B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4B0A38" w:rsidRDefault="00E57410" w:rsidP="002308B8">
      <w:pPr>
        <w:pStyle w:val="ListParagraph"/>
        <w:numPr>
          <w:ilvl w:val="0"/>
          <w:numId w:val="4"/>
        </w:numPr>
        <w:ind w:left="426"/>
        <w:jc w:val="both"/>
        <w:rPr>
          <w:rFonts w:ascii="Arial" w:hAnsi="Arial" w:cs="Arial"/>
          <w:sz w:val="22"/>
          <w:szCs w:val="22"/>
          <w:lang w:val="en-GB"/>
        </w:rPr>
      </w:pPr>
      <w:r w:rsidRPr="004B0A38">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2308B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B77F36" w:rsidRDefault="00C504E5" w:rsidP="002308B8">
      <w:pPr>
        <w:pStyle w:val="ListParagraph"/>
        <w:numPr>
          <w:ilvl w:val="0"/>
          <w:numId w:val="5"/>
        </w:numPr>
        <w:ind w:left="426"/>
        <w:jc w:val="both"/>
        <w:rPr>
          <w:rFonts w:ascii="Arial" w:hAnsi="Arial" w:cs="Arial"/>
          <w:sz w:val="22"/>
          <w:szCs w:val="22"/>
          <w:lang w:val="en-GB"/>
        </w:rPr>
      </w:pPr>
      <w:r w:rsidRPr="00B77F36">
        <w:rPr>
          <w:rFonts w:ascii="Arial" w:hAnsi="Arial" w:cs="Arial"/>
          <w:sz w:val="22"/>
          <w:szCs w:val="22"/>
          <w:lang w:val="en-GB"/>
        </w:rPr>
        <w:t>The foreign main proceedings in South Africa will not be recognised in the UK because the UK is not a designated country under South Africa</w:t>
      </w:r>
      <w:r w:rsidR="001747C2" w:rsidRPr="00B77F36">
        <w:rPr>
          <w:rFonts w:ascii="Arial" w:hAnsi="Arial" w:cs="Arial"/>
          <w:sz w:val="22"/>
          <w:szCs w:val="22"/>
          <w:lang w:val="en-GB"/>
        </w:rPr>
        <w:t>’</w:t>
      </w:r>
      <w:r w:rsidRPr="00B77F36">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2308B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B77F36" w:rsidRDefault="00C504E5" w:rsidP="002308B8">
      <w:pPr>
        <w:pStyle w:val="ListParagraph"/>
        <w:numPr>
          <w:ilvl w:val="0"/>
          <w:numId w:val="5"/>
        </w:numPr>
        <w:ind w:left="426"/>
        <w:jc w:val="both"/>
        <w:rPr>
          <w:rFonts w:ascii="Arial" w:hAnsi="Arial" w:cs="Arial"/>
          <w:sz w:val="22"/>
          <w:szCs w:val="22"/>
          <w:highlight w:val="yellow"/>
          <w:lang w:val="en-GB"/>
        </w:rPr>
      </w:pPr>
      <w:r w:rsidRPr="00B77F36">
        <w:rPr>
          <w:rFonts w:ascii="Arial" w:hAnsi="Arial" w:cs="Arial"/>
          <w:sz w:val="22"/>
          <w:szCs w:val="22"/>
          <w:highlight w:val="yellow"/>
          <w:lang w:val="en-GB"/>
        </w:rPr>
        <w:lastRenderedPageBreak/>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6CE41404" w:rsidR="00C504E5" w:rsidRPr="00960E25" w:rsidRDefault="00C504E5" w:rsidP="002308B8">
      <w:pPr>
        <w:pStyle w:val="ListParagraph"/>
        <w:numPr>
          <w:ilvl w:val="0"/>
          <w:numId w:val="5"/>
        </w:numPr>
        <w:ind w:left="426"/>
        <w:jc w:val="both"/>
        <w:rPr>
          <w:rFonts w:ascii="Arial" w:hAnsi="Arial" w:cs="Arial"/>
          <w:sz w:val="22"/>
          <w:szCs w:val="22"/>
          <w:lang w:val="en-GB"/>
        </w:rPr>
      </w:pPr>
      <w:r w:rsidRPr="00960E25">
        <w:rPr>
          <w:rFonts w:ascii="Arial" w:hAnsi="Arial" w:cs="Arial"/>
          <w:sz w:val="22"/>
          <w:szCs w:val="22"/>
          <w:lang w:val="en-GB"/>
        </w:rPr>
        <w:t xml:space="preserve">None of the statements in (a), (b) </w:t>
      </w:r>
      <w:r w:rsidR="002E00F8" w:rsidRPr="00960E25">
        <w:rPr>
          <w:rFonts w:ascii="Arial" w:hAnsi="Arial" w:cs="Arial"/>
          <w:sz w:val="22"/>
          <w:szCs w:val="22"/>
          <w:lang w:val="en-GB"/>
        </w:rPr>
        <w:t>or</w:t>
      </w:r>
      <w:r w:rsidRPr="00960E25">
        <w:rPr>
          <w:rFonts w:ascii="Arial" w:hAnsi="Arial" w:cs="Arial"/>
          <w:sz w:val="22"/>
          <w:szCs w:val="22"/>
          <w:lang w:val="en-GB"/>
        </w:rPr>
        <w:t xml:space="preserve"> (c) are correct.  </w:t>
      </w:r>
    </w:p>
    <w:p w14:paraId="3FCCDCFD" w14:textId="77777777" w:rsidR="00960E25" w:rsidRPr="00960E25" w:rsidRDefault="00960E25" w:rsidP="00960E25">
      <w:pPr>
        <w:pStyle w:val="ListParagraph"/>
        <w:rPr>
          <w:rFonts w:ascii="Arial" w:hAnsi="Arial" w:cs="Arial"/>
          <w:sz w:val="22"/>
          <w:szCs w:val="22"/>
          <w:highlight w:val="yellow"/>
          <w:lang w:val="en-GB"/>
        </w:rPr>
      </w:pPr>
    </w:p>
    <w:p w14:paraId="04E0D15F" w14:textId="77777777" w:rsidR="00960E25" w:rsidRPr="00F50008" w:rsidRDefault="00960E25" w:rsidP="00960E25">
      <w:pPr>
        <w:pStyle w:val="ListParagraph"/>
        <w:ind w:left="426"/>
        <w:jc w:val="both"/>
        <w:rPr>
          <w:rFonts w:ascii="Arial" w:hAnsi="Arial" w:cs="Arial"/>
          <w:sz w:val="22"/>
          <w:szCs w:val="22"/>
          <w:highlight w:val="yellow"/>
          <w:lang w:val="en-GB"/>
        </w:rPr>
      </w:pP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2308B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2308B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2308B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4667F1" w:rsidRDefault="00B72F5F" w:rsidP="002308B8">
      <w:pPr>
        <w:pStyle w:val="ListParagraph"/>
        <w:numPr>
          <w:ilvl w:val="0"/>
          <w:numId w:val="6"/>
        </w:numPr>
        <w:ind w:left="426"/>
        <w:jc w:val="both"/>
        <w:rPr>
          <w:rFonts w:ascii="Arial" w:hAnsi="Arial" w:cs="Arial"/>
          <w:sz w:val="22"/>
          <w:szCs w:val="22"/>
          <w:highlight w:val="yellow"/>
          <w:lang w:val="en-GB"/>
        </w:rPr>
      </w:pPr>
      <w:r w:rsidRPr="004667F1">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667F1">
        <w:rPr>
          <w:rFonts w:ascii="Arial" w:hAnsi="Arial" w:cs="Arial"/>
          <w:sz w:val="22"/>
          <w:szCs w:val="22"/>
          <w:highlight w:val="yellow"/>
          <w:lang w:val="en-GB"/>
        </w:rPr>
        <w:t>will</w:t>
      </w:r>
      <w:r w:rsidRPr="004667F1">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2308B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B77F36" w:rsidRDefault="0067294B" w:rsidP="002308B8">
      <w:pPr>
        <w:pStyle w:val="ListParagraph"/>
        <w:numPr>
          <w:ilvl w:val="0"/>
          <w:numId w:val="7"/>
        </w:numPr>
        <w:ind w:left="426"/>
        <w:jc w:val="both"/>
        <w:rPr>
          <w:rFonts w:ascii="Arial" w:hAnsi="Arial" w:cs="Arial"/>
          <w:sz w:val="22"/>
          <w:szCs w:val="22"/>
          <w:highlight w:val="yellow"/>
          <w:lang w:val="en-GB"/>
        </w:rPr>
      </w:pPr>
      <w:r w:rsidRPr="00B77F3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2308B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B77F36" w:rsidRDefault="0067294B" w:rsidP="002308B8">
      <w:pPr>
        <w:pStyle w:val="ListParagraph"/>
        <w:numPr>
          <w:ilvl w:val="0"/>
          <w:numId w:val="7"/>
        </w:numPr>
        <w:ind w:left="426"/>
        <w:jc w:val="both"/>
        <w:rPr>
          <w:rFonts w:ascii="Arial" w:hAnsi="Arial" w:cs="Arial"/>
          <w:sz w:val="22"/>
          <w:szCs w:val="22"/>
          <w:lang w:val="en-GB"/>
        </w:rPr>
      </w:pPr>
      <w:r w:rsidRPr="00B77F36">
        <w:rPr>
          <w:rFonts w:ascii="Arial" w:hAnsi="Arial" w:cs="Arial"/>
          <w:sz w:val="22"/>
          <w:szCs w:val="22"/>
          <w:lang w:val="en-GB"/>
        </w:rPr>
        <w:t xml:space="preserve">Neither </w:t>
      </w:r>
      <w:r w:rsidR="00E73529" w:rsidRPr="00B77F36">
        <w:rPr>
          <w:rFonts w:ascii="Arial" w:hAnsi="Arial" w:cs="Arial"/>
          <w:sz w:val="22"/>
          <w:szCs w:val="22"/>
          <w:lang w:val="en-GB"/>
        </w:rPr>
        <w:t>(</w:t>
      </w:r>
      <w:r w:rsidRPr="00B77F36">
        <w:rPr>
          <w:rFonts w:ascii="Arial" w:hAnsi="Arial" w:cs="Arial"/>
          <w:sz w:val="22"/>
          <w:szCs w:val="22"/>
          <w:lang w:val="en-GB"/>
        </w:rPr>
        <w:t>a</w:t>
      </w:r>
      <w:r w:rsidR="00E73529" w:rsidRPr="00B77F36">
        <w:rPr>
          <w:rFonts w:ascii="Arial" w:hAnsi="Arial" w:cs="Arial"/>
          <w:sz w:val="22"/>
          <w:szCs w:val="22"/>
          <w:lang w:val="en-GB"/>
        </w:rPr>
        <w:t>)</w:t>
      </w:r>
      <w:r w:rsidRPr="00B77F36">
        <w:rPr>
          <w:rFonts w:ascii="Arial" w:hAnsi="Arial" w:cs="Arial"/>
          <w:sz w:val="22"/>
          <w:szCs w:val="22"/>
          <w:lang w:val="en-GB"/>
        </w:rPr>
        <w:t xml:space="preserve"> nor </w:t>
      </w:r>
      <w:r w:rsidR="00E73529" w:rsidRPr="00B77F36">
        <w:rPr>
          <w:rFonts w:ascii="Arial" w:hAnsi="Arial" w:cs="Arial"/>
          <w:sz w:val="22"/>
          <w:szCs w:val="22"/>
          <w:lang w:val="en-GB"/>
        </w:rPr>
        <w:t>(</w:t>
      </w:r>
      <w:r w:rsidRPr="00B77F36">
        <w:rPr>
          <w:rFonts w:ascii="Arial" w:hAnsi="Arial" w:cs="Arial"/>
          <w:sz w:val="22"/>
          <w:szCs w:val="22"/>
          <w:lang w:val="en-GB"/>
        </w:rPr>
        <w:t>b</w:t>
      </w:r>
      <w:r w:rsidR="00E73529" w:rsidRPr="00B77F36">
        <w:rPr>
          <w:rFonts w:ascii="Arial" w:hAnsi="Arial" w:cs="Arial"/>
          <w:sz w:val="22"/>
          <w:szCs w:val="22"/>
          <w:lang w:val="en-GB"/>
        </w:rPr>
        <w:t>)</w:t>
      </w:r>
      <w:r w:rsidRPr="00B77F36">
        <w:rPr>
          <w:rFonts w:ascii="Arial" w:hAnsi="Arial" w:cs="Arial"/>
          <w:sz w:val="22"/>
          <w:szCs w:val="22"/>
          <w:lang w:val="en-GB"/>
        </w:rPr>
        <w:t xml:space="preserve"> must be considered by the court.</w:t>
      </w:r>
      <w:r w:rsidRPr="00B77F36">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62D64" w:rsidRDefault="004E0549" w:rsidP="002308B8">
      <w:pPr>
        <w:pStyle w:val="ListParagraph"/>
        <w:numPr>
          <w:ilvl w:val="0"/>
          <w:numId w:val="8"/>
        </w:numPr>
        <w:ind w:left="426"/>
        <w:jc w:val="both"/>
        <w:rPr>
          <w:rFonts w:ascii="Arial" w:hAnsi="Arial" w:cs="Arial"/>
          <w:sz w:val="22"/>
          <w:szCs w:val="22"/>
          <w:highlight w:val="yellow"/>
          <w:lang w:val="en-GB"/>
        </w:rPr>
      </w:pPr>
      <w:r w:rsidRPr="00862D64">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2308B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2308B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2308B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B77F36" w:rsidRDefault="00622586" w:rsidP="00707FC8">
      <w:pPr>
        <w:spacing w:line="276" w:lineRule="auto"/>
        <w:jc w:val="both"/>
        <w:rPr>
          <w:rFonts w:ascii="Arial" w:eastAsiaTheme="minorHAnsi" w:hAnsi="Arial" w:cs="Arial"/>
          <w:sz w:val="22"/>
          <w:szCs w:val="22"/>
          <w:lang w:val="en-GB"/>
        </w:rPr>
      </w:pPr>
    </w:p>
    <w:p w14:paraId="057810FC" w14:textId="77777777" w:rsidR="00E9597C" w:rsidRPr="00B77F36" w:rsidRDefault="00E9597C" w:rsidP="00707FC8">
      <w:pPr>
        <w:spacing w:line="276" w:lineRule="auto"/>
        <w:jc w:val="both"/>
        <w:rPr>
          <w:rFonts w:ascii="Arial" w:hAnsi="Arial" w:cs="Arial"/>
          <w:sz w:val="22"/>
          <w:szCs w:val="22"/>
          <w:lang w:val="en-GB"/>
        </w:rPr>
      </w:pPr>
      <w:r w:rsidRPr="00B77F36">
        <w:rPr>
          <w:rFonts w:ascii="Arial" w:hAnsi="Arial" w:cs="Arial"/>
          <w:b/>
          <w:bCs/>
          <w:sz w:val="22"/>
          <w:szCs w:val="22"/>
          <w:lang w:val="en-GB"/>
        </w:rPr>
        <w:t>Question 1.9</w:t>
      </w:r>
      <w:r w:rsidRPr="00B77F36">
        <w:rPr>
          <w:rFonts w:ascii="Arial" w:hAnsi="Arial" w:cs="Arial"/>
          <w:sz w:val="22"/>
          <w:szCs w:val="22"/>
          <w:lang w:val="en-GB"/>
        </w:rPr>
        <w:t xml:space="preserve"> </w:t>
      </w:r>
    </w:p>
    <w:p w14:paraId="596C3F7D" w14:textId="77777777" w:rsidR="00E9597C" w:rsidRPr="00B77F36" w:rsidRDefault="00E9597C" w:rsidP="00707FC8">
      <w:pPr>
        <w:spacing w:line="276" w:lineRule="auto"/>
        <w:jc w:val="both"/>
        <w:rPr>
          <w:rFonts w:ascii="Arial" w:hAnsi="Arial" w:cs="Arial"/>
          <w:sz w:val="22"/>
          <w:szCs w:val="22"/>
          <w:lang w:val="en-GB"/>
        </w:rPr>
      </w:pPr>
    </w:p>
    <w:p w14:paraId="57970C00" w14:textId="268EA105" w:rsidR="00573E73" w:rsidRPr="00B77F36" w:rsidRDefault="00573E73" w:rsidP="00114082">
      <w:pPr>
        <w:jc w:val="both"/>
        <w:rPr>
          <w:rFonts w:ascii="Arial" w:hAnsi="Arial" w:cs="Arial"/>
          <w:sz w:val="22"/>
          <w:szCs w:val="22"/>
          <w:lang w:val="en-GB"/>
        </w:rPr>
      </w:pPr>
      <w:r w:rsidRPr="00B77F36">
        <w:rPr>
          <w:rFonts w:ascii="Arial" w:hAnsi="Arial" w:cs="Arial"/>
          <w:sz w:val="22"/>
          <w:szCs w:val="22"/>
          <w:lang w:val="en-GB"/>
        </w:rPr>
        <w:t>Which of the following types of relief have, prior to the adoption of the Model Law on Recognition and Enforcement of Insolvency</w:t>
      </w:r>
      <w:r w:rsidR="00C17111" w:rsidRPr="00B77F36">
        <w:rPr>
          <w:rFonts w:ascii="Arial" w:hAnsi="Arial" w:cs="Arial"/>
          <w:sz w:val="22"/>
          <w:szCs w:val="22"/>
          <w:lang w:val="en-GB"/>
        </w:rPr>
        <w:t>-</w:t>
      </w:r>
      <w:r w:rsidRPr="00B77F36">
        <w:rPr>
          <w:rFonts w:ascii="Arial" w:hAnsi="Arial" w:cs="Arial"/>
          <w:sz w:val="22"/>
          <w:szCs w:val="22"/>
          <w:lang w:val="en-GB"/>
        </w:rPr>
        <w:t>Related Judgments, been declared beyond the limits of the Model Law?</w:t>
      </w:r>
    </w:p>
    <w:p w14:paraId="58B44E7D" w14:textId="77777777" w:rsidR="00573E73" w:rsidRPr="00B77F36" w:rsidRDefault="00573E73" w:rsidP="00573E73">
      <w:pPr>
        <w:ind w:left="720" w:hanging="720"/>
        <w:jc w:val="both"/>
        <w:rPr>
          <w:rFonts w:ascii="Arial" w:hAnsi="Arial" w:cs="Arial"/>
          <w:sz w:val="22"/>
          <w:szCs w:val="22"/>
          <w:lang w:val="en-GB"/>
        </w:rPr>
      </w:pPr>
    </w:p>
    <w:p w14:paraId="1834003B" w14:textId="53DC44E7" w:rsidR="00573E73" w:rsidRPr="00B77F36" w:rsidRDefault="00573E73" w:rsidP="002308B8">
      <w:pPr>
        <w:pStyle w:val="ListParagraph"/>
        <w:numPr>
          <w:ilvl w:val="0"/>
          <w:numId w:val="9"/>
        </w:numPr>
        <w:ind w:left="426"/>
        <w:jc w:val="both"/>
        <w:rPr>
          <w:rFonts w:ascii="Arial" w:hAnsi="Arial" w:cs="Arial"/>
          <w:sz w:val="22"/>
          <w:szCs w:val="22"/>
          <w:lang w:val="en-GB"/>
        </w:rPr>
      </w:pPr>
      <w:r w:rsidRPr="00B77F36">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B77F36" w:rsidRDefault="00573E73" w:rsidP="002308B8">
      <w:pPr>
        <w:pStyle w:val="ListParagraph"/>
        <w:numPr>
          <w:ilvl w:val="0"/>
          <w:numId w:val="9"/>
        </w:numPr>
        <w:ind w:left="426"/>
        <w:jc w:val="both"/>
        <w:rPr>
          <w:rFonts w:ascii="Arial" w:hAnsi="Arial" w:cs="Arial"/>
          <w:sz w:val="22"/>
          <w:szCs w:val="22"/>
          <w:highlight w:val="yellow"/>
          <w:lang w:val="en-GB"/>
        </w:rPr>
      </w:pPr>
      <w:r w:rsidRPr="00B77F36">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2308B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2308B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2308B8">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2308B8">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2308B8">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F50008" w:rsidRDefault="00114082" w:rsidP="002308B8">
      <w:pPr>
        <w:pStyle w:val="ListParagraph"/>
        <w:numPr>
          <w:ilvl w:val="0"/>
          <w:numId w:val="10"/>
        </w:numPr>
        <w:spacing w:line="276" w:lineRule="auto"/>
        <w:ind w:left="426"/>
        <w:jc w:val="both"/>
        <w:rPr>
          <w:rFonts w:ascii="Arial" w:hAnsi="Arial" w:cs="Arial"/>
          <w:b/>
          <w:sz w:val="22"/>
          <w:szCs w:val="22"/>
          <w:highlight w:val="yellow"/>
          <w:lang w:val="en-GB"/>
        </w:rPr>
      </w:pPr>
      <w:r w:rsidRPr="00F50008">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74D97CB8" w14:textId="1469B28D" w:rsidR="004B0A38" w:rsidRDefault="00F50008" w:rsidP="004B0A3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determining the COMI or whether establishment exists, of a debtor, the appropriate date is the date of commencement in the foreign proceedings. </w:t>
      </w:r>
    </w:p>
    <w:p w14:paraId="387C1A18" w14:textId="0C01D0EE" w:rsidR="00FE2E43" w:rsidRDefault="00FE2E43" w:rsidP="00707FC8">
      <w:pPr>
        <w:ind w:left="720" w:hanging="720"/>
        <w:jc w:val="both"/>
        <w:rPr>
          <w:rFonts w:ascii="Arial" w:hAnsi="Arial" w:cs="Arial"/>
          <w:color w:val="7B7B7B" w:themeColor="accent3" w:themeShade="BF"/>
          <w:sz w:val="22"/>
          <w:szCs w:val="22"/>
          <w:lang w:val="en-GB"/>
        </w:rPr>
      </w:pPr>
    </w:p>
    <w:p w14:paraId="3CB8F581" w14:textId="073F6CAE" w:rsidR="00FE2E43" w:rsidRPr="00FE2E43" w:rsidRDefault="00FE2E4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in the US judgment of </w:t>
      </w:r>
      <w:r>
        <w:rPr>
          <w:rFonts w:ascii="Arial" w:hAnsi="Arial" w:cs="Arial"/>
          <w:i/>
          <w:iCs/>
          <w:color w:val="7B7B7B" w:themeColor="accent3" w:themeShade="BF"/>
          <w:sz w:val="22"/>
          <w:szCs w:val="22"/>
          <w:lang w:val="en-GB"/>
        </w:rPr>
        <w:t>Morning Mist Holdings</w:t>
      </w:r>
      <w:r>
        <w:rPr>
          <w:rFonts w:ascii="Arial" w:hAnsi="Arial" w:cs="Arial"/>
          <w:color w:val="7B7B7B" w:themeColor="accent3" w:themeShade="BF"/>
          <w:sz w:val="22"/>
          <w:szCs w:val="22"/>
          <w:lang w:val="en-GB"/>
        </w:rPr>
        <w:t xml:space="preserve"> the COMI was dictated by activities close to the date when the </w:t>
      </w:r>
      <w:r w:rsidR="007A4BA0">
        <w:rPr>
          <w:rFonts w:ascii="Arial" w:hAnsi="Arial" w:cs="Arial"/>
          <w:color w:val="7B7B7B" w:themeColor="accent3" w:themeShade="BF"/>
          <w:sz w:val="22"/>
          <w:szCs w:val="22"/>
          <w:lang w:val="en-GB"/>
        </w:rPr>
        <w:t>Chapter</w:t>
      </w:r>
      <w:r>
        <w:rPr>
          <w:rFonts w:ascii="Arial" w:hAnsi="Arial" w:cs="Arial"/>
          <w:color w:val="7B7B7B" w:themeColor="accent3" w:themeShade="BF"/>
          <w:sz w:val="22"/>
          <w:szCs w:val="22"/>
          <w:lang w:val="en-GB"/>
        </w:rPr>
        <w:t xml:space="preserve"> 15 </w:t>
      </w:r>
      <w:r w:rsidR="007A4BA0">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was made. The Court could give consideration to the time between foreign insolvency proceedings taking place and the petition filing to ensure that the COMI has not been manipulated.</w:t>
      </w:r>
      <w:r w:rsidR="00A2474E">
        <w:rPr>
          <w:rFonts w:ascii="Arial" w:hAnsi="Arial" w:cs="Arial"/>
          <w:color w:val="7B7B7B" w:themeColor="accent3" w:themeShade="BF"/>
          <w:sz w:val="22"/>
          <w:szCs w:val="22"/>
          <w:lang w:val="en-GB"/>
        </w:rPr>
        <w:t xml:space="preserve"> By bringing this date forward, it allows the court to consider any activities or functions in relation to the proceedings, to the analysis of the COMI.</w:t>
      </w:r>
    </w:p>
    <w:p w14:paraId="012DCA74" w14:textId="77777777" w:rsidR="009D6EEA" w:rsidRDefault="009D6EEA" w:rsidP="00707FC8">
      <w:pPr>
        <w:ind w:left="720" w:hanging="720"/>
        <w:jc w:val="both"/>
        <w:rPr>
          <w:rFonts w:ascii="Arial" w:hAnsi="Arial" w:cs="Arial"/>
          <w:color w:val="7B7B7B" w:themeColor="accent3" w:themeShade="BF"/>
          <w:sz w:val="22"/>
          <w:szCs w:val="22"/>
          <w:lang w:val="en-GB"/>
        </w:rPr>
      </w:pPr>
    </w:p>
    <w:p w14:paraId="57BCFC30" w14:textId="1FD7E9EE" w:rsidR="009B07AD" w:rsidRDefault="009D6EEA"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COMI does have the ability to change. If the change is close to the date of the foreign proceedings commencing, the evidence will be harder to establish, particularly the requirement for the COMI to be readily accessible to third parties, in particular creditors.</w:t>
      </w:r>
      <w:r w:rsidR="00A2474E">
        <w:rPr>
          <w:rFonts w:ascii="Arial" w:hAnsi="Arial" w:cs="Arial"/>
          <w:color w:val="7B7B7B" w:themeColor="accent3" w:themeShade="BF"/>
          <w:sz w:val="22"/>
          <w:szCs w:val="22"/>
          <w:lang w:val="en-GB"/>
        </w:rPr>
        <w:t xml:space="preserve"> In addition, if there is a perception that the debtor may be manipulating the COMI or acting in bad faith, then the COMI and dates may chance.</w:t>
      </w:r>
    </w:p>
    <w:p w14:paraId="004B7EA8" w14:textId="6B46B052" w:rsidR="009D6EEA" w:rsidRDefault="009D6EEA" w:rsidP="00707FC8">
      <w:pPr>
        <w:ind w:left="720" w:hanging="720"/>
        <w:jc w:val="both"/>
        <w:rPr>
          <w:rFonts w:ascii="Arial" w:hAnsi="Arial" w:cs="Arial"/>
          <w:color w:val="7B7B7B" w:themeColor="accent3" w:themeShade="BF"/>
          <w:sz w:val="22"/>
          <w:szCs w:val="22"/>
          <w:lang w:val="en-GB"/>
        </w:rPr>
      </w:pPr>
    </w:p>
    <w:p w14:paraId="11E729F6" w14:textId="35F386B7" w:rsidR="009D6EEA" w:rsidRDefault="009D6EEA"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previous cases, Judges have also </w:t>
      </w:r>
      <w:r w:rsidR="006E134F">
        <w:rPr>
          <w:rFonts w:ascii="Arial" w:hAnsi="Arial" w:cs="Arial"/>
          <w:color w:val="7B7B7B" w:themeColor="accent3" w:themeShade="BF"/>
          <w:sz w:val="22"/>
          <w:szCs w:val="22"/>
          <w:lang w:val="en-GB"/>
        </w:rPr>
        <w:t>considered</w:t>
      </w:r>
      <w:r>
        <w:rPr>
          <w:rFonts w:ascii="Arial" w:hAnsi="Arial" w:cs="Arial"/>
          <w:color w:val="7B7B7B" w:themeColor="accent3" w:themeShade="BF"/>
          <w:sz w:val="22"/>
          <w:szCs w:val="22"/>
          <w:lang w:val="en-GB"/>
        </w:rPr>
        <w:t xml:space="preserve"> the date of the recognition application, the date the Court decides on the application and a dates reference to the operational history of debtors. </w:t>
      </w:r>
    </w:p>
    <w:p w14:paraId="5A83FCDC" w14:textId="148870B9" w:rsidR="004B0A38" w:rsidRDefault="004B0A38" w:rsidP="00707FC8">
      <w:pPr>
        <w:ind w:left="720" w:hanging="720"/>
        <w:jc w:val="both"/>
        <w:rPr>
          <w:rFonts w:ascii="Arial" w:hAnsi="Arial" w:cs="Arial"/>
          <w:color w:val="7B7B7B" w:themeColor="accent3" w:themeShade="BF"/>
          <w:sz w:val="22"/>
          <w:szCs w:val="22"/>
          <w:lang w:val="en-GB"/>
        </w:rPr>
      </w:pPr>
    </w:p>
    <w:p w14:paraId="515912CB" w14:textId="78675C79" w:rsidR="004B0A38" w:rsidRDefault="004B0A3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obtain recognition as foreign non-main proceedings, the debtor must have had an establishment in the jurisdiction. An establishment is a place which carries out non-transitory economic activity, before the commencement of any bankruptcy proceedings, or an economic activity with human means and goods/services.</w:t>
      </w:r>
    </w:p>
    <w:p w14:paraId="5D651F7A" w14:textId="0B757173" w:rsidR="004B0A38" w:rsidRDefault="004B0A38" w:rsidP="00707FC8">
      <w:pPr>
        <w:ind w:left="720" w:hanging="720"/>
        <w:jc w:val="both"/>
        <w:rPr>
          <w:rFonts w:ascii="Arial" w:hAnsi="Arial" w:cs="Arial"/>
          <w:color w:val="7B7B7B" w:themeColor="accent3" w:themeShade="BF"/>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05BC099C" w14:textId="2D603D80" w:rsidR="00C118D9" w:rsidRDefault="00C118D9" w:rsidP="00C118D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 Concurrent foreign non-main proceedings (Article 30</w:t>
      </w:r>
      <w:r w:rsidR="00B77F36">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w:t>
      </w:r>
      <w:r w:rsidR="00A2474E">
        <w:rPr>
          <w:rFonts w:ascii="Arial" w:hAnsi="Arial" w:cs="Arial"/>
          <w:color w:val="7B7B7B" w:themeColor="accent3" w:themeShade="BF"/>
          <w:sz w:val="22"/>
          <w:szCs w:val="22"/>
          <w:lang w:val="en-GB"/>
        </w:rPr>
        <w:t>, unless there are multiple foreign non-main proceedings, then no foreign proceeding will take preference.</w:t>
      </w:r>
    </w:p>
    <w:p w14:paraId="6C34B3A7" w14:textId="3CDD0567" w:rsidR="00A2474E" w:rsidRDefault="00A2474E" w:rsidP="00C118D9">
      <w:pPr>
        <w:jc w:val="both"/>
        <w:rPr>
          <w:rFonts w:ascii="Arial" w:hAnsi="Arial" w:cs="Arial"/>
          <w:color w:val="7B7B7B" w:themeColor="accent3" w:themeShade="BF"/>
          <w:sz w:val="22"/>
          <w:szCs w:val="22"/>
          <w:lang w:val="en-GB"/>
        </w:rPr>
      </w:pPr>
    </w:p>
    <w:p w14:paraId="5E734132" w14:textId="5AFA8616" w:rsidR="00C118D9" w:rsidRDefault="00C118D9" w:rsidP="00C118D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 The hotchpot rule (Article 32)</w:t>
      </w:r>
      <w:r w:rsidR="00A2474E">
        <w:rPr>
          <w:rFonts w:ascii="Arial" w:hAnsi="Arial" w:cs="Arial"/>
          <w:color w:val="7B7B7B" w:themeColor="accent3" w:themeShade="BF"/>
          <w:sz w:val="22"/>
          <w:szCs w:val="22"/>
          <w:lang w:val="en-GB"/>
        </w:rPr>
        <w:t xml:space="preserve">, creditors cannot be preferred by receiving multiple payments on the same claim in different jurisdictions. </w:t>
      </w:r>
    </w:p>
    <w:p w14:paraId="03FF25D4" w14:textId="77777777" w:rsidR="00A2474E" w:rsidRDefault="00A2474E" w:rsidP="00C118D9">
      <w:pPr>
        <w:jc w:val="both"/>
        <w:rPr>
          <w:rFonts w:ascii="Arial" w:hAnsi="Arial" w:cs="Arial"/>
          <w:color w:val="7B7B7B" w:themeColor="accent3" w:themeShade="BF"/>
          <w:sz w:val="22"/>
          <w:szCs w:val="22"/>
          <w:lang w:val="en-GB"/>
        </w:rPr>
      </w:pPr>
    </w:p>
    <w:p w14:paraId="2F57801B" w14:textId="71EDBD7C" w:rsidR="009B07AD" w:rsidRPr="009B5832" w:rsidRDefault="00C118D9" w:rsidP="00C118D9">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 Presumption of </w:t>
      </w:r>
      <w:r w:rsidR="00D3610B">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 xml:space="preserve"> (</w:t>
      </w:r>
      <w:r w:rsidR="00A2474E">
        <w:rPr>
          <w:rFonts w:ascii="Arial" w:hAnsi="Arial" w:cs="Arial"/>
          <w:color w:val="7B7B7B" w:themeColor="accent3" w:themeShade="BF"/>
          <w:sz w:val="22"/>
          <w:szCs w:val="22"/>
          <w:lang w:val="en-GB"/>
        </w:rPr>
        <w:t>Article 16c</w:t>
      </w:r>
      <w:r>
        <w:rPr>
          <w:rFonts w:ascii="Arial" w:hAnsi="Arial" w:cs="Arial"/>
          <w:color w:val="7B7B7B" w:themeColor="accent3" w:themeShade="BF"/>
          <w:sz w:val="22"/>
          <w:szCs w:val="22"/>
          <w:lang w:val="en-GB"/>
        </w:rPr>
        <w:t>)</w:t>
      </w:r>
      <w:r w:rsidR="00A2474E">
        <w:rPr>
          <w:rFonts w:ascii="Arial" w:hAnsi="Arial" w:cs="Arial"/>
          <w:color w:val="7B7B7B" w:themeColor="accent3" w:themeShade="BF"/>
          <w:sz w:val="22"/>
          <w:szCs w:val="22"/>
          <w:lang w:val="en-GB"/>
        </w:rPr>
        <w:t xml:space="preserve"> it is presumed that the registered office is the COMI, as defined in the MLCBI.</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32E6951D" w14:textId="50157EE2" w:rsidR="00314C07" w:rsidRDefault="00314C0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appeal was based on the English courts</w:t>
      </w:r>
      <w:r w:rsidR="00D3610B">
        <w:rPr>
          <w:rFonts w:ascii="Arial" w:hAnsi="Arial" w:cs="Arial"/>
          <w:color w:val="7B7B7B" w:themeColor="accent3" w:themeShade="BF"/>
          <w:sz w:val="22"/>
          <w:szCs w:val="22"/>
          <w:lang w:val="en-GB"/>
        </w:rPr>
        <w:t xml:space="preserve"> (who have implemented the Cross Border Insolvency Regulation)</w:t>
      </w:r>
      <w:r>
        <w:rPr>
          <w:rFonts w:ascii="Arial" w:hAnsi="Arial" w:cs="Arial"/>
          <w:color w:val="7B7B7B" w:themeColor="accent3" w:themeShade="BF"/>
          <w:sz w:val="22"/>
          <w:szCs w:val="22"/>
          <w:lang w:val="en-GB"/>
        </w:rPr>
        <w:t xml:space="preserve"> not having jurisdiction to grant an indefinite Moratorium Continuation. The CoA held that the issue related to whether the case was as a matter of settled practice, whether the court could exercise this power to:</w:t>
      </w:r>
    </w:p>
    <w:p w14:paraId="5B806F3B" w14:textId="77777777" w:rsidR="00314C07" w:rsidRDefault="00314C07" w:rsidP="00707FC8">
      <w:pPr>
        <w:ind w:left="720" w:hanging="720"/>
        <w:jc w:val="both"/>
        <w:rPr>
          <w:rFonts w:ascii="Arial" w:hAnsi="Arial" w:cs="Arial"/>
          <w:color w:val="7B7B7B" w:themeColor="accent3" w:themeShade="BF"/>
          <w:sz w:val="22"/>
          <w:szCs w:val="22"/>
          <w:lang w:val="en-GB"/>
        </w:rPr>
      </w:pPr>
    </w:p>
    <w:p w14:paraId="677BD11C" w14:textId="141209F3" w:rsidR="00314C07" w:rsidRDefault="00314C07" w:rsidP="00314C0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prevent English creditors from enforcing under the Gibbs Rule, and </w:t>
      </w:r>
    </w:p>
    <w:p w14:paraId="78DB9FD8" w14:textId="122EC1A4" w:rsidR="00C72848" w:rsidRDefault="00314C07" w:rsidP="00314C0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for the stay of the Azeri reconstruction to be prolonged.  </w:t>
      </w:r>
    </w:p>
    <w:p w14:paraId="26C76C73" w14:textId="4B984747" w:rsidR="00314C07" w:rsidRDefault="00314C07" w:rsidP="00707FC8">
      <w:pPr>
        <w:ind w:left="720" w:hanging="720"/>
        <w:jc w:val="both"/>
        <w:rPr>
          <w:rFonts w:ascii="Arial" w:hAnsi="Arial" w:cs="Arial"/>
          <w:color w:val="7B7B7B" w:themeColor="accent3" w:themeShade="BF"/>
          <w:sz w:val="22"/>
          <w:szCs w:val="22"/>
          <w:lang w:val="en-GB"/>
        </w:rPr>
      </w:pPr>
    </w:p>
    <w:p w14:paraId="67CA822E" w14:textId="6782EEDC" w:rsidR="00D3610B" w:rsidRDefault="00D3610B" w:rsidP="00D361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summary, the representative had been recognised in England as the foreign main proceeding, and requested relief of an ongoing moratorium. However, two creditors appealed to the application being made. However, the Gibbs Rule doesn’t allow debts governed in England to be paid in foreign insolvency proceedings, unless the creditor has submitted to those proceedings.</w:t>
      </w:r>
    </w:p>
    <w:p w14:paraId="507DE5C3" w14:textId="08E453B8" w:rsidR="00D3610B" w:rsidRDefault="00D3610B" w:rsidP="00D3610B">
      <w:pPr>
        <w:jc w:val="both"/>
        <w:rPr>
          <w:rFonts w:ascii="Arial" w:hAnsi="Arial" w:cs="Arial"/>
          <w:color w:val="7B7B7B" w:themeColor="accent3" w:themeShade="BF"/>
          <w:sz w:val="22"/>
          <w:szCs w:val="22"/>
          <w:lang w:val="en-GB"/>
        </w:rPr>
      </w:pPr>
    </w:p>
    <w:p w14:paraId="3A6C6035" w14:textId="2EE6FC56" w:rsidR="00D3610B" w:rsidRDefault="00D3610B" w:rsidP="00D361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rejected the appeal, as the application could not avoid the Gibbs Rule. The English law took precedent on the basis of the universalist approach by letting them be compromised in the scheme, without the consent of the creditors.</w:t>
      </w:r>
    </w:p>
    <w:p w14:paraId="6183FC77" w14:textId="77777777" w:rsidR="00D3610B" w:rsidRDefault="00D3610B" w:rsidP="00D3610B">
      <w:pPr>
        <w:jc w:val="both"/>
        <w:rPr>
          <w:rFonts w:ascii="Arial" w:hAnsi="Arial" w:cs="Arial"/>
          <w:color w:val="7B7B7B" w:themeColor="accent3" w:themeShade="BF"/>
          <w:sz w:val="22"/>
          <w:szCs w:val="22"/>
          <w:lang w:val="en-GB"/>
        </w:rPr>
      </w:pPr>
    </w:p>
    <w:p w14:paraId="5C59090E" w14:textId="222872F7" w:rsidR="00D3610B" w:rsidRDefault="00D3610B" w:rsidP="00D361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matter highlighted the conflicting approach between the territorialist route under the Gibbs Rule and modified universalism under the Model Law, which the Cross Border Insolvency Regulation relies.</w:t>
      </w:r>
    </w:p>
    <w:p w14:paraId="04CF391D" w14:textId="1CCEB6AC" w:rsidR="00D3610B" w:rsidRDefault="00D3610B" w:rsidP="00D3610B">
      <w:pPr>
        <w:jc w:val="both"/>
        <w:rPr>
          <w:rFonts w:ascii="Arial" w:hAnsi="Arial" w:cs="Arial"/>
          <w:color w:val="7B7B7B" w:themeColor="accent3" w:themeShade="BF"/>
          <w:sz w:val="22"/>
          <w:szCs w:val="22"/>
          <w:lang w:val="en-GB"/>
        </w:rPr>
      </w:pPr>
    </w:p>
    <w:p w14:paraId="36F13A52" w14:textId="38317A02" w:rsidR="00D3610B" w:rsidRDefault="00D3610B" w:rsidP="00D361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matter was then heard by the Court of Appeal, who found in favour of the creditors on both counts, on the following basis:</w:t>
      </w:r>
    </w:p>
    <w:p w14:paraId="5F571CAD" w14:textId="77777777" w:rsidR="00D3610B" w:rsidRDefault="00D3610B" w:rsidP="00D3610B">
      <w:pPr>
        <w:ind w:left="720" w:hanging="720"/>
        <w:jc w:val="both"/>
        <w:rPr>
          <w:rFonts w:ascii="Arial" w:hAnsi="Arial" w:cs="Arial"/>
          <w:color w:val="7B7B7B" w:themeColor="accent3" w:themeShade="BF"/>
          <w:sz w:val="22"/>
          <w:szCs w:val="22"/>
          <w:lang w:val="en-GB"/>
        </w:rPr>
      </w:pPr>
    </w:p>
    <w:p w14:paraId="2BF3FE3A" w14:textId="77777777" w:rsidR="00D3610B" w:rsidRPr="00314C07" w:rsidRDefault="00D3610B" w:rsidP="00D3610B">
      <w:pPr>
        <w:pStyle w:val="ListParagraph"/>
        <w:numPr>
          <w:ilvl w:val="0"/>
          <w:numId w:val="15"/>
        </w:numPr>
        <w:jc w:val="both"/>
        <w:rPr>
          <w:rFonts w:ascii="Arial" w:hAnsi="Arial" w:cs="Arial"/>
          <w:color w:val="7B7B7B" w:themeColor="accent3" w:themeShade="BF"/>
          <w:sz w:val="22"/>
          <w:szCs w:val="22"/>
          <w:lang w:val="en-GB"/>
        </w:rPr>
      </w:pPr>
      <w:r w:rsidRPr="00314C07">
        <w:rPr>
          <w:rFonts w:ascii="Arial" w:hAnsi="Arial" w:cs="Arial"/>
          <w:color w:val="7B7B7B" w:themeColor="accent3" w:themeShade="BF"/>
          <w:sz w:val="22"/>
          <w:szCs w:val="22"/>
          <w:lang w:val="en-GB"/>
        </w:rPr>
        <w:t xml:space="preserve">can only be granted if the initial stay was necessary to protect creditors and if it was an appropriate use. The CoA held that neither was satisfied. </w:t>
      </w:r>
    </w:p>
    <w:p w14:paraId="4A6CC7B1" w14:textId="77777777" w:rsidR="00D3610B" w:rsidRDefault="00D3610B" w:rsidP="00D3610B">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information obligation in article 18 of the Model Law requests a substantial change to the proceedings. The CoA held that once foreign proceedings end, the representative is no longer in office. Therefore, the relief should terminate.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7C12DF35" w14:textId="77777777" w:rsidR="00815313" w:rsidRDefault="00815313" w:rsidP="008153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outcome of an application for recognition, an enacting state’s court may grant interim relief on an urgent basis, upon application for foreign proceedings to be recognised pursuant to Article 19.</w:t>
      </w:r>
    </w:p>
    <w:p w14:paraId="7B09F162" w14:textId="77777777" w:rsidR="00815313" w:rsidRDefault="00815313" w:rsidP="00815313">
      <w:pPr>
        <w:jc w:val="both"/>
        <w:rPr>
          <w:rFonts w:ascii="Arial" w:hAnsi="Arial" w:cs="Arial"/>
          <w:color w:val="7B7B7B" w:themeColor="accent3" w:themeShade="BF"/>
          <w:sz w:val="22"/>
          <w:szCs w:val="22"/>
          <w:lang w:val="en-GB"/>
        </w:rPr>
      </w:pPr>
    </w:p>
    <w:p w14:paraId="477E23A1" w14:textId="77777777" w:rsidR="00815313" w:rsidRDefault="00815313" w:rsidP="008153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refers to the discretionary powers of the court, Article 20 refers to the automatic relief should the foreign proceedings that have been recognised qualify as a foreign main proceeding. </w:t>
      </w:r>
    </w:p>
    <w:p w14:paraId="4D29A809" w14:textId="77777777" w:rsidR="00815313" w:rsidRDefault="00815313" w:rsidP="00815313">
      <w:pPr>
        <w:jc w:val="both"/>
        <w:rPr>
          <w:rFonts w:ascii="Arial" w:hAnsi="Arial" w:cs="Arial"/>
          <w:color w:val="7B7B7B" w:themeColor="accent3" w:themeShade="BF"/>
          <w:sz w:val="22"/>
          <w:szCs w:val="22"/>
          <w:lang w:val="en-GB"/>
        </w:rPr>
      </w:pPr>
    </w:p>
    <w:p w14:paraId="52204539" w14:textId="77777777" w:rsidR="00815313" w:rsidRDefault="00815313" w:rsidP="008153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paragraph of Article 22 confirms that the granting or denial of relief pursuant to Articles 19 and 21, an enacting state’s court must be satisfied that the creditor’s interests and other parties are protected. To that end, the court may grant relief to conditions it considers appropriate and can modify or terminate the relief for an affected party.</w:t>
      </w:r>
    </w:p>
    <w:p w14:paraId="3B0C8163" w14:textId="77777777" w:rsidR="00815313" w:rsidRDefault="00815313" w:rsidP="00815313">
      <w:pPr>
        <w:jc w:val="both"/>
        <w:rPr>
          <w:rFonts w:ascii="Arial" w:hAnsi="Arial" w:cs="Arial"/>
          <w:color w:val="7B7B7B" w:themeColor="accent3" w:themeShade="BF"/>
          <w:sz w:val="22"/>
          <w:szCs w:val="22"/>
          <w:lang w:val="en-GB"/>
        </w:rPr>
      </w:pPr>
    </w:p>
    <w:p w14:paraId="69CC7918" w14:textId="730482AA" w:rsidR="00815313" w:rsidRDefault="00815313" w:rsidP="008153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23 states that a consequence of obtaining recognition is also that foreign representatives have the ability to commence action in accordance with the enacting state’s legislation. </w:t>
      </w:r>
      <w:r w:rsidR="001B5F20">
        <w:rPr>
          <w:rFonts w:ascii="Arial" w:hAnsi="Arial" w:cs="Arial"/>
          <w:color w:val="7B7B7B" w:themeColor="accent3" w:themeShade="BF"/>
          <w:sz w:val="22"/>
          <w:szCs w:val="22"/>
          <w:lang w:val="en-GB"/>
        </w:rPr>
        <w:t>They</w:t>
      </w:r>
      <w:r>
        <w:rPr>
          <w:rFonts w:ascii="Arial" w:hAnsi="Arial" w:cs="Arial"/>
          <w:color w:val="7B7B7B" w:themeColor="accent3" w:themeShade="BF"/>
          <w:sz w:val="22"/>
          <w:szCs w:val="22"/>
          <w:lang w:val="en-GB"/>
        </w:rPr>
        <w:t xml:space="preserve"> can be used to render or avoid legal action which is to the detriment of creditors. </w:t>
      </w:r>
    </w:p>
    <w:p w14:paraId="644E8E85" w14:textId="77777777" w:rsidR="00815313" w:rsidRDefault="00815313" w:rsidP="00815313">
      <w:pPr>
        <w:jc w:val="both"/>
        <w:rPr>
          <w:rFonts w:ascii="Arial" w:hAnsi="Arial" w:cs="Arial"/>
          <w:color w:val="7B7B7B" w:themeColor="accent3" w:themeShade="BF"/>
          <w:sz w:val="22"/>
          <w:szCs w:val="22"/>
          <w:lang w:val="en-GB"/>
        </w:rPr>
      </w:pPr>
    </w:p>
    <w:p w14:paraId="34BE675F" w14:textId="30D708A2" w:rsidR="00815313" w:rsidRDefault="00815313" w:rsidP="008153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Article 24 states that a further consequence of recognition is that foreign representatives have the ability to intervene in any local proceedings commenced in the enacting state, to which the debtor is a party. Note that the foreign representative must adhere to local requirements. </w:t>
      </w:r>
    </w:p>
    <w:p w14:paraId="4472F61C" w14:textId="0958600D" w:rsidR="00547390" w:rsidRDefault="00547390" w:rsidP="00815313">
      <w:pPr>
        <w:jc w:val="both"/>
        <w:rPr>
          <w:rFonts w:ascii="Arial" w:hAnsi="Arial" w:cs="Arial"/>
          <w:color w:val="7B7B7B" w:themeColor="accent3" w:themeShade="BF"/>
          <w:sz w:val="22"/>
          <w:szCs w:val="22"/>
          <w:lang w:val="en-GB"/>
        </w:rPr>
      </w:pPr>
    </w:p>
    <w:p w14:paraId="1E6977F7" w14:textId="315855BC" w:rsidR="00547390" w:rsidRDefault="00547390" w:rsidP="008153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Article 20 provides automatic relief when a foreign main proceeding has been recognised. The relief will automatically have 3 affects:</w:t>
      </w:r>
    </w:p>
    <w:p w14:paraId="24DDE903" w14:textId="7040D827" w:rsidR="00547390" w:rsidRDefault="00547390" w:rsidP="00815313">
      <w:pPr>
        <w:jc w:val="both"/>
        <w:rPr>
          <w:rFonts w:ascii="Arial" w:hAnsi="Arial" w:cs="Arial"/>
          <w:color w:val="7B7B7B" w:themeColor="accent3" w:themeShade="BF"/>
          <w:sz w:val="22"/>
          <w:szCs w:val="22"/>
          <w:lang w:val="en-GB"/>
        </w:rPr>
      </w:pPr>
    </w:p>
    <w:p w14:paraId="02B135A0" w14:textId="6A97944E" w:rsidR="00547390" w:rsidRDefault="00547390" w:rsidP="0054739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Individual actions or proceedings against the debtor’s rights, obligations, liabilities or assets will be stayed</w:t>
      </w:r>
    </w:p>
    <w:p w14:paraId="54215358" w14:textId="1DE5C760" w:rsidR="00547390" w:rsidRDefault="00547390" w:rsidP="0054739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 stay of execution against the debtor’s assets</w:t>
      </w:r>
    </w:p>
    <w:p w14:paraId="131E7B6E" w14:textId="192EEB10" w:rsidR="00547390" w:rsidRDefault="00547390" w:rsidP="0054739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 the ability to encumber, dispose or transfer any assets of the debtor.</w:t>
      </w:r>
    </w:p>
    <w:p w14:paraId="37FC8FAB" w14:textId="403F67DE" w:rsidR="00547390" w:rsidRDefault="00547390" w:rsidP="00547390">
      <w:pPr>
        <w:jc w:val="both"/>
        <w:rPr>
          <w:rFonts w:ascii="Arial" w:hAnsi="Arial" w:cs="Arial"/>
          <w:color w:val="7B7B7B" w:themeColor="accent3" w:themeShade="BF"/>
          <w:sz w:val="22"/>
          <w:szCs w:val="22"/>
          <w:lang w:val="en-GB"/>
        </w:rPr>
      </w:pPr>
    </w:p>
    <w:p w14:paraId="5B8078DA" w14:textId="485CA12D" w:rsidR="00547390" w:rsidRDefault="00547390" w:rsidP="005473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steps are intended to provide additional time to agree orderly cross border proceedings. In additional, Article 20 also creditors a mandatory limitation against the effectives of an arbitration trial.</w:t>
      </w:r>
    </w:p>
    <w:p w14:paraId="24A00D2C" w14:textId="2B2611F3" w:rsidR="00547390" w:rsidRDefault="00547390" w:rsidP="00547390">
      <w:pPr>
        <w:jc w:val="both"/>
        <w:rPr>
          <w:rFonts w:ascii="Arial" w:hAnsi="Arial" w:cs="Arial"/>
          <w:color w:val="7B7B7B" w:themeColor="accent3" w:themeShade="BF"/>
          <w:sz w:val="22"/>
          <w:szCs w:val="22"/>
          <w:lang w:val="en-GB"/>
        </w:rPr>
      </w:pPr>
    </w:p>
    <w:p w14:paraId="6E8B5D42" w14:textId="5D227E42" w:rsidR="00547390" w:rsidRDefault="00547390" w:rsidP="005473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 of the Model Law and Article 25(1) also force courts to co-operate in full with any foreign courts or foreign representatives. Article 25(2) also allows the enacting state’s court to communicate directly with the foreign courts and foreign representatives and to request information or assistance directly from them.</w:t>
      </w:r>
    </w:p>
    <w:p w14:paraId="0F529A86" w14:textId="6EFEB369" w:rsidR="00D3610B" w:rsidRDefault="00D3610B" w:rsidP="00547390">
      <w:pPr>
        <w:jc w:val="both"/>
        <w:rPr>
          <w:rFonts w:ascii="Arial" w:hAnsi="Arial" w:cs="Arial"/>
          <w:color w:val="7B7B7B" w:themeColor="accent3" w:themeShade="BF"/>
          <w:sz w:val="22"/>
          <w:szCs w:val="22"/>
          <w:lang w:val="en-GB"/>
        </w:rPr>
      </w:pPr>
    </w:p>
    <w:p w14:paraId="3C35ADD8" w14:textId="236A5136" w:rsidR="00D3610B" w:rsidRDefault="00D3610B" w:rsidP="005473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proceedings have been recognised, Article 18 also provides that the foreign representative </w:t>
      </w:r>
      <w:r w:rsidR="00107F15">
        <w:rPr>
          <w:rFonts w:ascii="Arial" w:hAnsi="Arial" w:cs="Arial"/>
          <w:color w:val="7B7B7B" w:themeColor="accent3" w:themeShade="BF"/>
          <w:sz w:val="22"/>
          <w:szCs w:val="22"/>
          <w:lang w:val="en-GB"/>
        </w:rPr>
        <w:t>has a duty to the enacting state’s court to keep them updated if:</w:t>
      </w:r>
    </w:p>
    <w:p w14:paraId="40BA497A" w14:textId="45A1A463" w:rsidR="00107F15" w:rsidRDefault="00107F15" w:rsidP="00547390">
      <w:pPr>
        <w:jc w:val="both"/>
        <w:rPr>
          <w:rFonts w:ascii="Arial" w:hAnsi="Arial" w:cs="Arial"/>
          <w:color w:val="7B7B7B" w:themeColor="accent3" w:themeShade="BF"/>
          <w:sz w:val="22"/>
          <w:szCs w:val="22"/>
          <w:lang w:val="en-GB"/>
        </w:rPr>
      </w:pPr>
    </w:p>
    <w:p w14:paraId="652C4659" w14:textId="4A21442B" w:rsidR="00107F15" w:rsidRDefault="00107F15" w:rsidP="00107F15">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significant change in the foreign proceedings or the appointment</w:t>
      </w:r>
    </w:p>
    <w:p w14:paraId="794100CE" w14:textId="303129B1" w:rsidR="00107F15" w:rsidRPr="00107F15" w:rsidRDefault="00107F15" w:rsidP="00107F15">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foreign proceedings commence involving the same debtor</w:t>
      </w:r>
    </w:p>
    <w:p w14:paraId="1758E52D" w14:textId="77777777" w:rsidR="00547390" w:rsidRPr="00547390" w:rsidRDefault="00547390" w:rsidP="00547390">
      <w:pPr>
        <w:jc w:val="both"/>
        <w:rPr>
          <w:rFonts w:ascii="Arial" w:hAnsi="Arial" w:cs="Arial"/>
          <w:color w:val="7B7B7B" w:themeColor="accent3" w:themeShade="BF"/>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69516471" w:rsidR="00544127" w:rsidRDefault="00B74F9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entity making the foreign proceedings has access to the Court to seek a temporary stay to give ‘breathing space’. This provides the enacting state to understand the co-ordination between jurisdictions or any relief which may be necessary.</w:t>
      </w:r>
    </w:p>
    <w:p w14:paraId="7287298D" w14:textId="465209A6" w:rsidR="00E34674" w:rsidRDefault="00E34674" w:rsidP="00707FC8">
      <w:pPr>
        <w:jc w:val="both"/>
        <w:rPr>
          <w:rFonts w:ascii="Arial" w:hAnsi="Arial" w:cs="Arial"/>
          <w:color w:val="7B7B7B" w:themeColor="accent3" w:themeShade="BF"/>
          <w:sz w:val="22"/>
          <w:szCs w:val="22"/>
          <w:lang w:val="en-GB"/>
        </w:rPr>
      </w:pPr>
    </w:p>
    <w:p w14:paraId="27F2A687" w14:textId="77777777" w:rsidR="00E34674" w:rsidRDefault="00E3467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rights of access and principles are in place to save time, and consequently cost. On occasion, they may even facilitate the creation of value. They ensure that foreign creditors and representatives have equal rights to local creditors and sufficient notice of events. </w:t>
      </w:r>
    </w:p>
    <w:p w14:paraId="38C2065B" w14:textId="77777777" w:rsidR="00E34674" w:rsidRDefault="00E34674" w:rsidP="00707FC8">
      <w:pPr>
        <w:jc w:val="both"/>
        <w:rPr>
          <w:rFonts w:ascii="Arial" w:hAnsi="Arial" w:cs="Arial"/>
          <w:color w:val="7B7B7B" w:themeColor="accent3" w:themeShade="BF"/>
          <w:sz w:val="22"/>
          <w:szCs w:val="22"/>
          <w:lang w:val="en-GB"/>
        </w:rPr>
      </w:pPr>
    </w:p>
    <w:p w14:paraId="5448EFDC" w14:textId="03464530" w:rsidR="00E34674" w:rsidRDefault="00E3467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it is also intended to provide transparency and comfort, so that it encourages foreign business in the enacting state. </w:t>
      </w:r>
    </w:p>
    <w:p w14:paraId="39D8F9BC" w14:textId="53F17D16" w:rsidR="00E34674" w:rsidRDefault="00E34674" w:rsidP="00707FC8">
      <w:pPr>
        <w:jc w:val="both"/>
        <w:rPr>
          <w:rFonts w:ascii="Arial" w:hAnsi="Arial" w:cs="Arial"/>
          <w:color w:val="7B7B7B" w:themeColor="accent3" w:themeShade="BF"/>
          <w:sz w:val="22"/>
          <w:szCs w:val="22"/>
          <w:lang w:val="en-GB"/>
        </w:rPr>
      </w:pPr>
    </w:p>
    <w:p w14:paraId="72589306" w14:textId="58502408" w:rsidR="00E34674" w:rsidRDefault="00E34674" w:rsidP="00707FC8">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Locus Standi </w:t>
      </w:r>
      <w:r w:rsidR="00D74767">
        <w:rPr>
          <w:rFonts w:ascii="Arial" w:hAnsi="Arial" w:cs="Arial"/>
          <w:color w:val="7B7B7B" w:themeColor="accent3" w:themeShade="BF"/>
          <w:sz w:val="22"/>
          <w:szCs w:val="22"/>
          <w:lang w:val="en-GB"/>
        </w:rPr>
        <w:t xml:space="preserve">grants access to foreign representatives standing in enacting states court, without any formal requirements. </w:t>
      </w:r>
    </w:p>
    <w:p w14:paraId="15833B1F" w14:textId="667FE389" w:rsidR="00FB2309" w:rsidRDefault="00FB2309" w:rsidP="00707FC8">
      <w:pPr>
        <w:jc w:val="both"/>
        <w:rPr>
          <w:rFonts w:ascii="Arial" w:hAnsi="Arial" w:cs="Arial"/>
          <w:color w:val="7B7B7B" w:themeColor="accent3" w:themeShade="BF"/>
          <w:sz w:val="22"/>
          <w:szCs w:val="22"/>
          <w:lang w:val="en-GB"/>
        </w:rPr>
      </w:pPr>
    </w:p>
    <w:p w14:paraId="4AA1DF0E" w14:textId="77777777" w:rsidR="00107F15" w:rsidRDefault="00107F15" w:rsidP="00707FC8">
      <w:pPr>
        <w:jc w:val="both"/>
        <w:rPr>
          <w:rFonts w:ascii="Arial" w:hAnsi="Arial" w:cs="Arial"/>
          <w:color w:val="7B7B7B" w:themeColor="accent3" w:themeShade="BF"/>
          <w:sz w:val="22"/>
          <w:szCs w:val="22"/>
          <w:lang w:val="en-GB"/>
        </w:rPr>
      </w:pPr>
    </w:p>
    <w:p w14:paraId="23791472" w14:textId="598D2275" w:rsidR="00107F15" w:rsidRDefault="00107F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the MLCBI, Articles 9, 10, 11, 12, 13 and 14 give access to allow foreign representatives access to the enacting state’s courts. The aim of this is reduce the costs and expenses of the proceedings, to mitigate any potential delays. The particular details of these include:</w:t>
      </w:r>
    </w:p>
    <w:p w14:paraId="0AD5D4E2" w14:textId="77777777" w:rsidR="00107F15" w:rsidRDefault="00107F15" w:rsidP="00707FC8">
      <w:pPr>
        <w:jc w:val="both"/>
        <w:rPr>
          <w:rFonts w:ascii="Arial" w:hAnsi="Arial" w:cs="Arial"/>
          <w:color w:val="7B7B7B" w:themeColor="accent3" w:themeShade="BF"/>
          <w:sz w:val="22"/>
          <w:szCs w:val="22"/>
          <w:lang w:val="en-GB"/>
        </w:rPr>
      </w:pPr>
    </w:p>
    <w:p w14:paraId="5348DF5A" w14:textId="77120EFC" w:rsidR="00FB2309" w:rsidRDefault="00FB230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9 is the principle of direct access by a foreign representative. No recognition is required to obtain standing. However, this access does not automatically exist with any other powers or rights.</w:t>
      </w:r>
    </w:p>
    <w:p w14:paraId="484D565F" w14:textId="59F748A9" w:rsidR="00FB2309" w:rsidRDefault="00FB2309" w:rsidP="00707FC8">
      <w:pPr>
        <w:jc w:val="both"/>
        <w:rPr>
          <w:rFonts w:ascii="Arial" w:hAnsi="Arial" w:cs="Arial"/>
          <w:color w:val="7B7B7B" w:themeColor="accent3" w:themeShade="BF"/>
          <w:sz w:val="22"/>
          <w:szCs w:val="22"/>
          <w:lang w:val="en-GB"/>
        </w:rPr>
      </w:pPr>
    </w:p>
    <w:p w14:paraId="7EAB668A" w14:textId="54220319" w:rsidR="00FB2309" w:rsidRDefault="00FB230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11 requires </w:t>
      </w:r>
      <w:r w:rsidR="00576FE3">
        <w:rPr>
          <w:rFonts w:ascii="Arial" w:hAnsi="Arial" w:cs="Arial"/>
          <w:color w:val="7B7B7B" w:themeColor="accent3" w:themeShade="BF"/>
          <w:sz w:val="22"/>
          <w:szCs w:val="22"/>
          <w:lang w:val="en-GB"/>
        </w:rPr>
        <w:t>that to request the commencement of domestic insolvency proceedings, without having the conditions modified for the opening of any proceedings. No prior recognition is required for this again.</w:t>
      </w:r>
    </w:p>
    <w:p w14:paraId="37DDC5A7" w14:textId="51F45CE7" w:rsidR="00576FE3" w:rsidRDefault="00576FE3" w:rsidP="00707FC8">
      <w:pPr>
        <w:jc w:val="both"/>
        <w:rPr>
          <w:rFonts w:ascii="Arial" w:hAnsi="Arial" w:cs="Arial"/>
          <w:color w:val="7B7B7B" w:themeColor="accent3" w:themeShade="BF"/>
          <w:sz w:val="22"/>
          <w:szCs w:val="22"/>
          <w:lang w:val="en-GB"/>
        </w:rPr>
      </w:pPr>
    </w:p>
    <w:p w14:paraId="269CDD77" w14:textId="166FB873" w:rsidR="00576FE3" w:rsidRDefault="00576FE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12 requires recognition</w:t>
      </w:r>
      <w:r w:rsidR="00B90F68">
        <w:rPr>
          <w:rFonts w:ascii="Arial" w:hAnsi="Arial" w:cs="Arial"/>
          <w:color w:val="7B7B7B" w:themeColor="accent3" w:themeShade="BF"/>
          <w:sz w:val="22"/>
          <w:szCs w:val="22"/>
          <w:lang w:val="en-GB"/>
        </w:rPr>
        <w:t xml:space="preserve">. Once it has been obtained, the foreign representative will then have standing to make submissions, file petitions, realise and distribute assets. </w:t>
      </w:r>
    </w:p>
    <w:p w14:paraId="5703D45D" w14:textId="48F6E3A7" w:rsidR="00107F15" w:rsidRDefault="00107F15" w:rsidP="00707FC8">
      <w:pPr>
        <w:jc w:val="both"/>
        <w:rPr>
          <w:rFonts w:ascii="Arial" w:hAnsi="Arial" w:cs="Arial"/>
          <w:color w:val="7B7B7B" w:themeColor="accent3" w:themeShade="BF"/>
          <w:sz w:val="22"/>
          <w:szCs w:val="22"/>
          <w:lang w:val="en-GB"/>
        </w:rPr>
      </w:pPr>
    </w:p>
    <w:p w14:paraId="42885EC6" w14:textId="701F416B" w:rsidR="00107F15" w:rsidRDefault="00107F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co-operation between cross border proceedings is included at Articles 25, 26 and 27, before any recognition has been obtained. The aim of these is to avoid using letters rogatory and request for consular assistance, to be more time efficient and less costly. The main details of these include:</w:t>
      </w:r>
    </w:p>
    <w:p w14:paraId="0530AB92" w14:textId="3732BA1C" w:rsidR="00547390" w:rsidRDefault="00547390" w:rsidP="00707FC8">
      <w:pPr>
        <w:jc w:val="both"/>
        <w:rPr>
          <w:rFonts w:ascii="Arial" w:hAnsi="Arial" w:cs="Arial"/>
          <w:color w:val="7B7B7B" w:themeColor="accent3" w:themeShade="BF"/>
          <w:sz w:val="22"/>
          <w:szCs w:val="22"/>
          <w:lang w:val="en-GB"/>
        </w:rPr>
      </w:pPr>
    </w:p>
    <w:p w14:paraId="06DC59E6" w14:textId="78A7CB28" w:rsidR="00547390" w:rsidRDefault="00547390" w:rsidP="005473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 of the Model Law and Article 25(1) also force courts to co-operate in full with any foreign courts or foreign representatives. Article 25(2) also allows the enacting state’s court to communicate directly with the foreign courts and foreign representatives and to request information or assistance directly from them.</w:t>
      </w:r>
    </w:p>
    <w:p w14:paraId="5829C8F9" w14:textId="560FD3A5" w:rsidR="00547390" w:rsidRDefault="00547390" w:rsidP="00547390">
      <w:pPr>
        <w:jc w:val="both"/>
        <w:rPr>
          <w:rFonts w:ascii="Arial" w:hAnsi="Arial" w:cs="Arial"/>
          <w:color w:val="7B7B7B" w:themeColor="accent3" w:themeShade="BF"/>
          <w:sz w:val="22"/>
          <w:szCs w:val="22"/>
          <w:lang w:val="en-GB"/>
        </w:rPr>
      </w:pPr>
    </w:p>
    <w:p w14:paraId="38373CF4" w14:textId="3B2ECFFE" w:rsidR="00547390" w:rsidRDefault="00547390" w:rsidP="005473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26, an officeholder’s ability to exercise its powers remain under the supervision of the enacting state’s court. The officeholder must do the follow:</w:t>
      </w:r>
    </w:p>
    <w:p w14:paraId="0DEE06CA" w14:textId="7F8719BE" w:rsidR="00547390" w:rsidRDefault="00547390" w:rsidP="00547390">
      <w:pPr>
        <w:jc w:val="both"/>
        <w:rPr>
          <w:rFonts w:ascii="Arial" w:hAnsi="Arial" w:cs="Arial"/>
          <w:color w:val="7B7B7B" w:themeColor="accent3" w:themeShade="BF"/>
          <w:sz w:val="22"/>
          <w:szCs w:val="22"/>
          <w:lang w:val="en-GB"/>
        </w:rPr>
      </w:pPr>
    </w:p>
    <w:p w14:paraId="7CF38E39" w14:textId="2EA5B419" w:rsidR="00547390" w:rsidRDefault="00547390" w:rsidP="00547390">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maximum extent possible, co-operate with foreign representatives and courts (Article 26, 1)</w:t>
      </w:r>
    </w:p>
    <w:p w14:paraId="25FAEA31" w14:textId="350FFCA2" w:rsidR="00547390" w:rsidRDefault="00547390" w:rsidP="00547390">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 enter into communications directly with foreign representatives and courts.</w:t>
      </w:r>
    </w:p>
    <w:p w14:paraId="415BAD97" w14:textId="16510797" w:rsidR="00C31E47" w:rsidRDefault="00C31E47" w:rsidP="00C31E47">
      <w:pPr>
        <w:jc w:val="both"/>
        <w:rPr>
          <w:rFonts w:ascii="Arial" w:hAnsi="Arial" w:cs="Arial"/>
          <w:color w:val="7B7B7B" w:themeColor="accent3" w:themeShade="BF"/>
          <w:sz w:val="22"/>
          <w:szCs w:val="22"/>
          <w:lang w:val="en-GB"/>
        </w:rPr>
      </w:pPr>
    </w:p>
    <w:p w14:paraId="3D9CE95F" w14:textId="32089887" w:rsidR="00C31E47" w:rsidRDefault="00C31E47" w:rsidP="00C31E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this, Article 27 gives details of the co-operation under the Model Law. This is noted to be non-exhaustive to include all appropriate co-operation. The details included are:</w:t>
      </w:r>
    </w:p>
    <w:p w14:paraId="0ED0367B" w14:textId="64C6D271" w:rsidR="00C31E47" w:rsidRDefault="00C31E47" w:rsidP="00C31E47">
      <w:pPr>
        <w:jc w:val="both"/>
        <w:rPr>
          <w:rFonts w:ascii="Arial" w:hAnsi="Arial" w:cs="Arial"/>
          <w:color w:val="7B7B7B" w:themeColor="accent3" w:themeShade="BF"/>
          <w:sz w:val="22"/>
          <w:szCs w:val="22"/>
          <w:lang w:val="en-GB"/>
        </w:rPr>
      </w:pPr>
    </w:p>
    <w:p w14:paraId="3A841703" w14:textId="416F77FD" w:rsidR="00C31E47" w:rsidRDefault="00C31E47" w:rsidP="00C31E47">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direction of the court, the appointment of the body or person</w:t>
      </w:r>
    </w:p>
    <w:p w14:paraId="6C5AE93E" w14:textId="462475AC" w:rsidR="00C31E47" w:rsidRDefault="00C31E47" w:rsidP="00C31E47">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communication deemed appropriate by the court</w:t>
      </w:r>
    </w:p>
    <w:p w14:paraId="7FC31CAD" w14:textId="2292876B" w:rsidR="00C31E47" w:rsidRDefault="00C31E47" w:rsidP="00C31E47">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Dealing with the debtor’s assets and affairs</w:t>
      </w:r>
    </w:p>
    <w:p w14:paraId="6A61D368" w14:textId="5250DE10" w:rsidR="00C31E47" w:rsidRDefault="00C31E47" w:rsidP="00C31E47">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Implementing or approving the co-ordination of proceedings</w:t>
      </w:r>
    </w:p>
    <w:p w14:paraId="0363DD6A" w14:textId="59BCB790" w:rsidR="00C31E47" w:rsidRDefault="00C31E47" w:rsidP="00C31E47">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Co-ordinating any proceedings which are concurrent and relate to the debtor</w:t>
      </w:r>
    </w:p>
    <w:p w14:paraId="37DAE315" w14:textId="76562C6E" w:rsidR="00C31E47" w:rsidRDefault="00C31E47" w:rsidP="00C31E47">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Anything else deemed necessary by the enacting state</w:t>
      </w:r>
    </w:p>
    <w:p w14:paraId="638FDF76" w14:textId="217C8DF5" w:rsidR="00C31E47" w:rsidRDefault="00C31E47" w:rsidP="00C31E47">
      <w:pPr>
        <w:jc w:val="both"/>
        <w:rPr>
          <w:rFonts w:ascii="Arial" w:hAnsi="Arial" w:cs="Arial"/>
          <w:color w:val="7B7B7B" w:themeColor="accent3" w:themeShade="BF"/>
          <w:sz w:val="22"/>
          <w:szCs w:val="22"/>
          <w:lang w:val="en-GB"/>
        </w:rPr>
      </w:pPr>
    </w:p>
    <w:p w14:paraId="425EAC8C" w14:textId="61ADA279" w:rsidR="00C31E47" w:rsidRDefault="00C31E47" w:rsidP="00C31E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there is also guidance on what is effective communication:</w:t>
      </w:r>
    </w:p>
    <w:p w14:paraId="5D3EE887" w14:textId="516B6473" w:rsidR="00C31E47" w:rsidRDefault="00C31E47" w:rsidP="00C31E47">
      <w:pPr>
        <w:jc w:val="both"/>
        <w:rPr>
          <w:rFonts w:ascii="Arial" w:hAnsi="Arial" w:cs="Arial"/>
          <w:color w:val="7B7B7B" w:themeColor="accent3" w:themeShade="BF"/>
          <w:sz w:val="22"/>
          <w:szCs w:val="22"/>
          <w:lang w:val="en-GB"/>
        </w:rPr>
      </w:pPr>
    </w:p>
    <w:p w14:paraId="1FF96EB7" w14:textId="5C30EC0C" w:rsidR="00C31E47" w:rsidRDefault="00C31E47" w:rsidP="00C31E47">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communication between courts should bear in mind safeguards and protection to any procedural rights</w:t>
      </w:r>
    </w:p>
    <w:p w14:paraId="1B499D04" w14:textId="3292FA79" w:rsidR="00C31E47" w:rsidRDefault="00C31E47" w:rsidP="00C31E47">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communication should be open and sufficient notice provided (unless the circumstances are extreme)</w:t>
      </w:r>
    </w:p>
    <w:p w14:paraId="1CB1ED0E" w14:textId="6ACE5164" w:rsidR="00C31E47" w:rsidRDefault="00C31E47" w:rsidP="00C31E47">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Communications can include formal court judgments and orders, general information given informally, observations, questions and transcripts</w:t>
      </w:r>
    </w:p>
    <w:p w14:paraId="08155740" w14:textId="0D58E20E" w:rsidR="00C31E47" w:rsidRDefault="00C31E47" w:rsidP="00C31E47">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Telephone, video link, fax and email are all sufficient</w:t>
      </w:r>
    </w:p>
    <w:p w14:paraId="25E4FE3E" w14:textId="0F06F604" w:rsidR="00C31E47" w:rsidRDefault="00C31E47" w:rsidP="00C31E47">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communication should always be used appropriately, and where beneficial to the parties affected by the insolvency proceedings</w:t>
      </w:r>
    </w:p>
    <w:p w14:paraId="681ED5E7" w14:textId="0200E640" w:rsidR="00107F15" w:rsidRDefault="00107F15" w:rsidP="00107F15">
      <w:pPr>
        <w:jc w:val="both"/>
        <w:rPr>
          <w:rFonts w:ascii="Arial" w:hAnsi="Arial" w:cs="Arial"/>
          <w:color w:val="7B7B7B" w:themeColor="accent3" w:themeShade="BF"/>
          <w:sz w:val="22"/>
          <w:szCs w:val="22"/>
          <w:lang w:val="en-GB"/>
        </w:rPr>
      </w:pPr>
    </w:p>
    <w:p w14:paraId="778DC4DE" w14:textId="322B2B19" w:rsidR="00107F15" w:rsidRDefault="00107F15" w:rsidP="00107F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these circumstances, the foreign representative (State B) would have access directly to the court (State A).</w:t>
      </w:r>
    </w:p>
    <w:p w14:paraId="3D21342D" w14:textId="77777777" w:rsidR="00107F15" w:rsidRPr="00107F15" w:rsidRDefault="00107F15" w:rsidP="00107F15">
      <w:pPr>
        <w:jc w:val="both"/>
        <w:rPr>
          <w:rFonts w:ascii="Arial" w:hAnsi="Arial" w:cs="Arial"/>
          <w:color w:val="7B7B7B" w:themeColor="accent3" w:themeShade="BF"/>
          <w:sz w:val="22"/>
          <w:szCs w:val="22"/>
          <w:lang w:val="en-GB"/>
        </w:rPr>
      </w:pPr>
    </w:p>
    <w:p w14:paraId="4A637290" w14:textId="4A0282A0" w:rsidR="00544127" w:rsidRPr="009B5832" w:rsidRDefault="00544127"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68602A4" w14:textId="0DA463B6" w:rsidR="00107F15" w:rsidRDefault="00107F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under the MLCBI for recognition are set out at Articles 6, 15, 16 and 17. Other provisions also do play consequence to any applications. The main factors that will be considered are:</w:t>
      </w:r>
    </w:p>
    <w:p w14:paraId="7691EF8A" w14:textId="579F8AB3" w:rsidR="00107F15" w:rsidRDefault="00107F15" w:rsidP="00707FC8">
      <w:pPr>
        <w:jc w:val="both"/>
        <w:rPr>
          <w:rFonts w:ascii="Arial" w:hAnsi="Arial" w:cs="Arial"/>
          <w:color w:val="7B7B7B" w:themeColor="accent3" w:themeShade="BF"/>
          <w:sz w:val="22"/>
          <w:szCs w:val="22"/>
          <w:lang w:val="en-GB"/>
        </w:rPr>
      </w:pPr>
    </w:p>
    <w:p w14:paraId="1E98E1C0" w14:textId="349B27E2" w:rsidR="00107F15" w:rsidRDefault="00107F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6 provides the enacting state’s court the ability to refuse any actions if it contradicts the public policy of the state. This was tested in England in the case of </w:t>
      </w:r>
      <w:r>
        <w:rPr>
          <w:rFonts w:ascii="Arial" w:hAnsi="Arial" w:cs="Arial"/>
          <w:i/>
          <w:iCs/>
          <w:color w:val="7B7B7B" w:themeColor="accent3" w:themeShade="BF"/>
          <w:sz w:val="22"/>
          <w:szCs w:val="22"/>
          <w:lang w:val="en-GB"/>
        </w:rPr>
        <w:t>Agrokor</w:t>
      </w:r>
      <w:r>
        <w:rPr>
          <w:rFonts w:ascii="Arial" w:hAnsi="Arial" w:cs="Arial"/>
          <w:color w:val="7B7B7B" w:themeColor="accent3" w:themeShade="BF"/>
          <w:sz w:val="22"/>
          <w:szCs w:val="22"/>
          <w:lang w:val="en-GB"/>
        </w:rPr>
        <w:t xml:space="preserve">, </w:t>
      </w:r>
      <w:r w:rsidR="00844D7C">
        <w:rPr>
          <w:rFonts w:ascii="Arial" w:hAnsi="Arial" w:cs="Arial"/>
          <w:color w:val="7B7B7B" w:themeColor="accent3" w:themeShade="BF"/>
          <w:sz w:val="22"/>
          <w:szCs w:val="22"/>
          <w:lang w:val="en-GB"/>
        </w:rPr>
        <w:t xml:space="preserve">which held that it was a higher threshold than just being against public policy. </w:t>
      </w:r>
    </w:p>
    <w:p w14:paraId="52676427" w14:textId="637A14FE" w:rsidR="00844D7C" w:rsidRDefault="00844D7C" w:rsidP="00707FC8">
      <w:pPr>
        <w:jc w:val="both"/>
        <w:rPr>
          <w:rFonts w:ascii="Arial" w:hAnsi="Arial" w:cs="Arial"/>
          <w:color w:val="7B7B7B" w:themeColor="accent3" w:themeShade="BF"/>
          <w:sz w:val="22"/>
          <w:szCs w:val="22"/>
          <w:lang w:val="en-GB"/>
        </w:rPr>
      </w:pPr>
    </w:p>
    <w:p w14:paraId="5D843288" w14:textId="0B09B149" w:rsidR="00844D7C" w:rsidRPr="00844D7C" w:rsidRDefault="00844D7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recognition applications the Court needs to consider a number of potential factors. In particular, this was whether any abuse of process had taken place, which was tested in the case of </w:t>
      </w:r>
      <w:r>
        <w:rPr>
          <w:rFonts w:ascii="Arial" w:hAnsi="Arial" w:cs="Arial"/>
          <w:i/>
          <w:iCs/>
          <w:color w:val="7B7B7B" w:themeColor="accent3" w:themeShade="BF"/>
          <w:sz w:val="22"/>
          <w:szCs w:val="22"/>
          <w:lang w:val="en-GB"/>
        </w:rPr>
        <w:t>Nordic Trustee</w:t>
      </w:r>
      <w:r>
        <w:rPr>
          <w:rFonts w:ascii="Arial" w:hAnsi="Arial" w:cs="Arial"/>
          <w:color w:val="7B7B7B" w:themeColor="accent3" w:themeShade="BF"/>
          <w:sz w:val="22"/>
          <w:szCs w:val="22"/>
          <w:lang w:val="en-GB"/>
        </w:rPr>
        <w:t>, where the foreign representative failed to comply with their full and frank disclosure requirements in the application.</w:t>
      </w:r>
    </w:p>
    <w:p w14:paraId="2E08D9EC" w14:textId="77777777" w:rsidR="00107F15" w:rsidRDefault="00107F15" w:rsidP="00707FC8">
      <w:pPr>
        <w:jc w:val="both"/>
        <w:rPr>
          <w:rFonts w:ascii="Arial" w:hAnsi="Arial" w:cs="Arial"/>
          <w:color w:val="7B7B7B" w:themeColor="accent3" w:themeShade="BF"/>
          <w:sz w:val="22"/>
          <w:szCs w:val="22"/>
          <w:lang w:val="en-GB"/>
        </w:rPr>
      </w:pPr>
    </w:p>
    <w:p w14:paraId="7940D274" w14:textId="7E200911" w:rsidR="00DF75F8" w:rsidRDefault="00532EE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 states the following:</w:t>
      </w:r>
    </w:p>
    <w:p w14:paraId="47226AAA" w14:textId="77777777" w:rsidR="00C31E47" w:rsidRDefault="00C31E47" w:rsidP="00707FC8">
      <w:pPr>
        <w:jc w:val="both"/>
        <w:rPr>
          <w:rFonts w:ascii="Arial" w:hAnsi="Arial" w:cs="Arial"/>
          <w:color w:val="7B7B7B" w:themeColor="accent3" w:themeShade="BF"/>
          <w:sz w:val="22"/>
          <w:szCs w:val="22"/>
          <w:lang w:val="en-GB"/>
        </w:rPr>
      </w:pPr>
    </w:p>
    <w:p w14:paraId="50E80029" w14:textId="0479E438" w:rsidR="00532EE4" w:rsidRPr="00532EE4" w:rsidRDefault="00532EE4" w:rsidP="002308B8">
      <w:pPr>
        <w:pStyle w:val="ListParagraph"/>
        <w:numPr>
          <w:ilvl w:val="0"/>
          <w:numId w:val="21"/>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Foreign representatives can make applications to have their proceedings recognised.</w:t>
      </w:r>
    </w:p>
    <w:p w14:paraId="5334E3A7" w14:textId="5566E244" w:rsidR="00532EE4" w:rsidRPr="00532EE4" w:rsidRDefault="00532EE4" w:rsidP="002308B8">
      <w:pPr>
        <w:pStyle w:val="ListParagraph"/>
        <w:numPr>
          <w:ilvl w:val="0"/>
          <w:numId w:val="21"/>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The application should include (a) certificate of appointment in foreign proceedings, (</w:t>
      </w:r>
      <w:r w:rsidR="00844D7C">
        <w:rPr>
          <w:rFonts w:ascii="Arial" w:hAnsi="Arial" w:cs="Arial"/>
          <w:color w:val="7B7B7B" w:themeColor="accent3" w:themeShade="BF"/>
          <w:sz w:val="22"/>
          <w:szCs w:val="22"/>
          <w:lang w:val="en-GB"/>
        </w:rPr>
        <w:t>b</w:t>
      </w:r>
      <w:r w:rsidRPr="00532EE4">
        <w:rPr>
          <w:rFonts w:ascii="Arial" w:hAnsi="Arial" w:cs="Arial"/>
          <w:color w:val="7B7B7B" w:themeColor="accent3" w:themeShade="BF"/>
          <w:sz w:val="22"/>
          <w:szCs w:val="22"/>
          <w:lang w:val="en-GB"/>
        </w:rPr>
        <w:t>) certificate of the foreign court confirming the proceedings &amp; (c) any other potential evidence</w:t>
      </w:r>
    </w:p>
    <w:p w14:paraId="0D15B5DD" w14:textId="2AFA51C6" w:rsidR="00532EE4" w:rsidRPr="00532EE4" w:rsidRDefault="00532EE4" w:rsidP="002308B8">
      <w:pPr>
        <w:pStyle w:val="ListParagraph"/>
        <w:numPr>
          <w:ilvl w:val="0"/>
          <w:numId w:val="21"/>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The application must contain a statement of all known proceedings relating to the debtor</w:t>
      </w:r>
    </w:p>
    <w:p w14:paraId="601FDC5D" w14:textId="748D3325" w:rsidR="00532EE4" w:rsidRPr="00532EE4" w:rsidRDefault="00532EE4" w:rsidP="002308B8">
      <w:pPr>
        <w:pStyle w:val="ListParagraph"/>
        <w:numPr>
          <w:ilvl w:val="0"/>
          <w:numId w:val="21"/>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The documents must be translated to the language of the enacting state</w:t>
      </w:r>
    </w:p>
    <w:p w14:paraId="67F00CA6" w14:textId="65AC810E" w:rsidR="00532EE4" w:rsidRPr="00532EE4" w:rsidRDefault="00532EE4" w:rsidP="00532EE4">
      <w:pPr>
        <w:jc w:val="both"/>
        <w:rPr>
          <w:rFonts w:ascii="Arial" w:hAnsi="Arial" w:cs="Arial"/>
          <w:color w:val="7B7B7B" w:themeColor="accent3" w:themeShade="BF"/>
          <w:sz w:val="22"/>
          <w:szCs w:val="22"/>
          <w:lang w:val="en-GB"/>
        </w:rPr>
      </w:pPr>
    </w:p>
    <w:p w14:paraId="25DFD8C5" w14:textId="6D0B9D5C" w:rsidR="00532EE4" w:rsidRDefault="00532EE4" w:rsidP="00532EE4">
      <w:p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Article 16 states the following presumptions:</w:t>
      </w:r>
    </w:p>
    <w:p w14:paraId="71A0B134" w14:textId="3CBB0F8D" w:rsidR="00532EE4" w:rsidRDefault="00532EE4" w:rsidP="00532EE4">
      <w:pPr>
        <w:jc w:val="both"/>
        <w:rPr>
          <w:rFonts w:ascii="Arial" w:hAnsi="Arial" w:cs="Arial"/>
          <w:color w:val="7B7B7B" w:themeColor="accent3" w:themeShade="BF"/>
          <w:sz w:val="22"/>
          <w:szCs w:val="22"/>
          <w:lang w:val="en-GB"/>
        </w:rPr>
      </w:pPr>
    </w:p>
    <w:p w14:paraId="6F507135" w14:textId="0D72ABE9" w:rsidR="00532EE4" w:rsidRPr="00797D75" w:rsidRDefault="00797D75" w:rsidP="002308B8">
      <w:pPr>
        <w:pStyle w:val="ListParagraph"/>
        <w:numPr>
          <w:ilvl w:val="0"/>
          <w:numId w:val="22"/>
        </w:numPr>
        <w:jc w:val="both"/>
        <w:rPr>
          <w:rFonts w:ascii="Arial" w:hAnsi="Arial" w:cs="Arial"/>
          <w:color w:val="7B7B7B" w:themeColor="accent3" w:themeShade="BF"/>
          <w:sz w:val="22"/>
          <w:szCs w:val="22"/>
          <w:lang w:val="en-GB"/>
        </w:rPr>
      </w:pPr>
      <w:r w:rsidRPr="00797D75">
        <w:rPr>
          <w:rFonts w:ascii="Arial" w:hAnsi="Arial" w:cs="Arial"/>
          <w:color w:val="7B7B7B" w:themeColor="accent3" w:themeShade="BF"/>
          <w:sz w:val="22"/>
          <w:szCs w:val="22"/>
          <w:lang w:val="en-GB"/>
        </w:rPr>
        <w:t>If the certificate of appointment indicates proceedings until Article 2(a) and the representative is within Article 2(d), then the Court can make presumptions so too.</w:t>
      </w:r>
    </w:p>
    <w:p w14:paraId="0339C30B" w14:textId="68E6214A" w:rsidR="00797D75" w:rsidRPr="00797D75" w:rsidRDefault="00797D75" w:rsidP="002308B8">
      <w:pPr>
        <w:pStyle w:val="ListParagraph"/>
        <w:numPr>
          <w:ilvl w:val="0"/>
          <w:numId w:val="22"/>
        </w:numPr>
        <w:jc w:val="both"/>
        <w:rPr>
          <w:rFonts w:ascii="Arial" w:hAnsi="Arial" w:cs="Arial"/>
          <w:color w:val="7B7B7B" w:themeColor="accent3" w:themeShade="BF"/>
          <w:sz w:val="22"/>
          <w:szCs w:val="22"/>
          <w:lang w:val="en-GB"/>
        </w:rPr>
      </w:pPr>
      <w:r w:rsidRPr="00797D75">
        <w:rPr>
          <w:rFonts w:ascii="Arial" w:hAnsi="Arial" w:cs="Arial"/>
          <w:color w:val="7B7B7B" w:themeColor="accent3" w:themeShade="BF"/>
          <w:sz w:val="22"/>
          <w:szCs w:val="22"/>
          <w:lang w:val="en-GB"/>
        </w:rPr>
        <w:t>That documents are authentic, even if they have not been legalised</w:t>
      </w:r>
    </w:p>
    <w:p w14:paraId="5F97FCDB" w14:textId="4F972B40" w:rsidR="00797D75" w:rsidRDefault="00797D75" w:rsidP="002308B8">
      <w:pPr>
        <w:pStyle w:val="ListParagraph"/>
        <w:numPr>
          <w:ilvl w:val="0"/>
          <w:numId w:val="22"/>
        </w:numPr>
        <w:jc w:val="both"/>
        <w:rPr>
          <w:rFonts w:ascii="Arial" w:hAnsi="Arial" w:cs="Arial"/>
          <w:color w:val="7B7B7B" w:themeColor="accent3" w:themeShade="BF"/>
          <w:sz w:val="22"/>
          <w:szCs w:val="22"/>
          <w:lang w:val="en-GB"/>
        </w:rPr>
      </w:pPr>
      <w:r w:rsidRPr="00797D75">
        <w:rPr>
          <w:rFonts w:ascii="Arial" w:hAnsi="Arial" w:cs="Arial"/>
          <w:color w:val="7B7B7B" w:themeColor="accent3" w:themeShade="BF"/>
          <w:sz w:val="22"/>
          <w:szCs w:val="22"/>
          <w:lang w:val="en-GB"/>
        </w:rPr>
        <w:t xml:space="preserve">Unless proof can be </w:t>
      </w:r>
      <w:r w:rsidR="001B5F20" w:rsidRPr="00797D75">
        <w:rPr>
          <w:rFonts w:ascii="Arial" w:hAnsi="Arial" w:cs="Arial"/>
          <w:color w:val="7B7B7B" w:themeColor="accent3" w:themeShade="BF"/>
          <w:sz w:val="22"/>
          <w:szCs w:val="22"/>
          <w:lang w:val="en-GB"/>
        </w:rPr>
        <w:t>shown</w:t>
      </w:r>
      <w:r w:rsidRPr="00797D75">
        <w:rPr>
          <w:rFonts w:ascii="Arial" w:hAnsi="Arial" w:cs="Arial"/>
          <w:color w:val="7B7B7B" w:themeColor="accent3" w:themeShade="BF"/>
          <w:sz w:val="22"/>
          <w:szCs w:val="22"/>
          <w:lang w:val="en-GB"/>
        </w:rPr>
        <w:t xml:space="preserve"> that the residence or registered office is the COMI.</w:t>
      </w:r>
    </w:p>
    <w:p w14:paraId="0F7DECFE" w14:textId="38576AB3" w:rsidR="00797D75" w:rsidRDefault="00797D75" w:rsidP="00797D75">
      <w:pPr>
        <w:jc w:val="both"/>
        <w:rPr>
          <w:rFonts w:ascii="Arial" w:hAnsi="Arial" w:cs="Arial"/>
          <w:color w:val="7B7B7B" w:themeColor="accent3" w:themeShade="BF"/>
          <w:sz w:val="22"/>
          <w:szCs w:val="22"/>
          <w:lang w:val="en-GB"/>
        </w:rPr>
      </w:pPr>
    </w:p>
    <w:p w14:paraId="0CA52AD3" w14:textId="4C7F4AEB" w:rsidR="00797D75" w:rsidRDefault="00797D75" w:rsidP="00797D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states that:</w:t>
      </w:r>
    </w:p>
    <w:p w14:paraId="4A69FFDF" w14:textId="5F89FA6E" w:rsidR="00797D75" w:rsidRDefault="00797D75" w:rsidP="00797D75">
      <w:pPr>
        <w:jc w:val="both"/>
        <w:rPr>
          <w:rFonts w:ascii="Arial" w:hAnsi="Arial" w:cs="Arial"/>
          <w:color w:val="7B7B7B" w:themeColor="accent3" w:themeShade="BF"/>
          <w:sz w:val="22"/>
          <w:szCs w:val="22"/>
          <w:lang w:val="en-GB"/>
        </w:rPr>
      </w:pPr>
    </w:p>
    <w:p w14:paraId="001C08F9" w14:textId="17F007BF" w:rsidR="00844D7C" w:rsidRDefault="00844D7C" w:rsidP="002308B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must meet evidential requirements in Article 15, as listed above and must be filed in the enacting state’s court</w:t>
      </w:r>
    </w:p>
    <w:p w14:paraId="4B5947CB" w14:textId="67032E81" w:rsidR="00797D75" w:rsidRPr="007222B0" w:rsidRDefault="00797D75" w:rsidP="002308B8">
      <w:pPr>
        <w:pStyle w:val="ListParagraph"/>
        <w:numPr>
          <w:ilvl w:val="0"/>
          <w:numId w:val="23"/>
        </w:numPr>
        <w:jc w:val="both"/>
        <w:rPr>
          <w:rFonts w:ascii="Arial" w:hAnsi="Arial" w:cs="Arial"/>
          <w:color w:val="7B7B7B" w:themeColor="accent3" w:themeShade="BF"/>
          <w:sz w:val="22"/>
          <w:szCs w:val="22"/>
          <w:lang w:val="en-GB"/>
        </w:rPr>
      </w:pPr>
      <w:r w:rsidRPr="007222B0">
        <w:rPr>
          <w:rFonts w:ascii="Arial" w:hAnsi="Arial" w:cs="Arial"/>
          <w:color w:val="7B7B7B" w:themeColor="accent3" w:themeShade="BF"/>
          <w:sz w:val="22"/>
          <w:szCs w:val="22"/>
          <w:lang w:val="en-GB"/>
        </w:rPr>
        <w:t>Application must be made at the soonest possible opportunity</w:t>
      </w:r>
    </w:p>
    <w:p w14:paraId="086C43DF" w14:textId="7C5F764C" w:rsidR="00797D75" w:rsidRPr="007222B0" w:rsidRDefault="00797D75" w:rsidP="002308B8">
      <w:pPr>
        <w:pStyle w:val="ListParagraph"/>
        <w:numPr>
          <w:ilvl w:val="0"/>
          <w:numId w:val="23"/>
        </w:numPr>
        <w:jc w:val="both"/>
        <w:rPr>
          <w:rFonts w:ascii="Arial" w:hAnsi="Arial" w:cs="Arial"/>
          <w:color w:val="7B7B7B" w:themeColor="accent3" w:themeShade="BF"/>
          <w:sz w:val="22"/>
          <w:szCs w:val="22"/>
          <w:lang w:val="en-GB"/>
        </w:rPr>
      </w:pPr>
      <w:r w:rsidRPr="007222B0">
        <w:rPr>
          <w:rFonts w:ascii="Arial" w:hAnsi="Arial" w:cs="Arial"/>
          <w:color w:val="7B7B7B" w:themeColor="accent3" w:themeShade="BF"/>
          <w:sz w:val="22"/>
          <w:szCs w:val="22"/>
          <w:lang w:val="en-GB"/>
        </w:rPr>
        <w:t>Recognition can me modified/terminated if the grounds change</w:t>
      </w:r>
    </w:p>
    <w:p w14:paraId="754A4136" w14:textId="23D60646" w:rsidR="00797D75" w:rsidRPr="007222B0" w:rsidRDefault="00797D75" w:rsidP="002308B8">
      <w:pPr>
        <w:pStyle w:val="ListParagraph"/>
        <w:numPr>
          <w:ilvl w:val="0"/>
          <w:numId w:val="23"/>
        </w:numPr>
        <w:jc w:val="both"/>
        <w:rPr>
          <w:rFonts w:ascii="Arial" w:hAnsi="Arial" w:cs="Arial"/>
          <w:color w:val="7B7B7B" w:themeColor="accent3" w:themeShade="BF"/>
          <w:sz w:val="22"/>
          <w:szCs w:val="22"/>
          <w:lang w:val="en-GB"/>
        </w:rPr>
      </w:pPr>
      <w:r w:rsidRPr="007222B0">
        <w:rPr>
          <w:rFonts w:ascii="Arial" w:hAnsi="Arial" w:cs="Arial"/>
          <w:color w:val="7B7B7B" w:themeColor="accent3" w:themeShade="BF"/>
          <w:sz w:val="22"/>
          <w:szCs w:val="22"/>
          <w:lang w:val="en-GB"/>
        </w:rPr>
        <w:t xml:space="preserve">If no public policy grounds exist when a request is denied, but Article 15(2) is met, the foreign </w:t>
      </w:r>
      <w:r w:rsidR="007222B0" w:rsidRPr="007222B0">
        <w:rPr>
          <w:rFonts w:ascii="Arial" w:hAnsi="Arial" w:cs="Arial"/>
          <w:color w:val="7B7B7B" w:themeColor="accent3" w:themeShade="BF"/>
          <w:sz w:val="22"/>
          <w:szCs w:val="22"/>
          <w:lang w:val="en-GB"/>
        </w:rPr>
        <w:t>proceedings</w:t>
      </w:r>
      <w:r w:rsidRPr="007222B0">
        <w:rPr>
          <w:rFonts w:ascii="Arial" w:hAnsi="Arial" w:cs="Arial"/>
          <w:color w:val="7B7B7B" w:themeColor="accent3" w:themeShade="BF"/>
          <w:sz w:val="22"/>
          <w:szCs w:val="22"/>
          <w:lang w:val="en-GB"/>
        </w:rPr>
        <w:t xml:space="preserve"> qualify under Article 2(d)</w:t>
      </w:r>
    </w:p>
    <w:p w14:paraId="54033574" w14:textId="53491296" w:rsidR="00797D75" w:rsidRDefault="00797D75" w:rsidP="002308B8">
      <w:pPr>
        <w:pStyle w:val="ListParagraph"/>
        <w:numPr>
          <w:ilvl w:val="0"/>
          <w:numId w:val="23"/>
        </w:numPr>
        <w:jc w:val="both"/>
        <w:rPr>
          <w:rFonts w:ascii="Arial" w:hAnsi="Arial" w:cs="Arial"/>
          <w:color w:val="7B7B7B" w:themeColor="accent3" w:themeShade="BF"/>
          <w:sz w:val="22"/>
          <w:szCs w:val="22"/>
          <w:lang w:val="en-GB"/>
        </w:rPr>
      </w:pPr>
      <w:r w:rsidRPr="007222B0">
        <w:rPr>
          <w:rFonts w:ascii="Arial" w:hAnsi="Arial" w:cs="Arial"/>
          <w:color w:val="7B7B7B" w:themeColor="accent3" w:themeShade="BF"/>
          <w:sz w:val="22"/>
          <w:szCs w:val="22"/>
          <w:lang w:val="en-GB"/>
        </w:rPr>
        <w:t xml:space="preserve">If the debtor’s COMI is where the foreign proceedings are, </w:t>
      </w:r>
      <w:r w:rsidR="007222B0" w:rsidRPr="007222B0">
        <w:rPr>
          <w:rFonts w:ascii="Arial" w:hAnsi="Arial" w:cs="Arial"/>
          <w:color w:val="7B7B7B" w:themeColor="accent3" w:themeShade="BF"/>
          <w:sz w:val="22"/>
          <w:szCs w:val="22"/>
          <w:lang w:val="en-GB"/>
        </w:rPr>
        <w:t>then recognised as foreign main proceedings</w:t>
      </w:r>
    </w:p>
    <w:p w14:paraId="355AE992" w14:textId="043C1FD0" w:rsidR="007222B0" w:rsidRDefault="007222B0" w:rsidP="007222B0">
      <w:pPr>
        <w:jc w:val="both"/>
        <w:rPr>
          <w:rFonts w:ascii="Arial" w:hAnsi="Arial" w:cs="Arial"/>
          <w:color w:val="7B7B7B" w:themeColor="accent3" w:themeShade="BF"/>
          <w:sz w:val="22"/>
          <w:szCs w:val="22"/>
          <w:lang w:val="en-GB"/>
        </w:rPr>
      </w:pPr>
    </w:p>
    <w:p w14:paraId="119D1F6B" w14:textId="2F09E25F" w:rsidR="007222B0" w:rsidRDefault="007222B0" w:rsidP="007222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recognition, no reciprocity requirements exist under the Model Law. However, certain states have included their own provisions in relation to reciprocity. These requirements can stop the effect of Model Law and there can be no practical effect after the adoption. An example of this is South Africa’s CBIA 2000, which is dormant due to requirements which no state has yet met.</w:t>
      </w:r>
    </w:p>
    <w:p w14:paraId="293E1C59" w14:textId="4ED240E6" w:rsidR="007222B0" w:rsidRDefault="007222B0" w:rsidP="007222B0">
      <w:pPr>
        <w:jc w:val="both"/>
        <w:rPr>
          <w:rFonts w:ascii="Arial" w:hAnsi="Arial" w:cs="Arial"/>
          <w:color w:val="7B7B7B" w:themeColor="accent3" w:themeShade="BF"/>
          <w:sz w:val="22"/>
          <w:szCs w:val="22"/>
          <w:lang w:val="en-GB"/>
        </w:rPr>
      </w:pPr>
    </w:p>
    <w:p w14:paraId="731084BA" w14:textId="63F95DFC" w:rsidR="007222B0" w:rsidRDefault="007222B0" w:rsidP="007222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COMI is not defied, the guidance and European Insolvency Regs give two main factors:</w:t>
      </w:r>
    </w:p>
    <w:p w14:paraId="70977E36" w14:textId="7ED1CC82" w:rsidR="007222B0" w:rsidRDefault="007222B0" w:rsidP="007222B0">
      <w:pPr>
        <w:jc w:val="both"/>
        <w:rPr>
          <w:rFonts w:ascii="Arial" w:hAnsi="Arial" w:cs="Arial"/>
          <w:color w:val="7B7B7B" w:themeColor="accent3" w:themeShade="BF"/>
          <w:sz w:val="22"/>
          <w:szCs w:val="22"/>
          <w:lang w:val="en-GB"/>
        </w:rPr>
      </w:pPr>
    </w:p>
    <w:p w14:paraId="519F90D6" w14:textId="2D1690E7" w:rsidR="007222B0" w:rsidRPr="00EA6471" w:rsidRDefault="00EA6471" w:rsidP="002308B8">
      <w:pPr>
        <w:pStyle w:val="ListParagraph"/>
        <w:numPr>
          <w:ilvl w:val="0"/>
          <w:numId w:val="24"/>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Location of the central administration</w:t>
      </w:r>
    </w:p>
    <w:p w14:paraId="55C1C6A2" w14:textId="2F2C85C1" w:rsidR="00EA6471" w:rsidRPr="00EA6471" w:rsidRDefault="00EA6471" w:rsidP="002308B8">
      <w:pPr>
        <w:pStyle w:val="ListParagraph"/>
        <w:numPr>
          <w:ilvl w:val="0"/>
          <w:numId w:val="24"/>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Where is ascertainable by the debtor’s creditors</w:t>
      </w:r>
    </w:p>
    <w:p w14:paraId="5A14033F" w14:textId="4CCD6253" w:rsidR="00EA6471" w:rsidRDefault="00EA6471" w:rsidP="007222B0">
      <w:pPr>
        <w:jc w:val="both"/>
        <w:rPr>
          <w:rFonts w:ascii="Arial" w:hAnsi="Arial" w:cs="Arial"/>
          <w:color w:val="7B7B7B" w:themeColor="accent3" w:themeShade="BF"/>
          <w:sz w:val="22"/>
          <w:szCs w:val="22"/>
          <w:lang w:val="en-GB"/>
        </w:rPr>
      </w:pPr>
    </w:p>
    <w:p w14:paraId="0336CF6E" w14:textId="3D968768" w:rsidR="00EA6471" w:rsidRDefault="00EA6471" w:rsidP="007222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can decide what weight to give to each factor. Also, the Court may also consider these additional factors:</w:t>
      </w:r>
    </w:p>
    <w:p w14:paraId="52D56437" w14:textId="5F727E1A" w:rsidR="00EA6471" w:rsidRDefault="00EA6471" w:rsidP="007222B0">
      <w:pPr>
        <w:jc w:val="both"/>
        <w:rPr>
          <w:rFonts w:ascii="Arial" w:hAnsi="Arial" w:cs="Arial"/>
          <w:color w:val="7B7B7B" w:themeColor="accent3" w:themeShade="BF"/>
          <w:sz w:val="22"/>
          <w:szCs w:val="22"/>
          <w:lang w:val="en-GB"/>
        </w:rPr>
      </w:pPr>
    </w:p>
    <w:p w14:paraId="465C8968" w14:textId="6D587754"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Books and records location</w:t>
      </w:r>
    </w:p>
    <w:p w14:paraId="75E6D097" w14:textId="008E9D38"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Location of any financing/banking/regulation/audits</w:t>
      </w:r>
    </w:p>
    <w:p w14:paraId="0F73897B" w14:textId="397EFAF3"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Where the cash system is managed</w:t>
      </w:r>
    </w:p>
    <w:p w14:paraId="576E0841" w14:textId="5264A05E"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Principal asset locations</w:t>
      </w:r>
    </w:p>
    <w:p w14:paraId="79691993" w14:textId="1898ADEE"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Employees location</w:t>
      </w:r>
    </w:p>
    <w:p w14:paraId="34552F72" w14:textId="0327AAEC"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Commercial policy location</w:t>
      </w:r>
    </w:p>
    <w:p w14:paraId="23D4DEFA" w14:textId="786505AC" w:rsidR="00EA6471" w:rsidRP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The law governing any significant contracts and the location they were agreed</w:t>
      </w:r>
    </w:p>
    <w:p w14:paraId="56979D9B" w14:textId="2E76DBC0" w:rsidR="00EA6471" w:rsidRDefault="00EA6471" w:rsidP="002308B8">
      <w:pPr>
        <w:pStyle w:val="ListParagraph"/>
        <w:numPr>
          <w:ilvl w:val="0"/>
          <w:numId w:val="25"/>
        </w:numPr>
        <w:jc w:val="both"/>
        <w:rPr>
          <w:rFonts w:ascii="Arial" w:hAnsi="Arial" w:cs="Arial"/>
          <w:color w:val="7B7B7B" w:themeColor="accent3" w:themeShade="BF"/>
          <w:sz w:val="22"/>
          <w:szCs w:val="22"/>
          <w:lang w:val="en-GB"/>
        </w:rPr>
      </w:pPr>
      <w:r w:rsidRPr="00EA6471">
        <w:rPr>
          <w:rFonts w:ascii="Arial" w:hAnsi="Arial" w:cs="Arial"/>
          <w:color w:val="7B7B7B" w:themeColor="accent3" w:themeShade="BF"/>
          <w:sz w:val="22"/>
          <w:szCs w:val="22"/>
          <w:lang w:val="en-GB"/>
        </w:rPr>
        <w:t xml:space="preserve">Locations that may host any disputes </w:t>
      </w:r>
    </w:p>
    <w:p w14:paraId="20D915A4" w14:textId="455851A2" w:rsidR="00EA6471" w:rsidRDefault="00EA6471" w:rsidP="00EA6471">
      <w:pPr>
        <w:jc w:val="both"/>
        <w:rPr>
          <w:rFonts w:ascii="Arial" w:hAnsi="Arial" w:cs="Arial"/>
          <w:color w:val="7B7B7B" w:themeColor="accent3" w:themeShade="BF"/>
          <w:sz w:val="22"/>
          <w:szCs w:val="22"/>
          <w:lang w:val="en-GB"/>
        </w:rPr>
      </w:pPr>
    </w:p>
    <w:p w14:paraId="68408945" w14:textId="0E62E902" w:rsidR="00EA6471" w:rsidRDefault="00EA6471" w:rsidP="00EA64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no provisions exist in terms of an abuse of process, the local laws and procedures may dictate one. The Model Law does not stop an enacting state from perceiving once. To this end, the foreign representative would have full and frank disclosure requirements in the enacting state. </w:t>
      </w:r>
      <w:r w:rsidR="001B0D5A">
        <w:rPr>
          <w:rFonts w:ascii="Arial" w:hAnsi="Arial" w:cs="Arial"/>
          <w:color w:val="7B7B7B" w:themeColor="accent3" w:themeShade="BF"/>
          <w:sz w:val="22"/>
          <w:szCs w:val="22"/>
          <w:lang w:val="en-GB"/>
        </w:rPr>
        <w:t>If inappropriate motives or breaches do occur, which are not disclosed, then it may affect the recognition application.</w:t>
      </w:r>
    </w:p>
    <w:p w14:paraId="03919EC3" w14:textId="77777777" w:rsidR="00C31E47" w:rsidRDefault="00C31E47" w:rsidP="00EA6471">
      <w:pPr>
        <w:jc w:val="both"/>
        <w:rPr>
          <w:rFonts w:ascii="Arial" w:hAnsi="Arial" w:cs="Arial"/>
          <w:color w:val="7B7B7B" w:themeColor="accent3" w:themeShade="BF"/>
          <w:sz w:val="22"/>
          <w:szCs w:val="22"/>
          <w:lang w:val="en-GB"/>
        </w:rPr>
      </w:pPr>
    </w:p>
    <w:p w14:paraId="0128CD12" w14:textId="72891CF0" w:rsidR="001B0D5A" w:rsidRDefault="001B0D5A" w:rsidP="00EA64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6 is rarely the basis to refuse applications for recognition, despite it limiting the nature of any relief.</w:t>
      </w:r>
    </w:p>
    <w:p w14:paraId="11281D79" w14:textId="4AFF6F37" w:rsidR="006A4A31" w:rsidRDefault="006A4A31" w:rsidP="00EA6471">
      <w:pPr>
        <w:jc w:val="both"/>
        <w:rPr>
          <w:rFonts w:ascii="Arial" w:hAnsi="Arial" w:cs="Arial"/>
          <w:color w:val="7B7B7B" w:themeColor="accent3" w:themeShade="BF"/>
          <w:sz w:val="22"/>
          <w:szCs w:val="22"/>
          <w:lang w:val="en-GB"/>
        </w:rPr>
      </w:pPr>
    </w:p>
    <w:p w14:paraId="445A7D07" w14:textId="6E65D624" w:rsidR="006A4A31" w:rsidRDefault="006A4A31" w:rsidP="00EA64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Article 3 of the Model Law. Where a conflict may arise between a treaty and the Model Law, the treat will always take precedent and prevail.</w:t>
      </w:r>
    </w:p>
    <w:p w14:paraId="53D52647" w14:textId="332A4DBB" w:rsidR="00844D7C" w:rsidRDefault="00844D7C" w:rsidP="00EA6471">
      <w:pPr>
        <w:jc w:val="both"/>
        <w:rPr>
          <w:rFonts w:ascii="Arial" w:hAnsi="Arial" w:cs="Arial"/>
          <w:color w:val="7B7B7B" w:themeColor="accent3" w:themeShade="BF"/>
          <w:sz w:val="22"/>
          <w:szCs w:val="22"/>
          <w:lang w:val="en-GB"/>
        </w:rPr>
      </w:pPr>
    </w:p>
    <w:p w14:paraId="78F4D3E6" w14:textId="261B4905" w:rsidR="00844D7C" w:rsidRPr="00EA6471" w:rsidRDefault="00844D7C" w:rsidP="00EA64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these circumstances, the foreign representative is likely to obtain recognition in State A.</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7E02446E" w:rsidR="00DF75F8" w:rsidRDefault="00A050B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outcome of an application for recognition, an enacting state’s court may grant interim relief on a</w:t>
      </w:r>
      <w:r w:rsidR="00020240">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urgent basis, upon application for foreign proceedings to be recognised pursuant to Article 19.</w:t>
      </w:r>
    </w:p>
    <w:p w14:paraId="33879A8D" w14:textId="7440D562" w:rsidR="00A050B5" w:rsidRDefault="00A050B5" w:rsidP="00707FC8">
      <w:pPr>
        <w:jc w:val="both"/>
        <w:rPr>
          <w:rFonts w:ascii="Arial" w:hAnsi="Arial" w:cs="Arial"/>
          <w:color w:val="7B7B7B" w:themeColor="accent3" w:themeShade="BF"/>
          <w:sz w:val="22"/>
          <w:szCs w:val="22"/>
          <w:lang w:val="en-GB"/>
        </w:rPr>
      </w:pPr>
    </w:p>
    <w:p w14:paraId="66A91CA7" w14:textId="156E4A38" w:rsidR="00A050B5" w:rsidRDefault="00A050B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refers to the discretionary powers of the court, Article 20 refers to the automatic relief should the foreign proceedings that have been recognised qualify as a foreign main proceeding. </w:t>
      </w:r>
    </w:p>
    <w:p w14:paraId="43220F53" w14:textId="0CB2B9D9" w:rsidR="00A050B5" w:rsidRDefault="00A050B5" w:rsidP="00707FC8">
      <w:pPr>
        <w:jc w:val="both"/>
        <w:rPr>
          <w:rFonts w:ascii="Arial" w:hAnsi="Arial" w:cs="Arial"/>
          <w:color w:val="7B7B7B" w:themeColor="accent3" w:themeShade="BF"/>
          <w:sz w:val="22"/>
          <w:szCs w:val="22"/>
          <w:lang w:val="en-GB"/>
        </w:rPr>
      </w:pPr>
    </w:p>
    <w:p w14:paraId="3F907361" w14:textId="4BB2B0C4" w:rsidR="00A050B5" w:rsidRDefault="00A050B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paragraph of Article 22 confirms that the granting or denial of relief pursuant to Articles 19 and 21, an enacting state’s court must be </w:t>
      </w:r>
      <w:r w:rsidR="00583EB5">
        <w:rPr>
          <w:rFonts w:ascii="Arial" w:hAnsi="Arial" w:cs="Arial"/>
          <w:color w:val="7B7B7B" w:themeColor="accent3" w:themeShade="BF"/>
          <w:sz w:val="22"/>
          <w:szCs w:val="22"/>
          <w:lang w:val="en-GB"/>
        </w:rPr>
        <w:t xml:space="preserve">satisfied that the creditor’s interests and other parties are protected. To that end, the court may grant relief to conditions it considers appropriate and can modify </w:t>
      </w:r>
      <w:r w:rsidR="001972F6">
        <w:rPr>
          <w:rFonts w:ascii="Arial" w:hAnsi="Arial" w:cs="Arial"/>
          <w:color w:val="7B7B7B" w:themeColor="accent3" w:themeShade="BF"/>
          <w:sz w:val="22"/>
          <w:szCs w:val="22"/>
          <w:lang w:val="en-GB"/>
        </w:rPr>
        <w:t>or terminate the relief</w:t>
      </w:r>
      <w:r w:rsidR="007C28EB">
        <w:rPr>
          <w:rFonts w:ascii="Arial" w:hAnsi="Arial" w:cs="Arial"/>
          <w:color w:val="7B7B7B" w:themeColor="accent3" w:themeShade="BF"/>
          <w:sz w:val="22"/>
          <w:szCs w:val="22"/>
          <w:lang w:val="en-GB"/>
        </w:rPr>
        <w:t xml:space="preserve"> for an affected party.</w:t>
      </w:r>
    </w:p>
    <w:p w14:paraId="213423F3" w14:textId="6853E576" w:rsidR="007C28EB" w:rsidRDefault="007C28EB" w:rsidP="00707FC8">
      <w:pPr>
        <w:jc w:val="both"/>
        <w:rPr>
          <w:rFonts w:ascii="Arial" w:hAnsi="Arial" w:cs="Arial"/>
          <w:color w:val="7B7B7B" w:themeColor="accent3" w:themeShade="BF"/>
          <w:sz w:val="22"/>
          <w:szCs w:val="22"/>
          <w:lang w:val="en-GB"/>
        </w:rPr>
      </w:pPr>
    </w:p>
    <w:p w14:paraId="7596C4F1" w14:textId="66472FCE" w:rsidR="007C28EB" w:rsidRDefault="007C28E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23 states that a consequence of obtaining recognition is also that foreign representatives have the ability to commence action in accordance with the enacting state’s legislation. </w:t>
      </w:r>
      <w:r w:rsidR="001B5F20">
        <w:rPr>
          <w:rFonts w:ascii="Arial" w:hAnsi="Arial" w:cs="Arial"/>
          <w:color w:val="7B7B7B" w:themeColor="accent3" w:themeShade="BF"/>
          <w:sz w:val="22"/>
          <w:szCs w:val="22"/>
          <w:lang w:val="en-GB"/>
        </w:rPr>
        <w:t>They</w:t>
      </w:r>
      <w:r>
        <w:rPr>
          <w:rFonts w:ascii="Arial" w:hAnsi="Arial" w:cs="Arial"/>
          <w:color w:val="7B7B7B" w:themeColor="accent3" w:themeShade="BF"/>
          <w:sz w:val="22"/>
          <w:szCs w:val="22"/>
          <w:lang w:val="en-GB"/>
        </w:rPr>
        <w:t xml:space="preserve"> can be used to render or avoid legal action which is to the detriment of creditors. </w:t>
      </w:r>
    </w:p>
    <w:p w14:paraId="61BD4A76" w14:textId="35DE6D54" w:rsidR="007C28EB" w:rsidRDefault="007C28EB" w:rsidP="00707FC8">
      <w:pPr>
        <w:jc w:val="both"/>
        <w:rPr>
          <w:rFonts w:ascii="Arial" w:hAnsi="Arial" w:cs="Arial"/>
          <w:color w:val="7B7B7B" w:themeColor="accent3" w:themeShade="BF"/>
          <w:sz w:val="22"/>
          <w:szCs w:val="22"/>
          <w:lang w:val="en-GB"/>
        </w:rPr>
      </w:pPr>
    </w:p>
    <w:p w14:paraId="31150EE7" w14:textId="7FCD0A92" w:rsidR="007C28EB" w:rsidRDefault="007C28E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Article 24 </w:t>
      </w:r>
      <w:r w:rsidR="00806487">
        <w:rPr>
          <w:rFonts w:ascii="Arial" w:hAnsi="Arial" w:cs="Arial"/>
          <w:color w:val="7B7B7B" w:themeColor="accent3" w:themeShade="BF"/>
          <w:sz w:val="22"/>
          <w:szCs w:val="22"/>
          <w:lang w:val="en-GB"/>
        </w:rPr>
        <w:t xml:space="preserve">states that a further consequence of recognition is that foreign representatives have the ability to intervene in any local proceedings commenced in the enacting state, to which the debtor is a party. Note that the foreign representative must adhere to local requirements. </w:t>
      </w:r>
    </w:p>
    <w:p w14:paraId="781B875C" w14:textId="5324CC3B" w:rsidR="00844D7C" w:rsidRDefault="00844D7C" w:rsidP="00707FC8">
      <w:pPr>
        <w:jc w:val="both"/>
        <w:rPr>
          <w:rFonts w:ascii="Arial" w:hAnsi="Arial" w:cs="Arial"/>
          <w:color w:val="7B7B7B" w:themeColor="accent3" w:themeShade="BF"/>
          <w:sz w:val="22"/>
          <w:szCs w:val="22"/>
          <w:lang w:val="en-GB"/>
        </w:rPr>
      </w:pPr>
    </w:p>
    <w:p w14:paraId="45BBDE5B" w14:textId="5D652B37" w:rsidR="00844D7C" w:rsidRDefault="00844D7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Detailed below are the different relief available under each specific Article.</w:t>
      </w:r>
    </w:p>
    <w:p w14:paraId="43CB9CED" w14:textId="754FF7CD" w:rsidR="002F2F0F" w:rsidRDefault="002F2F0F" w:rsidP="00707FC8">
      <w:pPr>
        <w:jc w:val="both"/>
        <w:rPr>
          <w:rFonts w:ascii="Arial" w:hAnsi="Arial" w:cs="Arial"/>
          <w:color w:val="7B7B7B" w:themeColor="accent3" w:themeShade="BF"/>
          <w:sz w:val="22"/>
          <w:szCs w:val="22"/>
          <w:lang w:val="en-GB"/>
        </w:rPr>
      </w:pPr>
    </w:p>
    <w:p w14:paraId="17E2789F" w14:textId="3499281D" w:rsidR="002F2F0F" w:rsidRDefault="002F2F0F"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21 Relief</w:t>
      </w:r>
      <w:r w:rsidR="00844D7C">
        <w:rPr>
          <w:rFonts w:ascii="Arial" w:hAnsi="Arial" w:cs="Arial"/>
          <w:color w:val="7B7B7B" w:themeColor="accent3" w:themeShade="BF"/>
          <w:sz w:val="22"/>
          <w:szCs w:val="22"/>
          <w:u w:val="single"/>
          <w:lang w:val="en-GB"/>
        </w:rPr>
        <w:t xml:space="preserve"> – Discretionary Relief, available on </w:t>
      </w:r>
      <w:r w:rsidR="000E0868">
        <w:rPr>
          <w:rFonts w:ascii="Arial" w:hAnsi="Arial" w:cs="Arial"/>
          <w:color w:val="7B7B7B" w:themeColor="accent3" w:themeShade="BF"/>
          <w:sz w:val="22"/>
          <w:szCs w:val="22"/>
          <w:u w:val="single"/>
          <w:lang w:val="en-GB"/>
        </w:rPr>
        <w:t>recognition</w:t>
      </w:r>
    </w:p>
    <w:p w14:paraId="31A15DD3" w14:textId="185307BE"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Individual actions and proceedings relating to the debtor’s assets can be stayed.</w:t>
      </w:r>
    </w:p>
    <w:p w14:paraId="445CBE65" w14:textId="32316339"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Debtor’s assets can have a staying execution</w:t>
      </w:r>
    </w:p>
    <w:p w14:paraId="2BB85EC5" w14:textId="4E490B23"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Suspension of rights to dispose or transfer assets</w:t>
      </w:r>
    </w:p>
    <w:p w14:paraId="633D1ED2" w14:textId="5AB1949B"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Examine witnesses to take evidence in relation to the debtor’s affairs</w:t>
      </w:r>
    </w:p>
    <w:p w14:paraId="699EF61E" w14:textId="3D79DD2D"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Extension of any interim relief</w:t>
      </w:r>
    </w:p>
    <w:p w14:paraId="0726CE3C" w14:textId="732DF991"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Additional relief that may be available to domestic liquidators</w:t>
      </w:r>
    </w:p>
    <w:p w14:paraId="45CC18CD" w14:textId="41E04451" w:rsidR="0068285F" w:rsidRDefault="0068285F" w:rsidP="00707FC8">
      <w:pPr>
        <w:jc w:val="both"/>
        <w:rPr>
          <w:rFonts w:ascii="Arial" w:hAnsi="Arial" w:cs="Arial"/>
          <w:color w:val="7B7B7B" w:themeColor="accent3" w:themeShade="BF"/>
          <w:sz w:val="22"/>
          <w:szCs w:val="22"/>
          <w:lang w:val="en-GB"/>
        </w:rPr>
      </w:pPr>
    </w:p>
    <w:p w14:paraId="53A9BB14" w14:textId="1E58DC94" w:rsidR="0068285F" w:rsidRPr="0068285F" w:rsidRDefault="0068285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of the Court in the enacting state is not unlimited. It has been tested and defined in three cases, being </w:t>
      </w:r>
      <w:r>
        <w:rPr>
          <w:rFonts w:ascii="Arial" w:hAnsi="Arial" w:cs="Arial"/>
          <w:i/>
          <w:iCs/>
          <w:color w:val="7B7B7B" w:themeColor="accent3" w:themeShade="BF"/>
          <w:sz w:val="22"/>
          <w:szCs w:val="22"/>
          <w:lang w:val="en-GB"/>
        </w:rPr>
        <w:t>Rubin V Eurofinance</w:t>
      </w:r>
      <w:r w:rsidR="0031278A">
        <w:rPr>
          <w:rFonts w:ascii="Arial" w:hAnsi="Arial" w:cs="Arial"/>
          <w:color w:val="7B7B7B" w:themeColor="accent3" w:themeShade="BF"/>
          <w:sz w:val="22"/>
          <w:szCs w:val="22"/>
          <w:lang w:val="en-GB"/>
        </w:rPr>
        <w:t xml:space="preserve">, which held that foreign proceedings as a result of a default judgment were not capable of recognition. The </w:t>
      </w:r>
      <w:r w:rsidR="0031278A">
        <w:rPr>
          <w:rFonts w:ascii="Arial" w:hAnsi="Arial" w:cs="Arial"/>
          <w:i/>
          <w:iCs/>
          <w:color w:val="7B7B7B" w:themeColor="accent3" w:themeShade="BF"/>
          <w:sz w:val="22"/>
          <w:szCs w:val="22"/>
          <w:lang w:val="en-GB"/>
        </w:rPr>
        <w:t>Gibbs Rules</w:t>
      </w:r>
      <w:r w:rsidR="0031278A">
        <w:rPr>
          <w:rFonts w:ascii="Arial" w:hAnsi="Arial" w:cs="Arial"/>
          <w:color w:val="7B7B7B" w:themeColor="accent3" w:themeShade="BF"/>
          <w:sz w:val="22"/>
          <w:szCs w:val="22"/>
          <w:lang w:val="en-GB"/>
        </w:rPr>
        <w:t xml:space="preserve"> states that foreign insolvency law will not apply to English contracts. The </w:t>
      </w:r>
      <w:r w:rsidR="0031278A">
        <w:rPr>
          <w:rFonts w:ascii="Arial" w:hAnsi="Arial" w:cs="Arial"/>
          <w:i/>
          <w:iCs/>
          <w:color w:val="7B7B7B" w:themeColor="accent3" w:themeShade="BF"/>
          <w:sz w:val="22"/>
          <w:szCs w:val="22"/>
          <w:lang w:val="en-GB"/>
        </w:rPr>
        <w:t>IBA</w:t>
      </w:r>
      <w:r w:rsidR="0031278A">
        <w:rPr>
          <w:rFonts w:ascii="Arial" w:hAnsi="Arial" w:cs="Arial"/>
          <w:color w:val="7B7B7B" w:themeColor="accent3" w:themeShade="BF"/>
          <w:sz w:val="22"/>
          <w:szCs w:val="22"/>
          <w:lang w:val="en-GB"/>
        </w:rPr>
        <w:t xml:space="preserve"> case held that in foreign restricting proceedings won’t grant indefinite automatic moratoriums, and also</w:t>
      </w:r>
      <w:r>
        <w:rPr>
          <w:rFonts w:ascii="Arial" w:hAnsi="Arial" w:cs="Arial"/>
          <w:i/>
          <w:iCs/>
          <w:color w:val="7B7B7B" w:themeColor="accent3" w:themeShade="BF"/>
          <w:sz w:val="22"/>
          <w:szCs w:val="22"/>
          <w:lang w:val="en-GB"/>
        </w:rPr>
        <w:t xml:space="preserve"> Fibria V Pan</w:t>
      </w:r>
      <w:r w:rsidR="0031278A">
        <w:rPr>
          <w:rFonts w:ascii="Arial" w:hAnsi="Arial" w:cs="Arial"/>
          <w:color w:val="7B7B7B" w:themeColor="accent3" w:themeShade="BF"/>
          <w:sz w:val="22"/>
          <w:szCs w:val="22"/>
          <w:lang w:val="en-GB"/>
        </w:rPr>
        <w:t>, where the high courts refused to intervene in the termination of a contract</w:t>
      </w:r>
      <w:r>
        <w:rPr>
          <w:rFonts w:ascii="Arial" w:hAnsi="Arial" w:cs="Arial"/>
          <w:color w:val="7B7B7B" w:themeColor="accent3" w:themeShade="BF"/>
          <w:sz w:val="22"/>
          <w:szCs w:val="22"/>
          <w:lang w:val="en-GB"/>
        </w:rPr>
        <w:t>.</w:t>
      </w:r>
    </w:p>
    <w:p w14:paraId="462E1CC9" w14:textId="721332F1" w:rsidR="002F2F0F" w:rsidRDefault="002F2F0F" w:rsidP="00707FC8">
      <w:pPr>
        <w:jc w:val="both"/>
        <w:rPr>
          <w:rFonts w:ascii="Arial" w:hAnsi="Arial" w:cs="Arial"/>
          <w:color w:val="7B7B7B" w:themeColor="accent3" w:themeShade="BF"/>
          <w:sz w:val="22"/>
          <w:szCs w:val="22"/>
          <w:lang w:val="en-GB"/>
        </w:rPr>
      </w:pPr>
    </w:p>
    <w:p w14:paraId="65964547" w14:textId="40D579E8" w:rsidR="002F2F0F" w:rsidRDefault="002F2F0F"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20 Relief</w:t>
      </w:r>
      <w:r w:rsidR="00844D7C">
        <w:rPr>
          <w:rFonts w:ascii="Arial" w:hAnsi="Arial" w:cs="Arial"/>
          <w:color w:val="7B7B7B" w:themeColor="accent3" w:themeShade="BF"/>
          <w:sz w:val="22"/>
          <w:szCs w:val="22"/>
          <w:u w:val="single"/>
          <w:lang w:val="en-GB"/>
        </w:rPr>
        <w:t xml:space="preserve"> – Automatic Relief, on recognition of foreign main proceedings</w:t>
      </w:r>
    </w:p>
    <w:p w14:paraId="52DE0E6F" w14:textId="658BE366"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Stay of individual actions/proceedings relating to a debtor</w:t>
      </w:r>
    </w:p>
    <w:p w14:paraId="429FB64B" w14:textId="66ED123B"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Stay of execution against a debtor’s assets</w:t>
      </w:r>
    </w:p>
    <w:p w14:paraId="2FE1574D" w14:textId="0E328BD1" w:rsidR="002F2F0F" w:rsidRPr="00532EE4" w:rsidRDefault="002F2F0F" w:rsidP="002308B8">
      <w:pPr>
        <w:pStyle w:val="ListParagraph"/>
        <w:numPr>
          <w:ilvl w:val="0"/>
          <w:numId w:val="20"/>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Suspension of transfer/embargo on debtors assets</w:t>
      </w:r>
    </w:p>
    <w:p w14:paraId="442A7A83" w14:textId="2CAAC62A" w:rsidR="002F2F0F" w:rsidRDefault="002F2F0F" w:rsidP="00707FC8">
      <w:pPr>
        <w:jc w:val="both"/>
        <w:rPr>
          <w:rFonts w:ascii="Arial" w:hAnsi="Arial" w:cs="Arial"/>
          <w:color w:val="7B7B7B" w:themeColor="accent3" w:themeShade="BF"/>
          <w:sz w:val="22"/>
          <w:szCs w:val="22"/>
          <w:lang w:val="en-GB"/>
        </w:rPr>
      </w:pPr>
    </w:p>
    <w:p w14:paraId="2E80F32E" w14:textId="43819AC8" w:rsidR="002F2F0F" w:rsidRDefault="002F2F0F"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19 Relief</w:t>
      </w:r>
      <w:r w:rsidR="00844D7C">
        <w:rPr>
          <w:rFonts w:ascii="Arial" w:hAnsi="Arial" w:cs="Arial"/>
          <w:color w:val="7B7B7B" w:themeColor="accent3" w:themeShade="BF"/>
          <w:sz w:val="22"/>
          <w:szCs w:val="22"/>
          <w:u w:val="single"/>
          <w:lang w:val="en-GB"/>
        </w:rPr>
        <w:t xml:space="preserve"> – Interim Relief, which becomes available on application</w:t>
      </w:r>
    </w:p>
    <w:p w14:paraId="79088851" w14:textId="451A9CFB" w:rsidR="002F2F0F" w:rsidRPr="00532EE4" w:rsidRDefault="002F2F0F" w:rsidP="002308B8">
      <w:pPr>
        <w:pStyle w:val="ListParagraph"/>
        <w:numPr>
          <w:ilvl w:val="0"/>
          <w:numId w:val="19"/>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 xml:space="preserve">Stay of execution on </w:t>
      </w:r>
      <w:r w:rsidR="0068285F" w:rsidRPr="00532EE4">
        <w:rPr>
          <w:rFonts w:ascii="Arial" w:hAnsi="Arial" w:cs="Arial"/>
          <w:color w:val="7B7B7B" w:themeColor="accent3" w:themeShade="BF"/>
          <w:sz w:val="22"/>
          <w:szCs w:val="22"/>
          <w:lang w:val="en-GB"/>
        </w:rPr>
        <w:t>d</w:t>
      </w:r>
      <w:r w:rsidRPr="00532EE4">
        <w:rPr>
          <w:rFonts w:ascii="Arial" w:hAnsi="Arial" w:cs="Arial"/>
          <w:color w:val="7B7B7B" w:themeColor="accent3" w:themeShade="BF"/>
          <w:sz w:val="22"/>
          <w:szCs w:val="22"/>
          <w:lang w:val="en-GB"/>
        </w:rPr>
        <w:t>ebtor’s assets</w:t>
      </w:r>
    </w:p>
    <w:p w14:paraId="5BEFE2E4" w14:textId="344563CA" w:rsidR="002F2F0F" w:rsidRPr="00532EE4" w:rsidRDefault="0068285F" w:rsidP="002308B8">
      <w:pPr>
        <w:pStyle w:val="ListParagraph"/>
        <w:numPr>
          <w:ilvl w:val="0"/>
          <w:numId w:val="19"/>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Realising the debtor’s assets in the enacting state, that are subject to devaluation</w:t>
      </w:r>
    </w:p>
    <w:p w14:paraId="2072164E" w14:textId="415E0090" w:rsidR="0068285F" w:rsidRPr="00532EE4" w:rsidRDefault="0068285F" w:rsidP="002308B8">
      <w:pPr>
        <w:pStyle w:val="ListParagraph"/>
        <w:numPr>
          <w:ilvl w:val="0"/>
          <w:numId w:val="19"/>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Any of the post action relief in Article 21 (above)</w:t>
      </w:r>
    </w:p>
    <w:p w14:paraId="4E486CBA" w14:textId="4B80024C" w:rsidR="0068285F" w:rsidRDefault="0068285F" w:rsidP="00707FC8">
      <w:pPr>
        <w:jc w:val="both"/>
        <w:rPr>
          <w:rFonts w:ascii="Arial" w:hAnsi="Arial" w:cs="Arial"/>
          <w:color w:val="7B7B7B" w:themeColor="accent3" w:themeShade="BF"/>
          <w:sz w:val="22"/>
          <w:szCs w:val="22"/>
          <w:lang w:val="en-GB"/>
        </w:rPr>
      </w:pPr>
    </w:p>
    <w:p w14:paraId="08E4F893" w14:textId="194F607B" w:rsidR="0068285F" w:rsidRDefault="0068285F"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22 Relief</w:t>
      </w:r>
    </w:p>
    <w:p w14:paraId="153513B2" w14:textId="66E11B86" w:rsidR="0068285F" w:rsidRPr="00532EE4" w:rsidRDefault="003A75F9" w:rsidP="002308B8">
      <w:pPr>
        <w:pStyle w:val="ListParagraph"/>
        <w:numPr>
          <w:ilvl w:val="0"/>
          <w:numId w:val="18"/>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 xml:space="preserve">The interests of persons affected and the foreign representatives must be </w:t>
      </w:r>
      <w:r w:rsidR="00532EE4" w:rsidRPr="00532EE4">
        <w:rPr>
          <w:rFonts w:ascii="Arial" w:hAnsi="Arial" w:cs="Arial"/>
          <w:color w:val="7B7B7B" w:themeColor="accent3" w:themeShade="BF"/>
          <w:sz w:val="22"/>
          <w:szCs w:val="22"/>
          <w:lang w:val="en-GB"/>
        </w:rPr>
        <w:t>balanced</w:t>
      </w:r>
    </w:p>
    <w:p w14:paraId="5D20A481" w14:textId="5D10C4CF" w:rsidR="003A75F9" w:rsidRPr="00532EE4" w:rsidRDefault="003A75F9" w:rsidP="002308B8">
      <w:pPr>
        <w:pStyle w:val="ListParagraph"/>
        <w:numPr>
          <w:ilvl w:val="0"/>
          <w:numId w:val="18"/>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Interests should guide the court in exercising discretionary relief</w:t>
      </w:r>
    </w:p>
    <w:p w14:paraId="675B1103" w14:textId="16A45449" w:rsidR="003A75F9" w:rsidRPr="00532EE4" w:rsidRDefault="003A75F9" w:rsidP="002308B8">
      <w:pPr>
        <w:pStyle w:val="ListParagraph"/>
        <w:numPr>
          <w:ilvl w:val="0"/>
          <w:numId w:val="18"/>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Relief can be tailored to certain conditions or modified/terminated</w:t>
      </w:r>
    </w:p>
    <w:p w14:paraId="76E57F69" w14:textId="5D55D215" w:rsidR="003A75F9" w:rsidRDefault="003A75F9" w:rsidP="00707FC8">
      <w:pPr>
        <w:jc w:val="both"/>
        <w:rPr>
          <w:rFonts w:ascii="Arial" w:hAnsi="Arial" w:cs="Arial"/>
          <w:color w:val="7B7B7B" w:themeColor="accent3" w:themeShade="BF"/>
          <w:sz w:val="22"/>
          <w:szCs w:val="22"/>
          <w:lang w:val="en-GB"/>
        </w:rPr>
      </w:pPr>
    </w:p>
    <w:p w14:paraId="28F826A8" w14:textId="5E948F1D" w:rsidR="003A75F9" w:rsidRDefault="003A75F9"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23 Relief</w:t>
      </w:r>
    </w:p>
    <w:p w14:paraId="04432CF2" w14:textId="6FA2A065" w:rsidR="003A75F9" w:rsidRPr="00532EE4" w:rsidRDefault="003A75F9" w:rsidP="002308B8">
      <w:pPr>
        <w:pStyle w:val="ListParagraph"/>
        <w:numPr>
          <w:ilvl w:val="0"/>
          <w:numId w:val="17"/>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Only actions available to the local insolvency appointment taker</w:t>
      </w:r>
    </w:p>
    <w:p w14:paraId="4CF034C5" w14:textId="3409C747" w:rsidR="003A75F9" w:rsidRPr="00532EE4" w:rsidRDefault="003A75F9" w:rsidP="002308B8">
      <w:pPr>
        <w:pStyle w:val="ListParagraph"/>
        <w:numPr>
          <w:ilvl w:val="0"/>
          <w:numId w:val="17"/>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Individual creditors cannot apply within the scope</w:t>
      </w:r>
    </w:p>
    <w:p w14:paraId="762EB06D" w14:textId="095529ED" w:rsidR="003A75F9" w:rsidRPr="00532EE4" w:rsidRDefault="003A75F9" w:rsidP="002308B8">
      <w:pPr>
        <w:pStyle w:val="ListParagraph"/>
        <w:numPr>
          <w:ilvl w:val="0"/>
          <w:numId w:val="17"/>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Stops foreign representatives from being restricted in antecedent transactions</w:t>
      </w:r>
    </w:p>
    <w:p w14:paraId="70AD9DF0" w14:textId="4F9103B0" w:rsidR="003A75F9" w:rsidRDefault="003A75F9" w:rsidP="00707FC8">
      <w:pPr>
        <w:jc w:val="both"/>
        <w:rPr>
          <w:rFonts w:ascii="Arial" w:hAnsi="Arial" w:cs="Arial"/>
          <w:color w:val="7B7B7B" w:themeColor="accent3" w:themeShade="BF"/>
          <w:sz w:val="22"/>
          <w:szCs w:val="22"/>
          <w:lang w:val="en-GB"/>
        </w:rPr>
      </w:pPr>
    </w:p>
    <w:p w14:paraId="09474863" w14:textId="775BF462" w:rsidR="003A75F9" w:rsidRDefault="003A75F9"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 24 Relief</w:t>
      </w:r>
    </w:p>
    <w:p w14:paraId="1DBB4352" w14:textId="130D1F9E" w:rsidR="003A75F9" w:rsidRPr="00532EE4" w:rsidRDefault="003A75F9" w:rsidP="002308B8">
      <w:pPr>
        <w:pStyle w:val="ListParagraph"/>
        <w:numPr>
          <w:ilvl w:val="0"/>
          <w:numId w:val="16"/>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lastRenderedPageBreak/>
        <w:t>Allows standing to avoid denial due to local procedures</w:t>
      </w:r>
    </w:p>
    <w:p w14:paraId="7982B1CF" w14:textId="4644E76F" w:rsidR="003A75F9" w:rsidRDefault="003A75F9" w:rsidP="002308B8">
      <w:pPr>
        <w:pStyle w:val="ListParagraph"/>
        <w:numPr>
          <w:ilvl w:val="0"/>
          <w:numId w:val="16"/>
        </w:numPr>
        <w:jc w:val="both"/>
        <w:rPr>
          <w:rFonts w:ascii="Arial" w:hAnsi="Arial" w:cs="Arial"/>
          <w:color w:val="7B7B7B" w:themeColor="accent3" w:themeShade="BF"/>
          <w:sz w:val="22"/>
          <w:szCs w:val="22"/>
          <w:lang w:val="en-GB"/>
        </w:rPr>
      </w:pPr>
      <w:r w:rsidRPr="00532EE4">
        <w:rPr>
          <w:rFonts w:ascii="Arial" w:hAnsi="Arial" w:cs="Arial"/>
          <w:color w:val="7B7B7B" w:themeColor="accent3" w:themeShade="BF"/>
          <w:sz w:val="22"/>
          <w:szCs w:val="22"/>
          <w:lang w:val="en-GB"/>
        </w:rPr>
        <w:t xml:space="preserve">Only available where Article 20 and 21 have not been initiated </w:t>
      </w:r>
    </w:p>
    <w:p w14:paraId="5C6F5AF3" w14:textId="6921E22B" w:rsidR="00844D7C" w:rsidRDefault="00844D7C" w:rsidP="00844D7C">
      <w:pPr>
        <w:jc w:val="both"/>
        <w:rPr>
          <w:rFonts w:ascii="Arial" w:hAnsi="Arial" w:cs="Arial"/>
          <w:color w:val="7B7B7B" w:themeColor="accent3" w:themeShade="BF"/>
          <w:sz w:val="22"/>
          <w:szCs w:val="22"/>
          <w:lang w:val="en-GB"/>
        </w:rPr>
      </w:pPr>
    </w:p>
    <w:p w14:paraId="53EE7F89" w14:textId="3F3368BA" w:rsidR="00844D7C" w:rsidRDefault="0031278A" w:rsidP="00844D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Discretionary and interim relief are only granted if the court is satisfied that the relief is in the best interests of creditors and other interested parties, to ensure they are protected. </w:t>
      </w:r>
    </w:p>
    <w:p w14:paraId="32458EAC" w14:textId="317F33ED" w:rsidR="0031278A" w:rsidRDefault="0031278A" w:rsidP="00844D7C">
      <w:pPr>
        <w:jc w:val="both"/>
        <w:rPr>
          <w:rFonts w:ascii="Arial" w:hAnsi="Arial" w:cs="Arial"/>
          <w:color w:val="7B7B7B" w:themeColor="accent3" w:themeShade="BF"/>
          <w:sz w:val="22"/>
          <w:szCs w:val="22"/>
          <w:lang w:val="en-GB"/>
        </w:rPr>
      </w:pPr>
    </w:p>
    <w:p w14:paraId="77F7E3F6" w14:textId="76723009" w:rsidR="0031278A" w:rsidRPr="00844D7C" w:rsidRDefault="0031278A" w:rsidP="00844D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relief requires the court to be satisfied that it is urgently requirement. The court can give this relief based on certain conditions being met, or modify/terminate it. A court does</w:t>
      </w:r>
      <w:r w:rsidR="00BE085A">
        <w:rPr>
          <w:rFonts w:ascii="Arial" w:hAnsi="Arial" w:cs="Arial"/>
          <w:color w:val="7B7B7B" w:themeColor="accent3" w:themeShade="BF"/>
          <w:sz w:val="22"/>
          <w:szCs w:val="22"/>
          <w:lang w:val="en-GB"/>
        </w:rPr>
        <w:t xml:space="preserve"> not</w:t>
      </w:r>
      <w:r>
        <w:rPr>
          <w:rFonts w:ascii="Arial" w:hAnsi="Arial" w:cs="Arial"/>
          <w:color w:val="7B7B7B" w:themeColor="accent3" w:themeShade="BF"/>
          <w:sz w:val="22"/>
          <w:szCs w:val="22"/>
          <w:lang w:val="en-GB"/>
        </w:rPr>
        <w:t xml:space="preserve"> have unlimited </w:t>
      </w:r>
      <w:r w:rsidR="00BE085A">
        <w:rPr>
          <w:rFonts w:ascii="Arial" w:hAnsi="Arial" w:cs="Arial"/>
          <w:color w:val="7B7B7B" w:themeColor="accent3" w:themeShade="BF"/>
          <w:sz w:val="22"/>
          <w:szCs w:val="22"/>
          <w:lang w:val="en-GB"/>
        </w:rPr>
        <w:t>jurisdiction to grant the relief.</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5A9CA39" w:rsidR="00980314" w:rsidRDefault="00196EA0"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relief granted under Article 19 must be consistent with any domestic insolvency proceedings. The Court will review any relief granted, which shall be terminated/modified if inconsistent with any domestic proceedings. Th</w:t>
      </w:r>
      <w:r w:rsidR="008E10E9">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was tested in Re Dalnyaya Step LLC, Cherkasov &amp; Ors v Olegovich.</w:t>
      </w:r>
    </w:p>
    <w:p w14:paraId="2DBFB769" w14:textId="77777777" w:rsidR="00BE085A" w:rsidRDefault="00BE085A" w:rsidP="00980314">
      <w:pPr>
        <w:jc w:val="both"/>
        <w:rPr>
          <w:rFonts w:ascii="Arial" w:hAnsi="Arial" w:cs="Arial"/>
          <w:color w:val="7B7B7B" w:themeColor="accent3" w:themeShade="BF"/>
          <w:sz w:val="22"/>
          <w:szCs w:val="22"/>
          <w:lang w:val="en-GB"/>
        </w:rPr>
      </w:pPr>
    </w:p>
    <w:p w14:paraId="6C620C4C" w14:textId="1F5DCA76" w:rsidR="006A4A31" w:rsidRDefault="00864D6D"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relief would be intended to help stop any dissipation of assets and preserve value for the benefit of creditors and shareholders.</w:t>
      </w:r>
      <w:r w:rsidR="00BE085A">
        <w:rPr>
          <w:rFonts w:ascii="Arial" w:hAnsi="Arial" w:cs="Arial"/>
          <w:color w:val="7B7B7B" w:themeColor="accent3" w:themeShade="BF"/>
          <w:sz w:val="22"/>
          <w:szCs w:val="22"/>
          <w:lang w:val="en-GB"/>
        </w:rPr>
        <w:t xml:space="preserve"> </w:t>
      </w:r>
      <w:r w:rsidR="006A4A31">
        <w:rPr>
          <w:rFonts w:ascii="Arial" w:hAnsi="Arial" w:cs="Arial"/>
          <w:color w:val="7B7B7B" w:themeColor="accent3" w:themeShade="BF"/>
          <w:sz w:val="22"/>
          <w:szCs w:val="22"/>
          <w:lang w:val="en-GB"/>
        </w:rPr>
        <w:t>Representatives may act independently to the parties, where the application is based on facts at the hearing, and there may be changes in circumstances.</w:t>
      </w:r>
    </w:p>
    <w:p w14:paraId="6C2CC983" w14:textId="0D3B8CB8" w:rsidR="00BE085A" w:rsidRDefault="00BE085A" w:rsidP="00980314">
      <w:pPr>
        <w:jc w:val="both"/>
        <w:rPr>
          <w:rFonts w:ascii="Arial" w:hAnsi="Arial" w:cs="Arial"/>
          <w:color w:val="7B7B7B" w:themeColor="accent3" w:themeShade="BF"/>
          <w:sz w:val="22"/>
          <w:szCs w:val="22"/>
          <w:lang w:val="en-GB"/>
        </w:rPr>
      </w:pPr>
    </w:p>
    <w:p w14:paraId="40923880" w14:textId="627CDE55" w:rsidR="00BE085A" w:rsidRPr="009B5832" w:rsidRDefault="00BE085A" w:rsidP="00980314">
      <w:pPr>
        <w:jc w:val="both"/>
        <w:rPr>
          <w:rFonts w:ascii="Arial" w:hAnsi="Arial" w:cs="Arial"/>
          <w:sz w:val="22"/>
          <w:szCs w:val="22"/>
          <w:lang w:val="en-GB"/>
        </w:rPr>
      </w:pPr>
      <w:r>
        <w:rPr>
          <w:rFonts w:ascii="Arial" w:hAnsi="Arial" w:cs="Arial"/>
          <w:color w:val="7B7B7B" w:themeColor="accent3" w:themeShade="BF"/>
          <w:sz w:val="22"/>
          <w:szCs w:val="22"/>
          <w:lang w:val="en-GB"/>
        </w:rPr>
        <w:t>Worldwide freezing orders can be granted on an interim basis, however they are unlikely to be considered for post recognition relief, given that the MLCBI extends the effects indefinitely.</w:t>
      </w:r>
      <w:r w:rsidR="006B5851">
        <w:rPr>
          <w:rFonts w:ascii="Arial" w:hAnsi="Arial" w:cs="Arial"/>
          <w:color w:val="7B7B7B" w:themeColor="accent3" w:themeShade="BF"/>
          <w:sz w:val="22"/>
          <w:szCs w:val="22"/>
          <w:lang w:val="en-GB"/>
        </w:rPr>
        <w:t xml:space="preserve"> </w:t>
      </w:r>
      <w:r w:rsidR="000E0868">
        <w:rPr>
          <w:rFonts w:ascii="Arial" w:hAnsi="Arial" w:cs="Arial"/>
          <w:color w:val="7B7B7B" w:themeColor="accent3" w:themeShade="BF"/>
          <w:sz w:val="22"/>
          <w:szCs w:val="22"/>
          <w:lang w:val="en-GB"/>
        </w:rPr>
        <w:t>However,</w:t>
      </w:r>
      <w:r w:rsidR="006B5851">
        <w:rPr>
          <w:rFonts w:ascii="Arial" w:hAnsi="Arial" w:cs="Arial"/>
          <w:color w:val="7B7B7B" w:themeColor="accent3" w:themeShade="BF"/>
          <w:sz w:val="22"/>
          <w:szCs w:val="22"/>
          <w:lang w:val="en-GB"/>
        </w:rPr>
        <w:t xml:space="preserve"> any assets are likely to be dealt with pursuant to the law in the foreign state. The proceedings can generally be recognised when the law of the enacting states allows.</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w:t>
      </w:r>
      <w:r w:rsidRPr="009B5832">
        <w:rPr>
          <w:rFonts w:ascii="Arial" w:hAnsi="Arial" w:cs="Arial"/>
          <w:color w:val="000000"/>
          <w:sz w:val="22"/>
          <w:szCs w:val="22"/>
          <w:lang w:val="en-GB" w:eastAsia="en-GB"/>
        </w:rPr>
        <w:lastRenderedPageBreak/>
        <w:t>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2308B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2308B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2308B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2308B8">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2308B8">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2308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2308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2308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2308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2308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2308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677614E9" w:rsidR="008A7470" w:rsidRPr="009B5832" w:rsidRDefault="008A7470" w:rsidP="002308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r w:rsidR="001B5F20" w:rsidRPr="009B5832">
        <w:rPr>
          <w:rFonts w:ascii="Arial" w:hAnsi="Arial" w:cs="Arial"/>
          <w:color w:val="000000"/>
          <w:sz w:val="22"/>
          <w:szCs w:val="22"/>
          <w:lang w:val="en-GB" w:eastAsia="en-GB"/>
        </w:rPr>
        <w:t>for eight consecutive reporting periods</w:t>
      </w:r>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2308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2308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2308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2308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authority the power to claim damages from a related party of the Bank, the power to make a claim against a non-banking financial institution that raised money as loans or deposits from </w:t>
      </w:r>
      <w:r w:rsidRPr="009B5832">
        <w:rPr>
          <w:rFonts w:ascii="Arial" w:hAnsi="Arial" w:cs="Arial"/>
          <w:color w:val="000000"/>
          <w:sz w:val="22"/>
          <w:szCs w:val="22"/>
          <w:lang w:val="en-GB" w:eastAsia="en-GB"/>
        </w:rPr>
        <w:lastRenderedPageBreak/>
        <w:t>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1D21F57" w14:textId="27C85CF3" w:rsidR="003A2979" w:rsidRPr="0031071F" w:rsidRDefault="003A2979" w:rsidP="00707FC8">
      <w:pPr>
        <w:jc w:val="both"/>
        <w:rPr>
          <w:rFonts w:ascii="Arial" w:hAnsi="Arial" w:cs="Arial"/>
          <w:color w:val="7B7B7B" w:themeColor="accent3" w:themeShade="BF"/>
          <w:sz w:val="22"/>
          <w:szCs w:val="22"/>
          <w:u w:val="single"/>
          <w:lang w:val="en-GB"/>
        </w:rPr>
      </w:pPr>
      <w:r w:rsidRPr="0031071F">
        <w:rPr>
          <w:rFonts w:ascii="Arial" w:hAnsi="Arial" w:cs="Arial"/>
          <w:color w:val="7B7B7B" w:themeColor="accent3" w:themeShade="BF"/>
          <w:sz w:val="22"/>
          <w:szCs w:val="22"/>
          <w:u w:val="single"/>
          <w:lang w:val="en-GB"/>
        </w:rPr>
        <w:t>Answer 4.1.1</w:t>
      </w:r>
    </w:p>
    <w:p w14:paraId="07298239" w14:textId="77777777" w:rsidR="003A2979" w:rsidRDefault="003A2979" w:rsidP="00707FC8">
      <w:pPr>
        <w:jc w:val="both"/>
        <w:rPr>
          <w:rFonts w:ascii="Arial" w:hAnsi="Arial" w:cs="Arial"/>
          <w:color w:val="7B7B7B" w:themeColor="accent3" w:themeShade="BF"/>
          <w:sz w:val="22"/>
          <w:szCs w:val="22"/>
          <w:lang w:val="en-GB"/>
        </w:rPr>
      </w:pPr>
    </w:p>
    <w:p w14:paraId="16B26EDF" w14:textId="1CAE2854" w:rsidR="006B5851" w:rsidRDefault="006B585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England has implemented MLCBI and the Cross Border Insolvency Regulations. </w:t>
      </w:r>
    </w:p>
    <w:p w14:paraId="76828476" w14:textId="77777777" w:rsidR="006B5851" w:rsidRDefault="006B5851" w:rsidP="00707FC8">
      <w:pPr>
        <w:jc w:val="both"/>
        <w:rPr>
          <w:rFonts w:ascii="Arial" w:hAnsi="Arial" w:cs="Arial"/>
          <w:color w:val="7B7B7B" w:themeColor="accent3" w:themeShade="BF"/>
          <w:sz w:val="22"/>
          <w:szCs w:val="22"/>
          <w:lang w:val="en-GB"/>
        </w:rPr>
      </w:pPr>
    </w:p>
    <w:p w14:paraId="75D9FD47" w14:textId="56542E56" w:rsidR="00F76E19" w:rsidRDefault="00F76E1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should apply to any proceedings under Article 2(a), however enacting states may decide to exclude banks from the Model Law, requiring a special regulatory regime. Exclusions must be expressly referred to in the national insolvency law. </w:t>
      </w:r>
      <w:r w:rsidR="001B5F20">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it is noted that it does not apply in this instance.</w:t>
      </w:r>
    </w:p>
    <w:p w14:paraId="2E72D4D9" w14:textId="065C5C28" w:rsidR="00F76E19" w:rsidRDefault="00F76E19" w:rsidP="00707FC8">
      <w:pPr>
        <w:jc w:val="both"/>
        <w:rPr>
          <w:rFonts w:ascii="Arial" w:hAnsi="Arial" w:cs="Arial"/>
          <w:color w:val="7B7B7B" w:themeColor="accent3" w:themeShade="BF"/>
          <w:sz w:val="22"/>
          <w:szCs w:val="22"/>
          <w:lang w:val="en-GB"/>
        </w:rPr>
      </w:pPr>
    </w:p>
    <w:p w14:paraId="20481D69" w14:textId="65A44178" w:rsidR="00F76E19" w:rsidRDefault="00F76E1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2(a), in order to be classed as a Foreign Proceedings, the following elements need to be met: </w:t>
      </w:r>
    </w:p>
    <w:p w14:paraId="69707F2B" w14:textId="1BCB8803" w:rsidR="00F76E19" w:rsidRDefault="00F76E19" w:rsidP="00707FC8">
      <w:pPr>
        <w:jc w:val="both"/>
        <w:rPr>
          <w:rFonts w:ascii="Arial" w:hAnsi="Arial" w:cs="Arial"/>
          <w:color w:val="7B7B7B" w:themeColor="accent3" w:themeShade="BF"/>
          <w:sz w:val="22"/>
          <w:szCs w:val="22"/>
          <w:lang w:val="en-GB"/>
        </w:rPr>
      </w:pPr>
    </w:p>
    <w:p w14:paraId="6A2DAA70" w14:textId="18672FD4" w:rsidR="00F76E19" w:rsidRPr="00483F23"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There must be an ongoing proceeding (this can include interim proceedings)</w:t>
      </w:r>
    </w:p>
    <w:p w14:paraId="49A28951" w14:textId="5805CCF8" w:rsidR="00483F23" w:rsidRPr="00483F23"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The proceedings must be either administrative or judicial</w:t>
      </w:r>
    </w:p>
    <w:p w14:paraId="71952F71" w14:textId="0D99D3C8" w:rsidR="00483F23" w:rsidRPr="00483F23"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The proceedings must be collective in nature</w:t>
      </w:r>
    </w:p>
    <w:p w14:paraId="615E450B" w14:textId="0546C880" w:rsidR="00483F23" w:rsidRPr="00483F23"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The proceedings should be in a foreign state</w:t>
      </w:r>
    </w:p>
    <w:p w14:paraId="07867C31" w14:textId="5F7A2C1F" w:rsidR="00483F23" w:rsidRPr="00483F23"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It must be conducted and authorised in a relevant insolvency law</w:t>
      </w:r>
    </w:p>
    <w:p w14:paraId="6CFB97DF" w14:textId="61F5553C" w:rsidR="00483F23" w:rsidRPr="00483F23"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The affairs and assets are until control/supervision of the foreign court</w:t>
      </w:r>
    </w:p>
    <w:p w14:paraId="70C6A8B6" w14:textId="60C42D90" w:rsidR="00126A4D" w:rsidRDefault="00483F23" w:rsidP="002308B8">
      <w:pPr>
        <w:pStyle w:val="ListParagraph"/>
        <w:numPr>
          <w:ilvl w:val="0"/>
          <w:numId w:val="26"/>
        </w:numPr>
        <w:jc w:val="both"/>
        <w:rPr>
          <w:rFonts w:ascii="Arial" w:hAnsi="Arial" w:cs="Arial"/>
          <w:color w:val="7B7B7B" w:themeColor="accent3" w:themeShade="BF"/>
          <w:sz w:val="22"/>
          <w:szCs w:val="22"/>
          <w:lang w:val="en-GB"/>
        </w:rPr>
      </w:pPr>
      <w:r w:rsidRPr="00483F23">
        <w:rPr>
          <w:rFonts w:ascii="Arial" w:hAnsi="Arial" w:cs="Arial"/>
          <w:color w:val="7B7B7B" w:themeColor="accent3" w:themeShade="BF"/>
          <w:sz w:val="22"/>
          <w:szCs w:val="22"/>
          <w:lang w:val="en-GB"/>
        </w:rPr>
        <w:t>The purpose is for liquidation or reorganisation</w:t>
      </w:r>
    </w:p>
    <w:p w14:paraId="6114D829" w14:textId="52560AA3" w:rsidR="00483F23" w:rsidRDefault="00483F23" w:rsidP="00483F23">
      <w:pPr>
        <w:jc w:val="both"/>
        <w:rPr>
          <w:rFonts w:ascii="Arial" w:hAnsi="Arial" w:cs="Arial"/>
          <w:color w:val="7B7B7B" w:themeColor="accent3" w:themeShade="BF"/>
          <w:sz w:val="22"/>
          <w:szCs w:val="22"/>
          <w:lang w:val="en-GB"/>
        </w:rPr>
      </w:pPr>
    </w:p>
    <w:p w14:paraId="49E2EB3A" w14:textId="7482B974" w:rsidR="00483F23" w:rsidRDefault="00483F23" w:rsidP="00483F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Pr>
          <w:rFonts w:ascii="Arial" w:hAnsi="Arial" w:cs="Arial"/>
          <w:i/>
          <w:iCs/>
          <w:color w:val="7B7B7B" w:themeColor="accent3" w:themeShade="BF"/>
          <w:sz w:val="22"/>
          <w:szCs w:val="22"/>
          <w:lang w:val="en-GB"/>
        </w:rPr>
        <w:t>Agrokor</w:t>
      </w:r>
      <w:r>
        <w:rPr>
          <w:rFonts w:ascii="Arial" w:hAnsi="Arial" w:cs="Arial"/>
          <w:color w:val="7B7B7B" w:themeColor="accent3" w:themeShade="BF"/>
          <w:sz w:val="22"/>
          <w:szCs w:val="22"/>
          <w:lang w:val="en-GB"/>
        </w:rPr>
        <w:t xml:space="preserve"> case, the elements were considering in the English courts. </w:t>
      </w:r>
      <w:r>
        <w:rPr>
          <w:rFonts w:ascii="Arial" w:hAnsi="Arial" w:cs="Arial"/>
          <w:i/>
          <w:iCs/>
          <w:color w:val="7B7B7B" w:themeColor="accent3" w:themeShade="BF"/>
          <w:sz w:val="22"/>
          <w:szCs w:val="22"/>
          <w:lang w:val="en-GB"/>
        </w:rPr>
        <w:t>Agrokor</w:t>
      </w:r>
      <w:r>
        <w:rPr>
          <w:rFonts w:ascii="Arial" w:hAnsi="Arial" w:cs="Arial"/>
          <w:color w:val="7B7B7B" w:themeColor="accent3" w:themeShade="BF"/>
          <w:sz w:val="22"/>
          <w:szCs w:val="22"/>
          <w:lang w:val="en-GB"/>
        </w:rPr>
        <w:t xml:space="preserve"> was located in Croatia and was subject to the EAP. </w:t>
      </w:r>
      <w:r w:rsidR="00166164">
        <w:rPr>
          <w:rFonts w:ascii="Arial" w:hAnsi="Arial" w:cs="Arial"/>
          <w:color w:val="7B7B7B" w:themeColor="accent3" w:themeShade="BF"/>
          <w:sz w:val="22"/>
          <w:szCs w:val="22"/>
          <w:lang w:val="en-GB"/>
        </w:rPr>
        <w:t xml:space="preserve">Similarly, </w:t>
      </w:r>
      <w:r w:rsidR="00166164">
        <w:rPr>
          <w:rFonts w:ascii="Arial" w:hAnsi="Arial" w:cs="Arial"/>
          <w:i/>
          <w:iCs/>
          <w:color w:val="7B7B7B" w:themeColor="accent3" w:themeShade="BF"/>
          <w:sz w:val="22"/>
          <w:szCs w:val="22"/>
          <w:lang w:val="en-GB"/>
        </w:rPr>
        <w:t>Agrokor</w:t>
      </w:r>
      <w:r w:rsidR="00166164">
        <w:rPr>
          <w:rFonts w:ascii="Arial" w:hAnsi="Arial" w:cs="Arial"/>
          <w:color w:val="7B7B7B" w:themeColor="accent3" w:themeShade="BF"/>
          <w:sz w:val="22"/>
          <w:szCs w:val="22"/>
          <w:lang w:val="en-GB"/>
        </w:rPr>
        <w:t xml:space="preserve"> made an application to the English Courts, under the CBIR 2006, for recognition. </w:t>
      </w:r>
    </w:p>
    <w:p w14:paraId="5611904C" w14:textId="63D2810F" w:rsidR="00166164" w:rsidRDefault="00166164" w:rsidP="00483F23">
      <w:pPr>
        <w:jc w:val="both"/>
        <w:rPr>
          <w:rFonts w:ascii="Arial" w:hAnsi="Arial" w:cs="Arial"/>
          <w:color w:val="7B7B7B" w:themeColor="accent3" w:themeShade="BF"/>
          <w:sz w:val="22"/>
          <w:szCs w:val="22"/>
          <w:lang w:val="en-GB"/>
        </w:rPr>
      </w:pPr>
    </w:p>
    <w:p w14:paraId="1DADF7A4" w14:textId="5F7ED5F8" w:rsidR="00166164" w:rsidRDefault="00166164" w:rsidP="00483F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was challenged by a bank with a claim in excess of EUR1b. It was challenged on the following bases: </w:t>
      </w:r>
    </w:p>
    <w:p w14:paraId="1FE37951" w14:textId="2EDD930F" w:rsidR="00166164" w:rsidRDefault="00166164" w:rsidP="00483F23">
      <w:pPr>
        <w:jc w:val="both"/>
        <w:rPr>
          <w:rFonts w:ascii="Arial" w:hAnsi="Arial" w:cs="Arial"/>
          <w:color w:val="7B7B7B" w:themeColor="accent3" w:themeShade="BF"/>
          <w:sz w:val="22"/>
          <w:szCs w:val="22"/>
          <w:lang w:val="en-GB"/>
        </w:rPr>
      </w:pPr>
    </w:p>
    <w:p w14:paraId="055F6AB7" w14:textId="1452DEB9" w:rsidR="00166164" w:rsidRPr="00282466" w:rsidRDefault="00166164" w:rsidP="002308B8">
      <w:pPr>
        <w:pStyle w:val="ListParagraph"/>
        <w:numPr>
          <w:ilvl w:val="0"/>
          <w:numId w:val="27"/>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Did the law specifically relate to insolvency?</w:t>
      </w:r>
    </w:p>
    <w:p w14:paraId="1391DC67" w14:textId="15B185A8" w:rsidR="00166164" w:rsidRPr="00282466" w:rsidRDefault="00166164" w:rsidP="002308B8">
      <w:pPr>
        <w:pStyle w:val="ListParagraph"/>
        <w:numPr>
          <w:ilvl w:val="0"/>
          <w:numId w:val="27"/>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 xml:space="preserve">The matter was no passed for the purposes of recognition </w:t>
      </w:r>
    </w:p>
    <w:p w14:paraId="2D63A1BB" w14:textId="280C56BD" w:rsidR="00166164" w:rsidRPr="00282466" w:rsidRDefault="00166164" w:rsidP="002308B8">
      <w:pPr>
        <w:pStyle w:val="ListParagraph"/>
        <w:numPr>
          <w:ilvl w:val="0"/>
          <w:numId w:val="27"/>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Does the EAP qualify as collective proceedings, which is subject to control by a foreign Court?</w:t>
      </w:r>
    </w:p>
    <w:p w14:paraId="7C685D15" w14:textId="60F9FAE5" w:rsidR="00166164" w:rsidRPr="00282466" w:rsidRDefault="00282466" w:rsidP="002308B8">
      <w:pPr>
        <w:pStyle w:val="ListParagraph"/>
        <w:numPr>
          <w:ilvl w:val="0"/>
          <w:numId w:val="27"/>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Would the recognition be against the public policy in England?</w:t>
      </w:r>
    </w:p>
    <w:p w14:paraId="711B13F5" w14:textId="246C8925" w:rsidR="00282466" w:rsidRDefault="00282466" w:rsidP="00483F23">
      <w:pPr>
        <w:jc w:val="both"/>
        <w:rPr>
          <w:rFonts w:ascii="Arial" w:hAnsi="Arial" w:cs="Arial"/>
          <w:color w:val="7B7B7B" w:themeColor="accent3" w:themeShade="BF"/>
          <w:sz w:val="22"/>
          <w:szCs w:val="22"/>
          <w:lang w:val="en-GB"/>
        </w:rPr>
      </w:pPr>
    </w:p>
    <w:p w14:paraId="72D60EC8" w14:textId="44EF89AE" w:rsidR="00282466" w:rsidRDefault="00282466" w:rsidP="00483F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English Court in this matter held that:</w:t>
      </w:r>
    </w:p>
    <w:p w14:paraId="3481B86B" w14:textId="6067286A" w:rsidR="00282466" w:rsidRDefault="00282466" w:rsidP="00483F23">
      <w:pPr>
        <w:jc w:val="both"/>
        <w:rPr>
          <w:rFonts w:ascii="Arial" w:hAnsi="Arial" w:cs="Arial"/>
          <w:color w:val="7B7B7B" w:themeColor="accent3" w:themeShade="BF"/>
          <w:sz w:val="22"/>
          <w:szCs w:val="22"/>
          <w:lang w:val="en-GB"/>
        </w:rPr>
      </w:pPr>
    </w:p>
    <w:p w14:paraId="708661DE" w14:textId="0AC3DEFC" w:rsidR="00282466" w:rsidRPr="00282466" w:rsidRDefault="00282466" w:rsidP="002308B8">
      <w:pPr>
        <w:pStyle w:val="ListParagraph"/>
        <w:numPr>
          <w:ilvl w:val="0"/>
          <w:numId w:val="28"/>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Any questions of foreign law should be decided by the English Court as expert evidence</w:t>
      </w:r>
    </w:p>
    <w:p w14:paraId="174E2890" w14:textId="26D9B85F" w:rsidR="00282466" w:rsidRPr="00282466" w:rsidRDefault="00282466" w:rsidP="002308B8">
      <w:pPr>
        <w:pStyle w:val="ListParagraph"/>
        <w:numPr>
          <w:ilvl w:val="0"/>
          <w:numId w:val="28"/>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It is possible to recognise single proceedings without a group</w:t>
      </w:r>
    </w:p>
    <w:p w14:paraId="0982DCC8" w14:textId="2FC9D77E" w:rsidR="00282466" w:rsidRPr="00282466" w:rsidRDefault="00282466" w:rsidP="002308B8">
      <w:pPr>
        <w:pStyle w:val="ListParagraph"/>
        <w:numPr>
          <w:ilvl w:val="0"/>
          <w:numId w:val="28"/>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 xml:space="preserve">Providing that the local law deals with financial distress, it is sufficient for insolvency </w:t>
      </w:r>
    </w:p>
    <w:p w14:paraId="6D5CD590" w14:textId="698A3500" w:rsidR="00282466" w:rsidRPr="00282466" w:rsidRDefault="00282466" w:rsidP="002308B8">
      <w:pPr>
        <w:pStyle w:val="ListParagraph"/>
        <w:numPr>
          <w:ilvl w:val="0"/>
          <w:numId w:val="28"/>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Court Supervision is low under the Model Law</w:t>
      </w:r>
    </w:p>
    <w:p w14:paraId="76203F53" w14:textId="0200980E" w:rsidR="00282466" w:rsidRDefault="00282466" w:rsidP="002308B8">
      <w:pPr>
        <w:pStyle w:val="ListParagraph"/>
        <w:numPr>
          <w:ilvl w:val="0"/>
          <w:numId w:val="28"/>
        </w:numPr>
        <w:jc w:val="both"/>
        <w:rPr>
          <w:rFonts w:ascii="Arial" w:hAnsi="Arial" w:cs="Arial"/>
          <w:color w:val="7B7B7B" w:themeColor="accent3" w:themeShade="BF"/>
          <w:sz w:val="22"/>
          <w:szCs w:val="22"/>
          <w:lang w:val="en-GB"/>
        </w:rPr>
      </w:pPr>
      <w:r w:rsidRPr="00282466">
        <w:rPr>
          <w:rFonts w:ascii="Arial" w:hAnsi="Arial" w:cs="Arial"/>
          <w:color w:val="7B7B7B" w:themeColor="accent3" w:themeShade="BF"/>
          <w:sz w:val="22"/>
          <w:szCs w:val="22"/>
          <w:lang w:val="en-GB"/>
        </w:rPr>
        <w:t>Provided that the purpose is to protect the economic system, it satisfies reorganisation or liquidation for the CBIR.</w:t>
      </w:r>
    </w:p>
    <w:p w14:paraId="6BD5F2E0" w14:textId="56BF9B2E" w:rsidR="00282466" w:rsidRDefault="00282466" w:rsidP="00282466">
      <w:pPr>
        <w:ind w:left="360"/>
        <w:jc w:val="both"/>
        <w:rPr>
          <w:rFonts w:ascii="Arial" w:hAnsi="Arial" w:cs="Arial"/>
          <w:color w:val="7B7B7B" w:themeColor="accent3" w:themeShade="BF"/>
          <w:sz w:val="22"/>
          <w:szCs w:val="22"/>
          <w:lang w:val="en-GB"/>
        </w:rPr>
      </w:pPr>
    </w:p>
    <w:p w14:paraId="0FB12621" w14:textId="42A5C63F" w:rsidR="00282466" w:rsidRDefault="000C6C82"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section was also tested again in </w:t>
      </w:r>
      <w:r>
        <w:rPr>
          <w:rFonts w:ascii="Arial" w:hAnsi="Arial" w:cs="Arial"/>
          <w:i/>
          <w:iCs/>
          <w:color w:val="7B7B7B" w:themeColor="accent3" w:themeShade="BF"/>
          <w:sz w:val="22"/>
          <w:szCs w:val="22"/>
          <w:lang w:val="en-GB"/>
        </w:rPr>
        <w:t>Sturgeon Central Asia Balanced Fund Ltd</w:t>
      </w:r>
      <w:r>
        <w:rPr>
          <w:rFonts w:ascii="Arial" w:hAnsi="Arial" w:cs="Arial"/>
          <w:color w:val="7B7B7B" w:themeColor="accent3" w:themeShade="BF"/>
          <w:sz w:val="22"/>
          <w:szCs w:val="22"/>
          <w:lang w:val="en-GB"/>
        </w:rPr>
        <w:t>, where the Court held that the context is that it is a purposeful approach. On this basis, the purpose can just be financial distress or liquidation.</w:t>
      </w:r>
    </w:p>
    <w:p w14:paraId="6CB3362D" w14:textId="7D5BDA00" w:rsidR="000C6C82" w:rsidRDefault="000C6C82" w:rsidP="00282466">
      <w:pPr>
        <w:ind w:left="360"/>
        <w:jc w:val="both"/>
        <w:rPr>
          <w:rFonts w:ascii="Arial" w:hAnsi="Arial" w:cs="Arial"/>
          <w:color w:val="7B7B7B" w:themeColor="accent3" w:themeShade="BF"/>
          <w:sz w:val="22"/>
          <w:szCs w:val="22"/>
          <w:lang w:val="en-GB"/>
        </w:rPr>
      </w:pPr>
    </w:p>
    <w:p w14:paraId="47C72E62" w14:textId="4F655358" w:rsidR="000C6C82" w:rsidRDefault="000C6C82"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scenario, the Bank does have ongoing proceedings, that are administrative. Furthermore, given the weight of the </w:t>
      </w:r>
      <w:r>
        <w:rPr>
          <w:rFonts w:ascii="Arial" w:hAnsi="Arial" w:cs="Arial"/>
          <w:i/>
          <w:iCs/>
          <w:color w:val="7B7B7B" w:themeColor="accent3" w:themeShade="BF"/>
          <w:sz w:val="22"/>
          <w:szCs w:val="22"/>
          <w:lang w:val="en-GB"/>
        </w:rPr>
        <w:t>Agrokor</w:t>
      </w:r>
      <w:r>
        <w:rPr>
          <w:rFonts w:ascii="Arial" w:hAnsi="Arial" w:cs="Arial"/>
          <w:color w:val="7B7B7B" w:themeColor="accent3" w:themeShade="BF"/>
          <w:sz w:val="22"/>
          <w:szCs w:val="22"/>
          <w:lang w:val="en-GB"/>
        </w:rPr>
        <w:t xml:space="preserve"> case, the proceedings are collective and are in the foreign state.</w:t>
      </w:r>
    </w:p>
    <w:p w14:paraId="7D3B396C" w14:textId="00319A06" w:rsidR="000C6C82" w:rsidRDefault="000C6C82" w:rsidP="00282466">
      <w:pPr>
        <w:ind w:left="360"/>
        <w:jc w:val="both"/>
        <w:rPr>
          <w:rFonts w:ascii="Arial" w:hAnsi="Arial" w:cs="Arial"/>
          <w:color w:val="7B7B7B" w:themeColor="accent3" w:themeShade="BF"/>
          <w:sz w:val="22"/>
          <w:szCs w:val="22"/>
          <w:lang w:val="en-GB"/>
        </w:rPr>
      </w:pPr>
    </w:p>
    <w:p w14:paraId="09EE872A" w14:textId="15DB2678" w:rsidR="000C6C82" w:rsidRDefault="000C6C82"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 is always conducted and authorised under the local law in Country A. As can be seen in the </w:t>
      </w:r>
      <w:r>
        <w:rPr>
          <w:rFonts w:ascii="Arial" w:hAnsi="Arial" w:cs="Arial"/>
          <w:i/>
          <w:iCs/>
          <w:color w:val="7B7B7B" w:themeColor="accent3" w:themeShade="BF"/>
          <w:sz w:val="22"/>
          <w:szCs w:val="22"/>
          <w:lang w:val="en-GB"/>
        </w:rPr>
        <w:t>Agrokor</w:t>
      </w:r>
      <w:r>
        <w:rPr>
          <w:rFonts w:ascii="Arial" w:hAnsi="Arial" w:cs="Arial"/>
          <w:color w:val="7B7B7B" w:themeColor="accent3" w:themeShade="BF"/>
          <w:sz w:val="22"/>
          <w:szCs w:val="22"/>
          <w:lang w:val="en-GB"/>
        </w:rPr>
        <w:t xml:space="preserve"> case, this just needs to deal with financial distress, so appears to be sufficient. </w:t>
      </w:r>
    </w:p>
    <w:p w14:paraId="135F96A9" w14:textId="0F6C64D8" w:rsidR="000C6C82" w:rsidRDefault="000C6C82" w:rsidP="00282466">
      <w:pPr>
        <w:ind w:left="360"/>
        <w:jc w:val="both"/>
        <w:rPr>
          <w:rFonts w:ascii="Arial" w:hAnsi="Arial" w:cs="Arial"/>
          <w:color w:val="7B7B7B" w:themeColor="accent3" w:themeShade="BF"/>
          <w:sz w:val="22"/>
          <w:szCs w:val="22"/>
          <w:lang w:val="en-GB"/>
        </w:rPr>
      </w:pPr>
    </w:p>
    <w:p w14:paraId="4C656C2A" w14:textId="68AA5F73" w:rsidR="000C6C82" w:rsidRDefault="000C6C82"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affairs and the assets of the company are under the control and supervision of the court in Country A. </w:t>
      </w:r>
      <w:r>
        <w:rPr>
          <w:rFonts w:ascii="Arial" w:hAnsi="Arial" w:cs="Arial"/>
          <w:i/>
          <w:iCs/>
          <w:color w:val="7B7B7B" w:themeColor="accent3" w:themeShade="BF"/>
          <w:sz w:val="22"/>
          <w:szCs w:val="22"/>
          <w:lang w:val="en-GB"/>
        </w:rPr>
        <w:t xml:space="preserve">Agrokor </w:t>
      </w:r>
      <w:r>
        <w:rPr>
          <w:rFonts w:ascii="Arial" w:hAnsi="Arial" w:cs="Arial"/>
          <w:color w:val="7B7B7B" w:themeColor="accent3" w:themeShade="BF"/>
          <w:sz w:val="22"/>
          <w:szCs w:val="22"/>
          <w:lang w:val="en-GB"/>
        </w:rPr>
        <w:t xml:space="preserve">held that this </w:t>
      </w:r>
      <w:r w:rsidR="00CD758E">
        <w:rPr>
          <w:rFonts w:ascii="Arial" w:hAnsi="Arial" w:cs="Arial"/>
          <w:color w:val="7B7B7B" w:themeColor="accent3" w:themeShade="BF"/>
          <w:sz w:val="22"/>
          <w:szCs w:val="22"/>
          <w:lang w:val="en-GB"/>
        </w:rPr>
        <w:t xml:space="preserve">was a low burden under the Model Law, therefore the DGF’s involvement would like </w:t>
      </w:r>
      <w:r w:rsidR="001B5F20">
        <w:rPr>
          <w:rFonts w:ascii="Arial" w:hAnsi="Arial" w:cs="Arial"/>
          <w:color w:val="7B7B7B" w:themeColor="accent3" w:themeShade="BF"/>
          <w:sz w:val="22"/>
          <w:szCs w:val="22"/>
          <w:lang w:val="en-GB"/>
        </w:rPr>
        <w:t>to be</w:t>
      </w:r>
      <w:r w:rsidR="00CD758E">
        <w:rPr>
          <w:rFonts w:ascii="Arial" w:hAnsi="Arial" w:cs="Arial"/>
          <w:color w:val="7B7B7B" w:themeColor="accent3" w:themeShade="BF"/>
          <w:sz w:val="22"/>
          <w:szCs w:val="22"/>
          <w:lang w:val="en-GB"/>
        </w:rPr>
        <w:t xml:space="preserve"> sufficient to satisfy this.</w:t>
      </w:r>
    </w:p>
    <w:p w14:paraId="3BEB11A8" w14:textId="7E2E1274" w:rsidR="00CD758E" w:rsidRDefault="00CD758E" w:rsidP="00282466">
      <w:pPr>
        <w:ind w:left="360"/>
        <w:jc w:val="both"/>
        <w:rPr>
          <w:rFonts w:ascii="Arial" w:hAnsi="Arial" w:cs="Arial"/>
          <w:color w:val="7B7B7B" w:themeColor="accent3" w:themeShade="BF"/>
          <w:sz w:val="22"/>
          <w:szCs w:val="22"/>
          <w:lang w:val="en-GB"/>
        </w:rPr>
      </w:pPr>
    </w:p>
    <w:p w14:paraId="4886F256" w14:textId="285DBEC9" w:rsidR="00CD758E" w:rsidRDefault="006B5851"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CD758E">
        <w:rPr>
          <w:rFonts w:ascii="Arial" w:hAnsi="Arial" w:cs="Arial"/>
          <w:color w:val="7B7B7B" w:themeColor="accent3" w:themeShade="BF"/>
          <w:sz w:val="22"/>
          <w:szCs w:val="22"/>
          <w:lang w:val="en-GB"/>
        </w:rPr>
        <w:t xml:space="preserve">he purpose does appear to be for the Liquidation of the Bank. This was announced to be indefinite on 12 December 2020, however the </w:t>
      </w:r>
      <w:r w:rsidR="00CD758E">
        <w:rPr>
          <w:rFonts w:ascii="Arial" w:hAnsi="Arial" w:cs="Arial"/>
          <w:i/>
          <w:iCs/>
          <w:color w:val="7B7B7B" w:themeColor="accent3" w:themeShade="BF"/>
          <w:sz w:val="22"/>
          <w:szCs w:val="22"/>
          <w:lang w:val="en-GB"/>
        </w:rPr>
        <w:t>Sturgeon</w:t>
      </w:r>
      <w:r w:rsidR="00CD758E">
        <w:rPr>
          <w:rFonts w:ascii="Arial" w:hAnsi="Arial" w:cs="Arial"/>
          <w:color w:val="7B7B7B" w:themeColor="accent3" w:themeShade="BF"/>
          <w:sz w:val="22"/>
          <w:szCs w:val="22"/>
          <w:lang w:val="en-GB"/>
        </w:rPr>
        <w:t xml:space="preserve"> case confirmed that the purpose only had to be to liquidate. Therefore, based on the case law, it would appear that the Bank would satisfy this element too.</w:t>
      </w:r>
    </w:p>
    <w:p w14:paraId="2829C4A8" w14:textId="656A358C" w:rsidR="006B5851" w:rsidRDefault="006B5851" w:rsidP="00282466">
      <w:pPr>
        <w:ind w:left="360"/>
        <w:jc w:val="both"/>
        <w:rPr>
          <w:rFonts w:ascii="Arial" w:hAnsi="Arial" w:cs="Arial"/>
          <w:color w:val="7B7B7B" w:themeColor="accent3" w:themeShade="BF"/>
          <w:sz w:val="22"/>
          <w:szCs w:val="22"/>
          <w:lang w:val="en-GB"/>
        </w:rPr>
      </w:pPr>
    </w:p>
    <w:p w14:paraId="369537DE" w14:textId="2C89D821" w:rsidR="006B5851" w:rsidRDefault="006B5851"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proceedings appear to be governed by established rules, revoking the power of the bank’s management, requiring the affairs and assets to be wound down, therefore constituting proceedings.</w:t>
      </w:r>
    </w:p>
    <w:p w14:paraId="3F3531B2" w14:textId="76C04CFB" w:rsidR="006B5851" w:rsidRDefault="006B5851" w:rsidP="00282466">
      <w:pPr>
        <w:ind w:left="360"/>
        <w:jc w:val="both"/>
        <w:rPr>
          <w:rFonts w:ascii="Arial" w:hAnsi="Arial" w:cs="Arial"/>
          <w:color w:val="7B7B7B" w:themeColor="accent3" w:themeShade="BF"/>
          <w:sz w:val="22"/>
          <w:szCs w:val="22"/>
          <w:lang w:val="en-GB"/>
        </w:rPr>
      </w:pPr>
    </w:p>
    <w:p w14:paraId="4A5638C9" w14:textId="05D8AB9F" w:rsidR="006B5851" w:rsidRDefault="006B5851"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proceedings also appear to be an out of court process. As both DG and NB are public authorities, they are administrative in nature.</w:t>
      </w:r>
    </w:p>
    <w:p w14:paraId="643C990C" w14:textId="03C85A99" w:rsidR="006B5851" w:rsidRDefault="006B5851" w:rsidP="00282466">
      <w:pPr>
        <w:ind w:left="360"/>
        <w:jc w:val="both"/>
        <w:rPr>
          <w:rFonts w:ascii="Arial" w:hAnsi="Arial" w:cs="Arial"/>
          <w:color w:val="7B7B7B" w:themeColor="accent3" w:themeShade="BF"/>
          <w:sz w:val="22"/>
          <w:szCs w:val="22"/>
          <w:lang w:val="en-GB"/>
        </w:rPr>
      </w:pPr>
    </w:p>
    <w:p w14:paraId="38484F03" w14:textId="567A7573" w:rsidR="006B5851" w:rsidRDefault="006B5851"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certain creditors are not included in the process, it will not be classified as collective. However, in isolation </w:t>
      </w:r>
      <w:r w:rsidR="00725D5A">
        <w:rPr>
          <w:rFonts w:ascii="Arial" w:hAnsi="Arial" w:cs="Arial"/>
          <w:color w:val="7B7B7B" w:themeColor="accent3" w:themeShade="BF"/>
          <w:sz w:val="22"/>
          <w:szCs w:val="22"/>
          <w:lang w:val="en-GB"/>
        </w:rPr>
        <w:t>this is not a ground for failing the test. As there appears to be no assets being dealt with outside of the liquidation, it would therefore be collective.</w:t>
      </w:r>
    </w:p>
    <w:p w14:paraId="32F8AD8C" w14:textId="09269580" w:rsidR="00725D5A" w:rsidRDefault="00725D5A" w:rsidP="00282466">
      <w:pPr>
        <w:ind w:left="360"/>
        <w:jc w:val="both"/>
        <w:rPr>
          <w:rFonts w:ascii="Arial" w:hAnsi="Arial" w:cs="Arial"/>
          <w:color w:val="7B7B7B" w:themeColor="accent3" w:themeShade="BF"/>
          <w:sz w:val="22"/>
          <w:szCs w:val="22"/>
          <w:lang w:val="en-GB"/>
        </w:rPr>
      </w:pPr>
    </w:p>
    <w:p w14:paraId="28420779" w14:textId="3086CCB6" w:rsidR="00725D5A" w:rsidRDefault="00725D5A"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liquidation is in a foreign state, therefore the failure to adopt MLCBI is not relevant.</w:t>
      </w:r>
    </w:p>
    <w:p w14:paraId="3E683C68" w14:textId="3FE236E6" w:rsidR="00725D5A" w:rsidRDefault="00725D5A" w:rsidP="00282466">
      <w:pPr>
        <w:ind w:left="360"/>
        <w:jc w:val="both"/>
        <w:rPr>
          <w:rFonts w:ascii="Arial" w:hAnsi="Arial" w:cs="Arial"/>
          <w:color w:val="7B7B7B" w:themeColor="accent3" w:themeShade="BF"/>
          <w:sz w:val="22"/>
          <w:szCs w:val="22"/>
          <w:lang w:val="en-GB"/>
        </w:rPr>
      </w:pPr>
    </w:p>
    <w:p w14:paraId="6460FC94" w14:textId="7CAD16FB" w:rsidR="00725D5A" w:rsidRDefault="003126D9"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NB and DGF are government bodies and are responsible for conducting the liquidation, neither party will be of a court nature, but regulatory. In addition, the court does not appear to have engaged in the liquidation process. The liquidation process therefore is controlled by a third party, and DGF acts as the foreign court.</w:t>
      </w:r>
    </w:p>
    <w:p w14:paraId="17578BE1" w14:textId="149DF169" w:rsidR="003126D9" w:rsidRDefault="003126D9" w:rsidP="00282466">
      <w:pPr>
        <w:ind w:left="360"/>
        <w:jc w:val="both"/>
        <w:rPr>
          <w:rFonts w:ascii="Arial" w:hAnsi="Arial" w:cs="Arial"/>
          <w:color w:val="7B7B7B" w:themeColor="accent3" w:themeShade="BF"/>
          <w:sz w:val="22"/>
          <w:szCs w:val="22"/>
          <w:lang w:val="en-GB"/>
        </w:rPr>
      </w:pPr>
    </w:p>
    <w:p w14:paraId="0A43053E" w14:textId="2917BCF9" w:rsidR="003126D9" w:rsidRDefault="003126D9"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liquidation’s aim is to sell assets to pay creditors and wind up the affairs. DGF has been appointed, which has crystalised further creditor claims. In addition, the extension provided on 14 December on the sale of the assets, clearly show the purpose of the proceedings.</w:t>
      </w:r>
    </w:p>
    <w:p w14:paraId="34A622F3" w14:textId="19139404" w:rsidR="00CD758E" w:rsidRDefault="00CD758E" w:rsidP="00282466">
      <w:pPr>
        <w:ind w:left="360"/>
        <w:jc w:val="both"/>
        <w:rPr>
          <w:rFonts w:ascii="Arial" w:hAnsi="Arial" w:cs="Arial"/>
          <w:color w:val="7B7B7B" w:themeColor="accent3" w:themeShade="BF"/>
          <w:sz w:val="22"/>
          <w:szCs w:val="22"/>
          <w:lang w:val="en-GB"/>
        </w:rPr>
      </w:pPr>
    </w:p>
    <w:p w14:paraId="1F220983" w14:textId="5E758A8A" w:rsidR="00CD758E" w:rsidRDefault="00CD758E"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all the information available, it </w:t>
      </w:r>
      <w:r w:rsidR="003D40A3">
        <w:rPr>
          <w:rFonts w:ascii="Arial" w:hAnsi="Arial" w:cs="Arial"/>
          <w:color w:val="7B7B7B" w:themeColor="accent3" w:themeShade="BF"/>
          <w:sz w:val="22"/>
          <w:szCs w:val="22"/>
          <w:lang w:val="en-GB"/>
        </w:rPr>
        <w:t>is likely that the Bank’s liquidation would compromise a foreign proceeding under Article 2(a) of the MLCBI.</w:t>
      </w:r>
    </w:p>
    <w:p w14:paraId="5E50B50F" w14:textId="7D2EC497" w:rsidR="003A2979" w:rsidRDefault="003A2979" w:rsidP="00282466">
      <w:pPr>
        <w:ind w:left="360"/>
        <w:jc w:val="both"/>
        <w:rPr>
          <w:rFonts w:ascii="Arial" w:hAnsi="Arial" w:cs="Arial"/>
          <w:color w:val="7B7B7B" w:themeColor="accent3" w:themeShade="BF"/>
          <w:sz w:val="22"/>
          <w:szCs w:val="22"/>
          <w:lang w:val="en-GB"/>
        </w:rPr>
      </w:pPr>
    </w:p>
    <w:p w14:paraId="0638DAAE" w14:textId="1F895D2B" w:rsidR="003A2979" w:rsidRPr="0031071F" w:rsidRDefault="003A2979" w:rsidP="00282466">
      <w:pPr>
        <w:ind w:left="360"/>
        <w:jc w:val="both"/>
        <w:rPr>
          <w:rFonts w:ascii="Arial" w:hAnsi="Arial" w:cs="Arial"/>
          <w:color w:val="7B7B7B" w:themeColor="accent3" w:themeShade="BF"/>
          <w:sz w:val="22"/>
          <w:szCs w:val="22"/>
          <w:u w:val="single"/>
          <w:lang w:val="en-GB"/>
        </w:rPr>
      </w:pPr>
      <w:r w:rsidRPr="0031071F">
        <w:rPr>
          <w:rFonts w:ascii="Arial" w:hAnsi="Arial" w:cs="Arial"/>
          <w:color w:val="7B7B7B" w:themeColor="accent3" w:themeShade="BF"/>
          <w:sz w:val="22"/>
          <w:szCs w:val="22"/>
          <w:u w:val="single"/>
          <w:lang w:val="en-GB"/>
        </w:rPr>
        <w:t>Answer 4.1.2</w:t>
      </w:r>
    </w:p>
    <w:p w14:paraId="73C7FECE" w14:textId="735BC548" w:rsidR="003A2979" w:rsidRDefault="003A2979" w:rsidP="00282466">
      <w:pPr>
        <w:ind w:left="360"/>
        <w:jc w:val="both"/>
        <w:rPr>
          <w:rFonts w:ascii="Arial" w:hAnsi="Arial" w:cs="Arial"/>
          <w:color w:val="7B7B7B" w:themeColor="accent3" w:themeShade="BF"/>
          <w:sz w:val="22"/>
          <w:szCs w:val="22"/>
          <w:lang w:val="en-GB"/>
        </w:rPr>
      </w:pPr>
    </w:p>
    <w:p w14:paraId="22AC567E" w14:textId="4026227D" w:rsidR="003A2979" w:rsidRDefault="003A2979"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31071F">
        <w:rPr>
          <w:rFonts w:ascii="Arial" w:hAnsi="Arial" w:cs="Arial"/>
          <w:color w:val="7B7B7B" w:themeColor="accent3" w:themeShade="BF"/>
          <w:sz w:val="22"/>
          <w:szCs w:val="22"/>
          <w:lang w:val="en-GB"/>
        </w:rPr>
        <w:t>order to be considered a foreign representative, the following elements need to be considered:</w:t>
      </w:r>
    </w:p>
    <w:p w14:paraId="1205E92F" w14:textId="298B3D10" w:rsidR="0031071F" w:rsidRDefault="0031071F" w:rsidP="00282466">
      <w:pPr>
        <w:ind w:left="360"/>
        <w:jc w:val="both"/>
        <w:rPr>
          <w:rFonts w:ascii="Arial" w:hAnsi="Arial" w:cs="Arial"/>
          <w:color w:val="7B7B7B" w:themeColor="accent3" w:themeShade="BF"/>
          <w:sz w:val="22"/>
          <w:szCs w:val="22"/>
          <w:lang w:val="en-GB"/>
        </w:rPr>
      </w:pPr>
    </w:p>
    <w:p w14:paraId="5DB247FB" w14:textId="49705897" w:rsidR="0031071F" w:rsidRPr="0031071F" w:rsidRDefault="0031071F" w:rsidP="002308B8">
      <w:pPr>
        <w:pStyle w:val="ListParagraph"/>
        <w:numPr>
          <w:ilvl w:val="0"/>
          <w:numId w:val="29"/>
        </w:numPr>
        <w:jc w:val="both"/>
        <w:rPr>
          <w:rFonts w:ascii="Arial" w:hAnsi="Arial" w:cs="Arial"/>
          <w:color w:val="7B7B7B" w:themeColor="accent3" w:themeShade="BF"/>
          <w:sz w:val="22"/>
          <w:szCs w:val="22"/>
          <w:lang w:val="en-GB"/>
        </w:rPr>
      </w:pPr>
      <w:r w:rsidRPr="0031071F">
        <w:rPr>
          <w:rFonts w:ascii="Arial" w:hAnsi="Arial" w:cs="Arial"/>
          <w:color w:val="7B7B7B" w:themeColor="accent3" w:themeShade="BF"/>
          <w:sz w:val="22"/>
          <w:szCs w:val="22"/>
          <w:lang w:val="en-GB"/>
        </w:rPr>
        <w:t>A body or person (including interim appointments)</w:t>
      </w:r>
    </w:p>
    <w:p w14:paraId="76037397" w14:textId="42663614" w:rsidR="0031071F" w:rsidRPr="0031071F" w:rsidRDefault="0031071F" w:rsidP="002308B8">
      <w:pPr>
        <w:pStyle w:val="ListParagraph"/>
        <w:numPr>
          <w:ilvl w:val="0"/>
          <w:numId w:val="29"/>
        </w:numPr>
        <w:jc w:val="both"/>
        <w:rPr>
          <w:rFonts w:ascii="Arial" w:hAnsi="Arial" w:cs="Arial"/>
          <w:color w:val="7B7B7B" w:themeColor="accent3" w:themeShade="BF"/>
          <w:sz w:val="22"/>
          <w:szCs w:val="22"/>
          <w:lang w:val="en-GB"/>
        </w:rPr>
      </w:pPr>
      <w:r w:rsidRPr="0031071F">
        <w:rPr>
          <w:rFonts w:ascii="Arial" w:hAnsi="Arial" w:cs="Arial"/>
          <w:color w:val="7B7B7B" w:themeColor="accent3" w:themeShade="BF"/>
          <w:sz w:val="22"/>
          <w:szCs w:val="22"/>
          <w:lang w:val="en-GB"/>
        </w:rPr>
        <w:t>Authorised to act in a foreign proceeding</w:t>
      </w:r>
    </w:p>
    <w:p w14:paraId="66357CA6" w14:textId="61814A8A" w:rsidR="0031071F" w:rsidRPr="0031071F" w:rsidRDefault="0031071F" w:rsidP="002308B8">
      <w:pPr>
        <w:pStyle w:val="ListParagraph"/>
        <w:numPr>
          <w:ilvl w:val="0"/>
          <w:numId w:val="29"/>
        </w:numPr>
        <w:jc w:val="both"/>
        <w:rPr>
          <w:rFonts w:ascii="Arial" w:hAnsi="Arial" w:cs="Arial"/>
          <w:color w:val="7B7B7B" w:themeColor="accent3" w:themeShade="BF"/>
          <w:sz w:val="22"/>
          <w:szCs w:val="22"/>
          <w:lang w:val="en-GB"/>
        </w:rPr>
      </w:pPr>
      <w:r w:rsidRPr="0031071F">
        <w:rPr>
          <w:rFonts w:ascii="Arial" w:hAnsi="Arial" w:cs="Arial"/>
          <w:color w:val="7B7B7B" w:themeColor="accent3" w:themeShade="BF"/>
          <w:sz w:val="22"/>
          <w:szCs w:val="22"/>
          <w:lang w:val="en-GB"/>
        </w:rPr>
        <w:t>Administer the liquidation of the debtors assets/affairs</w:t>
      </w:r>
    </w:p>
    <w:p w14:paraId="38157211" w14:textId="30491B20" w:rsidR="0031071F" w:rsidRPr="0031071F" w:rsidRDefault="0031071F" w:rsidP="002308B8">
      <w:pPr>
        <w:pStyle w:val="ListParagraph"/>
        <w:numPr>
          <w:ilvl w:val="0"/>
          <w:numId w:val="29"/>
        </w:numPr>
        <w:jc w:val="both"/>
        <w:rPr>
          <w:rFonts w:ascii="Arial" w:hAnsi="Arial" w:cs="Arial"/>
          <w:color w:val="7B7B7B" w:themeColor="accent3" w:themeShade="BF"/>
          <w:sz w:val="22"/>
          <w:szCs w:val="22"/>
          <w:lang w:val="en-GB"/>
        </w:rPr>
      </w:pPr>
      <w:r w:rsidRPr="0031071F">
        <w:rPr>
          <w:rFonts w:ascii="Arial" w:hAnsi="Arial" w:cs="Arial"/>
          <w:color w:val="7B7B7B" w:themeColor="accent3" w:themeShade="BF"/>
          <w:sz w:val="22"/>
          <w:szCs w:val="22"/>
          <w:lang w:val="en-GB"/>
        </w:rPr>
        <w:t>Acting as a representative in the foreign proceedings</w:t>
      </w:r>
    </w:p>
    <w:p w14:paraId="7FA270DD" w14:textId="4195B6EC" w:rsidR="0031071F" w:rsidRDefault="0031071F" w:rsidP="00282466">
      <w:pPr>
        <w:ind w:left="360"/>
        <w:jc w:val="both"/>
        <w:rPr>
          <w:rFonts w:ascii="Arial" w:hAnsi="Arial" w:cs="Arial"/>
          <w:color w:val="7B7B7B" w:themeColor="accent3" w:themeShade="BF"/>
          <w:sz w:val="22"/>
          <w:szCs w:val="22"/>
          <w:lang w:val="en-GB"/>
        </w:rPr>
      </w:pPr>
    </w:p>
    <w:p w14:paraId="27974012" w14:textId="4595435B" w:rsidR="0031071F" w:rsidRDefault="0031071F"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does not state that a foreign representative needs to be authorised by the foreign court, being any judicial which has the ability to supervise or control the foreign proceeding.</w:t>
      </w:r>
    </w:p>
    <w:p w14:paraId="0A45CBF3" w14:textId="32ADE1ED" w:rsidR="0031071F" w:rsidRDefault="0031071F" w:rsidP="00282466">
      <w:pPr>
        <w:ind w:left="360"/>
        <w:jc w:val="both"/>
        <w:rPr>
          <w:rFonts w:ascii="Arial" w:hAnsi="Arial" w:cs="Arial"/>
          <w:color w:val="7B7B7B" w:themeColor="accent3" w:themeShade="BF"/>
          <w:sz w:val="22"/>
          <w:szCs w:val="22"/>
          <w:lang w:val="en-GB"/>
        </w:rPr>
      </w:pPr>
    </w:p>
    <w:p w14:paraId="53C100DC" w14:textId="1B49A5B7" w:rsidR="0031071F" w:rsidRDefault="0031071F"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characteristics are </w:t>
      </w:r>
      <w:r w:rsidR="000E0DD6">
        <w:rPr>
          <w:rFonts w:ascii="Arial" w:hAnsi="Arial" w:cs="Arial"/>
          <w:color w:val="7B7B7B" w:themeColor="accent3" w:themeShade="BF"/>
          <w:sz w:val="22"/>
          <w:szCs w:val="22"/>
          <w:lang w:val="en-GB"/>
        </w:rPr>
        <w:t xml:space="preserve">defined in order to limit the scope for any applications made under the Model Law. </w:t>
      </w:r>
    </w:p>
    <w:p w14:paraId="73671E11" w14:textId="55F9620B" w:rsidR="002334B4" w:rsidRDefault="002334B4" w:rsidP="00282466">
      <w:pPr>
        <w:ind w:left="360"/>
        <w:jc w:val="both"/>
        <w:rPr>
          <w:rFonts w:ascii="Arial" w:hAnsi="Arial" w:cs="Arial"/>
          <w:color w:val="7B7B7B" w:themeColor="accent3" w:themeShade="BF"/>
          <w:sz w:val="22"/>
          <w:szCs w:val="22"/>
          <w:lang w:val="en-GB"/>
        </w:rPr>
      </w:pPr>
    </w:p>
    <w:p w14:paraId="5B33212D" w14:textId="62989194" w:rsidR="002334B4" w:rsidRDefault="002334B4"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there were the following Applicants:</w:t>
      </w:r>
    </w:p>
    <w:p w14:paraId="1215D461" w14:textId="6A813925" w:rsidR="002334B4" w:rsidRDefault="002334B4" w:rsidP="00282466">
      <w:pPr>
        <w:ind w:left="360"/>
        <w:jc w:val="both"/>
        <w:rPr>
          <w:rFonts w:ascii="Arial" w:hAnsi="Arial" w:cs="Arial"/>
          <w:color w:val="7B7B7B" w:themeColor="accent3" w:themeShade="BF"/>
          <w:sz w:val="22"/>
          <w:szCs w:val="22"/>
          <w:lang w:val="en-GB"/>
        </w:rPr>
      </w:pPr>
    </w:p>
    <w:p w14:paraId="7A7A2B36" w14:textId="3F6213A5" w:rsidR="002334B4" w:rsidRPr="002334B4" w:rsidRDefault="002334B4" w:rsidP="002308B8">
      <w:pPr>
        <w:pStyle w:val="ListParagraph"/>
        <w:numPr>
          <w:ilvl w:val="0"/>
          <w:numId w:val="30"/>
        </w:numPr>
        <w:jc w:val="both"/>
        <w:rPr>
          <w:rFonts w:ascii="Arial" w:hAnsi="Arial" w:cs="Arial"/>
          <w:color w:val="7B7B7B" w:themeColor="accent3" w:themeShade="BF"/>
          <w:sz w:val="22"/>
          <w:szCs w:val="22"/>
          <w:lang w:val="en-GB"/>
        </w:rPr>
      </w:pPr>
      <w:r w:rsidRPr="002334B4">
        <w:rPr>
          <w:rFonts w:ascii="Arial" w:hAnsi="Arial" w:cs="Arial"/>
          <w:color w:val="7B7B7B" w:themeColor="accent3" w:themeShade="BF"/>
          <w:sz w:val="22"/>
          <w:szCs w:val="22"/>
          <w:lang w:val="en-GB"/>
        </w:rPr>
        <w:t>Ms G, as authorised of</w:t>
      </w:r>
      <w:r>
        <w:rPr>
          <w:rFonts w:ascii="Arial" w:hAnsi="Arial" w:cs="Arial"/>
          <w:color w:val="7B7B7B" w:themeColor="accent3" w:themeShade="BF"/>
          <w:sz w:val="22"/>
          <w:szCs w:val="22"/>
          <w:lang w:val="en-GB"/>
        </w:rPr>
        <w:t>f</w:t>
      </w:r>
      <w:r w:rsidRPr="002334B4">
        <w:rPr>
          <w:rFonts w:ascii="Arial" w:hAnsi="Arial" w:cs="Arial"/>
          <w:color w:val="7B7B7B" w:themeColor="accent3" w:themeShade="BF"/>
          <w:sz w:val="22"/>
          <w:szCs w:val="22"/>
          <w:lang w:val="en-GB"/>
        </w:rPr>
        <w:t>icer</w:t>
      </w:r>
    </w:p>
    <w:p w14:paraId="2C8BCA88" w14:textId="4AF4065E" w:rsidR="002334B4" w:rsidRPr="002334B4" w:rsidRDefault="002334B4" w:rsidP="002308B8">
      <w:pPr>
        <w:pStyle w:val="ListParagraph"/>
        <w:numPr>
          <w:ilvl w:val="0"/>
          <w:numId w:val="30"/>
        </w:numPr>
        <w:jc w:val="both"/>
        <w:rPr>
          <w:rFonts w:ascii="Arial" w:hAnsi="Arial" w:cs="Arial"/>
          <w:color w:val="7B7B7B" w:themeColor="accent3" w:themeShade="BF"/>
          <w:sz w:val="22"/>
          <w:szCs w:val="22"/>
          <w:lang w:val="en-GB"/>
        </w:rPr>
      </w:pPr>
      <w:r w:rsidRPr="002334B4">
        <w:rPr>
          <w:rFonts w:ascii="Arial" w:hAnsi="Arial" w:cs="Arial"/>
          <w:color w:val="7B7B7B" w:themeColor="accent3" w:themeShade="BF"/>
          <w:sz w:val="22"/>
          <w:szCs w:val="22"/>
          <w:lang w:val="en-GB"/>
        </w:rPr>
        <w:t>DGF</w:t>
      </w:r>
    </w:p>
    <w:p w14:paraId="6116346A" w14:textId="2BE5A43F" w:rsidR="000E0DD6" w:rsidRDefault="000E0DD6" w:rsidP="00282466">
      <w:pPr>
        <w:ind w:left="360"/>
        <w:jc w:val="both"/>
        <w:rPr>
          <w:rFonts w:ascii="Arial" w:hAnsi="Arial" w:cs="Arial"/>
          <w:color w:val="7B7B7B" w:themeColor="accent3" w:themeShade="BF"/>
          <w:sz w:val="22"/>
          <w:szCs w:val="22"/>
          <w:lang w:val="en-GB"/>
        </w:rPr>
      </w:pPr>
    </w:p>
    <w:p w14:paraId="173E1AFD" w14:textId="5F5DF85C" w:rsidR="00975FE8" w:rsidRDefault="002334B4"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first instance, Ms G is an authorised person, who is acting in the foreign proceedings. She is administering the liquidation of the assets and affairs and is acting as a representative.</w:t>
      </w:r>
      <w:r w:rsidR="00B50F47">
        <w:rPr>
          <w:rFonts w:ascii="Arial" w:hAnsi="Arial" w:cs="Arial"/>
          <w:color w:val="7B7B7B" w:themeColor="accent3" w:themeShade="BF"/>
          <w:sz w:val="22"/>
          <w:szCs w:val="22"/>
          <w:lang w:val="en-GB"/>
        </w:rPr>
        <w:t xml:space="preserve"> </w:t>
      </w:r>
      <w:r w:rsidR="00975FE8">
        <w:rPr>
          <w:rFonts w:ascii="Arial" w:hAnsi="Arial" w:cs="Arial"/>
          <w:color w:val="7B7B7B" w:themeColor="accent3" w:themeShade="BF"/>
          <w:sz w:val="22"/>
          <w:szCs w:val="22"/>
          <w:lang w:val="en-GB"/>
        </w:rPr>
        <w:t>Ms G also has the ability to sell assets of the company.</w:t>
      </w:r>
    </w:p>
    <w:p w14:paraId="021AF60D" w14:textId="77777777" w:rsidR="00975FE8" w:rsidRDefault="00975FE8" w:rsidP="00282466">
      <w:pPr>
        <w:ind w:left="360"/>
        <w:jc w:val="both"/>
        <w:rPr>
          <w:rFonts w:ascii="Arial" w:hAnsi="Arial" w:cs="Arial"/>
          <w:color w:val="7B7B7B" w:themeColor="accent3" w:themeShade="BF"/>
          <w:sz w:val="22"/>
          <w:szCs w:val="22"/>
          <w:lang w:val="en-GB"/>
        </w:rPr>
      </w:pPr>
    </w:p>
    <w:p w14:paraId="23DAC148" w14:textId="449E25BF" w:rsidR="000E0DD6" w:rsidRDefault="00B50F47" w:rsidP="0028246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DGF is the only other body who can control the liquidation, who have delegated their powers to Ms G. Despite that Ms G does not have the power to make certain claims does not affect this.</w:t>
      </w:r>
    </w:p>
    <w:p w14:paraId="5C0318E3" w14:textId="504D2BE6" w:rsidR="002334B4" w:rsidRDefault="002334B4" w:rsidP="00282466">
      <w:pPr>
        <w:ind w:left="360"/>
        <w:jc w:val="both"/>
        <w:rPr>
          <w:rFonts w:ascii="Arial" w:hAnsi="Arial" w:cs="Arial"/>
          <w:color w:val="7B7B7B" w:themeColor="accent3" w:themeShade="BF"/>
          <w:sz w:val="22"/>
          <w:szCs w:val="22"/>
          <w:lang w:val="en-GB"/>
        </w:rPr>
      </w:pPr>
    </w:p>
    <w:p w14:paraId="6E39F357" w14:textId="64A5B362" w:rsidR="003022BD" w:rsidRDefault="002334B4" w:rsidP="003022B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information, it is likely that Ms G will be considered a</w:t>
      </w:r>
      <w:r w:rsidR="00975FE8">
        <w:rPr>
          <w:rFonts w:ascii="Arial" w:hAnsi="Arial" w:cs="Arial"/>
          <w:color w:val="7B7B7B" w:themeColor="accent3" w:themeShade="BF"/>
          <w:sz w:val="22"/>
          <w:szCs w:val="22"/>
          <w:lang w:val="en-GB"/>
        </w:rPr>
        <w:t>n authorised</w:t>
      </w:r>
      <w:r>
        <w:rPr>
          <w:rFonts w:ascii="Arial" w:hAnsi="Arial" w:cs="Arial"/>
          <w:color w:val="7B7B7B" w:themeColor="accent3" w:themeShade="BF"/>
          <w:sz w:val="22"/>
          <w:szCs w:val="22"/>
          <w:lang w:val="en-GB"/>
        </w:rPr>
        <w:t xml:space="preserve"> foreign representative pursuant to </w:t>
      </w:r>
      <w:r w:rsidR="00975FE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rticle 2(d). The only </w:t>
      </w:r>
      <w:r w:rsidR="003022BD">
        <w:rPr>
          <w:rFonts w:ascii="Arial" w:hAnsi="Arial" w:cs="Arial"/>
          <w:color w:val="7B7B7B" w:themeColor="accent3" w:themeShade="BF"/>
          <w:sz w:val="22"/>
          <w:szCs w:val="22"/>
          <w:lang w:val="en-GB"/>
        </w:rPr>
        <w:t>consideration may be that Ms G does not have full authority to sell the assets of the Bank, therefore it may be considered that she can’t fully administer the Liquidation.</w:t>
      </w:r>
    </w:p>
    <w:p w14:paraId="0A98B1E1" w14:textId="1EECB525" w:rsidR="003022BD" w:rsidRDefault="003022BD" w:rsidP="003022BD">
      <w:pPr>
        <w:ind w:left="360"/>
        <w:jc w:val="both"/>
        <w:rPr>
          <w:rFonts w:ascii="Arial" w:hAnsi="Arial" w:cs="Arial"/>
          <w:color w:val="7B7B7B" w:themeColor="accent3" w:themeShade="BF"/>
          <w:sz w:val="22"/>
          <w:szCs w:val="22"/>
          <w:lang w:val="en-GB"/>
        </w:rPr>
      </w:pPr>
    </w:p>
    <w:p w14:paraId="79EE0CF4" w14:textId="0167C1CC" w:rsidR="003022BD" w:rsidRDefault="003022BD" w:rsidP="003022B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DGF also still holds the overriding control over the Liquidation, therefore a Court may consider that Ms G is not solely administering the estate.</w:t>
      </w:r>
      <w:r w:rsidR="00975FE8">
        <w:rPr>
          <w:rFonts w:ascii="Arial" w:hAnsi="Arial" w:cs="Arial"/>
          <w:color w:val="7B7B7B" w:themeColor="accent3" w:themeShade="BF"/>
          <w:sz w:val="22"/>
          <w:szCs w:val="22"/>
          <w:lang w:val="en-GB"/>
        </w:rPr>
        <w:t xml:space="preserve"> </w:t>
      </w:r>
    </w:p>
    <w:p w14:paraId="30D5FD41" w14:textId="1C617032" w:rsidR="003022BD" w:rsidRDefault="003022BD" w:rsidP="003022BD">
      <w:pPr>
        <w:ind w:left="360"/>
        <w:jc w:val="both"/>
        <w:rPr>
          <w:rFonts w:ascii="Arial" w:hAnsi="Arial" w:cs="Arial"/>
          <w:color w:val="7B7B7B" w:themeColor="accent3" w:themeShade="BF"/>
          <w:sz w:val="22"/>
          <w:szCs w:val="22"/>
          <w:lang w:val="en-GB"/>
        </w:rPr>
      </w:pPr>
    </w:p>
    <w:p w14:paraId="6119EFE0" w14:textId="4DC24F3A" w:rsidR="003022BD" w:rsidRDefault="003022BD" w:rsidP="003022B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DGF is a body, that has been acting </w:t>
      </w:r>
      <w:r w:rsidR="001B5F20">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the foreign proceedings. It is having influence </w:t>
      </w:r>
      <w:r w:rsidR="001B5F20">
        <w:rPr>
          <w:rFonts w:ascii="Arial" w:hAnsi="Arial" w:cs="Arial"/>
          <w:color w:val="7B7B7B" w:themeColor="accent3" w:themeShade="BF"/>
          <w:sz w:val="22"/>
          <w:szCs w:val="22"/>
          <w:lang w:val="en-GB"/>
        </w:rPr>
        <w:t>on the</w:t>
      </w:r>
      <w:r>
        <w:rPr>
          <w:rFonts w:ascii="Arial" w:hAnsi="Arial" w:cs="Arial"/>
          <w:color w:val="7B7B7B" w:themeColor="accent3" w:themeShade="BF"/>
          <w:sz w:val="22"/>
          <w:szCs w:val="22"/>
          <w:lang w:val="en-GB"/>
        </w:rPr>
        <w:t xml:space="preserve"> administration the liquidation of the assets and affairs of the Bank. It is also acting as a representative.</w:t>
      </w:r>
    </w:p>
    <w:p w14:paraId="48C90E95" w14:textId="64415640" w:rsidR="003022BD" w:rsidRDefault="003022BD" w:rsidP="003022BD">
      <w:pPr>
        <w:ind w:left="360"/>
        <w:jc w:val="both"/>
        <w:rPr>
          <w:rFonts w:ascii="Arial" w:hAnsi="Arial" w:cs="Arial"/>
          <w:color w:val="7B7B7B" w:themeColor="accent3" w:themeShade="BF"/>
          <w:sz w:val="22"/>
          <w:szCs w:val="22"/>
          <w:lang w:val="en-GB"/>
        </w:rPr>
      </w:pPr>
    </w:p>
    <w:p w14:paraId="3996B336" w14:textId="743DF7F0" w:rsidR="003022BD" w:rsidRDefault="003022BD" w:rsidP="003022B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DGF may not be considered as a foreign representative in the circumstances, as it has delegated to Mg S to deal with the Liquidation proceedings. Therefore, it is not directly administering the liquidation and isn’t directly acting as a representative.</w:t>
      </w:r>
    </w:p>
    <w:p w14:paraId="085DB82A" w14:textId="0E6ECE0C" w:rsidR="003022BD" w:rsidRDefault="003022BD" w:rsidP="003022BD">
      <w:pPr>
        <w:ind w:left="360"/>
        <w:jc w:val="both"/>
        <w:rPr>
          <w:rFonts w:ascii="Arial" w:hAnsi="Arial" w:cs="Arial"/>
          <w:color w:val="7B7B7B" w:themeColor="accent3" w:themeShade="BF"/>
          <w:sz w:val="22"/>
          <w:szCs w:val="22"/>
          <w:lang w:val="en-GB"/>
        </w:rPr>
      </w:pPr>
    </w:p>
    <w:p w14:paraId="4BE34AF8" w14:textId="683359A9" w:rsidR="003022BD" w:rsidRDefault="003022BD" w:rsidP="003022B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given the close links of DGF historically administering the Liquidation and the overriding control over Ms G, it </w:t>
      </w:r>
      <w:r w:rsidR="00975FE8">
        <w:rPr>
          <w:rFonts w:ascii="Arial" w:hAnsi="Arial" w:cs="Arial"/>
          <w:color w:val="7B7B7B" w:themeColor="accent3" w:themeShade="BF"/>
          <w:sz w:val="22"/>
          <w:szCs w:val="22"/>
          <w:lang w:val="en-GB"/>
        </w:rPr>
        <w:t>is still likely to</w:t>
      </w:r>
      <w:r>
        <w:rPr>
          <w:rFonts w:ascii="Arial" w:hAnsi="Arial" w:cs="Arial"/>
          <w:color w:val="7B7B7B" w:themeColor="accent3" w:themeShade="BF"/>
          <w:sz w:val="22"/>
          <w:szCs w:val="22"/>
          <w:lang w:val="en-GB"/>
        </w:rPr>
        <w:t xml:space="preserve"> be </w:t>
      </w:r>
      <w:r w:rsidR="00975FE8">
        <w:rPr>
          <w:rFonts w:ascii="Arial" w:hAnsi="Arial" w:cs="Arial"/>
          <w:color w:val="7B7B7B" w:themeColor="accent3" w:themeShade="BF"/>
          <w:sz w:val="22"/>
          <w:szCs w:val="22"/>
          <w:lang w:val="en-GB"/>
        </w:rPr>
        <w:t xml:space="preserve">consider an </w:t>
      </w:r>
      <w:r>
        <w:rPr>
          <w:rFonts w:ascii="Arial" w:hAnsi="Arial" w:cs="Arial"/>
          <w:color w:val="7B7B7B" w:themeColor="accent3" w:themeShade="BF"/>
          <w:sz w:val="22"/>
          <w:szCs w:val="22"/>
          <w:lang w:val="en-GB"/>
        </w:rPr>
        <w:t>a</w:t>
      </w:r>
      <w:r w:rsidR="00975FE8">
        <w:rPr>
          <w:rFonts w:ascii="Arial" w:hAnsi="Arial" w:cs="Arial"/>
          <w:color w:val="7B7B7B" w:themeColor="accent3" w:themeShade="BF"/>
          <w:sz w:val="22"/>
          <w:szCs w:val="22"/>
          <w:lang w:val="en-GB"/>
        </w:rPr>
        <w:t>uthorised</w:t>
      </w:r>
      <w:r>
        <w:rPr>
          <w:rFonts w:ascii="Arial" w:hAnsi="Arial" w:cs="Arial"/>
          <w:color w:val="7B7B7B" w:themeColor="accent3" w:themeShade="BF"/>
          <w:sz w:val="22"/>
          <w:szCs w:val="22"/>
          <w:lang w:val="en-GB"/>
        </w:rPr>
        <w:t xml:space="preserve"> foreign representative</w:t>
      </w:r>
      <w:r w:rsidR="00975FE8">
        <w:rPr>
          <w:rFonts w:ascii="Arial" w:hAnsi="Arial" w:cs="Arial"/>
          <w:color w:val="7B7B7B" w:themeColor="accent3" w:themeShade="BF"/>
          <w:sz w:val="22"/>
          <w:szCs w:val="22"/>
          <w:lang w:val="en-GB"/>
        </w:rPr>
        <w:t xml:space="preserve"> under Article 2(d).</w:t>
      </w:r>
    </w:p>
    <w:p w14:paraId="27AF633F" w14:textId="71535DDA" w:rsidR="002334B4" w:rsidRDefault="002334B4" w:rsidP="00282466">
      <w:pPr>
        <w:ind w:left="360"/>
        <w:jc w:val="both"/>
        <w:rPr>
          <w:rFonts w:ascii="Arial" w:hAnsi="Arial" w:cs="Arial"/>
          <w:color w:val="7B7B7B" w:themeColor="accent3" w:themeShade="BF"/>
          <w:sz w:val="22"/>
          <w:szCs w:val="22"/>
          <w:lang w:val="en-GB"/>
        </w:rPr>
      </w:pPr>
    </w:p>
    <w:p w14:paraId="26446A5C" w14:textId="77777777" w:rsidR="002334B4" w:rsidRDefault="002334B4" w:rsidP="00282466">
      <w:pPr>
        <w:ind w:left="360"/>
        <w:jc w:val="both"/>
        <w:rPr>
          <w:rFonts w:ascii="Arial" w:hAnsi="Arial" w:cs="Arial"/>
          <w:color w:val="7B7B7B" w:themeColor="accent3" w:themeShade="BF"/>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142" w14:textId="77777777" w:rsidR="001B5B02" w:rsidRDefault="001B5B02" w:rsidP="00241B44">
      <w:r>
        <w:separator/>
      </w:r>
    </w:p>
  </w:endnote>
  <w:endnote w:type="continuationSeparator" w:id="0">
    <w:p w14:paraId="19BF3C83" w14:textId="77777777" w:rsidR="001B5B02" w:rsidRDefault="001B5B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284B9D6" w:rsidR="0036760B" w:rsidRPr="00784B4B" w:rsidRDefault="00D725FC" w:rsidP="0036760B">
    <w:pPr>
      <w:pStyle w:val="Footer"/>
      <w:ind w:right="360" w:firstLine="360"/>
      <w:rPr>
        <w:rFonts w:ascii="Arial" w:hAnsi="Arial" w:cs="Arial"/>
        <w:sz w:val="18"/>
        <w:szCs w:val="18"/>
      </w:rPr>
    </w:pPr>
    <w:r>
      <w:rPr>
        <w:rFonts w:ascii="Arial" w:hAnsi="Arial" w:cs="Arial"/>
        <w:sz w:val="18"/>
        <w:szCs w:val="18"/>
      </w:rPr>
      <w:t>202122-609</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D124" w14:textId="77777777" w:rsidR="005A319D" w:rsidRDefault="005A31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1C4D" w14:textId="77777777" w:rsidR="001B5B02" w:rsidRDefault="001B5B02" w:rsidP="00241B44">
      <w:r>
        <w:separator/>
      </w:r>
    </w:p>
  </w:footnote>
  <w:footnote w:type="continuationSeparator" w:id="0">
    <w:p w14:paraId="33455F0D" w14:textId="77777777" w:rsidR="001B5B02" w:rsidRDefault="001B5B0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0CD9" w14:textId="77777777" w:rsidR="005A319D" w:rsidRDefault="005A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20FC" w14:textId="6AE71DFD" w:rsidR="000D2085" w:rsidRDefault="001B5B02">
    <w:pPr>
      <w:pStyle w:val="Header"/>
    </w:pPr>
    <w:r>
      <w:rPr>
        <w:noProof/>
      </w:rPr>
      <w:pict w14:anchorId="62A4E4B7">
        <v:shapetype id="_x0000_t202" coordsize="21600,21600" o:spt="202" path="m,l,21600r21600,l21600,xe">
          <v:stroke joinstyle="miter"/>
          <v:path gradientshapeok="t" o:connecttype="rect"/>
        </v:shapetype>
        <v:shape id="MSIPCM08954de7ac40f6c0e9e3f33c"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3E485A10" w14:textId="3846DD14" w:rsidR="000D2085" w:rsidRPr="000D2085" w:rsidRDefault="000D2085" w:rsidP="000D2085">
                <w:pPr>
                  <w:jc w:val="right"/>
                  <w:rPr>
                    <w:rFonts w:ascii="Arial" w:hAnsi="Arial" w:cs="Arial"/>
                    <w:color w:val="000000"/>
                    <w:sz w:val="16"/>
                  </w:rPr>
                </w:pPr>
                <w:r w:rsidRPr="000D2085">
                  <w:rPr>
                    <w:rFonts w:ascii="Arial" w:hAnsi="Arial" w:cs="Arial"/>
                    <w:color w:val="000000"/>
                    <w:sz w:val="16"/>
                  </w:rPr>
                  <w:t>Commercial in confidence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7A89" w14:textId="18C9F182" w:rsidR="000D2085" w:rsidRDefault="001B5B02">
    <w:pPr>
      <w:pStyle w:val="Header"/>
    </w:pPr>
    <w:r>
      <w:rPr>
        <w:noProof/>
      </w:rPr>
      <w:pict w14:anchorId="12992916">
        <v:shapetype id="_x0000_t202" coordsize="21600,21600" o:spt="202" path="m,l,21600r21600,l21600,xe">
          <v:stroke joinstyle="miter"/>
          <v:path gradientshapeok="t" o:connecttype="rect"/>
        </v:shapetype>
        <v:shape id="MSIPCM5c894d8bb1f1564749a22f04" o:spid="_x0000_s1025"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3D50C74B" w14:textId="3E460EA7" w:rsidR="000D2085" w:rsidRPr="000D2085" w:rsidRDefault="000D2085" w:rsidP="000D2085">
                <w:pPr>
                  <w:jc w:val="right"/>
                  <w:rPr>
                    <w:rFonts w:ascii="Arial" w:hAnsi="Arial" w:cs="Arial"/>
                    <w:color w:val="000000"/>
                    <w:sz w:val="16"/>
                  </w:rPr>
                </w:pPr>
                <w:r w:rsidRPr="000D2085">
                  <w:rPr>
                    <w:rFonts w:ascii="Arial" w:hAnsi="Arial" w:cs="Arial"/>
                    <w:color w:val="000000"/>
                    <w:sz w:val="16"/>
                  </w:rPr>
                  <w:t>Commercial in confidence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653FC3"/>
    <w:multiLevelType w:val="hybridMultilevel"/>
    <w:tmpl w:val="C93C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46D50"/>
    <w:multiLevelType w:val="hybridMultilevel"/>
    <w:tmpl w:val="D4926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27201D"/>
    <w:multiLevelType w:val="hybridMultilevel"/>
    <w:tmpl w:val="55EE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492D"/>
    <w:multiLevelType w:val="hybridMultilevel"/>
    <w:tmpl w:val="0FF4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E47877"/>
    <w:multiLevelType w:val="hybridMultilevel"/>
    <w:tmpl w:val="6C1CF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A30058"/>
    <w:multiLevelType w:val="hybridMultilevel"/>
    <w:tmpl w:val="DC44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C0973"/>
    <w:multiLevelType w:val="hybridMultilevel"/>
    <w:tmpl w:val="4CA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5F6CB3"/>
    <w:multiLevelType w:val="hybridMultilevel"/>
    <w:tmpl w:val="D5BC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D6458"/>
    <w:multiLevelType w:val="hybridMultilevel"/>
    <w:tmpl w:val="956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84137"/>
    <w:multiLevelType w:val="hybridMultilevel"/>
    <w:tmpl w:val="4C1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52939"/>
    <w:multiLevelType w:val="hybridMultilevel"/>
    <w:tmpl w:val="5F38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27DDC"/>
    <w:multiLevelType w:val="hybridMultilevel"/>
    <w:tmpl w:val="4C6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DA37E8"/>
    <w:multiLevelType w:val="hybridMultilevel"/>
    <w:tmpl w:val="F05C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22646"/>
    <w:multiLevelType w:val="hybridMultilevel"/>
    <w:tmpl w:val="076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7D740C"/>
    <w:multiLevelType w:val="hybridMultilevel"/>
    <w:tmpl w:val="C72457D4"/>
    <w:lvl w:ilvl="0" w:tplc="B4967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A165B"/>
    <w:multiLevelType w:val="hybridMultilevel"/>
    <w:tmpl w:val="C76E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26517"/>
    <w:multiLevelType w:val="hybridMultilevel"/>
    <w:tmpl w:val="BFB63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A07F4"/>
    <w:multiLevelType w:val="hybridMultilevel"/>
    <w:tmpl w:val="9EE6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97A53"/>
    <w:multiLevelType w:val="hybridMultilevel"/>
    <w:tmpl w:val="0E64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7206B6"/>
    <w:multiLevelType w:val="hybridMultilevel"/>
    <w:tmpl w:val="41A8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16EAB"/>
    <w:multiLevelType w:val="hybridMultilevel"/>
    <w:tmpl w:val="C0AC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23"/>
  </w:num>
  <w:num w:numId="3">
    <w:abstractNumId w:val="10"/>
  </w:num>
  <w:num w:numId="4">
    <w:abstractNumId w:val="4"/>
  </w:num>
  <w:num w:numId="5">
    <w:abstractNumId w:val="34"/>
  </w:num>
  <w:num w:numId="6">
    <w:abstractNumId w:val="33"/>
  </w:num>
  <w:num w:numId="7">
    <w:abstractNumId w:val="30"/>
  </w:num>
  <w:num w:numId="8">
    <w:abstractNumId w:val="7"/>
  </w:num>
  <w:num w:numId="9">
    <w:abstractNumId w:val="8"/>
  </w:num>
  <w:num w:numId="10">
    <w:abstractNumId w:val="20"/>
  </w:num>
  <w:num w:numId="11">
    <w:abstractNumId w:val="0"/>
  </w:num>
  <w:num w:numId="12">
    <w:abstractNumId w:val="13"/>
  </w:num>
  <w:num w:numId="13">
    <w:abstractNumId w:val="14"/>
  </w:num>
  <w:num w:numId="14">
    <w:abstractNumId w:val="3"/>
  </w:num>
  <w:num w:numId="15">
    <w:abstractNumId w:val="24"/>
  </w:num>
  <w:num w:numId="16">
    <w:abstractNumId w:val="15"/>
  </w:num>
  <w:num w:numId="17">
    <w:abstractNumId w:val="19"/>
  </w:num>
  <w:num w:numId="18">
    <w:abstractNumId w:val="28"/>
  </w:num>
  <w:num w:numId="19">
    <w:abstractNumId w:val="1"/>
  </w:num>
  <w:num w:numId="20">
    <w:abstractNumId w:val="22"/>
  </w:num>
  <w:num w:numId="21">
    <w:abstractNumId w:val="12"/>
  </w:num>
  <w:num w:numId="22">
    <w:abstractNumId w:val="25"/>
  </w:num>
  <w:num w:numId="23">
    <w:abstractNumId w:val="27"/>
  </w:num>
  <w:num w:numId="24">
    <w:abstractNumId w:val="18"/>
  </w:num>
  <w:num w:numId="25">
    <w:abstractNumId w:val="32"/>
  </w:num>
  <w:num w:numId="26">
    <w:abstractNumId w:val="6"/>
  </w:num>
  <w:num w:numId="27">
    <w:abstractNumId w:val="5"/>
  </w:num>
  <w:num w:numId="28">
    <w:abstractNumId w:val="21"/>
  </w:num>
  <w:num w:numId="29">
    <w:abstractNumId w:val="9"/>
  </w:num>
  <w:num w:numId="30">
    <w:abstractNumId w:val="2"/>
  </w:num>
  <w:num w:numId="31">
    <w:abstractNumId w:val="26"/>
  </w:num>
  <w:num w:numId="32">
    <w:abstractNumId w:val="11"/>
  </w:num>
  <w:num w:numId="33">
    <w:abstractNumId w:val="31"/>
  </w:num>
  <w:num w:numId="34">
    <w:abstractNumId w:val="17"/>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5088"/>
    <w:rsid w:val="00001E0C"/>
    <w:rsid w:val="000077DD"/>
    <w:rsid w:val="00010BA0"/>
    <w:rsid w:val="00011778"/>
    <w:rsid w:val="00020240"/>
    <w:rsid w:val="00020435"/>
    <w:rsid w:val="00020557"/>
    <w:rsid w:val="000232A1"/>
    <w:rsid w:val="000250C7"/>
    <w:rsid w:val="00025CCF"/>
    <w:rsid w:val="0003114A"/>
    <w:rsid w:val="0003619C"/>
    <w:rsid w:val="00037621"/>
    <w:rsid w:val="0004350F"/>
    <w:rsid w:val="00044D46"/>
    <w:rsid w:val="00045088"/>
    <w:rsid w:val="00045904"/>
    <w:rsid w:val="000464F7"/>
    <w:rsid w:val="0005141D"/>
    <w:rsid w:val="00065166"/>
    <w:rsid w:val="00067A88"/>
    <w:rsid w:val="00073474"/>
    <w:rsid w:val="00077A6B"/>
    <w:rsid w:val="00077D49"/>
    <w:rsid w:val="00082609"/>
    <w:rsid w:val="000851CC"/>
    <w:rsid w:val="00093BE8"/>
    <w:rsid w:val="000A68ED"/>
    <w:rsid w:val="000B4FEB"/>
    <w:rsid w:val="000B5FF1"/>
    <w:rsid w:val="000B609F"/>
    <w:rsid w:val="000C147F"/>
    <w:rsid w:val="000C6BB9"/>
    <w:rsid w:val="000C6C82"/>
    <w:rsid w:val="000D2085"/>
    <w:rsid w:val="000D55A8"/>
    <w:rsid w:val="000E0868"/>
    <w:rsid w:val="000E0DD6"/>
    <w:rsid w:val="000E4841"/>
    <w:rsid w:val="000E6325"/>
    <w:rsid w:val="000F1677"/>
    <w:rsid w:val="000F3D6C"/>
    <w:rsid w:val="000F579C"/>
    <w:rsid w:val="00101707"/>
    <w:rsid w:val="00107F15"/>
    <w:rsid w:val="00114082"/>
    <w:rsid w:val="0011473D"/>
    <w:rsid w:val="00115C85"/>
    <w:rsid w:val="00123855"/>
    <w:rsid w:val="00126A4D"/>
    <w:rsid w:val="00137529"/>
    <w:rsid w:val="00140E0A"/>
    <w:rsid w:val="0014171F"/>
    <w:rsid w:val="00145601"/>
    <w:rsid w:val="0014622C"/>
    <w:rsid w:val="00151F58"/>
    <w:rsid w:val="00152348"/>
    <w:rsid w:val="0015456D"/>
    <w:rsid w:val="00155FA2"/>
    <w:rsid w:val="001578CB"/>
    <w:rsid w:val="00161F1B"/>
    <w:rsid w:val="00162829"/>
    <w:rsid w:val="00166164"/>
    <w:rsid w:val="00167C32"/>
    <w:rsid w:val="0017257C"/>
    <w:rsid w:val="001747C2"/>
    <w:rsid w:val="00176079"/>
    <w:rsid w:val="0017652E"/>
    <w:rsid w:val="00180548"/>
    <w:rsid w:val="00180AC4"/>
    <w:rsid w:val="00180CCE"/>
    <w:rsid w:val="0018267A"/>
    <w:rsid w:val="00182779"/>
    <w:rsid w:val="001830DF"/>
    <w:rsid w:val="00190FD2"/>
    <w:rsid w:val="001966D9"/>
    <w:rsid w:val="00196EA0"/>
    <w:rsid w:val="001972F6"/>
    <w:rsid w:val="001A24E7"/>
    <w:rsid w:val="001A2B78"/>
    <w:rsid w:val="001A7E9A"/>
    <w:rsid w:val="001B0D5A"/>
    <w:rsid w:val="001B0F70"/>
    <w:rsid w:val="001B5016"/>
    <w:rsid w:val="001B5B02"/>
    <w:rsid w:val="001B5F20"/>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08B8"/>
    <w:rsid w:val="0023198D"/>
    <w:rsid w:val="0023317E"/>
    <w:rsid w:val="002334B4"/>
    <w:rsid w:val="00234F2C"/>
    <w:rsid w:val="00240B0E"/>
    <w:rsid w:val="0024116D"/>
    <w:rsid w:val="00241B44"/>
    <w:rsid w:val="00244B36"/>
    <w:rsid w:val="00245EFB"/>
    <w:rsid w:val="00250E19"/>
    <w:rsid w:val="0025386E"/>
    <w:rsid w:val="002638B0"/>
    <w:rsid w:val="00264FFF"/>
    <w:rsid w:val="002650D7"/>
    <w:rsid w:val="0026647A"/>
    <w:rsid w:val="002668D3"/>
    <w:rsid w:val="002675BE"/>
    <w:rsid w:val="002702FD"/>
    <w:rsid w:val="0027299F"/>
    <w:rsid w:val="00276913"/>
    <w:rsid w:val="0028135B"/>
    <w:rsid w:val="00282466"/>
    <w:rsid w:val="00282480"/>
    <w:rsid w:val="00284EBE"/>
    <w:rsid w:val="0029433F"/>
    <w:rsid w:val="00294829"/>
    <w:rsid w:val="00294F3B"/>
    <w:rsid w:val="0029690F"/>
    <w:rsid w:val="002A2A60"/>
    <w:rsid w:val="002B1C45"/>
    <w:rsid w:val="002C13C8"/>
    <w:rsid w:val="002C3547"/>
    <w:rsid w:val="002C60F5"/>
    <w:rsid w:val="002D0021"/>
    <w:rsid w:val="002D0569"/>
    <w:rsid w:val="002D3473"/>
    <w:rsid w:val="002D5C95"/>
    <w:rsid w:val="002E00F8"/>
    <w:rsid w:val="002E1BB5"/>
    <w:rsid w:val="002E2322"/>
    <w:rsid w:val="002E38E2"/>
    <w:rsid w:val="002F1956"/>
    <w:rsid w:val="002F2F0F"/>
    <w:rsid w:val="002F3440"/>
    <w:rsid w:val="002F4EC0"/>
    <w:rsid w:val="002F71BE"/>
    <w:rsid w:val="002F75A3"/>
    <w:rsid w:val="00301897"/>
    <w:rsid w:val="003022BD"/>
    <w:rsid w:val="00303C2F"/>
    <w:rsid w:val="0031071F"/>
    <w:rsid w:val="003126D9"/>
    <w:rsid w:val="0031278A"/>
    <w:rsid w:val="00312911"/>
    <w:rsid w:val="003144EF"/>
    <w:rsid w:val="003148CA"/>
    <w:rsid w:val="00314C07"/>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979"/>
    <w:rsid w:val="003A2FEE"/>
    <w:rsid w:val="003A75F9"/>
    <w:rsid w:val="003B1310"/>
    <w:rsid w:val="003B170F"/>
    <w:rsid w:val="003B3C5F"/>
    <w:rsid w:val="003C1B43"/>
    <w:rsid w:val="003C4471"/>
    <w:rsid w:val="003C66B1"/>
    <w:rsid w:val="003D0A6D"/>
    <w:rsid w:val="003D40A3"/>
    <w:rsid w:val="003E0B16"/>
    <w:rsid w:val="003E4F17"/>
    <w:rsid w:val="003E67D1"/>
    <w:rsid w:val="00405DC1"/>
    <w:rsid w:val="0040710D"/>
    <w:rsid w:val="0041139B"/>
    <w:rsid w:val="00413D3A"/>
    <w:rsid w:val="00415F1F"/>
    <w:rsid w:val="0042108F"/>
    <w:rsid w:val="00422242"/>
    <w:rsid w:val="00424D07"/>
    <w:rsid w:val="00430FED"/>
    <w:rsid w:val="004332D8"/>
    <w:rsid w:val="00434A8C"/>
    <w:rsid w:val="00435583"/>
    <w:rsid w:val="00437297"/>
    <w:rsid w:val="00443403"/>
    <w:rsid w:val="00444284"/>
    <w:rsid w:val="00445CE6"/>
    <w:rsid w:val="004534C2"/>
    <w:rsid w:val="0045446F"/>
    <w:rsid w:val="0045683E"/>
    <w:rsid w:val="004667F1"/>
    <w:rsid w:val="0047025B"/>
    <w:rsid w:val="00483F23"/>
    <w:rsid w:val="00491675"/>
    <w:rsid w:val="00493855"/>
    <w:rsid w:val="0049508F"/>
    <w:rsid w:val="00495F58"/>
    <w:rsid w:val="004A171E"/>
    <w:rsid w:val="004A57DD"/>
    <w:rsid w:val="004A7B51"/>
    <w:rsid w:val="004A7D71"/>
    <w:rsid w:val="004A7EF3"/>
    <w:rsid w:val="004B0A38"/>
    <w:rsid w:val="004B11FD"/>
    <w:rsid w:val="004B23A2"/>
    <w:rsid w:val="004D1A5A"/>
    <w:rsid w:val="004D2FFF"/>
    <w:rsid w:val="004D3721"/>
    <w:rsid w:val="004D64F9"/>
    <w:rsid w:val="004E0549"/>
    <w:rsid w:val="004E2E92"/>
    <w:rsid w:val="004E30B0"/>
    <w:rsid w:val="004E622C"/>
    <w:rsid w:val="004E6373"/>
    <w:rsid w:val="004F2492"/>
    <w:rsid w:val="004F5FDF"/>
    <w:rsid w:val="0050157D"/>
    <w:rsid w:val="00506803"/>
    <w:rsid w:val="0050682B"/>
    <w:rsid w:val="00507AAC"/>
    <w:rsid w:val="005177FE"/>
    <w:rsid w:val="0052263B"/>
    <w:rsid w:val="00524728"/>
    <w:rsid w:val="00530003"/>
    <w:rsid w:val="00532EE4"/>
    <w:rsid w:val="005331CA"/>
    <w:rsid w:val="0053353F"/>
    <w:rsid w:val="00537970"/>
    <w:rsid w:val="00540B44"/>
    <w:rsid w:val="00540E3A"/>
    <w:rsid w:val="00544127"/>
    <w:rsid w:val="00544273"/>
    <w:rsid w:val="005463A9"/>
    <w:rsid w:val="00547390"/>
    <w:rsid w:val="00553EB2"/>
    <w:rsid w:val="00556777"/>
    <w:rsid w:val="00560534"/>
    <w:rsid w:val="0056391B"/>
    <w:rsid w:val="005650E2"/>
    <w:rsid w:val="00565292"/>
    <w:rsid w:val="0056535A"/>
    <w:rsid w:val="00565DEE"/>
    <w:rsid w:val="00567AD7"/>
    <w:rsid w:val="00567EB6"/>
    <w:rsid w:val="00573E73"/>
    <w:rsid w:val="00575B2D"/>
    <w:rsid w:val="00576FE3"/>
    <w:rsid w:val="005833D0"/>
    <w:rsid w:val="00583EB5"/>
    <w:rsid w:val="005846F3"/>
    <w:rsid w:val="0058622F"/>
    <w:rsid w:val="00587461"/>
    <w:rsid w:val="00592F82"/>
    <w:rsid w:val="005A0CCA"/>
    <w:rsid w:val="005A319D"/>
    <w:rsid w:val="005A726D"/>
    <w:rsid w:val="005B67AC"/>
    <w:rsid w:val="005C2C94"/>
    <w:rsid w:val="005C4865"/>
    <w:rsid w:val="005D43E0"/>
    <w:rsid w:val="005D58A3"/>
    <w:rsid w:val="005E1B79"/>
    <w:rsid w:val="005E5C28"/>
    <w:rsid w:val="005E6B65"/>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1BD7"/>
    <w:rsid w:val="00654C2F"/>
    <w:rsid w:val="00654EEA"/>
    <w:rsid w:val="00657087"/>
    <w:rsid w:val="0066252C"/>
    <w:rsid w:val="006661EF"/>
    <w:rsid w:val="0067294B"/>
    <w:rsid w:val="00677736"/>
    <w:rsid w:val="0067785F"/>
    <w:rsid w:val="00677AEB"/>
    <w:rsid w:val="00680EF2"/>
    <w:rsid w:val="0068285F"/>
    <w:rsid w:val="006839C2"/>
    <w:rsid w:val="00687A1D"/>
    <w:rsid w:val="006920CC"/>
    <w:rsid w:val="00697EA1"/>
    <w:rsid w:val="006A1850"/>
    <w:rsid w:val="006A2646"/>
    <w:rsid w:val="006A3DF0"/>
    <w:rsid w:val="006A4A31"/>
    <w:rsid w:val="006A6530"/>
    <w:rsid w:val="006B435A"/>
    <w:rsid w:val="006B4C64"/>
    <w:rsid w:val="006B4FFC"/>
    <w:rsid w:val="006B5851"/>
    <w:rsid w:val="006C5F3F"/>
    <w:rsid w:val="006D6BD5"/>
    <w:rsid w:val="006E134F"/>
    <w:rsid w:val="006E303F"/>
    <w:rsid w:val="006E37C4"/>
    <w:rsid w:val="006E481A"/>
    <w:rsid w:val="006E5298"/>
    <w:rsid w:val="006E7A04"/>
    <w:rsid w:val="006F2CE3"/>
    <w:rsid w:val="006F734A"/>
    <w:rsid w:val="00700D83"/>
    <w:rsid w:val="00704852"/>
    <w:rsid w:val="00706297"/>
    <w:rsid w:val="00706AD5"/>
    <w:rsid w:val="007074E9"/>
    <w:rsid w:val="00707FC8"/>
    <w:rsid w:val="00712D78"/>
    <w:rsid w:val="00713DA4"/>
    <w:rsid w:val="00714BF1"/>
    <w:rsid w:val="00721383"/>
    <w:rsid w:val="007222B0"/>
    <w:rsid w:val="0072554C"/>
    <w:rsid w:val="00725911"/>
    <w:rsid w:val="00725D5A"/>
    <w:rsid w:val="00731DBD"/>
    <w:rsid w:val="007333CC"/>
    <w:rsid w:val="0073399A"/>
    <w:rsid w:val="007438E6"/>
    <w:rsid w:val="00756EA6"/>
    <w:rsid w:val="007603F5"/>
    <w:rsid w:val="00761C18"/>
    <w:rsid w:val="00764DB0"/>
    <w:rsid w:val="0076764D"/>
    <w:rsid w:val="0077498C"/>
    <w:rsid w:val="00784128"/>
    <w:rsid w:val="00784B4B"/>
    <w:rsid w:val="007854ED"/>
    <w:rsid w:val="00793173"/>
    <w:rsid w:val="00797D75"/>
    <w:rsid w:val="007A4BA0"/>
    <w:rsid w:val="007B3AC7"/>
    <w:rsid w:val="007C1FCC"/>
    <w:rsid w:val="007C28EB"/>
    <w:rsid w:val="007C32A8"/>
    <w:rsid w:val="007C3FE5"/>
    <w:rsid w:val="007C6201"/>
    <w:rsid w:val="007C6988"/>
    <w:rsid w:val="007D28A1"/>
    <w:rsid w:val="007D7A0B"/>
    <w:rsid w:val="007D7C92"/>
    <w:rsid w:val="007E1154"/>
    <w:rsid w:val="007E6BA4"/>
    <w:rsid w:val="007E7678"/>
    <w:rsid w:val="007F41F8"/>
    <w:rsid w:val="007F60D0"/>
    <w:rsid w:val="0080454E"/>
    <w:rsid w:val="00804C32"/>
    <w:rsid w:val="00806302"/>
    <w:rsid w:val="00806487"/>
    <w:rsid w:val="00807119"/>
    <w:rsid w:val="00815313"/>
    <w:rsid w:val="00817D57"/>
    <w:rsid w:val="00822764"/>
    <w:rsid w:val="0082483F"/>
    <w:rsid w:val="008264CB"/>
    <w:rsid w:val="008279C0"/>
    <w:rsid w:val="00835FD1"/>
    <w:rsid w:val="00844D7C"/>
    <w:rsid w:val="0084683C"/>
    <w:rsid w:val="00853A74"/>
    <w:rsid w:val="00860E61"/>
    <w:rsid w:val="00862D64"/>
    <w:rsid w:val="00864D6D"/>
    <w:rsid w:val="00871293"/>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0E9"/>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0E25"/>
    <w:rsid w:val="00962045"/>
    <w:rsid w:val="009634F7"/>
    <w:rsid w:val="00967EDA"/>
    <w:rsid w:val="00970897"/>
    <w:rsid w:val="00975FE8"/>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6EEA"/>
    <w:rsid w:val="009E2AEB"/>
    <w:rsid w:val="009E2E27"/>
    <w:rsid w:val="009E4DE3"/>
    <w:rsid w:val="009E680F"/>
    <w:rsid w:val="00A04704"/>
    <w:rsid w:val="00A047EE"/>
    <w:rsid w:val="00A050B5"/>
    <w:rsid w:val="00A114EA"/>
    <w:rsid w:val="00A153F7"/>
    <w:rsid w:val="00A2274A"/>
    <w:rsid w:val="00A235B7"/>
    <w:rsid w:val="00A2474E"/>
    <w:rsid w:val="00A27A7A"/>
    <w:rsid w:val="00A407EF"/>
    <w:rsid w:val="00A46B4C"/>
    <w:rsid w:val="00A5117B"/>
    <w:rsid w:val="00A54689"/>
    <w:rsid w:val="00A60074"/>
    <w:rsid w:val="00A6627C"/>
    <w:rsid w:val="00A71019"/>
    <w:rsid w:val="00A81029"/>
    <w:rsid w:val="00A83C30"/>
    <w:rsid w:val="00A83CB5"/>
    <w:rsid w:val="00A96489"/>
    <w:rsid w:val="00AA3A42"/>
    <w:rsid w:val="00AA5311"/>
    <w:rsid w:val="00AB685C"/>
    <w:rsid w:val="00AB6C2D"/>
    <w:rsid w:val="00AC08F7"/>
    <w:rsid w:val="00AC3839"/>
    <w:rsid w:val="00AC7082"/>
    <w:rsid w:val="00AD3FEA"/>
    <w:rsid w:val="00AD7BBD"/>
    <w:rsid w:val="00AF06E4"/>
    <w:rsid w:val="00AF228E"/>
    <w:rsid w:val="00B04137"/>
    <w:rsid w:val="00B11D19"/>
    <w:rsid w:val="00B12936"/>
    <w:rsid w:val="00B14819"/>
    <w:rsid w:val="00B17AA9"/>
    <w:rsid w:val="00B32DE4"/>
    <w:rsid w:val="00B33578"/>
    <w:rsid w:val="00B370C3"/>
    <w:rsid w:val="00B37431"/>
    <w:rsid w:val="00B411AE"/>
    <w:rsid w:val="00B50F47"/>
    <w:rsid w:val="00B60190"/>
    <w:rsid w:val="00B61419"/>
    <w:rsid w:val="00B72F5F"/>
    <w:rsid w:val="00B736DF"/>
    <w:rsid w:val="00B74F95"/>
    <w:rsid w:val="00B74FBD"/>
    <w:rsid w:val="00B77F36"/>
    <w:rsid w:val="00B82586"/>
    <w:rsid w:val="00B829A3"/>
    <w:rsid w:val="00B86DB1"/>
    <w:rsid w:val="00B87869"/>
    <w:rsid w:val="00B90F68"/>
    <w:rsid w:val="00BA0E44"/>
    <w:rsid w:val="00BA47C5"/>
    <w:rsid w:val="00BB0F2B"/>
    <w:rsid w:val="00BE085A"/>
    <w:rsid w:val="00BE1A50"/>
    <w:rsid w:val="00BF50F7"/>
    <w:rsid w:val="00C00A41"/>
    <w:rsid w:val="00C02F29"/>
    <w:rsid w:val="00C10C13"/>
    <w:rsid w:val="00C118D9"/>
    <w:rsid w:val="00C17111"/>
    <w:rsid w:val="00C20747"/>
    <w:rsid w:val="00C20AFE"/>
    <w:rsid w:val="00C22A25"/>
    <w:rsid w:val="00C23B79"/>
    <w:rsid w:val="00C31E47"/>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30A2"/>
    <w:rsid w:val="00CD4998"/>
    <w:rsid w:val="00CD758E"/>
    <w:rsid w:val="00CE1035"/>
    <w:rsid w:val="00CF2819"/>
    <w:rsid w:val="00CF4F9D"/>
    <w:rsid w:val="00CF70DC"/>
    <w:rsid w:val="00D148DC"/>
    <w:rsid w:val="00D17FDC"/>
    <w:rsid w:val="00D3610B"/>
    <w:rsid w:val="00D444C5"/>
    <w:rsid w:val="00D45AEA"/>
    <w:rsid w:val="00D56A37"/>
    <w:rsid w:val="00D57202"/>
    <w:rsid w:val="00D63EFD"/>
    <w:rsid w:val="00D64826"/>
    <w:rsid w:val="00D725FC"/>
    <w:rsid w:val="00D74767"/>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D7B63"/>
    <w:rsid w:val="00DE03AF"/>
    <w:rsid w:val="00DE121C"/>
    <w:rsid w:val="00DE2A27"/>
    <w:rsid w:val="00DE3705"/>
    <w:rsid w:val="00DE6633"/>
    <w:rsid w:val="00DF5C83"/>
    <w:rsid w:val="00DF75F8"/>
    <w:rsid w:val="00DF7A3A"/>
    <w:rsid w:val="00E00C00"/>
    <w:rsid w:val="00E04498"/>
    <w:rsid w:val="00E04A7C"/>
    <w:rsid w:val="00E059FB"/>
    <w:rsid w:val="00E069C4"/>
    <w:rsid w:val="00E07275"/>
    <w:rsid w:val="00E07866"/>
    <w:rsid w:val="00E07C5A"/>
    <w:rsid w:val="00E15BA9"/>
    <w:rsid w:val="00E26E19"/>
    <w:rsid w:val="00E31DF3"/>
    <w:rsid w:val="00E32814"/>
    <w:rsid w:val="00E33486"/>
    <w:rsid w:val="00E34674"/>
    <w:rsid w:val="00E450A4"/>
    <w:rsid w:val="00E506BE"/>
    <w:rsid w:val="00E55547"/>
    <w:rsid w:val="00E57410"/>
    <w:rsid w:val="00E62888"/>
    <w:rsid w:val="00E6302B"/>
    <w:rsid w:val="00E6452F"/>
    <w:rsid w:val="00E64619"/>
    <w:rsid w:val="00E64F45"/>
    <w:rsid w:val="00E6742D"/>
    <w:rsid w:val="00E71CB0"/>
    <w:rsid w:val="00E7337F"/>
    <w:rsid w:val="00E73529"/>
    <w:rsid w:val="00E77C3D"/>
    <w:rsid w:val="00E83427"/>
    <w:rsid w:val="00E850FE"/>
    <w:rsid w:val="00E909F0"/>
    <w:rsid w:val="00E90D47"/>
    <w:rsid w:val="00E93993"/>
    <w:rsid w:val="00E9597C"/>
    <w:rsid w:val="00EA0913"/>
    <w:rsid w:val="00EA0A2F"/>
    <w:rsid w:val="00EA6471"/>
    <w:rsid w:val="00EB146B"/>
    <w:rsid w:val="00EB45AC"/>
    <w:rsid w:val="00EC2AEA"/>
    <w:rsid w:val="00EC7B11"/>
    <w:rsid w:val="00EC7F95"/>
    <w:rsid w:val="00ED0BC4"/>
    <w:rsid w:val="00ED3771"/>
    <w:rsid w:val="00ED6A32"/>
    <w:rsid w:val="00EE4971"/>
    <w:rsid w:val="00EF090E"/>
    <w:rsid w:val="00F033DA"/>
    <w:rsid w:val="00F07666"/>
    <w:rsid w:val="00F11AAB"/>
    <w:rsid w:val="00F13FB1"/>
    <w:rsid w:val="00F17C87"/>
    <w:rsid w:val="00F223E7"/>
    <w:rsid w:val="00F2288D"/>
    <w:rsid w:val="00F25779"/>
    <w:rsid w:val="00F2750A"/>
    <w:rsid w:val="00F27CD8"/>
    <w:rsid w:val="00F30351"/>
    <w:rsid w:val="00F3323E"/>
    <w:rsid w:val="00F341F4"/>
    <w:rsid w:val="00F34F9D"/>
    <w:rsid w:val="00F35CCE"/>
    <w:rsid w:val="00F50008"/>
    <w:rsid w:val="00F55241"/>
    <w:rsid w:val="00F5524B"/>
    <w:rsid w:val="00F60538"/>
    <w:rsid w:val="00F6089B"/>
    <w:rsid w:val="00F61DD2"/>
    <w:rsid w:val="00F6523A"/>
    <w:rsid w:val="00F66707"/>
    <w:rsid w:val="00F66AFF"/>
    <w:rsid w:val="00F70EF7"/>
    <w:rsid w:val="00F71433"/>
    <w:rsid w:val="00F7241A"/>
    <w:rsid w:val="00F725BE"/>
    <w:rsid w:val="00F76E19"/>
    <w:rsid w:val="00F83E76"/>
    <w:rsid w:val="00F90A57"/>
    <w:rsid w:val="00F97C5B"/>
    <w:rsid w:val="00FA05D2"/>
    <w:rsid w:val="00FA359A"/>
    <w:rsid w:val="00FA3D50"/>
    <w:rsid w:val="00FB009F"/>
    <w:rsid w:val="00FB2309"/>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2E4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07B26319-BB66-4DA7-8302-CFE40B70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90"/>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15701</TotalTime>
  <Pages>1</Pages>
  <Words>8482</Words>
  <Characters>44361</Characters>
  <Application>Microsoft Office Word</Application>
  <DocSecurity>0</DocSecurity>
  <Lines>1081</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Thompson</cp:lastModifiedBy>
  <cp:revision>44</cp:revision>
  <cp:lastPrinted>2019-08-27T05:42:00Z</cp:lastPrinted>
  <dcterms:created xsi:type="dcterms:W3CDTF">2022-01-21T20:34:00Z</dcterms:created>
  <dcterms:modified xsi:type="dcterms:W3CDTF">2022-02-28T21:31:00Z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2022-02-28T21:31:03Z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2522a902-7274-4d90-9792-436431479ce5</vt:lpwstr>
  </property>
  <property fmtid="{D5CDD505-2E9C-101B-9397-08002B2CF9AE}" pid="8" name="MSIP_Label_785837b0-ed5a-4fd4-94ae-ef361c98d083_ContentBits">
    <vt:lpwstr>1</vt:lpwstr>
  </property>
</Properties>
</file>