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w:t>
      </w:r>
      <w:proofErr w:type="gramStart"/>
      <w:r w:rsidRPr="009B5832">
        <w:rPr>
          <w:rFonts w:ascii="Arial" w:hAnsi="Arial" w:cs="Arial"/>
          <w:sz w:val="22"/>
          <w:szCs w:val="22"/>
          <w:lang w:val="en-GB"/>
        </w:rPr>
        <w:t>must be completed</w:t>
      </w:r>
      <w:proofErr w:type="gramEnd"/>
      <w:r w:rsidRPr="009B5832">
        <w:rPr>
          <w:rFonts w:ascii="Arial" w:hAnsi="Arial" w:cs="Arial"/>
          <w:sz w:val="22"/>
          <w:szCs w:val="22"/>
          <w:lang w:val="en-GB"/>
        </w:rPr>
        <w:t xml:space="preserve">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t>
      </w:r>
      <w:proofErr w:type="gramStart"/>
      <w:r w:rsidRPr="009B5832">
        <w:rPr>
          <w:rFonts w:ascii="Arial" w:hAnsi="Arial" w:cs="Arial"/>
          <w:sz w:val="22"/>
          <w:szCs w:val="22"/>
          <w:lang w:val="en-GB"/>
        </w:rPr>
        <w:t>will be returned</w:t>
      </w:r>
      <w:proofErr w:type="gramEnd"/>
      <w:r w:rsidRPr="009B5832">
        <w:rPr>
          <w:rFonts w:ascii="Arial" w:hAnsi="Arial" w:cs="Arial"/>
          <w:sz w:val="22"/>
          <w:szCs w:val="22"/>
          <w:lang w:val="en-GB"/>
        </w:rPr>
        <w:t xml:space="preserve">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w:t>
      </w:r>
      <w:proofErr w:type="gramStart"/>
      <w:r w:rsidRPr="009B5832">
        <w:rPr>
          <w:rFonts w:ascii="Arial" w:hAnsi="Arial" w:cs="Arial"/>
          <w:bCs/>
          <w:sz w:val="22"/>
          <w:szCs w:val="22"/>
          <w:lang w:val="en-GB"/>
        </w:rPr>
        <w:t>has been pre-populated</w:t>
      </w:r>
      <w:proofErr w:type="gramEnd"/>
      <w:r w:rsidRPr="009B5832">
        <w:rPr>
          <w:rFonts w:ascii="Arial" w:hAnsi="Arial" w:cs="Arial"/>
          <w:bCs/>
          <w:sz w:val="22"/>
          <w:szCs w:val="22"/>
          <w:lang w:val="en-GB"/>
        </w:rPr>
        <w:t xml:space="preserve">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 xml:space="preserve">Assessments that do not comply with this instruction </w:t>
      </w:r>
      <w:proofErr w:type="gramStart"/>
      <w:r w:rsidRPr="009B5832">
        <w:rPr>
          <w:rFonts w:ascii="Arial" w:hAnsi="Arial" w:cs="Arial"/>
          <w:b/>
          <w:bCs/>
          <w:sz w:val="22"/>
          <w:szCs w:val="22"/>
          <w:lang w:val="en-GB"/>
        </w:rPr>
        <w:t>will be returned</w:t>
      </w:r>
      <w:proofErr w:type="gramEnd"/>
      <w:r w:rsidRPr="009B5832">
        <w:rPr>
          <w:rFonts w:ascii="Arial" w:hAnsi="Arial" w:cs="Arial"/>
          <w:b/>
          <w:bCs/>
          <w:sz w:val="22"/>
          <w:szCs w:val="22"/>
          <w:lang w:val="en-GB"/>
        </w:rPr>
        <w:t xml:space="preserve">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t>
      </w:r>
      <w:proofErr w:type="gramStart"/>
      <w:r w:rsidRPr="009B5832">
        <w:rPr>
          <w:rFonts w:ascii="Arial" w:hAnsi="Arial" w:cs="Arial"/>
          <w:sz w:val="22"/>
          <w:szCs w:val="22"/>
          <w:lang w:val="en-GB"/>
        </w:rPr>
        <w:t>will be allowed</w:t>
      </w:r>
      <w:proofErr w:type="gramEnd"/>
      <w:r w:rsidRPr="009B5832">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 xml:space="preserve">Please note that copying and pasting from the Guidance Text into your answer </w:t>
      </w:r>
      <w:proofErr w:type="gramStart"/>
      <w:r w:rsidRPr="009B5832">
        <w:rPr>
          <w:rFonts w:ascii="Arial" w:hAnsi="Arial" w:cs="Arial"/>
          <w:b/>
          <w:bCs/>
          <w:sz w:val="22"/>
          <w:szCs w:val="22"/>
          <w:lang w:val="en-GB"/>
        </w:rPr>
        <w:t>is prohibited</w:t>
      </w:r>
      <w:proofErr w:type="gramEnd"/>
      <w:r w:rsidRPr="009B5832">
        <w:rPr>
          <w:rFonts w:ascii="Arial" w:hAnsi="Arial" w:cs="Arial"/>
          <w:b/>
          <w:bCs/>
          <w:sz w:val="22"/>
          <w:szCs w:val="22"/>
          <w:lang w:val="en-GB"/>
        </w:rPr>
        <w:t xml:space="preserve">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xml:space="preserve">. No submissions </w:t>
      </w:r>
      <w:proofErr w:type="gramStart"/>
      <w:r w:rsidRPr="009B5832">
        <w:rPr>
          <w:rFonts w:ascii="Arial" w:hAnsi="Arial" w:cs="Arial"/>
          <w:sz w:val="22"/>
          <w:szCs w:val="22"/>
          <w:lang w:val="en-GB"/>
        </w:rPr>
        <w:t>can be made</w:t>
      </w:r>
      <w:proofErr w:type="gramEnd"/>
      <w:r w:rsidRPr="009B5832">
        <w:rPr>
          <w:rFonts w:ascii="Arial" w:hAnsi="Arial" w:cs="Arial"/>
          <w:sz w:val="22"/>
          <w:szCs w:val="22"/>
          <w:lang w:val="en-GB"/>
        </w:rPr>
        <w:t xml:space="preserv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t>
      </w:r>
      <w:proofErr w:type="gramStart"/>
      <w:r w:rsidRPr="009B5832">
        <w:rPr>
          <w:rFonts w:ascii="Arial" w:hAnsi="Arial" w:cs="Arial"/>
          <w:sz w:val="22"/>
          <w:szCs w:val="22"/>
          <w:lang w:val="en-GB"/>
        </w:rPr>
        <w:t>was sent</w:t>
      </w:r>
      <w:proofErr w:type="gramEnd"/>
      <w:r w:rsidRPr="009B5832">
        <w:rPr>
          <w:rFonts w:ascii="Arial" w:hAnsi="Arial" w:cs="Arial"/>
          <w:sz w:val="22"/>
          <w:szCs w:val="22"/>
          <w:lang w:val="en-GB"/>
        </w:rPr>
        <w:t xml:space="preserve">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w:t>
      </w:r>
      <w:proofErr w:type="gramStart"/>
      <w:r w:rsidRPr="009B5832">
        <w:rPr>
          <w:rFonts w:ascii="Arial" w:hAnsi="Arial" w:cs="Arial"/>
          <w:sz w:val="22"/>
          <w:szCs w:val="22"/>
          <w:lang w:val="en-GB"/>
        </w:rPr>
        <w:t>being populated</w:t>
      </w:r>
      <w:proofErr w:type="gramEnd"/>
      <w:r w:rsidRPr="009B5832">
        <w:rPr>
          <w:rFonts w:ascii="Arial" w:hAnsi="Arial" w:cs="Arial"/>
          <w:sz w:val="22"/>
          <w:szCs w:val="22"/>
          <w:lang w:val="en-GB"/>
        </w:rPr>
        <w:t xml:space="preserve">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2B3043" w:rsidRDefault="0050157D" w:rsidP="00D45AEA">
      <w:pPr>
        <w:pStyle w:val="ListParagraph"/>
        <w:numPr>
          <w:ilvl w:val="0"/>
          <w:numId w:val="12"/>
        </w:numPr>
        <w:ind w:left="426"/>
        <w:jc w:val="both"/>
        <w:rPr>
          <w:rFonts w:ascii="Arial" w:hAnsi="Arial" w:cs="Arial"/>
          <w:sz w:val="22"/>
          <w:szCs w:val="22"/>
          <w:lang w:val="en-GB"/>
        </w:rPr>
      </w:pPr>
      <w:r w:rsidRPr="002B3043">
        <w:rPr>
          <w:rFonts w:ascii="Arial" w:hAnsi="Arial" w:cs="Arial"/>
          <w:sz w:val="22"/>
          <w:szCs w:val="22"/>
          <w:lang w:val="en-GB"/>
        </w:rPr>
        <w:t xml:space="preserve">The Model Law provides effective mechanisms for dealing with cases of cross-border insolvency </w:t>
      </w:r>
      <w:proofErr w:type="gramStart"/>
      <w:r w:rsidRPr="002B3043">
        <w:rPr>
          <w:rFonts w:ascii="Arial" w:hAnsi="Arial" w:cs="Arial"/>
          <w:sz w:val="22"/>
          <w:szCs w:val="22"/>
          <w:lang w:val="en-GB"/>
        </w:rPr>
        <w:t>so as to</w:t>
      </w:r>
      <w:proofErr w:type="gramEnd"/>
      <w:r w:rsidRPr="002B3043">
        <w:rPr>
          <w:rFonts w:ascii="Arial" w:hAnsi="Arial" w:cs="Arial"/>
          <w:sz w:val="22"/>
          <w:szCs w:val="22"/>
          <w:lang w:val="en-GB"/>
        </w:rPr>
        <w:t xml:space="preserve"> promote a number of objectives</w:t>
      </w:r>
      <w:r w:rsidR="00B61419" w:rsidRPr="002B3043">
        <w:rPr>
          <w:rFonts w:ascii="Arial" w:hAnsi="Arial" w:cs="Arial"/>
          <w:sz w:val="22"/>
          <w:szCs w:val="22"/>
          <w:lang w:val="en-GB"/>
        </w:rPr>
        <w:t>,</w:t>
      </w:r>
      <w:r w:rsidRPr="002B3043">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2B3043" w:rsidRDefault="00D45AEA" w:rsidP="00D45AEA">
      <w:pPr>
        <w:jc w:val="both"/>
        <w:rPr>
          <w:rFonts w:ascii="Arial" w:hAnsi="Arial" w:cs="Arial"/>
          <w:sz w:val="22"/>
          <w:szCs w:val="22"/>
          <w:lang w:val="en-GB"/>
        </w:rPr>
      </w:pPr>
    </w:p>
    <w:p w14:paraId="72867C0C" w14:textId="7720210F" w:rsidR="0050157D" w:rsidRPr="002B3043" w:rsidRDefault="0050157D" w:rsidP="00D45AEA">
      <w:pPr>
        <w:pStyle w:val="ListParagraph"/>
        <w:numPr>
          <w:ilvl w:val="0"/>
          <w:numId w:val="12"/>
        </w:numPr>
        <w:ind w:left="426"/>
        <w:jc w:val="both"/>
        <w:rPr>
          <w:rFonts w:ascii="Arial" w:hAnsi="Arial" w:cs="Arial"/>
          <w:sz w:val="22"/>
          <w:szCs w:val="22"/>
          <w:lang w:val="en-GB"/>
        </w:rPr>
      </w:pPr>
      <w:r w:rsidRPr="002B3043">
        <w:rPr>
          <w:rFonts w:ascii="Arial" w:hAnsi="Arial" w:cs="Arial"/>
          <w:sz w:val="22"/>
          <w:szCs w:val="22"/>
          <w:lang w:val="en-GB"/>
        </w:rPr>
        <w:t xml:space="preserve">The Model Law is a substantive unification of insolvency law </w:t>
      </w:r>
      <w:proofErr w:type="gramStart"/>
      <w:r w:rsidRPr="002B3043">
        <w:rPr>
          <w:rFonts w:ascii="Arial" w:hAnsi="Arial" w:cs="Arial"/>
          <w:sz w:val="22"/>
          <w:szCs w:val="22"/>
          <w:lang w:val="en-GB"/>
        </w:rPr>
        <w:t>so as to</w:t>
      </w:r>
      <w:proofErr w:type="gramEnd"/>
      <w:r w:rsidRPr="002B3043">
        <w:rPr>
          <w:rFonts w:ascii="Arial" w:hAnsi="Arial" w:cs="Arial"/>
          <w:sz w:val="22"/>
          <w:szCs w:val="22"/>
          <w:lang w:val="en-GB"/>
        </w:rPr>
        <w:t xml:space="preserve"> promote co</w:t>
      </w:r>
      <w:r w:rsidR="00B61419" w:rsidRPr="002B3043">
        <w:rPr>
          <w:rFonts w:ascii="Arial" w:hAnsi="Arial" w:cs="Arial"/>
          <w:sz w:val="22"/>
          <w:szCs w:val="22"/>
          <w:lang w:val="en-GB"/>
        </w:rPr>
        <w:t>-</w:t>
      </w:r>
      <w:r w:rsidRPr="002B3043">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2B3043"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2B3043">
        <w:rPr>
          <w:rFonts w:ascii="Arial" w:hAnsi="Arial" w:cs="Arial"/>
          <w:sz w:val="22"/>
          <w:szCs w:val="22"/>
          <w:highlight w:val="yellow"/>
          <w:lang w:val="en-GB"/>
        </w:rPr>
        <w:t xml:space="preserve">All of the above. </w:t>
      </w:r>
      <w:bookmarkEnd w:id="1"/>
      <w:r w:rsidRPr="002B3043">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1583F" w:rsidRDefault="005F21F4" w:rsidP="005F21F4">
      <w:pPr>
        <w:pStyle w:val="ListParagraph"/>
        <w:numPr>
          <w:ilvl w:val="0"/>
          <w:numId w:val="14"/>
        </w:numPr>
        <w:ind w:left="426"/>
        <w:jc w:val="both"/>
        <w:rPr>
          <w:rFonts w:ascii="Arial" w:hAnsi="Arial" w:cs="Arial"/>
          <w:sz w:val="22"/>
          <w:szCs w:val="22"/>
          <w:highlight w:val="yellow"/>
          <w:lang w:val="en-GB"/>
        </w:rPr>
      </w:pPr>
      <w:r w:rsidRPr="0081583F">
        <w:rPr>
          <w:rFonts w:ascii="Arial" w:hAnsi="Arial" w:cs="Arial"/>
          <w:sz w:val="22"/>
          <w:szCs w:val="22"/>
          <w:highlight w:val="yellow"/>
          <w:lang w:val="en-GB"/>
        </w:rPr>
        <w:t>The existence of a statutory basis in national (insolvency) laws for co</w:t>
      </w:r>
      <w:r w:rsidR="00B61419" w:rsidRPr="0081583F">
        <w:rPr>
          <w:rFonts w:ascii="Arial" w:hAnsi="Arial" w:cs="Arial"/>
          <w:sz w:val="22"/>
          <w:szCs w:val="22"/>
          <w:highlight w:val="yellow"/>
          <w:lang w:val="en-GB"/>
        </w:rPr>
        <w:t>-</w:t>
      </w:r>
      <w:r w:rsidRPr="0081583F">
        <w:rPr>
          <w:rFonts w:ascii="Arial" w:hAnsi="Arial" w:cs="Arial"/>
          <w:sz w:val="22"/>
          <w:szCs w:val="22"/>
          <w:highlight w:val="yellow"/>
          <w:lang w:val="en-GB"/>
        </w:rPr>
        <w:t>operation and co</w:t>
      </w:r>
      <w:r w:rsidR="00B61419" w:rsidRPr="0081583F">
        <w:rPr>
          <w:rFonts w:ascii="Arial" w:hAnsi="Arial" w:cs="Arial"/>
          <w:sz w:val="22"/>
          <w:szCs w:val="22"/>
          <w:highlight w:val="yellow"/>
          <w:lang w:val="en-GB"/>
        </w:rPr>
        <w:t>-</w:t>
      </w:r>
      <w:r w:rsidRPr="0081583F">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registered office of the debtor is not in the jurisdiction where the foreign proceedings </w:t>
      </w:r>
      <w:proofErr w:type="gramStart"/>
      <w:r w:rsidRPr="009B5832">
        <w:rPr>
          <w:rFonts w:ascii="Arial" w:hAnsi="Arial" w:cs="Arial"/>
          <w:sz w:val="22"/>
          <w:szCs w:val="22"/>
          <w:lang w:val="en-GB"/>
        </w:rPr>
        <w:t>were opened</w:t>
      </w:r>
      <w:proofErr w:type="gramEnd"/>
      <w:r w:rsidRPr="009B5832">
        <w:rPr>
          <w:rFonts w:ascii="Arial" w:hAnsi="Arial" w:cs="Arial"/>
          <w:sz w:val="22"/>
          <w:szCs w:val="22"/>
          <w:lang w:val="en-GB"/>
        </w:rPr>
        <w:t>,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registered office of the debtor is in the jurisdiction of the enacting State, but the debtor has an establishment in the jurisdiction where the foreign proceedings </w:t>
      </w:r>
      <w:proofErr w:type="gramStart"/>
      <w:r w:rsidRPr="009B5832">
        <w:rPr>
          <w:rFonts w:ascii="Arial" w:hAnsi="Arial" w:cs="Arial"/>
          <w:sz w:val="22"/>
          <w:szCs w:val="22"/>
          <w:lang w:val="en-GB"/>
        </w:rPr>
        <w:t>were opened</w:t>
      </w:r>
      <w:proofErr w:type="gramEnd"/>
      <w:r w:rsidRPr="009B5832">
        <w:rPr>
          <w:rFonts w:ascii="Arial" w:hAnsi="Arial" w:cs="Arial"/>
          <w:sz w:val="22"/>
          <w:szCs w:val="22"/>
          <w:lang w:val="en-GB"/>
        </w:rPr>
        <w:t>.</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81583F" w:rsidRDefault="00853A74" w:rsidP="00853A74">
      <w:pPr>
        <w:pStyle w:val="ListParagraph"/>
        <w:numPr>
          <w:ilvl w:val="0"/>
          <w:numId w:val="16"/>
        </w:numPr>
        <w:ind w:left="426"/>
        <w:jc w:val="both"/>
        <w:rPr>
          <w:rFonts w:ascii="Arial" w:hAnsi="Arial" w:cs="Arial"/>
          <w:sz w:val="22"/>
          <w:szCs w:val="22"/>
          <w:highlight w:val="yellow"/>
          <w:lang w:val="en-GB"/>
        </w:rPr>
      </w:pPr>
      <w:r w:rsidRPr="0081583F">
        <w:rPr>
          <w:rFonts w:ascii="Arial" w:hAnsi="Arial" w:cs="Arial"/>
          <w:sz w:val="22"/>
          <w:szCs w:val="22"/>
          <w:highlight w:val="yellow"/>
          <w:lang w:val="en-GB"/>
        </w:rPr>
        <w:t xml:space="preserve">The debtor has neither its COMI nor an establishment in the jurisdiction where the foreign proceedings </w:t>
      </w:r>
      <w:proofErr w:type="gramStart"/>
      <w:r w:rsidRPr="0081583F">
        <w:rPr>
          <w:rFonts w:ascii="Arial" w:hAnsi="Arial" w:cs="Arial"/>
          <w:sz w:val="22"/>
          <w:szCs w:val="22"/>
          <w:highlight w:val="yellow"/>
          <w:lang w:val="en-GB"/>
        </w:rPr>
        <w:t>were opened</w:t>
      </w:r>
      <w:proofErr w:type="gramEnd"/>
      <w:r w:rsidRPr="0081583F">
        <w:rPr>
          <w:rFonts w:ascii="Arial" w:hAnsi="Arial" w:cs="Arial"/>
          <w:sz w:val="22"/>
          <w:szCs w:val="22"/>
          <w:highlight w:val="yellow"/>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proofErr w:type="gramStart"/>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roofErr w:type="gramEnd"/>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585A42" w:rsidRDefault="00E57410" w:rsidP="00322F3B">
      <w:pPr>
        <w:pStyle w:val="ListParagraph"/>
        <w:numPr>
          <w:ilvl w:val="0"/>
          <w:numId w:val="18"/>
        </w:numPr>
        <w:ind w:left="426"/>
        <w:jc w:val="both"/>
        <w:rPr>
          <w:rFonts w:ascii="Arial" w:hAnsi="Arial" w:cs="Arial"/>
          <w:sz w:val="22"/>
          <w:szCs w:val="22"/>
          <w:lang w:val="en-GB"/>
        </w:rPr>
      </w:pPr>
      <w:r w:rsidRPr="00585A4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585A42" w:rsidRDefault="00E57410" w:rsidP="00322F3B">
      <w:pPr>
        <w:pStyle w:val="ListParagraph"/>
        <w:numPr>
          <w:ilvl w:val="0"/>
          <w:numId w:val="18"/>
        </w:numPr>
        <w:ind w:left="426"/>
        <w:jc w:val="both"/>
        <w:rPr>
          <w:rFonts w:ascii="Arial" w:hAnsi="Arial" w:cs="Arial"/>
          <w:sz w:val="22"/>
          <w:szCs w:val="22"/>
          <w:highlight w:val="yellow"/>
          <w:lang w:val="en-GB"/>
        </w:rPr>
      </w:pPr>
      <w:r w:rsidRPr="00585A42">
        <w:rPr>
          <w:rFonts w:ascii="Arial" w:hAnsi="Arial" w:cs="Arial"/>
          <w:sz w:val="22"/>
          <w:szCs w:val="22"/>
          <w:highlight w:val="yellow"/>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w:t>
      </w:r>
      <w:proofErr w:type="gramStart"/>
      <w:r w:rsidRPr="009B5832">
        <w:rPr>
          <w:rFonts w:ascii="Arial" w:hAnsi="Arial" w:cs="Arial"/>
          <w:sz w:val="22"/>
          <w:szCs w:val="22"/>
          <w:lang w:val="en-GB"/>
        </w:rPr>
        <w:t>are opened</w:t>
      </w:r>
      <w:proofErr w:type="gramEnd"/>
      <w:r w:rsidRPr="009B5832">
        <w:rPr>
          <w:rFonts w:ascii="Arial" w:hAnsi="Arial" w:cs="Arial"/>
          <w:sz w:val="22"/>
          <w:szCs w:val="22"/>
          <w:lang w:val="en-GB"/>
        </w:rPr>
        <w:t xml:space="preserve">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The foreign main proceedings in South Africa </w:t>
      </w:r>
      <w:proofErr w:type="gramStart"/>
      <w:r w:rsidRPr="009B5832">
        <w:rPr>
          <w:rFonts w:ascii="Arial" w:hAnsi="Arial" w:cs="Arial"/>
          <w:sz w:val="22"/>
          <w:szCs w:val="22"/>
          <w:lang w:val="en-GB"/>
        </w:rPr>
        <w:t>will not be recognised</w:t>
      </w:r>
      <w:proofErr w:type="gramEnd"/>
      <w:r w:rsidRPr="009B5832">
        <w:rPr>
          <w:rFonts w:ascii="Arial" w:hAnsi="Arial" w:cs="Arial"/>
          <w:sz w:val="22"/>
          <w:szCs w:val="22"/>
          <w:lang w:val="en-GB"/>
        </w:rPr>
        <w:t xml:space="preserve">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Both the foreign main proceedings in South Africa and the foreign non-main proceedings in Brazil </w:t>
      </w:r>
      <w:proofErr w:type="gramStart"/>
      <w:r w:rsidRPr="009B5832">
        <w:rPr>
          <w:rFonts w:ascii="Arial" w:hAnsi="Arial" w:cs="Arial"/>
          <w:sz w:val="22"/>
          <w:szCs w:val="22"/>
          <w:lang w:val="en-GB"/>
        </w:rPr>
        <w:t>will not be recognised</w:t>
      </w:r>
      <w:proofErr w:type="gramEnd"/>
      <w:r w:rsidRPr="009B5832">
        <w:rPr>
          <w:rFonts w:ascii="Arial" w:hAnsi="Arial" w:cs="Arial"/>
          <w:sz w:val="22"/>
          <w:szCs w:val="22"/>
          <w:lang w:val="en-GB"/>
        </w:rPr>
        <w:t xml:space="preserve">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AC304E" w:rsidRDefault="00C504E5" w:rsidP="00C504E5">
      <w:pPr>
        <w:pStyle w:val="ListParagraph"/>
        <w:numPr>
          <w:ilvl w:val="0"/>
          <w:numId w:val="20"/>
        </w:numPr>
        <w:ind w:left="426"/>
        <w:jc w:val="both"/>
        <w:rPr>
          <w:rFonts w:ascii="Arial" w:hAnsi="Arial" w:cs="Arial"/>
          <w:sz w:val="22"/>
          <w:szCs w:val="22"/>
          <w:highlight w:val="yellow"/>
          <w:lang w:val="en-GB"/>
        </w:rPr>
      </w:pPr>
      <w:r w:rsidRPr="00AC304E">
        <w:rPr>
          <w:rFonts w:ascii="Arial" w:hAnsi="Arial" w:cs="Arial"/>
          <w:sz w:val="22"/>
          <w:szCs w:val="22"/>
          <w:highlight w:val="yellow"/>
          <w:lang w:val="en-GB"/>
        </w:rPr>
        <w:t xml:space="preserve">Both the foreign main proceedings in South Africa and the foreign non-main proceedings in Brazil </w:t>
      </w:r>
      <w:proofErr w:type="gramStart"/>
      <w:r w:rsidRPr="00AC304E">
        <w:rPr>
          <w:rFonts w:ascii="Arial" w:hAnsi="Arial" w:cs="Arial"/>
          <w:sz w:val="22"/>
          <w:szCs w:val="22"/>
          <w:highlight w:val="yellow"/>
          <w:lang w:val="en-GB"/>
        </w:rPr>
        <w:t>will be recognised</w:t>
      </w:r>
      <w:proofErr w:type="gramEnd"/>
      <w:r w:rsidRPr="00AC304E">
        <w:rPr>
          <w:rFonts w:ascii="Arial" w:hAnsi="Arial" w:cs="Arial"/>
          <w:sz w:val="22"/>
          <w:szCs w:val="22"/>
          <w:highlight w:val="yellow"/>
          <w:lang w:val="en-GB"/>
        </w:rPr>
        <w:t xml:space="preserve">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05FB9" w:rsidRDefault="00B72F5F" w:rsidP="00114082">
      <w:pPr>
        <w:pStyle w:val="ListParagraph"/>
        <w:numPr>
          <w:ilvl w:val="0"/>
          <w:numId w:val="26"/>
        </w:numPr>
        <w:ind w:left="426"/>
        <w:jc w:val="both"/>
        <w:rPr>
          <w:rFonts w:ascii="Arial" w:hAnsi="Arial" w:cs="Arial"/>
          <w:sz w:val="22"/>
          <w:szCs w:val="22"/>
          <w:highlight w:val="yellow"/>
          <w:lang w:val="en-GB"/>
        </w:rPr>
      </w:pPr>
      <w:r w:rsidRPr="00805FB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05FB9">
        <w:rPr>
          <w:rFonts w:ascii="Arial" w:hAnsi="Arial" w:cs="Arial"/>
          <w:sz w:val="22"/>
          <w:szCs w:val="22"/>
          <w:highlight w:val="yellow"/>
          <w:lang w:val="en-GB"/>
        </w:rPr>
        <w:t>will</w:t>
      </w:r>
      <w:r w:rsidRPr="00805FB9">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must be satisfied that the interests of the creditors and other interested parties, excluding the debtor, </w:t>
      </w:r>
      <w:proofErr w:type="gramStart"/>
      <w:r w:rsidRPr="009B5832">
        <w:rPr>
          <w:rFonts w:ascii="Arial" w:hAnsi="Arial" w:cs="Arial"/>
          <w:sz w:val="22"/>
          <w:szCs w:val="22"/>
          <w:lang w:val="en-GB"/>
        </w:rPr>
        <w:t>are adequately protected</w:t>
      </w:r>
      <w:proofErr w:type="gramEnd"/>
      <w:r w:rsidRPr="009B5832">
        <w:rPr>
          <w:rFonts w:ascii="Arial" w:hAnsi="Arial" w:cs="Arial"/>
          <w:sz w:val="22"/>
          <w:szCs w:val="22"/>
          <w:lang w:val="en-GB"/>
        </w:rPr>
        <w:t>.</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52C60" w:rsidRDefault="0067294B" w:rsidP="00114082">
      <w:pPr>
        <w:pStyle w:val="ListParagraph"/>
        <w:numPr>
          <w:ilvl w:val="0"/>
          <w:numId w:val="27"/>
        </w:numPr>
        <w:ind w:left="426"/>
        <w:jc w:val="both"/>
        <w:rPr>
          <w:rFonts w:ascii="Arial" w:hAnsi="Arial" w:cs="Arial"/>
          <w:sz w:val="22"/>
          <w:szCs w:val="22"/>
          <w:highlight w:val="yellow"/>
          <w:lang w:val="en-GB"/>
        </w:rPr>
      </w:pPr>
      <w:r w:rsidRPr="00952C60">
        <w:rPr>
          <w:rFonts w:ascii="Arial" w:hAnsi="Arial" w:cs="Arial"/>
          <w:sz w:val="22"/>
          <w:szCs w:val="22"/>
          <w:highlight w:val="yellow"/>
          <w:lang w:val="en-GB"/>
        </w:rPr>
        <w:t xml:space="preserve">The court should consider whether the relief requested is necessary for the protection of the assets of the debtor or the interests of the creditors and strike an appropriate balance between the relief that </w:t>
      </w:r>
      <w:proofErr w:type="gramStart"/>
      <w:r w:rsidRPr="00952C60">
        <w:rPr>
          <w:rFonts w:ascii="Arial" w:hAnsi="Arial" w:cs="Arial"/>
          <w:sz w:val="22"/>
          <w:szCs w:val="22"/>
          <w:highlight w:val="yellow"/>
          <w:lang w:val="en-GB"/>
        </w:rPr>
        <w:t>may be granted</w:t>
      </w:r>
      <w:proofErr w:type="gramEnd"/>
      <w:r w:rsidRPr="00952C60">
        <w:rPr>
          <w:rFonts w:ascii="Arial" w:hAnsi="Arial" w:cs="Arial"/>
          <w:sz w:val="22"/>
          <w:szCs w:val="22"/>
          <w:highlight w:val="yellow"/>
          <w:lang w:val="en-GB"/>
        </w:rPr>
        <w:t xml:space="preserve">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52C60" w:rsidRDefault="004E0549" w:rsidP="00114082">
      <w:pPr>
        <w:pStyle w:val="ListParagraph"/>
        <w:numPr>
          <w:ilvl w:val="0"/>
          <w:numId w:val="28"/>
        </w:numPr>
        <w:ind w:left="426"/>
        <w:jc w:val="both"/>
        <w:rPr>
          <w:rFonts w:ascii="Arial" w:hAnsi="Arial" w:cs="Arial"/>
          <w:sz w:val="22"/>
          <w:szCs w:val="22"/>
          <w:highlight w:val="yellow"/>
          <w:lang w:val="en-GB"/>
        </w:rPr>
      </w:pPr>
      <w:r w:rsidRPr="00952C60">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types of relief </w:t>
      </w:r>
      <w:proofErr w:type="gramStart"/>
      <w:r w:rsidRPr="009B5832">
        <w:rPr>
          <w:rFonts w:ascii="Arial" w:hAnsi="Arial" w:cs="Arial"/>
          <w:sz w:val="22"/>
          <w:szCs w:val="22"/>
          <w:lang w:val="en-GB"/>
        </w:rPr>
        <w:t>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w:t>
      </w:r>
      <w:proofErr w:type="gramEnd"/>
      <w:r w:rsidRPr="009B5832">
        <w:rPr>
          <w:rFonts w:ascii="Arial" w:hAnsi="Arial" w:cs="Arial"/>
          <w:sz w:val="22"/>
          <w:szCs w:val="22"/>
          <w:lang w:val="en-GB"/>
        </w:rPr>
        <w:t xml:space="preserve">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2B3043" w:rsidRDefault="00573E73" w:rsidP="00114082">
      <w:pPr>
        <w:pStyle w:val="ListParagraph"/>
        <w:numPr>
          <w:ilvl w:val="0"/>
          <w:numId w:val="29"/>
        </w:numPr>
        <w:ind w:left="426"/>
        <w:jc w:val="both"/>
        <w:rPr>
          <w:rFonts w:ascii="Arial" w:hAnsi="Arial" w:cs="Arial"/>
          <w:sz w:val="22"/>
          <w:szCs w:val="22"/>
          <w:lang w:val="en-GB"/>
        </w:rPr>
      </w:pPr>
      <w:r w:rsidRPr="002B3043">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2B3043" w:rsidRDefault="00573E73" w:rsidP="00114082">
      <w:pPr>
        <w:pStyle w:val="ListParagraph"/>
        <w:numPr>
          <w:ilvl w:val="0"/>
          <w:numId w:val="29"/>
        </w:numPr>
        <w:ind w:left="426"/>
        <w:jc w:val="both"/>
        <w:rPr>
          <w:rFonts w:ascii="Arial" w:hAnsi="Arial" w:cs="Arial"/>
          <w:sz w:val="22"/>
          <w:szCs w:val="22"/>
          <w:highlight w:val="yellow"/>
          <w:lang w:val="en-GB"/>
        </w:rPr>
      </w:pPr>
      <w:r w:rsidRPr="002B3043">
        <w:rPr>
          <w:rFonts w:ascii="Arial" w:hAnsi="Arial" w:cs="Arial"/>
          <w:sz w:val="22"/>
          <w:szCs w:val="22"/>
          <w:highlight w:val="yellow"/>
          <w:lang w:val="en-GB"/>
        </w:rPr>
        <w:t xml:space="preserve">Both </w:t>
      </w:r>
      <w:r w:rsidR="00114082" w:rsidRPr="002B3043">
        <w:rPr>
          <w:rFonts w:ascii="Arial" w:hAnsi="Arial" w:cs="Arial"/>
          <w:sz w:val="22"/>
          <w:szCs w:val="22"/>
          <w:highlight w:val="yellow"/>
          <w:lang w:val="en-GB"/>
        </w:rPr>
        <w:t>(</w:t>
      </w:r>
      <w:r w:rsidRPr="002B3043">
        <w:rPr>
          <w:rFonts w:ascii="Arial" w:hAnsi="Arial" w:cs="Arial"/>
          <w:sz w:val="22"/>
          <w:szCs w:val="22"/>
          <w:highlight w:val="yellow"/>
          <w:lang w:val="en-GB"/>
        </w:rPr>
        <w:t>a</w:t>
      </w:r>
      <w:r w:rsidR="00114082" w:rsidRPr="002B3043">
        <w:rPr>
          <w:rFonts w:ascii="Arial" w:hAnsi="Arial" w:cs="Arial"/>
          <w:sz w:val="22"/>
          <w:szCs w:val="22"/>
          <w:highlight w:val="yellow"/>
          <w:lang w:val="en-GB"/>
        </w:rPr>
        <w:t>)</w:t>
      </w:r>
      <w:r w:rsidRPr="002B3043">
        <w:rPr>
          <w:rFonts w:ascii="Arial" w:hAnsi="Arial" w:cs="Arial"/>
          <w:sz w:val="22"/>
          <w:szCs w:val="22"/>
          <w:highlight w:val="yellow"/>
          <w:lang w:val="en-GB"/>
        </w:rPr>
        <w:t xml:space="preserve"> and </w:t>
      </w:r>
      <w:r w:rsidR="00114082" w:rsidRPr="002B3043">
        <w:rPr>
          <w:rFonts w:ascii="Arial" w:hAnsi="Arial" w:cs="Arial"/>
          <w:sz w:val="22"/>
          <w:szCs w:val="22"/>
          <w:highlight w:val="yellow"/>
          <w:lang w:val="en-GB"/>
        </w:rPr>
        <w:t>(</w:t>
      </w:r>
      <w:r w:rsidRPr="002B3043">
        <w:rPr>
          <w:rFonts w:ascii="Arial" w:hAnsi="Arial" w:cs="Arial"/>
          <w:sz w:val="22"/>
          <w:szCs w:val="22"/>
          <w:highlight w:val="yellow"/>
          <w:lang w:val="en-GB"/>
        </w:rPr>
        <w:t>b</w:t>
      </w:r>
      <w:r w:rsidR="00114082" w:rsidRPr="002B3043">
        <w:rPr>
          <w:rFonts w:ascii="Arial" w:hAnsi="Arial" w:cs="Arial"/>
          <w:sz w:val="22"/>
          <w:szCs w:val="22"/>
          <w:highlight w:val="yellow"/>
          <w:lang w:val="en-GB"/>
        </w:rPr>
        <w:t>)</w:t>
      </w:r>
      <w:r w:rsidRPr="002B3043">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w:t>
      </w:r>
      <w:proofErr w:type="gramStart"/>
      <w:r w:rsidRPr="009B5832">
        <w:rPr>
          <w:rFonts w:ascii="Arial" w:hAnsi="Arial" w:cs="Arial"/>
          <w:sz w:val="22"/>
          <w:szCs w:val="22"/>
          <w:lang w:val="en-GB"/>
        </w:rPr>
        <w:t>be considered</w:t>
      </w:r>
      <w:proofErr w:type="gramEnd"/>
      <w:r w:rsidRPr="009B5832">
        <w:rPr>
          <w:rFonts w:ascii="Arial" w:hAnsi="Arial" w:cs="Arial"/>
          <w:sz w:val="22"/>
          <w:szCs w:val="22"/>
          <w:lang w:val="en-GB"/>
        </w:rPr>
        <w:t xml:space="preserve">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 xml:space="preserve">The UNCITRAL Guide of Enactment and the Legislative Guide – Parts </w:t>
      </w:r>
      <w:proofErr w:type="gramStart"/>
      <w:r w:rsidRPr="009B5832">
        <w:rPr>
          <w:rFonts w:ascii="Arial" w:hAnsi="Arial" w:cs="Arial"/>
          <w:sz w:val="22"/>
          <w:szCs w:val="22"/>
          <w:lang w:val="en-GB"/>
        </w:rPr>
        <w:t>One</w:t>
      </w:r>
      <w:proofErr w:type="gramEnd"/>
      <w:r w:rsidRPr="009B5832">
        <w:rPr>
          <w:rFonts w:ascii="Arial" w:hAnsi="Arial" w:cs="Arial"/>
          <w:sz w:val="22"/>
          <w:szCs w:val="22"/>
          <w:lang w:val="en-GB"/>
        </w:rPr>
        <w:t>,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805FB9"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805FB9">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53A3F67F" w:rsidR="009B07AD" w:rsidRPr="009B5832" w:rsidRDefault="00805FB9" w:rsidP="00805FB9">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appropriate date for determining the COMI is the date of commencement of the foreign proceedings. </w:t>
      </w:r>
      <w:r>
        <w:rPr>
          <w:rStyle w:val="FootnoteReference"/>
          <w:rFonts w:ascii="Arial" w:hAnsi="Arial" w:cs="Arial"/>
          <w:color w:val="7B7B7B" w:themeColor="accent3" w:themeShade="BF"/>
          <w:sz w:val="22"/>
          <w:szCs w:val="22"/>
          <w:lang w:val="en-GB"/>
        </w:rPr>
        <w:footnoteReference w:id="1"/>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w:t>
      </w:r>
      <w:proofErr w:type="gramStart"/>
      <w:r w:rsidRPr="009B5832">
        <w:rPr>
          <w:rFonts w:ascii="Arial" w:hAnsi="Arial" w:cs="Arial"/>
          <w:sz w:val="22"/>
          <w:szCs w:val="22"/>
          <w:lang w:val="en-GB"/>
        </w:rPr>
        <w:t>be found</w:t>
      </w:r>
      <w:proofErr w:type="gramEnd"/>
      <w:r w:rsidRPr="009B5832">
        <w:rPr>
          <w:rFonts w:ascii="Arial" w:hAnsi="Arial" w:cs="Arial"/>
          <w:sz w:val="22"/>
          <w:szCs w:val="22"/>
          <w:lang w:val="en-GB"/>
        </w:rPr>
        <w:t xml:space="preserve">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58774FF" w14:textId="77777777" w:rsidR="00805FB9" w:rsidRDefault="00805FB9" w:rsidP="00805F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 Article 30(c) provides that the Court must grant, modify or terminate relief for the purpose of facilitating coordination of the proceedings. </w:t>
      </w:r>
    </w:p>
    <w:p w14:paraId="188F5D73" w14:textId="77777777" w:rsidR="00805FB9" w:rsidRDefault="00805FB9" w:rsidP="00805FB9">
      <w:pPr>
        <w:jc w:val="both"/>
        <w:rPr>
          <w:rFonts w:ascii="Arial" w:hAnsi="Arial" w:cs="Arial"/>
          <w:color w:val="7B7B7B" w:themeColor="accent3" w:themeShade="BF"/>
          <w:sz w:val="22"/>
          <w:szCs w:val="22"/>
          <w:lang w:val="en-GB"/>
        </w:rPr>
      </w:pPr>
    </w:p>
    <w:p w14:paraId="2F57801B" w14:textId="06B5053E" w:rsidR="009B07AD" w:rsidRDefault="00805FB9" w:rsidP="00805F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 relates to Article 32 and the Hotchpot rule relating to payments in concurrent proceedings, but which is without prejudice to secured claims</w:t>
      </w:r>
    </w:p>
    <w:p w14:paraId="6996D032" w14:textId="2C211623" w:rsidR="00805FB9" w:rsidRDefault="00805FB9" w:rsidP="00805FB9">
      <w:pPr>
        <w:jc w:val="both"/>
        <w:rPr>
          <w:rFonts w:ascii="Arial" w:hAnsi="Arial" w:cs="Arial"/>
          <w:color w:val="7B7B7B" w:themeColor="accent3" w:themeShade="BF"/>
          <w:sz w:val="22"/>
          <w:szCs w:val="22"/>
          <w:lang w:val="en-GB"/>
        </w:rPr>
      </w:pPr>
    </w:p>
    <w:p w14:paraId="0C5B0C5E" w14:textId="4103E68D" w:rsidR="00805FB9" w:rsidRPr="009B5832" w:rsidRDefault="00805FB9" w:rsidP="00805FB9">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 Article 31 provides that for the purposes of opening domestic insolvency proceedings in the enacting estate that there is a rebuttable presumption that the recognition </w:t>
      </w:r>
      <w:proofErr w:type="gramStart"/>
      <w:r>
        <w:rPr>
          <w:rFonts w:ascii="Arial" w:hAnsi="Arial" w:cs="Arial"/>
          <w:color w:val="7B7B7B" w:themeColor="accent3" w:themeShade="BF"/>
          <w:sz w:val="22"/>
          <w:szCs w:val="22"/>
          <w:lang w:val="en-GB"/>
        </w:rPr>
        <w:t>of a foreign main proceedings</w:t>
      </w:r>
      <w:proofErr w:type="gramEnd"/>
      <w:r>
        <w:rPr>
          <w:rFonts w:ascii="Arial" w:hAnsi="Arial" w:cs="Arial"/>
          <w:color w:val="7B7B7B" w:themeColor="accent3" w:themeShade="BF"/>
          <w:sz w:val="22"/>
          <w:szCs w:val="22"/>
          <w:lang w:val="en-GB"/>
        </w:rPr>
        <w:t xml:space="preserve"> is proof that the debtor is insolvent (but not in foreign non main proceedings).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5B65687C" w:rsidR="00C72848" w:rsidRPr="009B5832" w:rsidRDefault="00805FB9" w:rsidP="00805FB9">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Court decided that to do so would prevent the English creditors from enforcing their English law rights in accordance with the Gibbs Rule and further the Court held that the Model Law had not contemplated the continuance of relief after the end of the relevant foreign proceedings. There was no need to grant the relief for the purposes of protecting the interests of IBA's creditors and a stay </w:t>
      </w:r>
      <w:proofErr w:type="gramStart"/>
      <w:r>
        <w:rPr>
          <w:rFonts w:ascii="Arial" w:hAnsi="Arial" w:cs="Arial"/>
          <w:color w:val="7B7B7B" w:themeColor="accent3" w:themeShade="BF"/>
          <w:sz w:val="22"/>
          <w:szCs w:val="22"/>
          <w:lang w:val="en-GB"/>
        </w:rPr>
        <w:t>was not considered</w:t>
      </w:r>
      <w:proofErr w:type="gramEnd"/>
      <w:r>
        <w:rPr>
          <w:rFonts w:ascii="Arial" w:hAnsi="Arial" w:cs="Arial"/>
          <w:color w:val="7B7B7B" w:themeColor="accent3" w:themeShade="BF"/>
          <w:sz w:val="22"/>
          <w:szCs w:val="22"/>
          <w:lang w:val="en-GB"/>
        </w:rPr>
        <w:t xml:space="preserve"> the appropriate way of achieving that even had it have been relevant.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w:t>
      </w:r>
      <w:proofErr w:type="gramStart"/>
      <w:r w:rsidRPr="009B5832">
        <w:rPr>
          <w:rFonts w:ascii="Arial" w:hAnsi="Arial" w:cs="Arial"/>
          <w:sz w:val="22"/>
          <w:szCs w:val="22"/>
          <w:lang w:val="en-GB"/>
        </w:rPr>
        <w:t>has already been opened</w:t>
      </w:r>
      <w:proofErr w:type="gramEnd"/>
      <w:r w:rsidRPr="009B5832">
        <w:rPr>
          <w:rFonts w:ascii="Arial" w:hAnsi="Arial" w:cs="Arial"/>
          <w:sz w:val="22"/>
          <w:szCs w:val="22"/>
          <w:lang w:val="en-GB"/>
        </w:rPr>
        <w:t xml:space="preserve"> in respect of the debtor, do after recognition of a foreign main proceeding? In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69882E45" w:rsidR="0041139B" w:rsidRDefault="00805FB9" w:rsidP="00805F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recognition of a foreign main proceeding, the continuation of the domestic proceedings </w:t>
      </w:r>
      <w:proofErr w:type="gramStart"/>
      <w:r>
        <w:rPr>
          <w:rFonts w:ascii="Arial" w:hAnsi="Arial" w:cs="Arial"/>
          <w:color w:val="7B7B7B" w:themeColor="accent3" w:themeShade="BF"/>
          <w:sz w:val="22"/>
          <w:szCs w:val="22"/>
          <w:lang w:val="en-GB"/>
        </w:rPr>
        <w:t>would be stayed</w:t>
      </w:r>
      <w:proofErr w:type="gramEnd"/>
      <w:r>
        <w:rPr>
          <w:rFonts w:ascii="Arial" w:hAnsi="Arial" w:cs="Arial"/>
          <w:color w:val="7B7B7B" w:themeColor="accent3" w:themeShade="BF"/>
          <w:sz w:val="22"/>
          <w:szCs w:val="22"/>
          <w:lang w:val="en-GB"/>
        </w:rPr>
        <w:t xml:space="preserve">, however, this is subject to the modification or termination of the stay subject to any provisions of the enacting State that may apply and/or as are otherwise necessary to preserve a claim against the debtor (Article 20). The foreign representative has a continuing duty of disclosure. Article 18 requires the foreign representative </w:t>
      </w:r>
      <w:proofErr w:type="gramStart"/>
      <w:r>
        <w:rPr>
          <w:rFonts w:ascii="Arial" w:hAnsi="Arial" w:cs="Arial"/>
          <w:color w:val="7B7B7B" w:themeColor="accent3" w:themeShade="BF"/>
          <w:sz w:val="22"/>
          <w:szCs w:val="22"/>
          <w:lang w:val="en-GB"/>
        </w:rPr>
        <w:t>to promptly inform</w:t>
      </w:r>
      <w:proofErr w:type="gramEnd"/>
      <w:r>
        <w:rPr>
          <w:rFonts w:ascii="Arial" w:hAnsi="Arial" w:cs="Arial"/>
          <w:color w:val="7B7B7B" w:themeColor="accent3" w:themeShade="BF"/>
          <w:sz w:val="22"/>
          <w:szCs w:val="22"/>
          <w:lang w:val="en-GB"/>
        </w:rPr>
        <w:t xml:space="preserve"> the court in the enacting State of (1) any substantial change in the status of recognised foreign proceeding or the status of the foreign representative's appointment and (2) any other foreign proceeding regarding the same debtor that becomes known to the foreign representative. </w:t>
      </w:r>
    </w:p>
    <w:p w14:paraId="50CAF784" w14:textId="6DCD2A2E" w:rsidR="00805FB9" w:rsidRDefault="00805FB9" w:rsidP="00805FB9">
      <w:pPr>
        <w:jc w:val="both"/>
        <w:rPr>
          <w:rFonts w:ascii="Arial" w:hAnsi="Arial" w:cs="Arial"/>
          <w:color w:val="7B7B7B" w:themeColor="accent3" w:themeShade="BF"/>
          <w:sz w:val="22"/>
          <w:szCs w:val="22"/>
          <w:lang w:val="en-GB"/>
        </w:rPr>
      </w:pP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w:t>
      </w:r>
      <w:r w:rsidRPr="009B5832">
        <w:rPr>
          <w:rFonts w:ascii="Arial" w:hAnsi="Arial" w:cs="Arial"/>
          <w:sz w:val="22"/>
          <w:szCs w:val="22"/>
          <w:lang w:val="en-GB"/>
        </w:rPr>
        <w:lastRenderedPageBreak/>
        <w:t xml:space="preserve">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proofErr w:type="gramStart"/>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roofErr w:type="gramEnd"/>
    </w:p>
    <w:bookmarkEnd w:id="4"/>
    <w:p w14:paraId="318A14AF" w14:textId="77777777" w:rsidR="00C550C8" w:rsidRPr="009B5832" w:rsidRDefault="00C550C8" w:rsidP="00707FC8">
      <w:pPr>
        <w:jc w:val="both"/>
        <w:rPr>
          <w:rFonts w:ascii="Arial" w:hAnsi="Arial" w:cs="Arial"/>
          <w:sz w:val="22"/>
          <w:szCs w:val="22"/>
          <w:lang w:val="en-GB"/>
        </w:rPr>
      </w:pPr>
    </w:p>
    <w:p w14:paraId="4024A332" w14:textId="313C49F9" w:rsidR="00544127" w:rsidRPr="009B5832" w:rsidRDefault="00805FB9" w:rsidP="00707FC8">
      <w:pPr>
        <w:jc w:val="both"/>
        <w:rPr>
          <w:rFonts w:ascii="Arial" w:hAnsi="Arial" w:cs="Arial"/>
          <w:sz w:val="24"/>
          <w:lang w:val="en-GB"/>
        </w:rPr>
      </w:pPr>
      <w:r>
        <w:rPr>
          <w:rFonts w:ascii="Arial" w:hAnsi="Arial" w:cs="Arial"/>
          <w:color w:val="7B7B7B" w:themeColor="accent3" w:themeShade="BF"/>
          <w:sz w:val="22"/>
          <w:szCs w:val="22"/>
          <w:lang w:val="en-GB"/>
        </w:rPr>
        <w:t xml:space="preserve">Article 27 provides an illustrative list setting out the ability of the courts to co-ordinate and provide suitable relief. It could assist in co-ordinating the administration and supervision of the debtor's assets and affairs and assist with the recovery of assets for the benefit of creditors, as well as co-ordinating and harmonising reorganisation plans.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6850EE3" w14:textId="77777777" w:rsidR="00390617" w:rsidRPr="00390617" w:rsidRDefault="00390617" w:rsidP="00390617">
      <w:pPr>
        <w:jc w:val="both"/>
        <w:rPr>
          <w:rFonts w:ascii="Arial" w:hAnsi="Arial" w:cs="Arial"/>
          <w:color w:val="7B7B7B" w:themeColor="accent3" w:themeShade="BF"/>
          <w:sz w:val="22"/>
          <w:szCs w:val="22"/>
          <w:lang w:val="en-GB"/>
        </w:rPr>
      </w:pPr>
      <w:proofErr w:type="gramStart"/>
      <w:r w:rsidRPr="00390617">
        <w:rPr>
          <w:rFonts w:ascii="Arial" w:hAnsi="Arial" w:cs="Arial"/>
          <w:color w:val="7B7B7B" w:themeColor="accent3" w:themeShade="BF"/>
          <w:sz w:val="22"/>
          <w:szCs w:val="22"/>
          <w:lang w:val="en-GB"/>
        </w:rPr>
        <w:t>Article 15 of the MLCBI sets out the evidential requirements necessary for a recognition application to succeed, including (a) a certified copy of the decision commencing the foreign proceeding and appointing the foreign representative; or (b) a certificate from the foreign court affirming the existence of the foreign proceeding and of the appointment of the foreign representative; or (iii) in the absence of the above, other evidence acceptable to the court of the existence of the foreign proceeding and the foreign representative's appointment.</w:t>
      </w:r>
      <w:proofErr w:type="gramEnd"/>
      <w:r w:rsidRPr="00390617">
        <w:rPr>
          <w:rFonts w:ascii="Arial" w:hAnsi="Arial" w:cs="Arial"/>
          <w:color w:val="7B7B7B" w:themeColor="accent3" w:themeShade="BF"/>
          <w:sz w:val="22"/>
          <w:szCs w:val="22"/>
          <w:lang w:val="en-GB"/>
        </w:rPr>
        <w:t xml:space="preserve"> </w:t>
      </w:r>
    </w:p>
    <w:p w14:paraId="2998FD72" w14:textId="77777777" w:rsidR="00390617" w:rsidRPr="00390617" w:rsidRDefault="00390617" w:rsidP="00390617">
      <w:pPr>
        <w:jc w:val="both"/>
        <w:rPr>
          <w:rFonts w:ascii="Arial" w:hAnsi="Arial" w:cs="Arial"/>
          <w:color w:val="7B7B7B" w:themeColor="accent3" w:themeShade="BF"/>
          <w:sz w:val="22"/>
          <w:szCs w:val="22"/>
          <w:lang w:val="en-GB"/>
        </w:rPr>
      </w:pPr>
    </w:p>
    <w:p w14:paraId="6D3FD63A" w14:textId="77777777" w:rsidR="00390617" w:rsidRPr="00390617" w:rsidRDefault="00390617" w:rsidP="00390617">
      <w:pPr>
        <w:jc w:val="both"/>
        <w:rPr>
          <w:rFonts w:ascii="Arial" w:hAnsi="Arial" w:cs="Arial"/>
          <w:color w:val="7B7B7B" w:themeColor="accent3" w:themeShade="BF"/>
          <w:sz w:val="22"/>
          <w:szCs w:val="22"/>
          <w:lang w:val="en-GB"/>
        </w:rPr>
      </w:pPr>
      <w:r w:rsidRPr="00390617">
        <w:rPr>
          <w:rFonts w:ascii="Arial" w:hAnsi="Arial" w:cs="Arial"/>
          <w:color w:val="7B7B7B" w:themeColor="accent3" w:themeShade="BF"/>
          <w:sz w:val="22"/>
          <w:szCs w:val="22"/>
          <w:lang w:val="en-GB"/>
        </w:rPr>
        <w:t xml:space="preserve">Article 15 further confirms that any application for recognition must also include a statement identifying all foreign proceedings in respect of the relevant debtor which are known to the foreign representative, and possibly a translations of documents supplied in support of the application (into an official language of the enacting state). </w:t>
      </w:r>
    </w:p>
    <w:p w14:paraId="450A6AC7" w14:textId="77777777" w:rsidR="00390617" w:rsidRPr="00390617" w:rsidRDefault="00390617" w:rsidP="00390617">
      <w:pPr>
        <w:jc w:val="both"/>
        <w:rPr>
          <w:rFonts w:ascii="Arial" w:hAnsi="Arial" w:cs="Arial"/>
          <w:color w:val="7B7B7B" w:themeColor="accent3" w:themeShade="BF"/>
          <w:sz w:val="22"/>
          <w:szCs w:val="22"/>
          <w:lang w:val="en-GB"/>
        </w:rPr>
      </w:pPr>
    </w:p>
    <w:p w14:paraId="3BAF29F0" w14:textId="77777777" w:rsidR="00390617" w:rsidRPr="00390617" w:rsidRDefault="00390617" w:rsidP="00390617">
      <w:pPr>
        <w:jc w:val="both"/>
        <w:rPr>
          <w:rFonts w:ascii="Arial" w:hAnsi="Arial" w:cs="Arial"/>
          <w:color w:val="7B7B7B" w:themeColor="accent3" w:themeShade="BF"/>
          <w:sz w:val="22"/>
          <w:szCs w:val="22"/>
          <w:lang w:val="en-GB"/>
        </w:rPr>
      </w:pPr>
      <w:r w:rsidRPr="00390617">
        <w:rPr>
          <w:rFonts w:ascii="Arial" w:hAnsi="Arial" w:cs="Arial"/>
          <w:color w:val="7B7B7B" w:themeColor="accent3" w:themeShade="BF"/>
          <w:sz w:val="22"/>
          <w:szCs w:val="22"/>
          <w:lang w:val="en-GB"/>
        </w:rPr>
        <w:t xml:space="preserve">Pursuant to article 16 of the MLCBI, the court is entitled to presume that the documents submitted in support of the recognition application are authentic, regardless of whether they have been legalised. Additionally, in the absence of proof to the contrary, the debtor's registered office or individual's habitual residence </w:t>
      </w:r>
      <w:proofErr w:type="gramStart"/>
      <w:r w:rsidRPr="00390617">
        <w:rPr>
          <w:rFonts w:ascii="Arial" w:hAnsi="Arial" w:cs="Arial"/>
          <w:color w:val="7B7B7B" w:themeColor="accent3" w:themeShade="BF"/>
          <w:sz w:val="22"/>
          <w:szCs w:val="22"/>
          <w:lang w:val="en-GB"/>
        </w:rPr>
        <w:t>is presumed</w:t>
      </w:r>
      <w:proofErr w:type="gramEnd"/>
      <w:r w:rsidRPr="00390617">
        <w:rPr>
          <w:rFonts w:ascii="Arial" w:hAnsi="Arial" w:cs="Arial"/>
          <w:color w:val="7B7B7B" w:themeColor="accent3" w:themeShade="BF"/>
          <w:sz w:val="22"/>
          <w:szCs w:val="22"/>
          <w:lang w:val="en-GB"/>
        </w:rPr>
        <w:t xml:space="preserve"> to be the debtor's COMI. Whilst the MLCBI does not provide a definition of COMI, the determination of its location is nevertheless fundamental to any recognition application. The court must see evidence that the debtor has its COMI or establishment in the country where the foreign proceedings are taking place.  </w:t>
      </w:r>
    </w:p>
    <w:p w14:paraId="49E8A744" w14:textId="77777777" w:rsidR="00390617" w:rsidRPr="00390617" w:rsidRDefault="00390617" w:rsidP="00390617">
      <w:pPr>
        <w:jc w:val="both"/>
        <w:rPr>
          <w:rFonts w:ascii="Arial" w:hAnsi="Arial" w:cs="Arial"/>
          <w:color w:val="7B7B7B" w:themeColor="accent3" w:themeShade="BF"/>
          <w:sz w:val="22"/>
          <w:szCs w:val="22"/>
          <w:lang w:val="en-GB"/>
        </w:rPr>
      </w:pPr>
    </w:p>
    <w:p w14:paraId="3DAA6780" w14:textId="7D65B5B0" w:rsidR="00962045" w:rsidRPr="009B5832" w:rsidRDefault="00390617" w:rsidP="00390617">
      <w:pPr>
        <w:jc w:val="both"/>
        <w:rPr>
          <w:rFonts w:ascii="Arial" w:hAnsi="Arial" w:cs="Arial"/>
          <w:sz w:val="22"/>
          <w:szCs w:val="22"/>
          <w:shd w:val="clear" w:color="auto" w:fill="FFFFFF"/>
          <w:lang w:val="en-GB"/>
        </w:rPr>
      </w:pPr>
      <w:proofErr w:type="gramStart"/>
      <w:r w:rsidRPr="00390617">
        <w:rPr>
          <w:rFonts w:ascii="Arial" w:hAnsi="Arial" w:cs="Arial"/>
          <w:color w:val="7B7B7B" w:themeColor="accent3" w:themeShade="BF"/>
          <w:sz w:val="22"/>
          <w:szCs w:val="22"/>
          <w:lang w:val="en-GB"/>
        </w:rPr>
        <w:t>Article 18 of the MLCBI imposes on the foreign representative, from the time of filing the recognition application, to promptly inform the court in the enacting state of (</w:t>
      </w:r>
      <w:proofErr w:type="spellStart"/>
      <w:r w:rsidRPr="00390617">
        <w:rPr>
          <w:rFonts w:ascii="Arial" w:hAnsi="Arial" w:cs="Arial"/>
          <w:color w:val="7B7B7B" w:themeColor="accent3" w:themeShade="BF"/>
          <w:sz w:val="22"/>
          <w:szCs w:val="22"/>
          <w:lang w:val="en-GB"/>
        </w:rPr>
        <w:t>i</w:t>
      </w:r>
      <w:proofErr w:type="spellEnd"/>
      <w:r w:rsidRPr="00390617">
        <w:rPr>
          <w:rFonts w:ascii="Arial" w:hAnsi="Arial" w:cs="Arial"/>
          <w:color w:val="7B7B7B" w:themeColor="accent3" w:themeShade="BF"/>
          <w:sz w:val="22"/>
          <w:szCs w:val="22"/>
          <w:lang w:val="en-GB"/>
        </w:rPr>
        <w:t>) any substantial changes in the status of the recognised foreign proceeding or the status of the foreign representative's appointment; and (ii) any other foreign proceeding concerning the same debtor known to the foreign representative.</w:t>
      </w:r>
      <w:proofErr w:type="gramEnd"/>
      <w:r w:rsidRPr="00390617">
        <w:rPr>
          <w:rFonts w:ascii="Arial" w:hAnsi="Arial" w:cs="Arial"/>
          <w:color w:val="7B7B7B" w:themeColor="accent3" w:themeShade="BF"/>
          <w:sz w:val="22"/>
          <w:szCs w:val="22"/>
          <w:lang w:val="en-GB"/>
        </w:rPr>
        <w:t xml:space="preserve"> In this context, the foreign representative has a full and frank disclosure obligation to the court in the enacting state. Failure to respect that obligation risks an abuse of process finding.</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what pre- and post-recognition relief can be considered in the context of the MLCBI, as well as any restrictions, limitations or conditions that should be considered in this context. For purposes of this question, it </w:t>
      </w:r>
      <w:proofErr w:type="gramStart"/>
      <w:r w:rsidRPr="009B5832">
        <w:rPr>
          <w:rFonts w:ascii="Arial" w:hAnsi="Arial" w:cs="Arial"/>
          <w:sz w:val="22"/>
          <w:szCs w:val="22"/>
          <w:lang w:val="en-GB"/>
        </w:rPr>
        <w:t>can be assumed</w:t>
      </w:r>
      <w:proofErr w:type="gramEnd"/>
      <w:r w:rsidRPr="009B5832">
        <w:rPr>
          <w:rFonts w:ascii="Arial" w:hAnsi="Arial" w:cs="Arial"/>
          <w:sz w:val="22"/>
          <w:szCs w:val="22"/>
          <w:lang w:val="en-GB"/>
        </w:rPr>
        <w:t xml:space="preserve">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22EFA0A" w14:textId="77777777" w:rsidR="00390617" w:rsidRPr="00390617" w:rsidRDefault="00390617" w:rsidP="00390617">
      <w:pPr>
        <w:jc w:val="both"/>
        <w:rPr>
          <w:rFonts w:ascii="Arial" w:hAnsi="Arial" w:cs="Arial"/>
          <w:color w:val="7B7B7B" w:themeColor="accent3" w:themeShade="BF"/>
          <w:sz w:val="22"/>
          <w:szCs w:val="22"/>
          <w:lang w:val="en-GB"/>
        </w:rPr>
      </w:pPr>
      <w:r w:rsidRPr="00390617">
        <w:rPr>
          <w:rFonts w:ascii="Arial" w:hAnsi="Arial" w:cs="Arial"/>
          <w:color w:val="7B7B7B" w:themeColor="accent3" w:themeShade="BF"/>
          <w:sz w:val="22"/>
          <w:szCs w:val="22"/>
          <w:lang w:val="en-GB"/>
        </w:rPr>
        <w:t xml:space="preserve">Both interim pre-recognition relief and discretionary post-recognition relief are available under articles 19 and 21 of the MLCBI respectively. In each instance, the court in the enacting state must be satisfied that the interests of the debtor's creditors and other interested parties </w:t>
      </w:r>
      <w:proofErr w:type="gramStart"/>
      <w:r w:rsidRPr="00390617">
        <w:rPr>
          <w:rFonts w:ascii="Arial" w:hAnsi="Arial" w:cs="Arial"/>
          <w:color w:val="7B7B7B" w:themeColor="accent3" w:themeShade="BF"/>
          <w:sz w:val="22"/>
          <w:szCs w:val="22"/>
          <w:lang w:val="en-GB"/>
        </w:rPr>
        <w:t>are adequately protected</w:t>
      </w:r>
      <w:proofErr w:type="gramEnd"/>
      <w:r w:rsidRPr="00390617">
        <w:rPr>
          <w:rFonts w:ascii="Arial" w:hAnsi="Arial" w:cs="Arial"/>
          <w:color w:val="7B7B7B" w:themeColor="accent3" w:themeShade="BF"/>
          <w:sz w:val="22"/>
          <w:szCs w:val="22"/>
          <w:lang w:val="en-GB"/>
        </w:rPr>
        <w:t>. Accordingly, article 22 of the MLCBI confirms the court's power to make relief conditional as appropriate, or indeed terminate or modify the same at the request of a foreign representative or an affected person, noting always the balance between the interests of creditors, the debtor and other interested parties.</w:t>
      </w:r>
    </w:p>
    <w:p w14:paraId="1F3B22EF" w14:textId="77777777" w:rsidR="00390617" w:rsidRPr="00390617" w:rsidRDefault="00390617" w:rsidP="00390617">
      <w:pPr>
        <w:jc w:val="both"/>
        <w:rPr>
          <w:rFonts w:ascii="Arial" w:hAnsi="Arial" w:cs="Arial"/>
          <w:color w:val="7B7B7B" w:themeColor="accent3" w:themeShade="BF"/>
          <w:sz w:val="22"/>
          <w:szCs w:val="22"/>
          <w:lang w:val="en-GB"/>
        </w:rPr>
      </w:pPr>
    </w:p>
    <w:p w14:paraId="3AB7E15F" w14:textId="77777777" w:rsidR="00390617" w:rsidRPr="00390617" w:rsidRDefault="00390617" w:rsidP="00390617">
      <w:pPr>
        <w:jc w:val="both"/>
        <w:rPr>
          <w:rFonts w:ascii="Arial" w:hAnsi="Arial" w:cs="Arial"/>
          <w:color w:val="7B7B7B" w:themeColor="accent3" w:themeShade="BF"/>
          <w:sz w:val="22"/>
          <w:szCs w:val="22"/>
          <w:lang w:val="en-GB"/>
        </w:rPr>
      </w:pPr>
      <w:r w:rsidRPr="00390617">
        <w:rPr>
          <w:rFonts w:ascii="Arial" w:hAnsi="Arial" w:cs="Arial"/>
          <w:color w:val="7B7B7B" w:themeColor="accent3" w:themeShade="BF"/>
          <w:sz w:val="22"/>
          <w:szCs w:val="22"/>
          <w:lang w:val="en-GB"/>
        </w:rPr>
        <w:t xml:space="preserve">Following a request from the foreign representative where relief is urgently needs to protect the assets of the debtor or the interests of their creditor, the court of the enacting state may, pursuant to article 19, grant provisional relief from the time of filing the recognition application until the application is decided </w:t>
      </w:r>
      <w:proofErr w:type="gramStart"/>
      <w:r w:rsidRPr="00390617">
        <w:rPr>
          <w:rFonts w:ascii="Arial" w:hAnsi="Arial" w:cs="Arial"/>
          <w:color w:val="7B7B7B" w:themeColor="accent3" w:themeShade="BF"/>
          <w:sz w:val="22"/>
          <w:szCs w:val="22"/>
          <w:lang w:val="en-GB"/>
        </w:rPr>
        <w:t>upon</w:t>
      </w:r>
      <w:proofErr w:type="gramEnd"/>
      <w:r w:rsidRPr="00390617">
        <w:rPr>
          <w:rFonts w:ascii="Arial" w:hAnsi="Arial" w:cs="Arial"/>
          <w:color w:val="7B7B7B" w:themeColor="accent3" w:themeShade="BF"/>
          <w:sz w:val="22"/>
          <w:szCs w:val="22"/>
          <w:lang w:val="en-GB"/>
        </w:rPr>
        <w:t xml:space="preserve">. This applies to both foreign main and foreign non-main proceedings; however, where such relief would interfere with the administration of a foreign main proceeding, the court may instead refuse to grant that relief. Examples include a stay of execution against the debtor's assets or entrusting the administration or realisation of all or part of the debtor's assets located in the enacting state to the foreign representative or another person designated by the court in order to protect and preserve the value of those assets that are otherwise subject to devaluation or in jeopardy. Similarly, any of the post-recognition relief available under article 21 of the MLCBI is also available under article 19 of the MLCBI. </w:t>
      </w:r>
    </w:p>
    <w:p w14:paraId="3B4DDC58" w14:textId="77777777" w:rsidR="00390617" w:rsidRPr="00390617" w:rsidRDefault="00390617" w:rsidP="00390617">
      <w:pPr>
        <w:jc w:val="both"/>
        <w:rPr>
          <w:rFonts w:ascii="Arial" w:hAnsi="Arial" w:cs="Arial"/>
          <w:color w:val="7B7B7B" w:themeColor="accent3" w:themeShade="BF"/>
          <w:sz w:val="22"/>
          <w:szCs w:val="22"/>
          <w:lang w:val="en-GB"/>
        </w:rPr>
      </w:pPr>
    </w:p>
    <w:p w14:paraId="350AE5D9" w14:textId="77777777" w:rsidR="00390617" w:rsidRPr="00390617" w:rsidRDefault="00390617" w:rsidP="00390617">
      <w:pPr>
        <w:jc w:val="both"/>
        <w:rPr>
          <w:rFonts w:ascii="Arial" w:hAnsi="Arial" w:cs="Arial"/>
          <w:color w:val="7B7B7B" w:themeColor="accent3" w:themeShade="BF"/>
          <w:sz w:val="22"/>
          <w:szCs w:val="22"/>
          <w:lang w:val="en-GB"/>
        </w:rPr>
      </w:pPr>
      <w:r w:rsidRPr="00390617">
        <w:rPr>
          <w:rFonts w:ascii="Arial" w:hAnsi="Arial" w:cs="Arial"/>
          <w:color w:val="7B7B7B" w:themeColor="accent3" w:themeShade="BF"/>
          <w:sz w:val="22"/>
          <w:szCs w:val="22"/>
          <w:lang w:val="en-GB"/>
        </w:rPr>
        <w:t xml:space="preserve">Turning to article 21 of the MLCBI, such relief is available upon recognition of the foreign main or non-main proceeding at the request of the foreign representative where necessary to protect the assets of the debtor or the interests of creditors. Other notable examples of relief include the ability to examine witnesses or extending interim relief granted under article 19 of the MLCBI. The debtor's assets located in the enacting state may also be provided to the foreign representative (or another person designated by the court) where the court is satisfied that the interests of local creditors in the enacting state are adequately protected. Relief in a foreign non-main proceeding should not interfere with the administration of another insolvency proceeding, in particular the main proceeding. </w:t>
      </w:r>
    </w:p>
    <w:p w14:paraId="7E20936A" w14:textId="77777777" w:rsidR="00390617" w:rsidRPr="00390617" w:rsidRDefault="00390617" w:rsidP="00390617">
      <w:pPr>
        <w:jc w:val="both"/>
        <w:rPr>
          <w:rFonts w:ascii="Arial" w:hAnsi="Arial" w:cs="Arial"/>
          <w:color w:val="7B7B7B" w:themeColor="accent3" w:themeShade="BF"/>
          <w:sz w:val="22"/>
          <w:szCs w:val="22"/>
          <w:lang w:val="en-GB"/>
        </w:rPr>
      </w:pPr>
    </w:p>
    <w:p w14:paraId="4AE7EA78" w14:textId="42C444B1" w:rsidR="007D7C92" w:rsidRPr="009B5832" w:rsidRDefault="00390617" w:rsidP="00390617">
      <w:pPr>
        <w:jc w:val="both"/>
        <w:rPr>
          <w:rFonts w:ascii="Arial" w:hAnsi="Arial" w:cs="Arial"/>
          <w:sz w:val="22"/>
          <w:szCs w:val="22"/>
          <w:lang w:val="en-GB"/>
        </w:rPr>
      </w:pPr>
      <w:r w:rsidRPr="00390617">
        <w:rPr>
          <w:rFonts w:ascii="Arial" w:hAnsi="Arial" w:cs="Arial"/>
          <w:color w:val="7B7B7B" w:themeColor="accent3" w:themeShade="BF"/>
          <w:sz w:val="22"/>
          <w:szCs w:val="22"/>
          <w:lang w:val="en-GB"/>
        </w:rPr>
        <w:t>Note however that appropriate relief under article 21 of the MLCBI is limited, such that (</w:t>
      </w:r>
      <w:proofErr w:type="spellStart"/>
      <w:r w:rsidRPr="00390617">
        <w:rPr>
          <w:rFonts w:ascii="Arial" w:hAnsi="Arial" w:cs="Arial"/>
          <w:color w:val="7B7B7B" w:themeColor="accent3" w:themeShade="BF"/>
          <w:sz w:val="22"/>
          <w:szCs w:val="22"/>
          <w:lang w:val="en-GB"/>
        </w:rPr>
        <w:t>i</w:t>
      </w:r>
      <w:proofErr w:type="spellEnd"/>
      <w:r w:rsidRPr="00390617">
        <w:rPr>
          <w:rFonts w:ascii="Arial" w:hAnsi="Arial" w:cs="Arial"/>
          <w:color w:val="7B7B7B" w:themeColor="accent3" w:themeShade="BF"/>
          <w:sz w:val="22"/>
          <w:szCs w:val="22"/>
          <w:lang w:val="en-GB"/>
        </w:rPr>
        <w:t>) default judgment; (ii) applying foreign insolvency law to an English law governed contract and (iii) an indefinite moratorium continuation resulting from an earlier recognition order are not envisaged by the MLCBI.</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B119CA" w14:textId="4233F356" w:rsidR="00A308E2" w:rsidRPr="00A308E2" w:rsidRDefault="00A308E2" w:rsidP="00A308E2">
      <w:pPr>
        <w:rPr>
          <w:rFonts w:ascii="Arial" w:hAnsi="Arial" w:cs="Arial"/>
          <w:color w:val="7B7B7B" w:themeColor="accent3" w:themeShade="BF"/>
          <w:sz w:val="22"/>
          <w:szCs w:val="22"/>
          <w:lang w:val="en-GB"/>
        </w:rPr>
      </w:pPr>
      <w:r w:rsidRPr="00A308E2">
        <w:rPr>
          <w:rFonts w:ascii="Arial" w:hAnsi="Arial" w:cs="Arial"/>
          <w:color w:val="7B7B7B" w:themeColor="accent3" w:themeShade="BF"/>
          <w:sz w:val="22"/>
          <w:szCs w:val="22"/>
          <w:lang w:val="en-GB"/>
        </w:rPr>
        <w:t xml:space="preserve">Although the ability to suspend transfers provides an immediate restriction preventing the dissemination of monies and property across international boundaries, article 22 of the MLCBI requires the court to conduct a balancing exercise between the interests of creditors, the debtor and other interested parties. A worldwide freezing order imposing obligations on a significant number of interested third parties </w:t>
      </w:r>
      <w:r>
        <w:rPr>
          <w:rFonts w:ascii="Arial" w:hAnsi="Arial" w:cs="Arial"/>
          <w:color w:val="7B7B7B" w:themeColor="accent3" w:themeShade="BF"/>
          <w:sz w:val="22"/>
          <w:szCs w:val="22"/>
          <w:lang w:val="en-GB"/>
        </w:rPr>
        <w:t xml:space="preserve">and given the potential prejudice it </w:t>
      </w:r>
      <w:r w:rsidRPr="00A308E2">
        <w:rPr>
          <w:rFonts w:ascii="Arial" w:hAnsi="Arial" w:cs="Arial"/>
          <w:color w:val="7B7B7B" w:themeColor="accent3" w:themeShade="BF"/>
          <w:sz w:val="22"/>
          <w:szCs w:val="22"/>
          <w:lang w:val="en-GB"/>
        </w:rPr>
        <w:t xml:space="preserve">is unlikely to continue on that basis.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w:t>
      </w:r>
      <w:proofErr w:type="gramStart"/>
      <w:r w:rsidRPr="009B5832">
        <w:rPr>
          <w:rFonts w:ascii="Arial" w:hAnsi="Arial" w:cs="Arial"/>
          <w:color w:val="000000"/>
          <w:sz w:val="22"/>
          <w:szCs w:val="22"/>
          <w:lang w:val="en-GB" w:eastAsia="en-GB"/>
        </w:rPr>
        <w:t>is situated</w:t>
      </w:r>
      <w:proofErr w:type="gramEnd"/>
      <w:r w:rsidRPr="009B5832">
        <w:rPr>
          <w:rFonts w:ascii="Arial" w:hAnsi="Arial" w:cs="Arial"/>
          <w:color w:val="000000"/>
          <w:sz w:val="22"/>
          <w:szCs w:val="22"/>
          <w:lang w:val="en-GB" w:eastAsia="en-GB"/>
        </w:rPr>
        <w:t xml:space="preserve">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potentially involved in a multi-million dollar fraud resulting in monies </w:t>
      </w:r>
      <w:proofErr w:type="gramStart"/>
      <w:r w:rsidRPr="009B5832">
        <w:rPr>
          <w:rFonts w:ascii="Arial" w:hAnsi="Arial" w:cs="Arial"/>
          <w:color w:val="000000"/>
          <w:sz w:val="22"/>
          <w:szCs w:val="22"/>
          <w:lang w:val="en-GB" w:eastAsia="en-GB"/>
        </w:rPr>
        <w:t>being sent</w:t>
      </w:r>
      <w:proofErr w:type="gramEnd"/>
      <w:r w:rsidRPr="009B5832">
        <w:rPr>
          <w:rFonts w:ascii="Arial" w:hAnsi="Arial" w:cs="Arial"/>
          <w:color w:val="000000"/>
          <w:sz w:val="22"/>
          <w:szCs w:val="22"/>
          <w:lang w:val="en-GB" w:eastAsia="en-GB"/>
        </w:rPr>
        <w:t xml:space="preserve">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t>
      </w:r>
      <w:proofErr w:type="gramStart"/>
      <w:r w:rsidRPr="009B5832">
        <w:rPr>
          <w:rFonts w:ascii="Arial" w:hAnsi="Arial" w:cs="Arial"/>
          <w:color w:val="000000"/>
          <w:sz w:val="22"/>
          <w:szCs w:val="22"/>
          <w:lang w:val="en-GB" w:eastAsia="en-GB"/>
        </w:rPr>
        <w:t>were issued</w:t>
      </w:r>
      <w:proofErr w:type="gramEnd"/>
      <w:r w:rsidRPr="009B5832">
        <w:rPr>
          <w:rFonts w:ascii="Arial" w:hAnsi="Arial" w:cs="Arial"/>
          <w:color w:val="000000"/>
          <w:sz w:val="22"/>
          <w:szCs w:val="22"/>
          <w:lang w:val="en-GB" w:eastAsia="en-GB"/>
        </w:rPr>
        <w:t xml:space="preserve">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requirements. At the end of that period, the NB </w:t>
      </w:r>
      <w:proofErr w:type="gramStart"/>
      <w:r w:rsidRPr="009B5832">
        <w:rPr>
          <w:rFonts w:ascii="Arial" w:hAnsi="Arial" w:cs="Arial"/>
          <w:color w:val="000000"/>
          <w:sz w:val="22"/>
          <w:szCs w:val="22"/>
          <w:lang w:val="en-GB" w:eastAsia="en-GB"/>
        </w:rPr>
        <w:t>must either</w:t>
      </w:r>
      <w:proofErr w:type="gramEnd"/>
      <w:r w:rsidRPr="009B5832">
        <w:rPr>
          <w:rFonts w:ascii="Arial" w:hAnsi="Arial" w:cs="Arial"/>
          <w:color w:val="000000"/>
          <w:sz w:val="22"/>
          <w:szCs w:val="22"/>
          <w:lang w:val="en-GB" w:eastAsia="en-GB"/>
        </w:rPr>
        <w:t xml:space="preserve">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proofErr w:type="gramStart"/>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first go</w:t>
      </w:r>
      <w:proofErr w:type="gramEnd"/>
      <w:r w:rsidRPr="009B5832">
        <w:rPr>
          <w:rFonts w:ascii="Arial" w:hAnsi="Arial" w:cs="Arial"/>
          <w:color w:val="000000"/>
          <w:sz w:val="22"/>
          <w:szCs w:val="22"/>
          <w:lang w:val="en-GB" w:eastAsia="en-GB"/>
        </w:rPr>
        <w:t xml:space="preserve">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lastRenderedPageBreak/>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Pursuant to article 34 of the DGF Law, once a bank </w:t>
      </w:r>
      <w:proofErr w:type="gramStart"/>
      <w:r w:rsidRPr="009B5832">
        <w:rPr>
          <w:rFonts w:ascii="Arial" w:hAnsi="Arial" w:cs="Arial"/>
          <w:color w:val="000000"/>
          <w:sz w:val="22"/>
          <w:szCs w:val="22"/>
          <w:lang w:val="en-GB" w:eastAsia="en-GB"/>
        </w:rPr>
        <w:t>has been classified</w:t>
      </w:r>
      <w:proofErr w:type="gramEnd"/>
      <w:r w:rsidRPr="009B5832">
        <w:rPr>
          <w:rFonts w:ascii="Arial" w:hAnsi="Arial" w:cs="Arial"/>
          <w:color w:val="000000"/>
          <w:sz w:val="22"/>
          <w:szCs w:val="22"/>
          <w:lang w:val="en-GB" w:eastAsia="en-GB"/>
        </w:rPr>
        <w:t xml:space="preserve"> as insolvent, the DGF will begin the process of removing it from the market. This </w:t>
      </w:r>
      <w:proofErr w:type="gramStart"/>
      <w:r w:rsidRPr="009B5832">
        <w:rPr>
          <w:rFonts w:ascii="Arial" w:hAnsi="Arial" w:cs="Arial"/>
          <w:color w:val="000000"/>
          <w:sz w:val="22"/>
          <w:szCs w:val="22"/>
          <w:lang w:val="en-GB" w:eastAsia="en-GB"/>
        </w:rPr>
        <w:t>is often achieved</w:t>
      </w:r>
      <w:proofErr w:type="gramEnd"/>
      <w:r w:rsidRPr="009B5832">
        <w:rPr>
          <w:rFonts w:ascii="Arial" w:hAnsi="Arial" w:cs="Arial"/>
          <w:color w:val="000000"/>
          <w:sz w:val="22"/>
          <w:szCs w:val="22"/>
          <w:lang w:val="en-GB" w:eastAsia="en-GB"/>
        </w:rPr>
        <w:t xml:space="preserve">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w:t>
      </w:r>
      <w:proofErr w:type="gramStart"/>
      <w:r w:rsidRPr="009B5832">
        <w:rPr>
          <w:rFonts w:ascii="Arial" w:hAnsi="Arial" w:cs="Arial"/>
          <w:color w:val="000000"/>
          <w:sz w:val="22"/>
          <w:szCs w:val="22"/>
          <w:lang w:val="en-GB" w:eastAsia="en-GB"/>
        </w:rPr>
        <w:t>moratorium which</w:t>
      </w:r>
      <w:proofErr w:type="gramEnd"/>
      <w:r w:rsidRPr="009B5832">
        <w:rPr>
          <w:rFonts w:ascii="Arial" w:hAnsi="Arial" w:cs="Arial"/>
          <w:color w:val="000000"/>
          <w:sz w:val="22"/>
          <w:szCs w:val="22"/>
          <w:lang w:val="en-GB" w:eastAsia="en-GB"/>
        </w:rPr>
        <w:t xml:space="preserve">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w:t>
      </w:r>
      <w:proofErr w:type="gramStart"/>
      <w:r w:rsidRPr="009B5832">
        <w:rPr>
          <w:rFonts w:ascii="Arial" w:hAnsi="Arial" w:cs="Arial"/>
          <w:color w:val="000000"/>
          <w:sz w:val="22"/>
          <w:szCs w:val="22"/>
          <w:lang w:val="en-GB" w:eastAsia="en-GB"/>
        </w:rPr>
        <w:t>are terminated</w:t>
      </w:r>
      <w:proofErr w:type="gramEnd"/>
      <w:r w:rsidRPr="009B5832">
        <w:rPr>
          <w:rFonts w:ascii="Arial" w:hAnsi="Arial" w:cs="Arial"/>
          <w:color w:val="000000"/>
          <w:sz w:val="22"/>
          <w:szCs w:val="22"/>
          <w:lang w:val="en-GB" w:eastAsia="en-GB"/>
        </w:rPr>
        <w:t xml:space="preserve">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t>
      </w:r>
      <w:proofErr w:type="gramStart"/>
      <w:r w:rsidRPr="009B5832">
        <w:rPr>
          <w:rFonts w:ascii="Arial" w:hAnsi="Arial" w:cs="Arial"/>
          <w:color w:val="000000"/>
          <w:sz w:val="22"/>
          <w:szCs w:val="22"/>
          <w:lang w:val="en-GB" w:eastAsia="en-GB"/>
        </w:rPr>
        <w:t xml:space="preserve">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roofErr w:type="gramEnd"/>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w:t>
      </w:r>
      <w:proofErr w:type="gramStart"/>
      <w:r w:rsidRPr="009B5832">
        <w:rPr>
          <w:rFonts w:ascii="Arial" w:hAnsi="Arial" w:cs="Arial"/>
          <w:color w:val="000000"/>
          <w:sz w:val="22"/>
          <w:szCs w:val="22"/>
          <w:lang w:val="en-GB" w:eastAsia="en-GB"/>
        </w:rPr>
        <w:t xml:space="preserve">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w:t>
      </w:r>
      <w:proofErr w:type="gramEnd"/>
      <w:r w:rsidRPr="009B5832">
        <w:rPr>
          <w:rFonts w:ascii="Arial" w:hAnsi="Arial" w:cs="Arial"/>
          <w:color w:val="000000"/>
          <w:sz w:val="22"/>
          <w:szCs w:val="22"/>
          <w:lang w:val="en-GB" w:eastAsia="en-GB"/>
        </w:rPr>
        <w:t>.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banking licence and resolved that it </w:t>
      </w:r>
      <w:proofErr w:type="gramStart"/>
      <w:r w:rsidRPr="009B5832">
        <w:rPr>
          <w:rFonts w:ascii="Arial" w:hAnsi="Arial" w:cs="Arial"/>
          <w:color w:val="000000"/>
          <w:sz w:val="22"/>
          <w:szCs w:val="22"/>
          <w:lang w:val="en-GB" w:eastAsia="en-GB"/>
        </w:rPr>
        <w:t>be liquidated</w:t>
      </w:r>
      <w:proofErr w:type="gramEnd"/>
      <w:r w:rsidRPr="009B5832">
        <w:rPr>
          <w:rFonts w:ascii="Arial" w:hAnsi="Arial" w:cs="Arial"/>
          <w:color w:val="000000"/>
          <w:sz w:val="22"/>
          <w:szCs w:val="22"/>
          <w:lang w:val="en-GB" w:eastAsia="en-GB"/>
        </w:rPr>
        <w:t xml:space="preserve">. The following day, the DGF initiated the liquidation procedure and appointed Ms C as the first of the </w:t>
      </w:r>
      <w:proofErr w:type="gramStart"/>
      <w:r w:rsidRPr="009B5832">
        <w:rPr>
          <w:rFonts w:ascii="Arial" w:hAnsi="Arial" w:cs="Arial"/>
          <w:color w:val="000000"/>
          <w:sz w:val="22"/>
          <w:szCs w:val="22"/>
          <w:lang w:val="en-GB" w:eastAsia="en-GB"/>
        </w:rPr>
        <w:t>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w:t>
      </w:r>
      <w:proofErr w:type="gramEnd"/>
      <w:r w:rsidRPr="009B5832">
        <w:rPr>
          <w:rFonts w:ascii="Arial" w:hAnsi="Arial" w:cs="Arial"/>
          <w:color w:val="000000"/>
          <w:sz w:val="22"/>
          <w:szCs w:val="22"/>
          <w:lang w:val="en-GB" w:eastAsia="en-GB"/>
        </w:rPr>
        <w:t xml:space="preserve"> authorised persons to whom powers of the liquidator were delegated. Ms </w:t>
      </w:r>
      <w:proofErr w:type="gramStart"/>
      <w:r w:rsidRPr="009B5832">
        <w:rPr>
          <w:rFonts w:ascii="Arial" w:hAnsi="Arial" w:cs="Arial"/>
          <w:color w:val="000000"/>
          <w:sz w:val="22"/>
          <w:szCs w:val="22"/>
          <w:lang w:val="en-GB" w:eastAsia="en-GB"/>
        </w:rPr>
        <w:t>C was replaced as authorised officer with effect from 17 August 2020 by Ms G</w:t>
      </w:r>
      <w:proofErr w:type="gramEnd"/>
      <w:r w:rsidRPr="009B5832">
        <w:rPr>
          <w:rFonts w:ascii="Arial" w:hAnsi="Arial" w:cs="Arial"/>
          <w:color w:val="000000"/>
          <w:sz w:val="22"/>
          <w:szCs w:val="22"/>
          <w:lang w:val="en-GB" w:eastAsia="en-GB"/>
        </w:rPr>
        <w:t>.</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in the manner prescribed by the DGF Law. </w:t>
      </w:r>
      <w:r w:rsidRPr="00E92286">
        <w:rPr>
          <w:rFonts w:ascii="Arial" w:hAnsi="Arial" w:cs="Arial"/>
          <w:color w:val="000000"/>
          <w:sz w:val="22"/>
          <w:szCs w:val="22"/>
          <w:highlight w:val="yellow"/>
          <w:lang w:val="en-GB" w:eastAsia="en-GB"/>
        </w:rPr>
        <w:t>Resolution 1513 expressly excludes from Ms G</w:t>
      </w:r>
      <w:r w:rsidR="001747C2" w:rsidRPr="00E92286">
        <w:rPr>
          <w:rFonts w:ascii="Arial" w:hAnsi="Arial" w:cs="Arial"/>
          <w:color w:val="000000"/>
          <w:sz w:val="22"/>
          <w:szCs w:val="22"/>
          <w:highlight w:val="yellow"/>
          <w:lang w:val="en-GB" w:eastAsia="en-GB"/>
        </w:rPr>
        <w:t>’</w:t>
      </w:r>
      <w:r w:rsidRPr="00E92286">
        <w:rPr>
          <w:rFonts w:ascii="Arial" w:hAnsi="Arial" w:cs="Arial"/>
          <w:color w:val="000000"/>
          <w:sz w:val="22"/>
          <w:szCs w:val="22"/>
          <w:highlight w:val="yellow"/>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E92286">
        <w:rPr>
          <w:rFonts w:ascii="Arial" w:hAnsi="Arial" w:cs="Arial"/>
          <w:color w:val="000000"/>
          <w:sz w:val="22"/>
          <w:szCs w:val="22"/>
          <w:highlight w:val="yellow"/>
          <w:lang w:val="en-GB" w:eastAsia="en-GB"/>
        </w:rPr>
        <w:t>’</w:t>
      </w:r>
      <w:r w:rsidRPr="00E92286">
        <w:rPr>
          <w:rFonts w:ascii="Arial" w:hAnsi="Arial" w:cs="Arial"/>
          <w:color w:val="000000"/>
          <w:sz w:val="22"/>
          <w:szCs w:val="22"/>
          <w:highlight w:val="yellow"/>
          <w:lang w:val="en-GB" w:eastAsia="en-GB"/>
        </w:rPr>
        <w:t xml:space="preserve">s assets. Each of the excluded powers remains vested in the DGF as the </w:t>
      </w:r>
      <w:proofErr w:type="gramStart"/>
      <w:r w:rsidRPr="00E92286">
        <w:rPr>
          <w:rFonts w:ascii="Arial" w:hAnsi="Arial" w:cs="Arial"/>
          <w:color w:val="000000"/>
          <w:sz w:val="22"/>
          <w:szCs w:val="22"/>
          <w:highlight w:val="yellow"/>
          <w:lang w:val="en-GB" w:eastAsia="en-GB"/>
        </w:rPr>
        <w:t>Bank</w:t>
      </w:r>
      <w:r w:rsidR="001747C2" w:rsidRPr="00E92286">
        <w:rPr>
          <w:rFonts w:ascii="Arial" w:hAnsi="Arial" w:cs="Arial"/>
          <w:color w:val="000000"/>
          <w:sz w:val="22"/>
          <w:szCs w:val="22"/>
          <w:highlight w:val="yellow"/>
          <w:lang w:val="en-GB" w:eastAsia="en-GB"/>
        </w:rPr>
        <w:t>’</w:t>
      </w:r>
      <w:r w:rsidRPr="00E92286">
        <w:rPr>
          <w:rFonts w:ascii="Arial" w:hAnsi="Arial" w:cs="Arial"/>
          <w:color w:val="000000"/>
          <w:sz w:val="22"/>
          <w:szCs w:val="22"/>
          <w:highlight w:val="yellow"/>
          <w:lang w:val="en-GB" w:eastAsia="en-GB"/>
        </w:rPr>
        <w:t>s</w:t>
      </w:r>
      <w:proofErr w:type="gramEnd"/>
      <w:r w:rsidRPr="00E92286">
        <w:rPr>
          <w:rFonts w:ascii="Arial" w:hAnsi="Arial" w:cs="Arial"/>
          <w:color w:val="000000"/>
          <w:sz w:val="22"/>
          <w:szCs w:val="22"/>
          <w:highlight w:val="yellow"/>
          <w:lang w:val="en-GB" w:eastAsia="en-GB"/>
        </w:rPr>
        <w:t xml:space="preserve">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liquidation </w:t>
      </w:r>
      <w:proofErr w:type="gramStart"/>
      <w:r w:rsidRPr="009B5832">
        <w:rPr>
          <w:rFonts w:ascii="Arial" w:hAnsi="Arial" w:cs="Arial"/>
          <w:color w:val="000000"/>
          <w:sz w:val="22"/>
          <w:szCs w:val="22"/>
          <w:lang w:val="en-GB" w:eastAsia="en-GB"/>
        </w:rPr>
        <w:t>was extended</w:t>
      </w:r>
      <w:proofErr w:type="gramEnd"/>
      <w:r w:rsidRPr="009B5832">
        <w:rPr>
          <w:rFonts w:ascii="Arial" w:hAnsi="Arial" w:cs="Arial"/>
          <w:color w:val="000000"/>
          <w:sz w:val="22"/>
          <w:szCs w:val="22"/>
          <w:lang w:val="en-GB" w:eastAsia="en-GB"/>
        </w:rPr>
        <w:t xml:space="preserve">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w:t>
      </w:r>
      <w:proofErr w:type="gramStart"/>
      <w:r w:rsidRPr="009B5832">
        <w:rPr>
          <w:rFonts w:ascii="Arial" w:hAnsi="Arial" w:cs="Arial"/>
          <w:color w:val="000000"/>
          <w:sz w:val="22"/>
          <w:szCs w:val="22"/>
          <w:lang w:val="en-GB" w:eastAsia="en-GB"/>
        </w:rPr>
        <w:t>billion</w:t>
      </w:r>
      <w:proofErr w:type="gramEnd"/>
      <w:r w:rsidRPr="009B5832">
        <w:rPr>
          <w:rFonts w:ascii="Arial" w:hAnsi="Arial" w:cs="Arial"/>
          <w:color w:val="000000"/>
          <w:sz w:val="22"/>
          <w:szCs w:val="22"/>
          <w:lang w:val="en-GB" w:eastAsia="en-GB"/>
        </w:rPr>
        <w:t>.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proofErr w:type="gramStart"/>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roofErr w:type="gramEnd"/>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lastRenderedPageBreak/>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w:t>
      </w:r>
      <w:proofErr w:type="gramStart"/>
      <w:r w:rsidRPr="009B5832">
        <w:rPr>
          <w:rFonts w:ascii="Arial" w:hAnsi="Arial" w:cs="Arial"/>
          <w:sz w:val="22"/>
          <w:szCs w:val="22"/>
          <w:lang w:val="en-GB"/>
        </w:rPr>
        <w:t xml:space="preserve">is </w:t>
      </w:r>
      <w:r w:rsidRPr="009B5832">
        <w:rPr>
          <w:rFonts w:ascii="Arial" w:hAnsi="Arial" w:cs="Arial"/>
          <w:b/>
          <w:bCs/>
          <w:sz w:val="22"/>
          <w:szCs w:val="22"/>
          <w:u w:val="single"/>
          <w:lang w:val="en-GB"/>
        </w:rPr>
        <w:t>not excluded</w:t>
      </w:r>
      <w:proofErr w:type="gramEnd"/>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6E9AE1F3" w:rsidR="00387106" w:rsidRDefault="00E9228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4.1.1 </w:t>
      </w:r>
    </w:p>
    <w:p w14:paraId="46DB1FB0" w14:textId="3D246758" w:rsidR="00E92286" w:rsidRDefault="00E92286" w:rsidP="00707FC8">
      <w:pPr>
        <w:jc w:val="both"/>
        <w:rPr>
          <w:rFonts w:ascii="Arial" w:hAnsi="Arial" w:cs="Arial"/>
          <w:color w:val="7B7B7B" w:themeColor="accent3" w:themeShade="BF"/>
          <w:sz w:val="22"/>
          <w:szCs w:val="22"/>
          <w:lang w:val="en-GB"/>
        </w:rPr>
      </w:pPr>
    </w:p>
    <w:p w14:paraId="389D6ED0" w14:textId="7FB73787" w:rsidR="00E92286" w:rsidRPr="00E92286" w:rsidRDefault="00E92286" w:rsidP="00707FC8">
      <w:pPr>
        <w:jc w:val="both"/>
        <w:rPr>
          <w:rFonts w:ascii="Arial" w:hAnsi="Arial" w:cs="Arial"/>
          <w:color w:val="808080" w:themeColor="background1" w:themeShade="80"/>
          <w:sz w:val="22"/>
          <w:szCs w:val="22"/>
          <w:lang w:val="en-GB"/>
        </w:rPr>
      </w:pPr>
      <w:r w:rsidRPr="00E92286">
        <w:rPr>
          <w:rFonts w:ascii="Arial" w:hAnsi="Arial" w:cs="Arial"/>
          <w:color w:val="808080" w:themeColor="background1" w:themeShade="80"/>
          <w:sz w:val="22"/>
          <w:szCs w:val="22"/>
          <w:lang w:val="en-GB"/>
        </w:rPr>
        <w:t xml:space="preserve">A "foreign proceedings" within the meaning of article 2(a) MLCBI has the following elements: </w:t>
      </w:r>
    </w:p>
    <w:p w14:paraId="32DA32F3" w14:textId="4D15170E" w:rsidR="00E92286" w:rsidRDefault="00E92286" w:rsidP="00E92286">
      <w:pPr>
        <w:pStyle w:val="ListParagraph"/>
        <w:numPr>
          <w:ilvl w:val="0"/>
          <w:numId w:val="41"/>
        </w:numPr>
        <w:jc w:val="both"/>
        <w:rPr>
          <w:rFonts w:ascii="Arial" w:hAnsi="Arial" w:cs="Arial"/>
          <w:color w:val="808080" w:themeColor="background1" w:themeShade="80"/>
          <w:sz w:val="22"/>
          <w:szCs w:val="22"/>
          <w:lang w:val="en-GB"/>
        </w:rPr>
      </w:pPr>
      <w:r w:rsidRPr="00E92286">
        <w:rPr>
          <w:rFonts w:ascii="Arial" w:hAnsi="Arial" w:cs="Arial"/>
          <w:color w:val="808080" w:themeColor="background1" w:themeShade="80"/>
          <w:sz w:val="22"/>
          <w:szCs w:val="22"/>
          <w:lang w:val="en-GB"/>
        </w:rPr>
        <w:t xml:space="preserve">A proceedings (including an interim proceeding) – </w:t>
      </w:r>
      <w:r w:rsidR="00332B7D">
        <w:rPr>
          <w:rFonts w:ascii="Arial" w:hAnsi="Arial" w:cs="Arial"/>
          <w:color w:val="808080" w:themeColor="background1" w:themeShade="80"/>
          <w:sz w:val="22"/>
          <w:szCs w:val="22"/>
          <w:lang w:val="en-GB"/>
        </w:rPr>
        <w:t xml:space="preserve"> as referenced in the Digest of Case Law on the UNCITRAL Model Law on Cross-Border Insolvency, "</w:t>
      </w:r>
      <w:r w:rsidR="00332B7D">
        <w:rPr>
          <w:rFonts w:ascii="Arial" w:hAnsi="Arial" w:cs="Arial"/>
          <w:i/>
          <w:color w:val="808080" w:themeColor="background1" w:themeShade="80"/>
          <w:sz w:val="22"/>
          <w:szCs w:val="22"/>
          <w:lang w:val="en-GB"/>
        </w:rPr>
        <w:t>a hallmark of a "proceeding" was "a statutory framework that constrains a company's actions and that regulates the final distribution of a company's assets</w:t>
      </w:r>
      <w:r w:rsidR="00332B7D">
        <w:rPr>
          <w:rStyle w:val="EndnoteReference"/>
          <w:rFonts w:ascii="Arial" w:hAnsi="Arial" w:cs="Arial"/>
          <w:i/>
          <w:color w:val="808080" w:themeColor="background1" w:themeShade="80"/>
          <w:sz w:val="22"/>
          <w:szCs w:val="22"/>
          <w:lang w:val="en-GB"/>
        </w:rPr>
        <w:endnoteReference w:id="1"/>
      </w:r>
      <w:r w:rsidR="00332B7D">
        <w:rPr>
          <w:rFonts w:ascii="Arial" w:hAnsi="Arial" w:cs="Arial"/>
          <w:i/>
          <w:color w:val="808080" w:themeColor="background1" w:themeShade="80"/>
          <w:sz w:val="22"/>
          <w:szCs w:val="22"/>
          <w:lang w:val="en-GB"/>
        </w:rPr>
        <w:t xml:space="preserve">". </w:t>
      </w:r>
      <w:r w:rsidR="00332B7D">
        <w:rPr>
          <w:rFonts w:ascii="Arial" w:hAnsi="Arial" w:cs="Arial"/>
          <w:color w:val="808080" w:themeColor="background1" w:themeShade="80"/>
          <w:sz w:val="22"/>
          <w:szCs w:val="22"/>
          <w:lang w:val="en-GB"/>
        </w:rPr>
        <w:t>I</w:t>
      </w:r>
      <w:r w:rsidRPr="00E92286">
        <w:rPr>
          <w:rFonts w:ascii="Arial" w:hAnsi="Arial" w:cs="Arial"/>
          <w:color w:val="808080" w:themeColor="background1" w:themeShade="80"/>
          <w:sz w:val="22"/>
          <w:szCs w:val="22"/>
          <w:lang w:val="en-GB"/>
        </w:rPr>
        <w:t>n this case, the interim administration and subsequent liquidation on 17 September 2015 and 17 December 2015 subsequently</w:t>
      </w:r>
      <w:r w:rsidR="00332B7D" w:rsidRPr="00332B7D">
        <w:rPr>
          <w:rFonts w:ascii="Arial" w:hAnsi="Arial" w:cs="Arial"/>
          <w:color w:val="808080" w:themeColor="background1" w:themeShade="80"/>
          <w:sz w:val="22"/>
          <w:szCs w:val="22"/>
          <w:lang w:val="en-GB"/>
        </w:rPr>
        <w:t xml:space="preserve"> </w:t>
      </w:r>
      <w:r w:rsidR="00332B7D">
        <w:rPr>
          <w:rFonts w:ascii="Arial" w:hAnsi="Arial" w:cs="Arial"/>
          <w:color w:val="808080" w:themeColor="background1" w:themeShade="80"/>
          <w:sz w:val="22"/>
          <w:szCs w:val="22"/>
          <w:lang w:val="en-GB"/>
        </w:rPr>
        <w:t>and the clear framework provided by the LBBA and DFG Law</w:t>
      </w:r>
      <w:r w:rsidRPr="00E92286">
        <w:rPr>
          <w:rFonts w:ascii="Arial" w:hAnsi="Arial" w:cs="Arial"/>
          <w:color w:val="808080" w:themeColor="background1" w:themeShade="80"/>
          <w:sz w:val="22"/>
          <w:szCs w:val="22"/>
          <w:lang w:val="en-GB"/>
        </w:rPr>
        <w:t>, would appear to satisfy this requirement</w:t>
      </w:r>
      <w:r>
        <w:rPr>
          <w:rFonts w:ascii="Arial" w:hAnsi="Arial" w:cs="Arial"/>
          <w:color w:val="808080" w:themeColor="background1" w:themeShade="80"/>
          <w:sz w:val="22"/>
          <w:szCs w:val="22"/>
          <w:lang w:val="en-GB"/>
        </w:rPr>
        <w:t>;</w:t>
      </w:r>
    </w:p>
    <w:p w14:paraId="382D3F40" w14:textId="7C0084B1" w:rsidR="00E92286" w:rsidRDefault="00E92286" w:rsidP="00E92286">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is either judicial or administrative – here, there is no reference to any formal judicial applications being made to put the Bank into administration or liquidation, but nonetheless, the provisions in the LBBA and DFG Law provided mechanisms for the administrative regime allowing such actions;</w:t>
      </w:r>
    </w:p>
    <w:p w14:paraId="3AEF6A52" w14:textId="23A769D6" w:rsidR="00E92286" w:rsidRPr="00B93887" w:rsidRDefault="00E92286" w:rsidP="005A4C0C">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is collective in nature </w:t>
      </w:r>
      <w:r w:rsidR="005A4C0C">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5A4C0C">
        <w:rPr>
          <w:rFonts w:ascii="Arial" w:hAnsi="Arial" w:cs="Arial"/>
          <w:color w:val="808080" w:themeColor="background1" w:themeShade="80"/>
          <w:sz w:val="22"/>
          <w:szCs w:val="22"/>
          <w:lang w:val="en-GB"/>
        </w:rPr>
        <w:t xml:space="preserve">we are told that </w:t>
      </w:r>
      <w:r w:rsidR="005A4C0C" w:rsidRPr="005A4C0C">
        <w:rPr>
          <w:rFonts w:ascii="Arial" w:hAnsi="Arial" w:cs="Arial"/>
          <w:color w:val="808080" w:themeColor="background1" w:themeShade="80"/>
          <w:sz w:val="22"/>
          <w:szCs w:val="22"/>
          <w:lang w:val="en-GB"/>
        </w:rPr>
        <w:t xml:space="preserve">Article 36(5) establishes a </w:t>
      </w:r>
      <w:proofErr w:type="gramStart"/>
      <w:r w:rsidR="005A4C0C" w:rsidRPr="005A4C0C">
        <w:rPr>
          <w:rFonts w:ascii="Arial" w:hAnsi="Arial" w:cs="Arial"/>
          <w:color w:val="808080" w:themeColor="background1" w:themeShade="80"/>
          <w:sz w:val="22"/>
          <w:szCs w:val="22"/>
          <w:lang w:val="en-GB"/>
        </w:rPr>
        <w:t>moratorium which</w:t>
      </w:r>
      <w:proofErr w:type="gramEnd"/>
      <w:r w:rsidR="005A4C0C" w:rsidRPr="005A4C0C">
        <w:rPr>
          <w:rFonts w:ascii="Arial" w:hAnsi="Arial" w:cs="Arial"/>
          <w:color w:val="808080" w:themeColor="background1" w:themeShade="80"/>
          <w:sz w:val="22"/>
          <w:szCs w:val="22"/>
          <w:lang w:val="en-GB"/>
        </w:rPr>
        <w:t xml:space="preserve"> prevents, inter alia: the claims of depositors or creditors being satisfied; execution or enforcement against the bank’s assets; encumbrances and restrictions being created over the bank’s property; and interest being charged.</w:t>
      </w:r>
      <w:r w:rsidR="005A4C0C">
        <w:rPr>
          <w:rFonts w:ascii="Arial" w:hAnsi="Arial" w:cs="Arial"/>
          <w:color w:val="808080" w:themeColor="background1" w:themeShade="80"/>
          <w:sz w:val="22"/>
          <w:szCs w:val="22"/>
          <w:lang w:val="en-GB"/>
        </w:rPr>
        <w:t xml:space="preserve"> Further that the liquidator has </w:t>
      </w:r>
      <w:r w:rsidR="005A4C0C" w:rsidRPr="005A4C0C">
        <w:rPr>
          <w:rFonts w:ascii="Arial" w:hAnsi="Arial" w:cs="Arial"/>
          <w:color w:val="808080" w:themeColor="background1" w:themeShade="80"/>
          <w:sz w:val="22"/>
          <w:szCs w:val="22"/>
          <w:lang w:val="en-GB"/>
        </w:rPr>
        <w:t xml:space="preserve">the power to compile a register of creditor claims and </w:t>
      </w:r>
      <w:r w:rsidR="005A4C0C">
        <w:rPr>
          <w:rFonts w:ascii="Arial" w:hAnsi="Arial" w:cs="Arial"/>
          <w:color w:val="808080" w:themeColor="background1" w:themeShade="80"/>
          <w:sz w:val="22"/>
          <w:szCs w:val="22"/>
          <w:lang w:val="en-GB"/>
        </w:rPr>
        <w:t xml:space="preserve">to seek to satisfy </w:t>
      </w:r>
      <w:r w:rsidR="005A4C0C" w:rsidRPr="00B93887">
        <w:rPr>
          <w:rFonts w:ascii="Arial" w:hAnsi="Arial" w:cs="Arial"/>
          <w:color w:val="808080" w:themeColor="background1" w:themeShade="80"/>
          <w:sz w:val="22"/>
          <w:szCs w:val="22"/>
          <w:lang w:val="en-GB"/>
        </w:rPr>
        <w:t>those claims. Accordingly, the collective criteria</w:t>
      </w:r>
      <w:r w:rsidR="00585726" w:rsidRPr="00B93887">
        <w:rPr>
          <w:rFonts w:ascii="Arial" w:hAnsi="Arial" w:cs="Arial"/>
          <w:color w:val="808080" w:themeColor="background1" w:themeShade="80"/>
          <w:sz w:val="22"/>
          <w:szCs w:val="22"/>
          <w:lang w:val="en-GB"/>
        </w:rPr>
        <w:t xml:space="preserve"> appears to be</w:t>
      </w:r>
      <w:r w:rsidR="005A4C0C" w:rsidRPr="00B93887">
        <w:rPr>
          <w:rFonts w:ascii="Arial" w:hAnsi="Arial" w:cs="Arial"/>
          <w:color w:val="808080" w:themeColor="background1" w:themeShade="80"/>
          <w:sz w:val="22"/>
          <w:szCs w:val="22"/>
          <w:lang w:val="en-GB"/>
        </w:rPr>
        <w:t xml:space="preserve"> satisfied; </w:t>
      </w:r>
    </w:p>
    <w:p w14:paraId="413D0B7C" w14:textId="454287B4" w:rsidR="005A4C0C" w:rsidRPr="00B93887" w:rsidRDefault="005A4C0C" w:rsidP="005A4C0C">
      <w:pPr>
        <w:pStyle w:val="ListParagraph"/>
        <w:numPr>
          <w:ilvl w:val="0"/>
          <w:numId w:val="41"/>
        </w:numPr>
        <w:jc w:val="both"/>
        <w:rPr>
          <w:rFonts w:ascii="Arial" w:hAnsi="Arial" w:cs="Arial"/>
          <w:color w:val="808080" w:themeColor="background1" w:themeShade="80"/>
          <w:sz w:val="22"/>
          <w:szCs w:val="22"/>
          <w:lang w:val="en-GB"/>
        </w:rPr>
      </w:pPr>
      <w:r w:rsidRPr="00B93887">
        <w:rPr>
          <w:rFonts w:ascii="Arial" w:hAnsi="Arial" w:cs="Arial"/>
          <w:color w:val="808080" w:themeColor="background1" w:themeShade="80"/>
          <w:sz w:val="22"/>
          <w:szCs w:val="22"/>
          <w:lang w:val="en-GB"/>
        </w:rPr>
        <w:t xml:space="preserve">That is in a foreign </w:t>
      </w:r>
      <w:r w:rsidR="00433FA3" w:rsidRPr="00B93887">
        <w:rPr>
          <w:rFonts w:ascii="Arial" w:hAnsi="Arial" w:cs="Arial"/>
          <w:color w:val="808080" w:themeColor="background1" w:themeShade="80"/>
          <w:sz w:val="22"/>
          <w:szCs w:val="22"/>
          <w:lang w:val="en-GB"/>
        </w:rPr>
        <w:t xml:space="preserve">state – </w:t>
      </w:r>
      <w:r w:rsidR="00B93887" w:rsidRPr="00B93887">
        <w:rPr>
          <w:rFonts w:ascii="Arial" w:hAnsi="Arial" w:cs="Arial"/>
          <w:color w:val="808080" w:themeColor="background1" w:themeShade="80"/>
          <w:sz w:val="22"/>
          <w:szCs w:val="22"/>
          <w:lang w:val="en-GB"/>
        </w:rPr>
        <w:t xml:space="preserve">with the initial proceedings opened in Country A and the fraud proceedings opened on 11 February 2021, this appears satisfied; </w:t>
      </w:r>
    </w:p>
    <w:p w14:paraId="3D4BE517" w14:textId="45D5B328" w:rsidR="00433FA3" w:rsidRDefault="00433FA3" w:rsidP="005A4C0C">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is authorised or conducted under a law relating to insolvency – this </w:t>
      </w:r>
      <w:proofErr w:type="gramStart"/>
      <w:r>
        <w:rPr>
          <w:rFonts w:ascii="Arial" w:hAnsi="Arial" w:cs="Arial"/>
          <w:color w:val="808080" w:themeColor="background1" w:themeShade="80"/>
          <w:sz w:val="22"/>
          <w:szCs w:val="22"/>
          <w:lang w:val="en-GB"/>
        </w:rPr>
        <w:t>was considered</w:t>
      </w:r>
      <w:proofErr w:type="gramEnd"/>
      <w:r>
        <w:rPr>
          <w:rFonts w:ascii="Arial" w:hAnsi="Arial" w:cs="Arial"/>
          <w:color w:val="808080" w:themeColor="background1" w:themeShade="80"/>
          <w:sz w:val="22"/>
          <w:szCs w:val="22"/>
          <w:lang w:val="en-GB"/>
        </w:rPr>
        <w:t xml:space="preserve"> in </w:t>
      </w:r>
      <w:proofErr w:type="spellStart"/>
      <w:r>
        <w:rPr>
          <w:rFonts w:ascii="Arial" w:hAnsi="Arial" w:cs="Arial"/>
          <w:i/>
          <w:color w:val="808080" w:themeColor="background1" w:themeShade="80"/>
          <w:sz w:val="22"/>
          <w:szCs w:val="22"/>
          <w:lang w:val="en-GB"/>
        </w:rPr>
        <w:t>Agrok</w:t>
      </w:r>
      <w:r w:rsidR="00585726">
        <w:rPr>
          <w:rFonts w:ascii="Arial" w:hAnsi="Arial" w:cs="Arial"/>
          <w:i/>
          <w:color w:val="808080" w:themeColor="background1" w:themeShade="80"/>
          <w:sz w:val="22"/>
          <w:szCs w:val="22"/>
          <w:lang w:val="en-GB"/>
        </w:rPr>
        <w:t>o</w:t>
      </w:r>
      <w:r>
        <w:rPr>
          <w:rFonts w:ascii="Arial" w:hAnsi="Arial" w:cs="Arial"/>
          <w:i/>
          <w:color w:val="808080" w:themeColor="background1" w:themeShade="80"/>
          <w:sz w:val="22"/>
          <w:szCs w:val="22"/>
          <w:lang w:val="en-GB"/>
        </w:rPr>
        <w:t>r</w:t>
      </w:r>
      <w:proofErr w:type="spellEnd"/>
      <w:r>
        <w:rPr>
          <w:rFonts w:ascii="Arial" w:hAnsi="Arial" w:cs="Arial"/>
          <w:i/>
          <w:color w:val="808080" w:themeColor="background1" w:themeShade="80"/>
          <w:sz w:val="22"/>
          <w:szCs w:val="22"/>
          <w:lang w:val="en-GB"/>
        </w:rPr>
        <w:t xml:space="preserve"> DD [2017] EWHC 2791 (</w:t>
      </w:r>
      <w:proofErr w:type="spellStart"/>
      <w:r>
        <w:rPr>
          <w:rFonts w:ascii="Arial" w:hAnsi="Arial" w:cs="Arial"/>
          <w:i/>
          <w:color w:val="808080" w:themeColor="background1" w:themeShade="80"/>
          <w:sz w:val="22"/>
          <w:szCs w:val="22"/>
          <w:lang w:val="en-GB"/>
        </w:rPr>
        <w:t>Ch</w:t>
      </w:r>
      <w:proofErr w:type="spellEnd"/>
      <w:r>
        <w:rPr>
          <w:rFonts w:ascii="Arial" w:hAnsi="Arial" w:cs="Arial"/>
          <w:i/>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case and it was held that the Model Law does not require "insolvency law" as a label and it was sufficient that the law deals with or addresses insolvency or severe </w:t>
      </w:r>
      <w:r w:rsidR="00585726">
        <w:rPr>
          <w:rFonts w:ascii="Arial" w:hAnsi="Arial" w:cs="Arial"/>
          <w:color w:val="808080" w:themeColor="background1" w:themeShade="80"/>
          <w:sz w:val="22"/>
          <w:szCs w:val="22"/>
          <w:lang w:val="en-GB"/>
        </w:rPr>
        <w:t xml:space="preserve">financial distress. The fact pattern and recitals of the various breaches of LBBA and DFG Law, categorisation as "troubled" and withdrawing of the licence appear to satisfy this requirement. </w:t>
      </w:r>
      <w:r>
        <w:rPr>
          <w:rFonts w:ascii="Arial" w:hAnsi="Arial" w:cs="Arial"/>
          <w:color w:val="808080" w:themeColor="background1" w:themeShade="80"/>
          <w:sz w:val="22"/>
          <w:szCs w:val="22"/>
          <w:lang w:val="en-GB"/>
        </w:rPr>
        <w:t xml:space="preserve"> </w:t>
      </w:r>
    </w:p>
    <w:p w14:paraId="75823554" w14:textId="382208C4" w:rsidR="00433FA3" w:rsidRPr="00585726" w:rsidRDefault="00433FA3" w:rsidP="00585726">
      <w:pPr>
        <w:pStyle w:val="ListParagraph"/>
        <w:numPr>
          <w:ilvl w:val="0"/>
          <w:numId w:val="41"/>
        </w:numPr>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lang w:val="en-GB"/>
        </w:rPr>
        <w:t xml:space="preserve">In which the assets and affairs of the debtor are subject to control or supervision by a foreign court </w:t>
      </w:r>
      <w:r w:rsidR="00585726">
        <w:rPr>
          <w:rFonts w:ascii="Arial" w:hAnsi="Arial" w:cs="Arial"/>
          <w:color w:val="808080" w:themeColor="background1" w:themeShade="80"/>
          <w:sz w:val="22"/>
          <w:szCs w:val="22"/>
          <w:lang w:val="en-GB"/>
        </w:rPr>
        <w:t xml:space="preserve">– this was also considered in </w:t>
      </w:r>
      <w:proofErr w:type="spellStart"/>
      <w:r w:rsidR="00585726" w:rsidRPr="00585726">
        <w:rPr>
          <w:rFonts w:ascii="Arial" w:hAnsi="Arial" w:cs="Arial"/>
          <w:i/>
          <w:color w:val="808080" w:themeColor="background1" w:themeShade="80"/>
          <w:sz w:val="22"/>
          <w:szCs w:val="22"/>
          <w:lang w:val="en-GB"/>
        </w:rPr>
        <w:t>Agrokor</w:t>
      </w:r>
      <w:proofErr w:type="spellEnd"/>
      <w:r w:rsidR="00585726" w:rsidRPr="00585726">
        <w:rPr>
          <w:rFonts w:ascii="Arial" w:hAnsi="Arial" w:cs="Arial"/>
          <w:i/>
          <w:color w:val="808080" w:themeColor="background1" w:themeShade="80"/>
          <w:sz w:val="22"/>
          <w:szCs w:val="22"/>
          <w:lang w:val="en-GB"/>
        </w:rPr>
        <w:t xml:space="preserve"> DD [2017] EWHC 2791 (</w:t>
      </w:r>
      <w:proofErr w:type="spellStart"/>
      <w:r w:rsidR="00585726" w:rsidRPr="00585726">
        <w:rPr>
          <w:rFonts w:ascii="Arial" w:hAnsi="Arial" w:cs="Arial"/>
          <w:i/>
          <w:color w:val="808080" w:themeColor="background1" w:themeShade="80"/>
          <w:sz w:val="22"/>
          <w:szCs w:val="22"/>
          <w:lang w:val="en-GB"/>
        </w:rPr>
        <w:t>Ch</w:t>
      </w:r>
      <w:proofErr w:type="spellEnd"/>
      <w:r w:rsidR="00585726" w:rsidRPr="00585726">
        <w:rPr>
          <w:rFonts w:ascii="Arial" w:hAnsi="Arial" w:cs="Arial"/>
          <w:i/>
          <w:color w:val="808080" w:themeColor="background1" w:themeShade="80"/>
          <w:sz w:val="22"/>
          <w:szCs w:val="22"/>
          <w:lang w:val="en-GB"/>
        </w:rPr>
        <w:t>)</w:t>
      </w:r>
      <w:r w:rsidR="00585726">
        <w:rPr>
          <w:rFonts w:ascii="Arial" w:hAnsi="Arial" w:cs="Arial"/>
          <w:i/>
          <w:color w:val="808080" w:themeColor="background1" w:themeShade="80"/>
          <w:sz w:val="22"/>
          <w:szCs w:val="22"/>
          <w:lang w:val="en-GB"/>
        </w:rPr>
        <w:t xml:space="preserve"> </w:t>
      </w:r>
      <w:r w:rsidR="00585726">
        <w:rPr>
          <w:rFonts w:ascii="Arial" w:hAnsi="Arial" w:cs="Arial"/>
          <w:color w:val="808080" w:themeColor="background1" w:themeShade="80"/>
          <w:sz w:val="22"/>
          <w:szCs w:val="22"/>
          <w:lang w:val="en-GB"/>
        </w:rPr>
        <w:t xml:space="preserve">which confirmed that the level of court supervision required by the Model Law is relatively low and can be potential, rather than actual and indirect rather than direct. </w:t>
      </w:r>
      <w:r w:rsidR="00B93887">
        <w:rPr>
          <w:rFonts w:ascii="Arial" w:hAnsi="Arial" w:cs="Arial"/>
          <w:color w:val="808080" w:themeColor="background1" w:themeShade="80"/>
          <w:sz w:val="22"/>
          <w:szCs w:val="22"/>
          <w:lang w:val="en-GB"/>
        </w:rPr>
        <w:t xml:space="preserve">It would seem logical to conclude that the liquidator (formerly Ms C or now Ms G) could apply to the Court for directions and/or determination of issues under the LBBA or DFG Law, and/or determination of creditor claims and as such, would invoke and satisfy this provision. </w:t>
      </w:r>
    </w:p>
    <w:p w14:paraId="6978DF38" w14:textId="10536E1A" w:rsidR="00433FA3" w:rsidRPr="00E92286" w:rsidRDefault="00433FA3" w:rsidP="005A4C0C">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Which proceeding is for the purpose of</w:t>
      </w:r>
      <w:r w:rsidR="00B93887">
        <w:rPr>
          <w:rFonts w:ascii="Arial" w:hAnsi="Arial" w:cs="Arial"/>
          <w:color w:val="808080" w:themeColor="background1" w:themeShade="80"/>
          <w:sz w:val="22"/>
          <w:szCs w:val="22"/>
          <w:lang w:val="en-GB"/>
        </w:rPr>
        <w:t xml:space="preserve"> reorganisation or liquidation </w:t>
      </w:r>
      <w:r w:rsidR="00332B7D">
        <w:rPr>
          <w:rFonts w:ascii="Arial" w:hAnsi="Arial" w:cs="Arial"/>
          <w:color w:val="808080" w:themeColor="background1" w:themeShade="80"/>
          <w:sz w:val="22"/>
          <w:szCs w:val="22"/>
          <w:lang w:val="en-GB"/>
        </w:rPr>
        <w:t>–</w:t>
      </w:r>
      <w:r w:rsidR="00B93887">
        <w:rPr>
          <w:rFonts w:ascii="Arial" w:hAnsi="Arial" w:cs="Arial"/>
          <w:color w:val="808080" w:themeColor="background1" w:themeShade="80"/>
          <w:sz w:val="22"/>
          <w:szCs w:val="22"/>
          <w:lang w:val="en-GB"/>
        </w:rPr>
        <w:t xml:space="preserve"> </w:t>
      </w:r>
      <w:r w:rsidR="00332B7D">
        <w:rPr>
          <w:rFonts w:ascii="Arial" w:hAnsi="Arial" w:cs="Arial"/>
          <w:color w:val="808080" w:themeColor="background1" w:themeShade="80"/>
          <w:sz w:val="22"/>
          <w:szCs w:val="22"/>
          <w:lang w:val="en-GB"/>
        </w:rPr>
        <w:t xml:space="preserve">here the Bank is in liquidation and so this element appears to be obviously satisfied without further analysis. </w:t>
      </w:r>
      <w:r w:rsidR="009100C7">
        <w:rPr>
          <w:rFonts w:ascii="Arial" w:hAnsi="Arial" w:cs="Arial"/>
          <w:color w:val="808080" w:themeColor="background1" w:themeShade="80"/>
          <w:sz w:val="22"/>
          <w:szCs w:val="22"/>
          <w:lang w:val="en-GB"/>
        </w:rPr>
        <w:t xml:space="preserve">However, Ms G's limited powers and inability to arrange for the sale of the Bank's assets causes difficulties. </w:t>
      </w:r>
      <w:proofErr w:type="gramStart"/>
      <w:r w:rsidR="009100C7">
        <w:rPr>
          <w:rFonts w:ascii="Arial" w:hAnsi="Arial" w:cs="Arial"/>
          <w:color w:val="808080" w:themeColor="background1" w:themeShade="80"/>
          <w:sz w:val="22"/>
          <w:szCs w:val="22"/>
          <w:lang w:val="en-GB"/>
        </w:rPr>
        <w:t>As noted at para 18 of the Digest of Case Law on the UNCITRAL Model Law on Cross-Border Insolvency, Courts have confirmed that proceedings designed to prevent dissipation and waste, or to prevent detriment to investors, rather than to liquidator or reorganise the insolvency estate,</w:t>
      </w:r>
      <w:r w:rsidR="00514B98">
        <w:rPr>
          <w:rFonts w:ascii="Arial" w:hAnsi="Arial" w:cs="Arial"/>
          <w:color w:val="808080" w:themeColor="background1" w:themeShade="80"/>
          <w:sz w:val="22"/>
          <w:szCs w:val="22"/>
          <w:lang w:val="en-GB"/>
        </w:rPr>
        <w:t xml:space="preserve"> and proceedings in which the foreign representative does not have the authority to liquidate and distribute assets to satisfy claims do not satisfy the requirements of Article 2.</w:t>
      </w:r>
      <w:proofErr w:type="gramEnd"/>
      <w:r w:rsidR="00514B98">
        <w:rPr>
          <w:rFonts w:ascii="Arial" w:hAnsi="Arial" w:cs="Arial"/>
          <w:color w:val="808080" w:themeColor="background1" w:themeShade="80"/>
          <w:sz w:val="22"/>
          <w:szCs w:val="22"/>
          <w:lang w:val="en-GB"/>
        </w:rPr>
        <w:t xml:space="preserve"> </w:t>
      </w:r>
      <w:r w:rsidR="009100C7">
        <w:rPr>
          <w:rFonts w:ascii="Arial" w:hAnsi="Arial" w:cs="Arial"/>
          <w:color w:val="808080" w:themeColor="background1" w:themeShade="80"/>
          <w:sz w:val="22"/>
          <w:szCs w:val="22"/>
          <w:lang w:val="en-GB"/>
        </w:rPr>
        <w:t xml:space="preserve"> </w:t>
      </w:r>
    </w:p>
    <w:p w14:paraId="172B2D0A" w14:textId="5A0B0DB6" w:rsidR="00387106" w:rsidRPr="009B5832" w:rsidRDefault="00387106" w:rsidP="00707FC8">
      <w:pPr>
        <w:jc w:val="both"/>
        <w:rPr>
          <w:rFonts w:ascii="Arial" w:hAnsi="Arial" w:cs="Arial"/>
          <w:sz w:val="22"/>
          <w:szCs w:val="22"/>
          <w:lang w:val="en-GB"/>
        </w:rPr>
      </w:pPr>
    </w:p>
    <w:p w14:paraId="70C6A8B6" w14:textId="5ECB811C" w:rsidR="00126A4D" w:rsidRDefault="00332B7D"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332B7D">
        <w:rPr>
          <w:rFonts w:ascii="Arial" w:hAnsi="Arial" w:cs="Arial"/>
          <w:color w:val="808080" w:themeColor="background1" w:themeShade="80"/>
          <w:sz w:val="22"/>
          <w:szCs w:val="22"/>
          <w:lang w:val="en-GB"/>
        </w:rPr>
        <w:t xml:space="preserve">4.1.2 </w:t>
      </w:r>
    </w:p>
    <w:p w14:paraId="402502C9" w14:textId="2F7113C7" w:rsidR="00332B7D" w:rsidRDefault="00332B7D"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20107A2F" w14:textId="6DD6D074" w:rsidR="00332B7D" w:rsidRDefault="00332B7D"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 "foreign representative" has the following elements: </w:t>
      </w:r>
    </w:p>
    <w:p w14:paraId="6507E1B5" w14:textId="6ADEA8B7" w:rsidR="00332B7D" w:rsidRDefault="00332B7D"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6375006C" w14:textId="77777777" w:rsidR="00192E04" w:rsidRDefault="00332B7D" w:rsidP="00332B7D">
      <w:pPr>
        <w:pStyle w:val="ListParagraph"/>
        <w:numPr>
          <w:ilvl w:val="0"/>
          <w:numId w:val="42"/>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person or body appointed, including on an interim basis</w:t>
      </w:r>
      <w:r w:rsidR="00192E04">
        <w:rPr>
          <w:rFonts w:ascii="Arial" w:hAnsi="Arial" w:cs="Arial"/>
          <w:color w:val="808080" w:themeColor="background1" w:themeShade="80"/>
          <w:sz w:val="22"/>
          <w:szCs w:val="22"/>
          <w:lang w:val="en-GB"/>
        </w:rPr>
        <w:t xml:space="preserve">; </w:t>
      </w:r>
    </w:p>
    <w:p w14:paraId="5AF4948B" w14:textId="77777777" w:rsidR="00192E04" w:rsidRDefault="00192E04" w:rsidP="00332B7D">
      <w:pPr>
        <w:pStyle w:val="ListParagraph"/>
        <w:numPr>
          <w:ilvl w:val="0"/>
          <w:numId w:val="42"/>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Authorised in a foreign proceeding; </w:t>
      </w:r>
    </w:p>
    <w:p w14:paraId="340B6DF0" w14:textId="77777777" w:rsidR="00192E04" w:rsidRDefault="00192E04" w:rsidP="00332B7D">
      <w:pPr>
        <w:pStyle w:val="ListParagraph"/>
        <w:numPr>
          <w:ilvl w:val="0"/>
          <w:numId w:val="42"/>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administrator the reorganisation or liquidation of the debtor's assets or affairs or to act as representative of the foreign proceedings. </w:t>
      </w:r>
    </w:p>
    <w:p w14:paraId="38750A63" w14:textId="77777777" w:rsidR="00192E04" w:rsidRDefault="00192E04" w:rsidP="00192E04">
      <w:pPr>
        <w:autoSpaceDE w:val="0"/>
        <w:autoSpaceDN w:val="0"/>
        <w:adjustRightInd w:val="0"/>
        <w:spacing w:line="276" w:lineRule="auto"/>
        <w:jc w:val="both"/>
        <w:rPr>
          <w:rFonts w:ascii="Arial" w:hAnsi="Arial" w:cs="Arial"/>
          <w:color w:val="808080" w:themeColor="background1" w:themeShade="80"/>
          <w:sz w:val="22"/>
          <w:szCs w:val="22"/>
          <w:lang w:val="en-GB"/>
        </w:rPr>
      </w:pPr>
    </w:p>
    <w:p w14:paraId="7AFB54AF" w14:textId="0EBBDA66" w:rsidR="00332B7D" w:rsidRDefault="00192E04" w:rsidP="00192E04">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We are told Ms C </w:t>
      </w:r>
      <w:proofErr w:type="gramStart"/>
      <w:r>
        <w:rPr>
          <w:rFonts w:ascii="Arial" w:hAnsi="Arial" w:cs="Arial"/>
          <w:color w:val="808080" w:themeColor="background1" w:themeShade="80"/>
          <w:sz w:val="22"/>
          <w:szCs w:val="22"/>
          <w:lang w:val="en-GB"/>
        </w:rPr>
        <w:t xml:space="preserve">was </w:t>
      </w:r>
      <w:r w:rsidR="00332B7D" w:rsidRPr="00192E0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t>
      </w:r>
      <w:proofErr w:type="gramEnd"/>
      <w:r w:rsidRPr="00192E04">
        <w:rPr>
          <w:rFonts w:ascii="Arial" w:hAnsi="Arial" w:cs="Arial"/>
          <w:color w:val="808080" w:themeColor="background1" w:themeShade="80"/>
          <w:sz w:val="22"/>
          <w:szCs w:val="22"/>
          <w:lang w:val="en-GB"/>
        </w:rPr>
        <w:t>Ms C as the first of the DGF’s authorised persons to whom powers of the liquidator were delegated.</w:t>
      </w:r>
      <w:r>
        <w:rPr>
          <w:rFonts w:ascii="Arial" w:hAnsi="Arial" w:cs="Arial"/>
          <w:color w:val="808080" w:themeColor="background1" w:themeShade="80"/>
          <w:sz w:val="22"/>
          <w:szCs w:val="22"/>
          <w:lang w:val="en-GB"/>
        </w:rPr>
        <w:t xml:space="preserve">" </w:t>
      </w:r>
      <w:proofErr w:type="gramStart"/>
      <w:r>
        <w:rPr>
          <w:rFonts w:ascii="Arial" w:hAnsi="Arial" w:cs="Arial"/>
          <w:color w:val="808080" w:themeColor="background1" w:themeShade="80"/>
          <w:sz w:val="22"/>
          <w:szCs w:val="22"/>
          <w:lang w:val="en-GB"/>
        </w:rPr>
        <w:t>And</w:t>
      </w:r>
      <w:proofErr w:type="gramEnd"/>
      <w:r>
        <w:rPr>
          <w:rFonts w:ascii="Arial" w:hAnsi="Arial" w:cs="Arial"/>
          <w:color w:val="808080" w:themeColor="background1" w:themeShade="80"/>
          <w:sz w:val="22"/>
          <w:szCs w:val="22"/>
          <w:lang w:val="en-GB"/>
        </w:rPr>
        <w:t xml:space="preserve"> Ms G's appointment "</w:t>
      </w:r>
      <w:r w:rsidRPr="00192E04">
        <w:rPr>
          <w:rFonts w:ascii="Arial" w:hAnsi="Arial" w:cs="Arial"/>
          <w:color w:val="808080" w:themeColor="background1" w:themeShade="80"/>
          <w:sz w:val="22"/>
          <w:szCs w:val="22"/>
          <w:lang w:val="en-GB"/>
        </w:rPr>
        <w:t xml:space="preserve">was pursuant to a Decision of the Executive Board of the Directors of the DGF, No 1513 (Resolution 1513). Resolution 1513 notes that Ms G is a “leading </w:t>
      </w:r>
      <w:r>
        <w:rPr>
          <w:rFonts w:ascii="Arial" w:hAnsi="Arial" w:cs="Arial"/>
          <w:color w:val="808080" w:themeColor="background1" w:themeShade="80"/>
          <w:sz w:val="22"/>
          <w:szCs w:val="22"/>
          <w:lang w:val="en-GB"/>
        </w:rPr>
        <w:t>bank liquidation professional” and delegates</w:t>
      </w:r>
      <w:r w:rsidRPr="00192E04">
        <w:rPr>
          <w:rFonts w:ascii="Arial" w:hAnsi="Arial" w:cs="Arial"/>
          <w:color w:val="808080" w:themeColor="background1" w:themeShade="80"/>
          <w:sz w:val="22"/>
          <w:szCs w:val="22"/>
          <w:lang w:val="en-GB"/>
        </w:rPr>
        <w:t xml:space="preserve"> to her all liquidation powers in respect of the Bank set out in the DGF Law and in particular articles 37, 38, 47-52,</w:t>
      </w:r>
      <w:r>
        <w:rPr>
          <w:rFonts w:ascii="Arial" w:hAnsi="Arial" w:cs="Arial"/>
          <w:color w:val="808080" w:themeColor="background1" w:themeShade="80"/>
          <w:sz w:val="22"/>
          <w:szCs w:val="22"/>
          <w:lang w:val="en-GB"/>
        </w:rPr>
        <w:t xml:space="preserve"> 521 and 53 of the DGF Law". However, there was a resolution (</w:t>
      </w:r>
      <w:r w:rsidRPr="00192E04">
        <w:rPr>
          <w:rFonts w:ascii="Arial" w:hAnsi="Arial" w:cs="Arial"/>
          <w:color w:val="808080" w:themeColor="background1" w:themeShade="80"/>
          <w:sz w:val="22"/>
          <w:szCs w:val="22"/>
          <w:lang w:val="en-GB"/>
        </w:rPr>
        <w:t>Resolution 1513</w:t>
      </w:r>
      <w:r>
        <w:rPr>
          <w:rFonts w:ascii="Arial" w:hAnsi="Arial" w:cs="Arial"/>
          <w:color w:val="808080" w:themeColor="background1" w:themeShade="80"/>
          <w:sz w:val="22"/>
          <w:szCs w:val="22"/>
          <w:lang w:val="en-GB"/>
        </w:rPr>
        <w:t>) expressly excluding</w:t>
      </w:r>
      <w:r w:rsidRPr="00192E04">
        <w:rPr>
          <w:rFonts w:ascii="Arial" w:hAnsi="Arial" w:cs="Arial"/>
          <w:color w:val="808080" w:themeColor="background1" w:themeShade="80"/>
          <w:sz w:val="22"/>
          <w:szCs w:val="22"/>
          <w:lang w:val="en-GB"/>
        </w:rPr>
        <w:t xml:space="preserve"> Ms G’s authority to claim damages from a related party of the Bank, and the power to arrange for the sale of the Bank’s assets.</w:t>
      </w:r>
      <w:r>
        <w:rPr>
          <w:rFonts w:ascii="Arial" w:hAnsi="Arial" w:cs="Arial"/>
          <w:color w:val="808080" w:themeColor="background1" w:themeShade="80"/>
          <w:sz w:val="22"/>
          <w:szCs w:val="22"/>
          <w:lang w:val="en-GB"/>
        </w:rPr>
        <w:t>"</w:t>
      </w:r>
      <w:r w:rsidRPr="00192E04">
        <w:rPr>
          <w:rFonts w:ascii="Arial" w:hAnsi="Arial" w:cs="Arial"/>
          <w:color w:val="808080" w:themeColor="background1" w:themeShade="80"/>
          <w:sz w:val="22"/>
          <w:szCs w:val="22"/>
          <w:lang w:val="en-GB"/>
        </w:rPr>
        <w:t xml:space="preserve"> Each of the excluded powers remains vested in the DGF </w:t>
      </w:r>
      <w:r w:rsidR="002517D4">
        <w:rPr>
          <w:rFonts w:ascii="Arial" w:hAnsi="Arial" w:cs="Arial"/>
          <w:color w:val="808080" w:themeColor="background1" w:themeShade="80"/>
          <w:sz w:val="22"/>
          <w:szCs w:val="22"/>
          <w:lang w:val="en-GB"/>
        </w:rPr>
        <w:t>[</w:t>
      </w:r>
      <w:r w:rsidR="002517D4">
        <w:rPr>
          <w:rFonts w:ascii="Arial" w:hAnsi="Arial" w:cs="Arial"/>
          <w:i/>
          <w:color w:val="808080" w:themeColor="background1" w:themeShade="80"/>
          <w:sz w:val="22"/>
          <w:szCs w:val="22"/>
          <w:lang w:val="en-GB"/>
        </w:rPr>
        <w:t xml:space="preserve">sic – Ms C?] </w:t>
      </w:r>
      <w:r w:rsidRPr="00192E04">
        <w:rPr>
          <w:rFonts w:ascii="Arial" w:hAnsi="Arial" w:cs="Arial"/>
          <w:color w:val="808080" w:themeColor="background1" w:themeShade="80"/>
          <w:sz w:val="22"/>
          <w:szCs w:val="22"/>
          <w:lang w:val="en-GB"/>
        </w:rPr>
        <w:t xml:space="preserve">as the Bank’s formally appointed liquidator. </w:t>
      </w:r>
      <w:r w:rsidR="008C3569">
        <w:rPr>
          <w:rFonts w:ascii="Arial" w:hAnsi="Arial" w:cs="Arial"/>
          <w:color w:val="808080" w:themeColor="background1" w:themeShade="80"/>
          <w:sz w:val="22"/>
          <w:szCs w:val="22"/>
          <w:lang w:val="en-GB"/>
        </w:rPr>
        <w:t xml:space="preserve">The Model Law does not define "person" but the courts have found that a foreign representative might be a firm of accountants. We are told </w:t>
      </w:r>
      <w:r w:rsidR="008C3569" w:rsidRPr="008C3569">
        <w:rPr>
          <w:rFonts w:ascii="Arial" w:hAnsi="Arial" w:cs="Arial"/>
          <w:color w:val="808080" w:themeColor="background1" w:themeShade="80"/>
          <w:sz w:val="22"/>
          <w:szCs w:val="22"/>
          <w:lang w:val="en-GB"/>
        </w:rPr>
        <w:t xml:space="preserve">Article 35(1) of the DGF Law specifies that an authorised person, must have: “…high professional and moral qualities, impeccable business reputation, complete higher education in the field of economics, finance or law…and professional experience necessary.” </w:t>
      </w:r>
      <w:r w:rsidR="008C3569">
        <w:rPr>
          <w:rFonts w:ascii="Arial" w:hAnsi="Arial" w:cs="Arial"/>
          <w:color w:val="808080" w:themeColor="background1" w:themeShade="80"/>
          <w:sz w:val="22"/>
          <w:szCs w:val="22"/>
          <w:lang w:val="en-GB"/>
        </w:rPr>
        <w:t xml:space="preserve">Ms G appears to satisfy the requirements and in England and Wales, the appointment of a liquidator is person, and as such, an individual </w:t>
      </w:r>
      <w:proofErr w:type="gramStart"/>
      <w:r w:rsidR="008C3569">
        <w:rPr>
          <w:rFonts w:ascii="Arial" w:hAnsi="Arial" w:cs="Arial"/>
          <w:color w:val="808080" w:themeColor="background1" w:themeShade="80"/>
          <w:sz w:val="22"/>
          <w:szCs w:val="22"/>
          <w:lang w:val="en-GB"/>
        </w:rPr>
        <w:t>could be recognised</w:t>
      </w:r>
      <w:proofErr w:type="gramEnd"/>
      <w:r w:rsidR="008C3569">
        <w:rPr>
          <w:rFonts w:ascii="Arial" w:hAnsi="Arial" w:cs="Arial"/>
          <w:color w:val="808080" w:themeColor="background1" w:themeShade="80"/>
          <w:sz w:val="22"/>
          <w:szCs w:val="22"/>
          <w:lang w:val="en-GB"/>
        </w:rPr>
        <w:t xml:space="preserve">. </w:t>
      </w:r>
    </w:p>
    <w:p w14:paraId="36025181" w14:textId="38FFEBBB" w:rsidR="002517D4" w:rsidRDefault="002517D4" w:rsidP="00192E04">
      <w:pPr>
        <w:autoSpaceDE w:val="0"/>
        <w:autoSpaceDN w:val="0"/>
        <w:adjustRightInd w:val="0"/>
        <w:spacing w:line="276" w:lineRule="auto"/>
        <w:jc w:val="both"/>
        <w:rPr>
          <w:rFonts w:ascii="Arial" w:hAnsi="Arial" w:cs="Arial"/>
          <w:color w:val="808080" w:themeColor="background1" w:themeShade="80"/>
          <w:sz w:val="22"/>
          <w:szCs w:val="22"/>
          <w:lang w:val="en-GB"/>
        </w:rPr>
      </w:pPr>
    </w:p>
    <w:p w14:paraId="4D034750" w14:textId="0D7F3B0D" w:rsidR="002517D4" w:rsidRPr="00192E04" w:rsidRDefault="002517D4" w:rsidP="00192E04">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Based on these facts, it appears clear that Ms C and Ms G </w:t>
      </w:r>
      <w:proofErr w:type="gramStart"/>
      <w:r>
        <w:rPr>
          <w:rFonts w:ascii="Arial" w:hAnsi="Arial" w:cs="Arial"/>
          <w:color w:val="808080" w:themeColor="background1" w:themeShade="80"/>
          <w:sz w:val="22"/>
          <w:szCs w:val="22"/>
          <w:lang w:val="en-GB"/>
        </w:rPr>
        <w:t>were appointed and authorised in a foreign proceeding</w:t>
      </w:r>
      <w:proofErr w:type="gramEnd"/>
      <w:r>
        <w:rPr>
          <w:rFonts w:ascii="Arial" w:hAnsi="Arial" w:cs="Arial"/>
          <w:color w:val="808080" w:themeColor="background1" w:themeShade="80"/>
          <w:sz w:val="22"/>
          <w:szCs w:val="22"/>
          <w:lang w:val="en-GB"/>
        </w:rPr>
        <w:t xml:space="preserve">. </w:t>
      </w:r>
      <w:r w:rsidR="00A96ECC">
        <w:rPr>
          <w:rFonts w:ascii="Arial" w:hAnsi="Arial" w:cs="Arial"/>
          <w:color w:val="808080" w:themeColor="background1" w:themeShade="80"/>
          <w:sz w:val="22"/>
          <w:szCs w:val="22"/>
          <w:lang w:val="en-GB"/>
        </w:rPr>
        <w:t>Article 9 and 11 of the Model Law give the foreign representative access rights before the Court.</w:t>
      </w:r>
      <w:r w:rsidR="009100C7">
        <w:rPr>
          <w:rFonts w:ascii="Arial" w:hAnsi="Arial" w:cs="Arial"/>
          <w:color w:val="808080" w:themeColor="background1" w:themeShade="80"/>
          <w:sz w:val="22"/>
          <w:szCs w:val="22"/>
          <w:lang w:val="en-GB"/>
        </w:rPr>
        <w:t xml:space="preserve"> However, </w:t>
      </w:r>
      <w:r w:rsidR="00514B98">
        <w:rPr>
          <w:rFonts w:ascii="Arial" w:hAnsi="Arial" w:cs="Arial"/>
          <w:color w:val="808080" w:themeColor="background1" w:themeShade="80"/>
          <w:sz w:val="22"/>
          <w:szCs w:val="22"/>
          <w:lang w:val="en-GB"/>
        </w:rPr>
        <w:t xml:space="preserve">as noted above, </w:t>
      </w:r>
      <w:proofErr w:type="gramStart"/>
      <w:r w:rsidR="00514B98">
        <w:rPr>
          <w:rFonts w:ascii="Arial" w:hAnsi="Arial" w:cs="Arial"/>
          <w:color w:val="808080" w:themeColor="background1" w:themeShade="80"/>
          <w:sz w:val="22"/>
          <w:szCs w:val="22"/>
          <w:lang w:val="en-GB"/>
        </w:rPr>
        <w:t>by reason of</w:t>
      </w:r>
      <w:proofErr w:type="gramEnd"/>
      <w:r w:rsidR="00514B98">
        <w:rPr>
          <w:rFonts w:ascii="Arial" w:hAnsi="Arial" w:cs="Arial"/>
          <w:color w:val="808080" w:themeColor="background1" w:themeShade="80"/>
          <w:sz w:val="22"/>
          <w:szCs w:val="22"/>
          <w:lang w:val="en-GB"/>
        </w:rPr>
        <w:t xml:space="preserve"> </w:t>
      </w:r>
      <w:r w:rsidR="009100C7">
        <w:rPr>
          <w:rFonts w:ascii="Arial" w:hAnsi="Arial" w:cs="Arial"/>
          <w:color w:val="808080" w:themeColor="background1" w:themeShade="80"/>
          <w:sz w:val="22"/>
          <w:szCs w:val="22"/>
          <w:lang w:val="en-GB"/>
        </w:rPr>
        <w:t xml:space="preserve">Ms G's powers </w:t>
      </w:r>
      <w:r w:rsidR="00514B98">
        <w:rPr>
          <w:rFonts w:ascii="Arial" w:hAnsi="Arial" w:cs="Arial"/>
          <w:color w:val="808080" w:themeColor="background1" w:themeShade="80"/>
          <w:sz w:val="22"/>
          <w:szCs w:val="22"/>
          <w:lang w:val="en-GB"/>
        </w:rPr>
        <w:t xml:space="preserve">being </w:t>
      </w:r>
      <w:r w:rsidR="009100C7">
        <w:rPr>
          <w:rFonts w:ascii="Arial" w:hAnsi="Arial" w:cs="Arial"/>
          <w:color w:val="808080" w:themeColor="background1" w:themeShade="80"/>
          <w:sz w:val="22"/>
          <w:szCs w:val="22"/>
          <w:lang w:val="en-GB"/>
        </w:rPr>
        <w:t xml:space="preserve">limited, more </w:t>
      </w:r>
      <w:r w:rsidR="00514B98">
        <w:rPr>
          <w:rFonts w:ascii="Arial" w:hAnsi="Arial" w:cs="Arial"/>
          <w:color w:val="808080" w:themeColor="background1" w:themeShade="80"/>
          <w:sz w:val="22"/>
          <w:szCs w:val="22"/>
          <w:lang w:val="en-GB"/>
        </w:rPr>
        <w:t xml:space="preserve">so than ordinarily associated with the </w:t>
      </w:r>
      <w:r w:rsidR="009100C7">
        <w:rPr>
          <w:rFonts w:ascii="Arial" w:hAnsi="Arial" w:cs="Arial"/>
          <w:color w:val="808080" w:themeColor="background1" w:themeShade="80"/>
          <w:sz w:val="22"/>
          <w:szCs w:val="22"/>
          <w:lang w:val="en-GB"/>
        </w:rPr>
        <w:t>powers or duties typically assoc</w:t>
      </w:r>
      <w:r w:rsidR="00514B98">
        <w:rPr>
          <w:rFonts w:ascii="Arial" w:hAnsi="Arial" w:cs="Arial"/>
          <w:color w:val="808080" w:themeColor="background1" w:themeShade="80"/>
          <w:sz w:val="22"/>
          <w:szCs w:val="22"/>
          <w:lang w:val="en-GB"/>
        </w:rPr>
        <w:t>i</w:t>
      </w:r>
      <w:r w:rsidR="009100C7">
        <w:rPr>
          <w:rFonts w:ascii="Arial" w:hAnsi="Arial" w:cs="Arial"/>
          <w:color w:val="808080" w:themeColor="background1" w:themeShade="80"/>
          <w:sz w:val="22"/>
          <w:szCs w:val="22"/>
          <w:lang w:val="en-GB"/>
        </w:rPr>
        <w:t>ated</w:t>
      </w:r>
      <w:r w:rsidR="00514B98">
        <w:rPr>
          <w:rFonts w:ascii="Arial" w:hAnsi="Arial" w:cs="Arial"/>
          <w:color w:val="808080" w:themeColor="background1" w:themeShade="80"/>
          <w:sz w:val="22"/>
          <w:szCs w:val="22"/>
          <w:lang w:val="en-GB"/>
        </w:rPr>
        <w:t xml:space="preserve"> with a liquidator, further consideration may be necessary. However, the Model law does not specify that the foreign representative be authorised by the foreign court and the GEI (para 86) notes that the definition is broad enough to include appoints by </w:t>
      </w:r>
      <w:r w:rsidR="008C3569">
        <w:rPr>
          <w:rFonts w:ascii="Arial" w:hAnsi="Arial" w:cs="Arial"/>
          <w:color w:val="808080" w:themeColor="background1" w:themeShade="80"/>
          <w:sz w:val="22"/>
          <w:szCs w:val="22"/>
          <w:lang w:val="en-GB"/>
        </w:rPr>
        <w:t>s</w:t>
      </w:r>
      <w:r w:rsidR="00514B98">
        <w:rPr>
          <w:rFonts w:ascii="Arial" w:hAnsi="Arial" w:cs="Arial"/>
          <w:color w:val="808080" w:themeColor="background1" w:themeShade="80"/>
          <w:sz w:val="22"/>
          <w:szCs w:val="22"/>
          <w:lang w:val="en-GB"/>
        </w:rPr>
        <w:t xml:space="preserve">pecial agency other than the court. </w:t>
      </w:r>
      <w:r w:rsidR="007C3C83">
        <w:rPr>
          <w:rFonts w:ascii="Arial" w:hAnsi="Arial" w:cs="Arial"/>
          <w:color w:val="808080" w:themeColor="background1" w:themeShade="80"/>
          <w:sz w:val="22"/>
          <w:szCs w:val="22"/>
          <w:lang w:val="en-GB"/>
        </w:rPr>
        <w:t xml:space="preserve">Without varying Ms G's powers such as to allow her to administer the estate more generally, there is a question as to whether she would have standing to make the application for recognition. </w:t>
      </w:r>
      <w:r w:rsidR="007C3C83">
        <w:rPr>
          <w:rStyle w:val="FootnoteReference"/>
          <w:rFonts w:ascii="Arial" w:hAnsi="Arial" w:cs="Arial"/>
          <w:color w:val="808080" w:themeColor="background1" w:themeShade="80"/>
          <w:sz w:val="22"/>
          <w:szCs w:val="22"/>
          <w:lang w:val="en-GB"/>
        </w:rPr>
        <w:footnoteReference w:id="2"/>
      </w: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9100C7" w:rsidRDefault="009100C7" w:rsidP="00241B44">
      <w:r>
        <w:separator/>
      </w:r>
    </w:p>
  </w:endnote>
  <w:endnote w:type="continuationSeparator" w:id="0">
    <w:p w14:paraId="53C7A7B1" w14:textId="77777777" w:rsidR="009100C7" w:rsidRDefault="009100C7" w:rsidP="00241B44">
      <w:r>
        <w:continuationSeparator/>
      </w:r>
    </w:p>
  </w:endnote>
  <w:endnote w:id="1">
    <w:p w14:paraId="747FB9A6" w14:textId="77777777" w:rsidR="009100C7" w:rsidRPr="00FD4A6E" w:rsidRDefault="009100C7" w:rsidP="00332B7D">
      <w:pPr>
        <w:pStyle w:val="EndnoteText"/>
        <w:rPr>
          <w:lang w:val="en-GB"/>
        </w:rPr>
      </w:pPr>
      <w:r>
        <w:rPr>
          <w:rStyle w:val="EndnoteReference"/>
        </w:rPr>
        <w:endnoteRef/>
      </w:r>
      <w:r>
        <w:t xml:space="preserve"> </w:t>
      </w:r>
      <w:r>
        <w:rPr>
          <w:lang w:val="en-GB"/>
        </w:rPr>
        <w:t xml:space="preserve">United </w:t>
      </w:r>
      <w:proofErr w:type="spellStart"/>
      <w:r>
        <w:rPr>
          <w:lang w:val="en-GB"/>
        </w:rPr>
        <w:t>StatesL</w:t>
      </w:r>
      <w:proofErr w:type="spellEnd"/>
      <w:r>
        <w:rPr>
          <w:lang w:val="en-GB"/>
        </w:rPr>
        <w:t xml:space="preserve"> Irish Bank Resolution Corporation (IBRC) Limited, 538 B.R. 692, 697 (</w:t>
      </w:r>
      <w:proofErr w:type="spellStart"/>
      <w:r>
        <w:rPr>
          <w:lang w:val="en-GB"/>
        </w:rPr>
        <w:t>D.Del</w:t>
      </w:r>
      <w:proofErr w:type="spellEnd"/>
      <w:r>
        <w:rPr>
          <w:lang w:val="en-GB"/>
        </w:rPr>
        <w:t xml:space="preserv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100C7" w:rsidRPr="00FC7B47" w:rsidRDefault="009100C7"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9100C7" w:rsidRPr="00FC7B47" w:rsidRDefault="009100C7"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6F244D1A" w:rsidR="009100C7" w:rsidRPr="00784B4B" w:rsidRDefault="009100C7"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7C3C83">
          <w:rPr>
            <w:rStyle w:val="PageNumber"/>
            <w:rFonts w:ascii="Arial" w:hAnsi="Arial" w:cs="Arial"/>
            <w:noProof/>
            <w:sz w:val="18"/>
            <w:szCs w:val="18"/>
          </w:rPr>
          <w:t>14</w:t>
        </w:r>
        <w:r w:rsidRPr="00784B4B">
          <w:rPr>
            <w:rStyle w:val="PageNumber"/>
            <w:rFonts w:ascii="Arial" w:hAnsi="Arial" w:cs="Arial"/>
            <w:sz w:val="18"/>
            <w:szCs w:val="18"/>
          </w:rPr>
          <w:fldChar w:fldCharType="end"/>
        </w:r>
      </w:p>
    </w:sdtContent>
  </w:sdt>
  <w:p w14:paraId="7E7C1A9B" w14:textId="11ECF13C" w:rsidR="009100C7" w:rsidRPr="00784B4B" w:rsidRDefault="009100C7" w:rsidP="0036760B">
    <w:pPr>
      <w:pStyle w:val="Footer"/>
      <w:ind w:right="360" w:firstLine="360"/>
      <w:rPr>
        <w:rFonts w:ascii="Arial" w:hAnsi="Arial" w:cs="Arial"/>
        <w:sz w:val="18"/>
        <w:szCs w:val="18"/>
      </w:rPr>
    </w:pPr>
    <w:r w:rsidRPr="00784B4B">
      <w:rPr>
        <w:rFonts w:ascii="Arial" w:hAnsi="Arial" w:cs="Arial"/>
        <w:sz w:val="18"/>
        <w:szCs w:val="18"/>
      </w:rPr>
      <w:t>student</w:t>
    </w:r>
    <w:r>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9100C7" w:rsidRPr="00784B4B" w:rsidRDefault="009100C7"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9100C7" w:rsidRDefault="009100C7" w:rsidP="00241B44">
      <w:r>
        <w:separator/>
      </w:r>
    </w:p>
  </w:footnote>
  <w:footnote w:type="continuationSeparator" w:id="0">
    <w:p w14:paraId="2FE98E22" w14:textId="77777777" w:rsidR="009100C7" w:rsidRDefault="009100C7" w:rsidP="00241B44">
      <w:r>
        <w:continuationSeparator/>
      </w:r>
    </w:p>
  </w:footnote>
  <w:footnote w:id="1">
    <w:p w14:paraId="54344838" w14:textId="4186E164" w:rsidR="009100C7" w:rsidRPr="00805FB9" w:rsidRDefault="009100C7">
      <w:pPr>
        <w:pStyle w:val="FootnoteText"/>
        <w:rPr>
          <w:lang w:val="en-GB"/>
        </w:rPr>
      </w:pPr>
      <w:r>
        <w:rPr>
          <w:rStyle w:val="FootnoteReference"/>
        </w:rPr>
        <w:footnoteRef/>
      </w:r>
      <w:r>
        <w:t xml:space="preserve"> </w:t>
      </w:r>
      <w:r>
        <w:rPr>
          <w:lang w:val="en-GB"/>
        </w:rPr>
        <w:t>GEL (paras 157-160)</w:t>
      </w:r>
    </w:p>
  </w:footnote>
  <w:footnote w:id="2">
    <w:p w14:paraId="6509151F" w14:textId="5420FAAD" w:rsidR="007C3C83" w:rsidRPr="007C3C83" w:rsidRDefault="007C3C83">
      <w:pPr>
        <w:pStyle w:val="FootnoteText"/>
        <w:rPr>
          <w:lang w:val="en-GB"/>
        </w:rPr>
      </w:pPr>
      <w:r>
        <w:rPr>
          <w:rStyle w:val="FootnoteReference"/>
        </w:rPr>
        <w:footnoteRef/>
      </w:r>
      <w:r>
        <w:t xml:space="preserve"> </w:t>
      </w:r>
      <w:r>
        <w:rPr>
          <w:lang w:val="en-GB"/>
        </w:rPr>
        <w:t>Stanford International Bank Limited [2010] EWCA Civ. 1441 [para 29], CLOT 1003; United States, Loy, 448 B.R. 420, 432-433 (</w:t>
      </w:r>
      <w:proofErr w:type="spellStart"/>
      <w:r>
        <w:rPr>
          <w:lang w:val="en-GB"/>
        </w:rPr>
        <w:t>Bankr</w:t>
      </w:r>
      <w:proofErr w:type="spellEnd"/>
      <w:r>
        <w:rPr>
          <w:lang w:val="en-GB"/>
        </w:rPr>
        <w:t xml:space="preserve"> E.D. Va. </w:t>
      </w:r>
      <w:r>
        <w:rPr>
          <w:lang w:val="en-GB"/>
        </w:rPr>
        <w:t xml:space="preserve">2011). </w:t>
      </w:r>
      <w:bookmarkStart w:id="30" w:name="_GoBack"/>
      <w:bookmarkEnd w:id="30"/>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8571AD"/>
    <w:multiLevelType w:val="hybridMultilevel"/>
    <w:tmpl w:val="A2A2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12F4"/>
    <w:multiLevelType w:val="hybridMultilevel"/>
    <w:tmpl w:val="A92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1"/>
  </w:num>
  <w:num w:numId="3">
    <w:abstractNumId w:val="28"/>
  </w:num>
  <w:num w:numId="4">
    <w:abstractNumId w:val="37"/>
  </w:num>
  <w:num w:numId="5">
    <w:abstractNumId w:val="6"/>
  </w:num>
  <w:num w:numId="6">
    <w:abstractNumId w:val="35"/>
  </w:num>
  <w:num w:numId="7">
    <w:abstractNumId w:val="15"/>
  </w:num>
  <w:num w:numId="8">
    <w:abstractNumId w:val="30"/>
  </w:num>
  <w:num w:numId="9">
    <w:abstractNumId w:val="18"/>
  </w:num>
  <w:num w:numId="10">
    <w:abstractNumId w:val="9"/>
  </w:num>
  <w:num w:numId="11">
    <w:abstractNumId w:val="20"/>
  </w:num>
  <w:num w:numId="12">
    <w:abstractNumId w:val="34"/>
  </w:num>
  <w:num w:numId="13">
    <w:abstractNumId w:val="4"/>
  </w:num>
  <w:num w:numId="14">
    <w:abstractNumId w:val="26"/>
  </w:num>
  <w:num w:numId="15">
    <w:abstractNumId w:val="10"/>
  </w:num>
  <w:num w:numId="16">
    <w:abstractNumId w:val="11"/>
  </w:num>
  <w:num w:numId="17">
    <w:abstractNumId w:val="22"/>
  </w:num>
  <w:num w:numId="18">
    <w:abstractNumId w:val="5"/>
  </w:num>
  <w:num w:numId="19">
    <w:abstractNumId w:val="21"/>
  </w:num>
  <w:num w:numId="20">
    <w:abstractNumId w:val="40"/>
  </w:num>
  <w:num w:numId="21">
    <w:abstractNumId w:val="14"/>
  </w:num>
  <w:num w:numId="22">
    <w:abstractNumId w:val="33"/>
  </w:num>
  <w:num w:numId="23">
    <w:abstractNumId w:val="38"/>
  </w:num>
  <w:num w:numId="24">
    <w:abstractNumId w:val="32"/>
  </w:num>
  <w:num w:numId="25">
    <w:abstractNumId w:val="25"/>
  </w:num>
  <w:num w:numId="26">
    <w:abstractNumId w:val="39"/>
  </w:num>
  <w:num w:numId="27">
    <w:abstractNumId w:val="36"/>
  </w:num>
  <w:num w:numId="28">
    <w:abstractNumId w:val="7"/>
  </w:num>
  <w:num w:numId="29">
    <w:abstractNumId w:val="8"/>
  </w:num>
  <w:num w:numId="30">
    <w:abstractNumId w:val="23"/>
  </w:num>
  <w:num w:numId="31">
    <w:abstractNumId w:val="2"/>
  </w:num>
  <w:num w:numId="32">
    <w:abstractNumId w:val="24"/>
  </w:num>
  <w:num w:numId="33">
    <w:abstractNumId w:val="0"/>
  </w:num>
  <w:num w:numId="34">
    <w:abstractNumId w:val="29"/>
  </w:num>
  <w:num w:numId="35">
    <w:abstractNumId w:val="17"/>
  </w:num>
  <w:num w:numId="36">
    <w:abstractNumId w:val="31"/>
  </w:num>
  <w:num w:numId="37">
    <w:abstractNumId w:val="19"/>
  </w:num>
  <w:num w:numId="38">
    <w:abstractNumId w:val="27"/>
  </w:num>
  <w:num w:numId="39">
    <w:abstractNumId w:val="3"/>
  </w:num>
  <w:num w:numId="40">
    <w:abstractNumId w:val="16"/>
  </w:num>
  <w:num w:numId="41">
    <w:abstractNumId w:val="13"/>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2E04"/>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17D4"/>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B3043"/>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2B7D"/>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0617"/>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3FA3"/>
    <w:rsid w:val="00434A8C"/>
    <w:rsid w:val="00435583"/>
    <w:rsid w:val="00437297"/>
    <w:rsid w:val="00443403"/>
    <w:rsid w:val="00444284"/>
    <w:rsid w:val="00445CE6"/>
    <w:rsid w:val="004534C2"/>
    <w:rsid w:val="0045446F"/>
    <w:rsid w:val="0045683E"/>
    <w:rsid w:val="0047025B"/>
    <w:rsid w:val="0047094C"/>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4B98"/>
    <w:rsid w:val="005177FE"/>
    <w:rsid w:val="0052263B"/>
    <w:rsid w:val="00524728"/>
    <w:rsid w:val="00530003"/>
    <w:rsid w:val="005331CA"/>
    <w:rsid w:val="0053353F"/>
    <w:rsid w:val="00537970"/>
    <w:rsid w:val="00540B44"/>
    <w:rsid w:val="00540E3A"/>
    <w:rsid w:val="00544127"/>
    <w:rsid w:val="00544273"/>
    <w:rsid w:val="005463A9"/>
    <w:rsid w:val="00546713"/>
    <w:rsid w:val="00546767"/>
    <w:rsid w:val="00553EB2"/>
    <w:rsid w:val="00556777"/>
    <w:rsid w:val="00560534"/>
    <w:rsid w:val="0056391B"/>
    <w:rsid w:val="005650E2"/>
    <w:rsid w:val="00565292"/>
    <w:rsid w:val="0056535A"/>
    <w:rsid w:val="00565DEE"/>
    <w:rsid w:val="00567AD7"/>
    <w:rsid w:val="00573E73"/>
    <w:rsid w:val="00575B2D"/>
    <w:rsid w:val="005833D0"/>
    <w:rsid w:val="005846F3"/>
    <w:rsid w:val="00585726"/>
    <w:rsid w:val="00585A42"/>
    <w:rsid w:val="0058622F"/>
    <w:rsid w:val="00587461"/>
    <w:rsid w:val="00592F82"/>
    <w:rsid w:val="005A0CCA"/>
    <w:rsid w:val="005A4C0C"/>
    <w:rsid w:val="005A726D"/>
    <w:rsid w:val="005B67AC"/>
    <w:rsid w:val="005C2C94"/>
    <w:rsid w:val="005C4865"/>
    <w:rsid w:val="005D3C5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C83"/>
    <w:rsid w:val="007C3FE5"/>
    <w:rsid w:val="007C6201"/>
    <w:rsid w:val="007C6988"/>
    <w:rsid w:val="007D28A1"/>
    <w:rsid w:val="007D7C92"/>
    <w:rsid w:val="007E1154"/>
    <w:rsid w:val="007E6BA4"/>
    <w:rsid w:val="007E7678"/>
    <w:rsid w:val="007F41F8"/>
    <w:rsid w:val="007F60D0"/>
    <w:rsid w:val="0080454E"/>
    <w:rsid w:val="00804C32"/>
    <w:rsid w:val="00805FB9"/>
    <w:rsid w:val="00806302"/>
    <w:rsid w:val="00807119"/>
    <w:rsid w:val="0081583F"/>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3569"/>
    <w:rsid w:val="008C66E0"/>
    <w:rsid w:val="008E1224"/>
    <w:rsid w:val="008E2DFA"/>
    <w:rsid w:val="008E3339"/>
    <w:rsid w:val="008E549B"/>
    <w:rsid w:val="008F18EF"/>
    <w:rsid w:val="008F20FC"/>
    <w:rsid w:val="008F2B24"/>
    <w:rsid w:val="008F5FFE"/>
    <w:rsid w:val="0090421A"/>
    <w:rsid w:val="00905A43"/>
    <w:rsid w:val="009100C7"/>
    <w:rsid w:val="00912C79"/>
    <w:rsid w:val="009260A2"/>
    <w:rsid w:val="00942123"/>
    <w:rsid w:val="00950C52"/>
    <w:rsid w:val="00951031"/>
    <w:rsid w:val="0095207B"/>
    <w:rsid w:val="00952C60"/>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08E2"/>
    <w:rsid w:val="00A407EF"/>
    <w:rsid w:val="00A46B4C"/>
    <w:rsid w:val="00A5117B"/>
    <w:rsid w:val="00A54689"/>
    <w:rsid w:val="00A60074"/>
    <w:rsid w:val="00A6627C"/>
    <w:rsid w:val="00A71019"/>
    <w:rsid w:val="00A81029"/>
    <w:rsid w:val="00A83CB5"/>
    <w:rsid w:val="00A96489"/>
    <w:rsid w:val="00A96ECC"/>
    <w:rsid w:val="00AA3A42"/>
    <w:rsid w:val="00AA5311"/>
    <w:rsid w:val="00AB685C"/>
    <w:rsid w:val="00AB6C2D"/>
    <w:rsid w:val="00AC08F7"/>
    <w:rsid w:val="00AC304E"/>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93887"/>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2286"/>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4A6E"/>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EndnoteText">
    <w:name w:val="endnote text"/>
    <w:basedOn w:val="Normal"/>
    <w:link w:val="EndnoteTextChar"/>
    <w:uiPriority w:val="99"/>
    <w:semiHidden/>
    <w:unhideWhenUsed/>
    <w:rsid w:val="00FD4A6E"/>
    <w:rPr>
      <w:szCs w:val="20"/>
    </w:rPr>
  </w:style>
  <w:style w:type="character" w:customStyle="1" w:styleId="EndnoteTextChar">
    <w:name w:val="Endnote Text Char"/>
    <w:basedOn w:val="DefaultParagraphFont"/>
    <w:link w:val="EndnoteText"/>
    <w:uiPriority w:val="99"/>
    <w:semiHidden/>
    <w:rsid w:val="00FD4A6E"/>
    <w:rPr>
      <w:rFonts w:eastAsia="Times New Roman"/>
      <w:sz w:val="20"/>
      <w:szCs w:val="20"/>
    </w:rPr>
  </w:style>
  <w:style w:type="character" w:styleId="EndnoteReference">
    <w:name w:val="endnote reference"/>
    <w:basedOn w:val="DefaultParagraphFont"/>
    <w:uiPriority w:val="99"/>
    <w:semiHidden/>
    <w:unhideWhenUsed/>
    <w:rsid w:val="00FD4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0487-250C-46AD-8AF1-2B670D14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15</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Schiff</cp:lastModifiedBy>
  <cp:revision>8</cp:revision>
  <cp:lastPrinted>2019-08-27T05:42:00Z</cp:lastPrinted>
  <dcterms:created xsi:type="dcterms:W3CDTF">2022-02-11T15:40:00Z</dcterms:created>
  <dcterms:modified xsi:type="dcterms:W3CDTF">2022-02-28T12:55:00Z</dcterms:modified>
</cp:coreProperties>
</file>