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lastRenderedPageBreak/>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 xml:space="preserve">False. The objective of </w:t>
      </w:r>
      <w:proofErr w:type="gramStart"/>
      <w:r w:rsidRPr="00971896">
        <w:rPr>
          <w:rFonts w:ascii="Arial" w:hAnsi="Arial" w:cs="Arial"/>
          <w:sz w:val="22"/>
          <w:szCs w:val="22"/>
          <w:lang w:val="en-GB"/>
        </w:rPr>
        <w:t>an</w:t>
      </w:r>
      <w:proofErr w:type="gramEnd"/>
      <w:r w:rsidRPr="00971896">
        <w:rPr>
          <w:rFonts w:ascii="Arial" w:hAnsi="Arial" w:cs="Arial"/>
          <w:sz w:val="22"/>
          <w:szCs w:val="22"/>
          <w:lang w:val="en-GB"/>
        </w:rPr>
        <w:t xml:space="preserve">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2126BF" w:rsidRDefault="00D21F62" w:rsidP="003C4BCB">
      <w:pPr>
        <w:pStyle w:val="ListParagraph"/>
        <w:numPr>
          <w:ilvl w:val="0"/>
          <w:numId w:val="2"/>
        </w:numPr>
        <w:ind w:left="426"/>
        <w:jc w:val="both"/>
        <w:rPr>
          <w:rFonts w:ascii="Arial" w:hAnsi="Arial" w:cs="Arial"/>
          <w:sz w:val="22"/>
          <w:szCs w:val="22"/>
          <w:highlight w:val="yellow"/>
          <w:lang w:val="en-GB"/>
        </w:rPr>
      </w:pPr>
      <w:r w:rsidRPr="002126BF">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2126BF">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 xml:space="preserve">The EIR 2000 was the first </w:t>
      </w:r>
      <w:proofErr w:type="gramStart"/>
      <w:r w:rsidRPr="005D2CD6">
        <w:rPr>
          <w:rFonts w:ascii="Arial" w:hAnsi="Arial" w:cs="Arial"/>
          <w:sz w:val="22"/>
          <w:szCs w:val="22"/>
          <w:lang w:val="en-GB"/>
        </w:rPr>
        <w:t>ever European</w:t>
      </w:r>
      <w:proofErr w:type="gramEnd"/>
      <w:r w:rsidRPr="005D2CD6">
        <w:rPr>
          <w:rFonts w:ascii="Arial" w:hAnsi="Arial" w:cs="Arial"/>
          <w:sz w:val="22"/>
          <w:szCs w:val="22"/>
          <w:lang w:val="en-GB"/>
        </w:rPr>
        <w:t xml:space="preserve">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2126BF" w:rsidRDefault="006D217A" w:rsidP="006D217A">
      <w:pPr>
        <w:pStyle w:val="ListParagraph"/>
        <w:numPr>
          <w:ilvl w:val="0"/>
          <w:numId w:val="3"/>
        </w:numPr>
        <w:ind w:left="426"/>
        <w:jc w:val="both"/>
        <w:rPr>
          <w:rFonts w:ascii="Arial" w:hAnsi="Arial" w:cs="Arial"/>
          <w:iCs/>
          <w:sz w:val="22"/>
          <w:szCs w:val="22"/>
          <w:highlight w:val="yellow"/>
          <w:lang w:val="en-GB"/>
        </w:rPr>
      </w:pPr>
      <w:r w:rsidRPr="002126BF">
        <w:rPr>
          <w:rFonts w:ascii="Arial" w:hAnsi="Arial" w:cs="Arial"/>
          <w:iCs/>
          <w:sz w:val="22"/>
          <w:szCs w:val="22"/>
          <w:highlight w:val="yellow"/>
          <w:lang w:val="en-GB"/>
        </w:rPr>
        <w:t>False</w:t>
      </w:r>
      <w:r w:rsidR="00D21F62" w:rsidRPr="002126BF">
        <w:rPr>
          <w:rFonts w:ascii="Arial" w:hAnsi="Arial" w:cs="Arial"/>
          <w:iCs/>
          <w:sz w:val="22"/>
          <w:szCs w:val="22"/>
          <w:highlight w:val="yellow"/>
          <w:lang w:val="en-GB"/>
        </w:rPr>
        <w:t>.</w:t>
      </w:r>
      <w:r w:rsidRPr="002126BF">
        <w:rPr>
          <w:rFonts w:ascii="Arial" w:hAnsi="Arial" w:cs="Arial"/>
          <w:iCs/>
          <w:sz w:val="22"/>
          <w:szCs w:val="22"/>
          <w:highlight w:val="yellow"/>
          <w:lang w:val="en-GB"/>
        </w:rPr>
        <w:t xml:space="preserve"> </w:t>
      </w:r>
      <w:r w:rsidR="00D21F62" w:rsidRPr="002126BF">
        <w:rPr>
          <w:rFonts w:ascii="Arial" w:hAnsi="Arial" w:cs="Arial"/>
          <w:sz w:val="22"/>
          <w:szCs w:val="22"/>
          <w:highlight w:val="yellow"/>
          <w:lang w:val="en-GB"/>
        </w:rPr>
        <w:t>T</w:t>
      </w:r>
      <w:r w:rsidRPr="002126BF">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proofErr w:type="gramStart"/>
      <w:r w:rsidR="00D21F62" w:rsidRPr="005D2CD6">
        <w:rPr>
          <w:rFonts w:ascii="Arial" w:hAnsi="Arial" w:cs="Arial"/>
          <w:sz w:val="22"/>
          <w:szCs w:val="22"/>
          <w:lang w:val="en-GB"/>
        </w:rPr>
        <w:t>A</w:t>
      </w:r>
      <w:r w:rsidRPr="005D2CD6">
        <w:rPr>
          <w:rFonts w:ascii="Arial" w:hAnsi="Arial" w:cs="Arial"/>
          <w:sz w:val="22"/>
          <w:szCs w:val="22"/>
          <w:lang w:val="en-GB"/>
        </w:rPr>
        <w:t>n</w:t>
      </w:r>
      <w:proofErr w:type="gramEnd"/>
      <w:r w:rsidRPr="005D2CD6">
        <w:rPr>
          <w:rFonts w:ascii="Arial" w:hAnsi="Arial" w:cs="Arial"/>
          <w:sz w:val="22"/>
          <w:szCs w:val="22"/>
          <w:lang w:val="en-GB"/>
        </w:rPr>
        <w:t xml:space="preserve">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2126BF" w:rsidRDefault="00D21F62" w:rsidP="003C4BCB">
      <w:pPr>
        <w:pStyle w:val="ListParagraph"/>
        <w:numPr>
          <w:ilvl w:val="0"/>
          <w:numId w:val="4"/>
        </w:numPr>
        <w:ind w:left="426"/>
        <w:jc w:val="both"/>
        <w:rPr>
          <w:rFonts w:ascii="Arial" w:hAnsi="Arial" w:cs="Arial"/>
          <w:sz w:val="22"/>
          <w:szCs w:val="22"/>
          <w:highlight w:val="yellow"/>
          <w:lang w:val="en-GB"/>
        </w:rPr>
      </w:pPr>
      <w:r w:rsidRPr="002126BF">
        <w:rPr>
          <w:rFonts w:ascii="Arial" w:hAnsi="Arial" w:cs="Arial"/>
          <w:sz w:val="22"/>
          <w:szCs w:val="22"/>
          <w:highlight w:val="yellow"/>
          <w:lang w:val="en-GB"/>
        </w:rPr>
        <w:t xml:space="preserve">False. While a number of shortcomings were identified by an evaluation study and a public consultation, </w:t>
      </w:r>
      <w:proofErr w:type="gramStart"/>
      <w:r w:rsidRPr="002126BF">
        <w:rPr>
          <w:rFonts w:ascii="Arial" w:hAnsi="Arial" w:cs="Arial"/>
          <w:sz w:val="22"/>
          <w:szCs w:val="22"/>
          <w:highlight w:val="yellow"/>
          <w:lang w:val="en-GB"/>
        </w:rPr>
        <w:t>the EIR 2000 was generally regarded as a successful instrument by most stakeholders, including practitioners, businesses, the EU institutions and insolvency academics</w:t>
      </w:r>
      <w:proofErr w:type="gramEnd"/>
      <w:r w:rsidRPr="002126BF">
        <w:rPr>
          <w:rFonts w:ascii="Arial" w:hAnsi="Arial" w:cs="Arial"/>
          <w:sz w:val="22"/>
          <w:szCs w:val="22"/>
          <w:highlight w:val="yellow"/>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2126BF" w:rsidRDefault="00971896" w:rsidP="003C4BCB">
      <w:pPr>
        <w:pStyle w:val="ListParagraph"/>
        <w:numPr>
          <w:ilvl w:val="0"/>
          <w:numId w:val="5"/>
        </w:numPr>
        <w:ind w:left="426"/>
        <w:jc w:val="both"/>
        <w:rPr>
          <w:rFonts w:ascii="Arial" w:hAnsi="Arial" w:cs="Arial"/>
          <w:sz w:val="22"/>
          <w:szCs w:val="22"/>
          <w:highlight w:val="yellow"/>
          <w:lang w:val="en-GB"/>
        </w:rPr>
      </w:pPr>
      <w:r w:rsidRPr="002126BF">
        <w:rPr>
          <w:rFonts w:ascii="Arial" w:hAnsi="Arial" w:cs="Arial"/>
          <w:sz w:val="22"/>
          <w:szCs w:val="22"/>
          <w:highlight w:val="yellow"/>
          <w:lang w:val="en-GB"/>
        </w:rPr>
        <w:t xml:space="preserve">Although the EIR Recast includes relevant and useful innovations, it has stuck with the framework of the </w:t>
      </w:r>
      <w:r w:rsidR="006F0106" w:rsidRPr="002126BF">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w:t>
      </w:r>
      <w:proofErr w:type="gramStart"/>
      <w:r w:rsidR="006F0106" w:rsidRPr="005D2CD6">
        <w:rPr>
          <w:rFonts w:ascii="Arial" w:hAnsi="Arial" w:cs="Arial"/>
          <w:sz w:val="22"/>
          <w:szCs w:val="22"/>
          <w:lang w:val="en-GB"/>
        </w:rPr>
        <w:t>instrument which</w:t>
      </w:r>
      <w:proofErr w:type="gramEnd"/>
      <w:r w:rsidR="006F0106" w:rsidRPr="005D2CD6">
        <w:rPr>
          <w:rFonts w:ascii="Arial" w:hAnsi="Arial" w:cs="Arial"/>
          <w:sz w:val="22"/>
          <w:szCs w:val="22"/>
          <w:lang w:val="en-GB"/>
        </w:rPr>
        <w:t xml:space="preserve">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2126BF" w:rsidRDefault="008E7371" w:rsidP="003C4BCB">
      <w:pPr>
        <w:pStyle w:val="ListParagraph"/>
        <w:numPr>
          <w:ilvl w:val="0"/>
          <w:numId w:val="6"/>
        </w:numPr>
        <w:ind w:left="426"/>
        <w:jc w:val="both"/>
        <w:rPr>
          <w:rFonts w:ascii="Arial" w:hAnsi="Arial" w:cs="Arial"/>
          <w:sz w:val="22"/>
          <w:szCs w:val="22"/>
          <w:highlight w:val="yellow"/>
          <w:lang w:val="en-GB"/>
        </w:rPr>
      </w:pPr>
      <w:r w:rsidRPr="002126BF">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2126BF" w:rsidRDefault="00113E29" w:rsidP="00D509A5">
      <w:pPr>
        <w:pStyle w:val="ListParagraph"/>
        <w:numPr>
          <w:ilvl w:val="0"/>
          <w:numId w:val="7"/>
        </w:numPr>
        <w:ind w:left="426"/>
        <w:jc w:val="both"/>
        <w:rPr>
          <w:rFonts w:ascii="Arial" w:hAnsi="Arial" w:cs="Arial"/>
          <w:sz w:val="22"/>
          <w:szCs w:val="22"/>
          <w:highlight w:val="yellow"/>
          <w:lang w:val="en-GB"/>
        </w:rPr>
      </w:pPr>
      <w:r w:rsidRPr="002126BF">
        <w:rPr>
          <w:rFonts w:ascii="Arial" w:hAnsi="Arial" w:cs="Arial"/>
          <w:sz w:val="22"/>
          <w:szCs w:val="22"/>
          <w:highlight w:val="yellow"/>
          <w:lang w:val="en-GB"/>
        </w:rPr>
        <w:t xml:space="preserve">The </w:t>
      </w:r>
      <w:r w:rsidR="008E7371" w:rsidRPr="002126BF">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6580F" w:rsidRDefault="0034705B" w:rsidP="003C4BCB">
      <w:pPr>
        <w:pStyle w:val="ListParagraph"/>
        <w:numPr>
          <w:ilvl w:val="0"/>
          <w:numId w:val="8"/>
        </w:numPr>
        <w:ind w:left="426"/>
        <w:jc w:val="both"/>
        <w:rPr>
          <w:rFonts w:ascii="Arial" w:hAnsi="Arial" w:cs="Arial"/>
          <w:sz w:val="22"/>
          <w:szCs w:val="22"/>
          <w:highlight w:val="yellow"/>
          <w:lang w:val="en-GB"/>
        </w:rPr>
      </w:pPr>
      <w:r w:rsidRPr="0036580F">
        <w:rPr>
          <w:rFonts w:ascii="Arial" w:hAnsi="Arial" w:cs="Arial"/>
          <w:sz w:val="22"/>
          <w:szCs w:val="22"/>
          <w:highlight w:val="yellow"/>
          <w:lang w:val="en-GB"/>
        </w:rPr>
        <w:t>“</w:t>
      </w:r>
      <w:r w:rsidR="00F814B4" w:rsidRPr="0036580F">
        <w:rPr>
          <w:rFonts w:ascii="Arial" w:hAnsi="Arial" w:cs="Arial"/>
          <w:sz w:val="22"/>
          <w:szCs w:val="22"/>
          <w:highlight w:val="yellow"/>
          <w:lang w:val="en-GB"/>
        </w:rPr>
        <w:t>Synthetic proceedings</w:t>
      </w:r>
      <w:r w:rsidRPr="0036580F">
        <w:rPr>
          <w:rFonts w:ascii="Arial" w:hAnsi="Arial" w:cs="Arial"/>
          <w:sz w:val="22"/>
          <w:szCs w:val="22"/>
          <w:highlight w:val="yellow"/>
          <w:lang w:val="en-GB"/>
        </w:rPr>
        <w:t>”</w:t>
      </w:r>
      <w:r w:rsidR="00F814B4" w:rsidRPr="0036580F">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36580F" w:rsidRDefault="00F814B4" w:rsidP="00F814B4">
      <w:pPr>
        <w:pStyle w:val="ListParagraph"/>
        <w:numPr>
          <w:ilvl w:val="0"/>
          <w:numId w:val="10"/>
        </w:numPr>
        <w:ind w:left="426"/>
        <w:jc w:val="both"/>
        <w:rPr>
          <w:rFonts w:ascii="Arial" w:hAnsi="Arial" w:cs="Arial"/>
          <w:sz w:val="22"/>
          <w:szCs w:val="22"/>
          <w:highlight w:val="yellow"/>
          <w:lang w:val="en-GB"/>
        </w:rPr>
      </w:pPr>
      <w:r w:rsidRPr="0036580F">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 before the Italian court opposes</w:t>
      </w:r>
      <w:proofErr w:type="gramEnd"/>
      <w:r w:rsidRPr="005D2CD6">
        <w:rPr>
          <w:rFonts w:ascii="Arial" w:hAnsi="Arial" w:cs="Arial"/>
          <w:sz w:val="22"/>
          <w:szCs w:val="22"/>
          <w:lang w:val="en-GB"/>
        </w:rPr>
        <w:t xml:space="preserve">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w:t>
      </w:r>
      <w:r w:rsidRPr="005D2CD6">
        <w:rPr>
          <w:rFonts w:ascii="Arial" w:hAnsi="Arial" w:cs="Arial"/>
          <w:sz w:val="22"/>
          <w:szCs w:val="22"/>
          <w:lang w:val="en-GB"/>
        </w:rPr>
        <w:lastRenderedPageBreak/>
        <w:t xml:space="preserve">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w:t>
      </w:r>
      <w:proofErr w:type="gramStart"/>
      <w:r w:rsidRPr="005D2CD6">
        <w:rPr>
          <w:rFonts w:ascii="Arial" w:hAnsi="Arial" w:cs="Arial"/>
          <w:sz w:val="22"/>
          <w:szCs w:val="22"/>
          <w:lang w:val="en-GB"/>
        </w:rPr>
        <w:t xml:space="preserve">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proofErr w:type="gramEnd"/>
      <w:r w:rsidRPr="005D2CD6">
        <w:rPr>
          <w:rFonts w:ascii="Arial" w:hAnsi="Arial" w:cs="Arial"/>
          <w:sz w:val="22"/>
          <w:szCs w:val="22"/>
          <w:lang w:val="en-GB"/>
        </w:rPr>
        <w:t xml:space="preserve"> to Lacroix SARL before the former went insolvent. The insolvency practitioner of the company claims that under applicable Italian law, the 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B5AD0" w:rsidRDefault="00375D11" w:rsidP="00375D11">
      <w:pPr>
        <w:pStyle w:val="ListParagraph"/>
        <w:numPr>
          <w:ilvl w:val="0"/>
          <w:numId w:val="9"/>
        </w:numPr>
        <w:ind w:left="426"/>
        <w:jc w:val="both"/>
        <w:rPr>
          <w:rFonts w:ascii="Arial" w:hAnsi="Arial" w:cs="Arial"/>
          <w:sz w:val="22"/>
          <w:szCs w:val="22"/>
          <w:highlight w:val="yellow"/>
          <w:lang w:val="en-GB"/>
        </w:rPr>
      </w:pPr>
      <w:r w:rsidRPr="005B5AD0">
        <w:rPr>
          <w:rFonts w:ascii="Arial" w:hAnsi="Arial" w:cs="Arial"/>
          <w:sz w:val="22"/>
          <w:szCs w:val="22"/>
          <w:highlight w:val="yellow"/>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752ED7">
        <w:rPr>
          <w:rFonts w:ascii="Arial" w:hAnsi="Arial" w:cs="Arial"/>
          <w:sz w:val="22"/>
          <w:szCs w:val="22"/>
          <w:lang w:val="en-GB"/>
        </w:rPr>
        <w:t xml:space="preserve">Within </w:t>
      </w:r>
      <w:r w:rsidR="006F2B12" w:rsidRPr="00752ED7">
        <w:rPr>
          <w:rFonts w:ascii="Arial" w:hAnsi="Arial" w:cs="Arial"/>
          <w:sz w:val="22"/>
          <w:szCs w:val="22"/>
          <w:lang w:val="en-GB"/>
        </w:rPr>
        <w:t>one month</w:t>
      </w:r>
      <w:r w:rsidRPr="00752ED7">
        <w:rPr>
          <w:rFonts w:ascii="Arial" w:hAnsi="Arial" w:cs="Arial"/>
          <w:sz w:val="22"/>
          <w:szCs w:val="22"/>
          <w:lang w:val="en-GB"/>
        </w:rPr>
        <w:t>,</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752ED7" w:rsidRDefault="00FC48D8" w:rsidP="003C4BCB">
      <w:pPr>
        <w:pStyle w:val="ListParagraph"/>
        <w:numPr>
          <w:ilvl w:val="0"/>
          <w:numId w:val="11"/>
        </w:numPr>
        <w:ind w:left="426"/>
        <w:jc w:val="both"/>
        <w:rPr>
          <w:rFonts w:ascii="Arial" w:hAnsi="Arial" w:cs="Arial"/>
          <w:sz w:val="22"/>
          <w:szCs w:val="22"/>
          <w:highlight w:val="yellow"/>
          <w:lang w:val="en-GB"/>
        </w:rPr>
      </w:pPr>
      <w:r w:rsidRPr="00752ED7">
        <w:rPr>
          <w:rFonts w:ascii="Arial" w:hAnsi="Arial" w:cs="Arial"/>
          <w:sz w:val="22"/>
          <w:szCs w:val="22"/>
          <w:highlight w:val="yellow"/>
          <w:lang w:val="en-GB"/>
        </w:rPr>
        <w:lastRenderedPageBreak/>
        <w:t>Within 30 days following the publication of the opening of insolvency proceedings in th</w:t>
      </w:r>
      <w:r w:rsidR="007772BD" w:rsidRPr="00752ED7">
        <w:rPr>
          <w:rFonts w:ascii="Arial" w:hAnsi="Arial" w:cs="Arial"/>
          <w:sz w:val="22"/>
          <w:szCs w:val="22"/>
          <w:highlight w:val="yellow"/>
          <w:lang w:val="en-GB"/>
        </w:rPr>
        <w:t>e insolvency register of Spain</w:t>
      </w:r>
      <w:r w:rsidRPr="00752ED7">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03EE1EDE" w:rsidR="00636C15" w:rsidRDefault="00827BA4" w:rsidP="00827BA4">
      <w:pPr>
        <w:jc w:val="both"/>
        <w:rPr>
          <w:rFonts w:ascii="Arial" w:hAnsi="Arial" w:cs="Arial"/>
          <w:sz w:val="22"/>
          <w:szCs w:val="22"/>
        </w:rPr>
      </w:pPr>
      <w:r>
        <w:rPr>
          <w:rFonts w:ascii="Arial" w:hAnsi="Arial" w:cs="Arial"/>
          <w:sz w:val="22"/>
          <w:szCs w:val="22"/>
        </w:rPr>
        <w:t>Answer:</w:t>
      </w:r>
    </w:p>
    <w:p w14:paraId="5B3B1053" w14:textId="77777777" w:rsidR="00827BA4" w:rsidRPr="005D2CD6" w:rsidRDefault="00827BA4" w:rsidP="00827BA4">
      <w:pPr>
        <w:jc w:val="both"/>
        <w:rPr>
          <w:rFonts w:ascii="Arial" w:hAnsi="Arial" w:cs="Arial"/>
          <w:sz w:val="22"/>
          <w:szCs w:val="22"/>
        </w:rPr>
      </w:pPr>
    </w:p>
    <w:p w14:paraId="22C610C9" w14:textId="5B827726" w:rsidR="00DE03AF" w:rsidRPr="00827BA4" w:rsidRDefault="006A5F39" w:rsidP="008E3022">
      <w:pPr>
        <w:ind w:left="720"/>
        <w:jc w:val="both"/>
        <w:rPr>
          <w:rFonts w:ascii="Arial" w:hAnsi="Arial" w:cs="Arial"/>
          <w:sz w:val="22"/>
          <w:szCs w:val="22"/>
        </w:rPr>
      </w:pPr>
      <w:r w:rsidRPr="00827BA4">
        <w:rPr>
          <w:rFonts w:ascii="Arial" w:hAnsi="Arial" w:cs="Arial"/>
          <w:sz w:val="22"/>
          <w:szCs w:val="22"/>
        </w:rPr>
        <w:t>Statement 1:</w:t>
      </w:r>
    </w:p>
    <w:p w14:paraId="1B6A63C7" w14:textId="60B6935C" w:rsidR="006A5F39" w:rsidRPr="00827BA4" w:rsidRDefault="00881FCE" w:rsidP="008E3022">
      <w:pPr>
        <w:ind w:left="720"/>
        <w:jc w:val="both"/>
        <w:rPr>
          <w:rFonts w:ascii="Arial" w:hAnsi="Arial" w:cs="Arial"/>
          <w:sz w:val="22"/>
          <w:szCs w:val="22"/>
        </w:rPr>
      </w:pPr>
      <w:r w:rsidRPr="00827BA4">
        <w:rPr>
          <w:rFonts w:ascii="Arial" w:hAnsi="Arial" w:cs="Arial"/>
          <w:sz w:val="22"/>
          <w:szCs w:val="22"/>
        </w:rPr>
        <w:t>“Synthetic” secondary proceedings, Article 36 read with Article 38 EIR Recast.</w:t>
      </w:r>
    </w:p>
    <w:p w14:paraId="51ED65E2" w14:textId="77777777" w:rsidR="006A5F39" w:rsidRPr="00827BA4" w:rsidRDefault="006A5F39" w:rsidP="008E3022">
      <w:pPr>
        <w:ind w:left="720"/>
        <w:jc w:val="both"/>
        <w:rPr>
          <w:rFonts w:ascii="Arial" w:hAnsi="Arial" w:cs="Arial"/>
          <w:sz w:val="22"/>
          <w:szCs w:val="22"/>
        </w:rPr>
      </w:pPr>
    </w:p>
    <w:p w14:paraId="5971EFAA" w14:textId="03042ADF" w:rsidR="006A5F39" w:rsidRPr="00827BA4" w:rsidRDefault="006A5F39" w:rsidP="008E3022">
      <w:pPr>
        <w:ind w:left="720"/>
        <w:jc w:val="both"/>
        <w:rPr>
          <w:rFonts w:ascii="Arial" w:hAnsi="Arial" w:cs="Arial"/>
          <w:sz w:val="22"/>
          <w:szCs w:val="22"/>
        </w:rPr>
      </w:pPr>
      <w:r w:rsidRPr="00827BA4">
        <w:rPr>
          <w:rFonts w:ascii="Arial" w:hAnsi="Arial" w:cs="Arial"/>
          <w:sz w:val="22"/>
          <w:szCs w:val="22"/>
        </w:rPr>
        <w:t xml:space="preserve">Statement 2: </w:t>
      </w:r>
    </w:p>
    <w:p w14:paraId="5F4D9628" w14:textId="4B269FCD" w:rsidR="001D49C4" w:rsidRPr="00827BA4" w:rsidRDefault="001D49C4" w:rsidP="008E3022">
      <w:pPr>
        <w:ind w:left="720"/>
        <w:jc w:val="both"/>
        <w:rPr>
          <w:rFonts w:ascii="Arial" w:hAnsi="Arial" w:cs="Arial"/>
          <w:sz w:val="22"/>
          <w:szCs w:val="22"/>
        </w:rPr>
      </w:pPr>
      <w:proofErr w:type="gramStart"/>
      <w:r w:rsidRPr="00827BA4">
        <w:rPr>
          <w:rFonts w:ascii="Arial" w:hAnsi="Arial" w:cs="Arial"/>
          <w:sz w:val="22"/>
          <w:szCs w:val="22"/>
        </w:rPr>
        <w:t>Recital 3 of the</w:t>
      </w:r>
      <w:r w:rsidR="00827BA4" w:rsidRPr="00827BA4">
        <w:rPr>
          <w:rFonts w:ascii="Arial" w:hAnsi="Arial" w:cs="Arial"/>
          <w:sz w:val="22"/>
          <w:szCs w:val="22"/>
        </w:rPr>
        <w:t xml:space="preserve"> EIR Recast.</w:t>
      </w:r>
      <w:proofErr w:type="gramEnd"/>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0F5A5E33" w:rsidR="00636C15" w:rsidRPr="00827BA4" w:rsidRDefault="00827BA4" w:rsidP="00636C15">
      <w:pPr>
        <w:ind w:left="720" w:hanging="720"/>
        <w:jc w:val="both"/>
        <w:rPr>
          <w:rFonts w:ascii="Arial" w:hAnsi="Arial" w:cs="Arial"/>
          <w:sz w:val="22"/>
          <w:szCs w:val="22"/>
          <w:lang w:val="en-GB"/>
        </w:rPr>
      </w:pPr>
      <w:r w:rsidRPr="00827BA4">
        <w:rPr>
          <w:rFonts w:ascii="Arial" w:hAnsi="Arial" w:cs="Arial"/>
          <w:sz w:val="22"/>
          <w:szCs w:val="22"/>
          <w:lang w:val="en-GB"/>
        </w:rPr>
        <w:t>Answer:</w:t>
      </w:r>
    </w:p>
    <w:p w14:paraId="42A36AC0" w14:textId="77777777" w:rsidR="00D05347" w:rsidRPr="00827BA4" w:rsidRDefault="00D05347" w:rsidP="00D05347">
      <w:pPr>
        <w:pStyle w:val="ListParagraph"/>
        <w:ind w:left="1080"/>
        <w:jc w:val="both"/>
        <w:rPr>
          <w:rFonts w:ascii="Arial" w:hAnsi="Arial" w:cs="Arial"/>
          <w:sz w:val="22"/>
          <w:szCs w:val="22"/>
          <w:lang w:val="en-GB"/>
        </w:rPr>
      </w:pPr>
    </w:p>
    <w:p w14:paraId="2D6314E5" w14:textId="7D316725" w:rsidR="002F79D1" w:rsidRPr="00827BA4" w:rsidRDefault="00242F1B" w:rsidP="00D05347">
      <w:pPr>
        <w:pStyle w:val="ListParagraph"/>
        <w:numPr>
          <w:ilvl w:val="0"/>
          <w:numId w:val="13"/>
        </w:numPr>
        <w:jc w:val="both"/>
        <w:rPr>
          <w:rFonts w:ascii="Arial" w:hAnsi="Arial" w:cs="Arial"/>
          <w:sz w:val="22"/>
          <w:szCs w:val="22"/>
          <w:lang w:val="en-GB"/>
        </w:rPr>
      </w:pPr>
      <w:r w:rsidRPr="00827BA4">
        <w:rPr>
          <w:rFonts w:ascii="Arial" w:hAnsi="Arial" w:cs="Arial"/>
          <w:sz w:val="22"/>
          <w:szCs w:val="22"/>
          <w:lang w:val="en-GB"/>
        </w:rPr>
        <w:t>Secondary In</w:t>
      </w:r>
      <w:r w:rsidR="00E2077B" w:rsidRPr="00827BA4">
        <w:rPr>
          <w:rFonts w:ascii="Arial" w:hAnsi="Arial" w:cs="Arial"/>
          <w:sz w:val="22"/>
          <w:szCs w:val="22"/>
          <w:lang w:val="en-GB"/>
        </w:rPr>
        <w:t>solvency Proceedings</w:t>
      </w:r>
    </w:p>
    <w:p w14:paraId="2728BB6D" w14:textId="77777777" w:rsidR="00846031" w:rsidRPr="00827BA4" w:rsidRDefault="00846031" w:rsidP="00846031">
      <w:pPr>
        <w:pStyle w:val="ListParagraph"/>
        <w:ind w:left="1080"/>
        <w:jc w:val="both"/>
        <w:rPr>
          <w:rFonts w:ascii="Arial" w:hAnsi="Arial" w:cs="Arial"/>
          <w:sz w:val="22"/>
          <w:szCs w:val="22"/>
          <w:lang w:val="en-GB"/>
        </w:rPr>
      </w:pPr>
    </w:p>
    <w:p w14:paraId="7895C6D0" w14:textId="729280AF" w:rsidR="007C17CC" w:rsidRPr="00827BA4" w:rsidRDefault="00E2077B" w:rsidP="007C17CC">
      <w:pPr>
        <w:pStyle w:val="ListParagraph"/>
        <w:ind w:left="1080"/>
        <w:jc w:val="both"/>
        <w:rPr>
          <w:rFonts w:ascii="Arial" w:hAnsi="Arial" w:cs="Arial"/>
          <w:sz w:val="22"/>
          <w:szCs w:val="22"/>
          <w:lang w:val="en-GB"/>
        </w:rPr>
      </w:pPr>
      <w:r w:rsidRPr="00827BA4">
        <w:rPr>
          <w:rFonts w:ascii="Arial" w:hAnsi="Arial" w:cs="Arial"/>
          <w:sz w:val="22"/>
          <w:szCs w:val="22"/>
          <w:lang w:val="en-GB"/>
        </w:rPr>
        <w:t>EIR Recast allows for the</w:t>
      </w:r>
      <w:r w:rsidR="001B720E" w:rsidRPr="00827BA4">
        <w:rPr>
          <w:rFonts w:ascii="Arial" w:hAnsi="Arial" w:cs="Arial"/>
          <w:sz w:val="22"/>
          <w:szCs w:val="22"/>
          <w:lang w:val="en-GB"/>
        </w:rPr>
        <w:t xml:space="preserve"> opening of one</w:t>
      </w:r>
      <w:r w:rsidRPr="00827BA4">
        <w:rPr>
          <w:rFonts w:ascii="Arial" w:hAnsi="Arial" w:cs="Arial"/>
          <w:sz w:val="22"/>
          <w:szCs w:val="22"/>
          <w:lang w:val="en-GB"/>
        </w:rPr>
        <w:t xml:space="preserve"> or more secondary insolvency proceedings against a debtor in any Member State where it possesses an establishment (Article 3(2) EIR Recast).</w:t>
      </w:r>
      <w:r w:rsidR="001B720E" w:rsidRPr="00827BA4">
        <w:rPr>
          <w:rFonts w:ascii="Arial" w:hAnsi="Arial" w:cs="Arial"/>
          <w:sz w:val="22"/>
          <w:szCs w:val="22"/>
          <w:lang w:val="en-GB"/>
        </w:rPr>
        <w:t xml:space="preserve"> The effects of secondary proceedings are restricted to the assets of the debtor situated in the territory of the Member State where the secondary proceedings have been opened.</w:t>
      </w:r>
      <w:r w:rsidR="001B720E" w:rsidRPr="00827BA4">
        <w:rPr>
          <w:rStyle w:val="FootnoteReference"/>
          <w:rFonts w:ascii="Arial" w:hAnsi="Arial" w:cs="Arial"/>
          <w:sz w:val="22"/>
          <w:szCs w:val="22"/>
          <w:lang w:val="en-GB"/>
        </w:rPr>
        <w:footnoteReference w:id="1"/>
      </w:r>
    </w:p>
    <w:p w14:paraId="39759D4A" w14:textId="77777777" w:rsidR="002255BB" w:rsidRPr="00827BA4" w:rsidRDefault="002255BB" w:rsidP="00E2077B">
      <w:pPr>
        <w:pStyle w:val="ListParagraph"/>
        <w:ind w:left="1080"/>
        <w:jc w:val="both"/>
        <w:rPr>
          <w:rFonts w:ascii="Arial" w:hAnsi="Arial" w:cs="Arial"/>
          <w:sz w:val="22"/>
          <w:szCs w:val="22"/>
          <w:lang w:val="en-GB"/>
        </w:rPr>
      </w:pPr>
    </w:p>
    <w:p w14:paraId="701FF167" w14:textId="27D89598" w:rsidR="002255BB" w:rsidRPr="00827BA4" w:rsidRDefault="007C17CC" w:rsidP="00E2077B">
      <w:pPr>
        <w:pStyle w:val="ListParagraph"/>
        <w:ind w:left="1080"/>
        <w:jc w:val="both"/>
        <w:rPr>
          <w:rFonts w:ascii="Arial" w:hAnsi="Arial" w:cs="Arial"/>
          <w:sz w:val="22"/>
          <w:szCs w:val="22"/>
          <w:lang w:val="en-GB"/>
        </w:rPr>
      </w:pPr>
      <w:r w:rsidRPr="00827BA4">
        <w:rPr>
          <w:rFonts w:ascii="Arial" w:hAnsi="Arial" w:cs="Arial"/>
          <w:sz w:val="22"/>
          <w:szCs w:val="22"/>
          <w:lang w:val="en-GB"/>
        </w:rPr>
        <w:t xml:space="preserve">The opening of secondary proceedings limits the otherwise universal scope of main insolvency proceedings. The secondary proceedings serve to protect local interests and enhance handling of complex insolvency estate. </w:t>
      </w:r>
    </w:p>
    <w:p w14:paraId="3F05AB2C" w14:textId="57849338" w:rsidR="00846031" w:rsidRDefault="00846031" w:rsidP="00846031">
      <w:pPr>
        <w:jc w:val="both"/>
        <w:rPr>
          <w:rFonts w:ascii="Arial" w:hAnsi="Arial" w:cs="Arial"/>
          <w:color w:val="FF0000"/>
          <w:sz w:val="22"/>
          <w:szCs w:val="22"/>
          <w:lang w:val="en-GB"/>
        </w:rPr>
      </w:pPr>
      <w:r>
        <w:rPr>
          <w:rFonts w:ascii="Arial" w:hAnsi="Arial" w:cs="Arial"/>
          <w:i/>
          <w:color w:val="FF0000"/>
          <w:sz w:val="22"/>
          <w:szCs w:val="22"/>
          <w:lang w:val="en-GB"/>
        </w:rPr>
        <w:tab/>
      </w:r>
      <w:r>
        <w:rPr>
          <w:rFonts w:ascii="Arial" w:hAnsi="Arial" w:cs="Arial"/>
          <w:i/>
          <w:color w:val="FF0000"/>
          <w:sz w:val="22"/>
          <w:szCs w:val="22"/>
          <w:lang w:val="en-GB"/>
        </w:rPr>
        <w:tab/>
      </w:r>
    </w:p>
    <w:p w14:paraId="1410BC30" w14:textId="6F908A72" w:rsidR="00846031" w:rsidRPr="00827BA4" w:rsidRDefault="00846031" w:rsidP="00846031">
      <w:pPr>
        <w:ind w:left="1080"/>
        <w:jc w:val="both"/>
        <w:rPr>
          <w:rFonts w:ascii="Arial" w:hAnsi="Arial" w:cs="Arial"/>
          <w:sz w:val="22"/>
          <w:szCs w:val="22"/>
          <w:lang w:val="en-GB"/>
        </w:rPr>
      </w:pPr>
      <w:r w:rsidRPr="00827BA4">
        <w:rPr>
          <w:rFonts w:ascii="Arial" w:hAnsi="Arial" w:cs="Arial"/>
          <w:sz w:val="22"/>
          <w:szCs w:val="22"/>
          <w:lang w:val="en-GB"/>
        </w:rPr>
        <w:lastRenderedPageBreak/>
        <w:t>Secondary proceedings can only follow after the opening of the main insolvency proceedings with the opening of “territorial” insolvency proceedings being permitted only in exceptional circumstances (Article 3(4)) EIR Recast).</w:t>
      </w:r>
      <w:r w:rsidRPr="00827BA4">
        <w:rPr>
          <w:rStyle w:val="FootnoteReference"/>
          <w:rFonts w:ascii="Arial" w:hAnsi="Arial" w:cs="Arial"/>
          <w:sz w:val="22"/>
          <w:szCs w:val="22"/>
          <w:lang w:val="en-GB"/>
        </w:rPr>
        <w:t xml:space="preserve"> </w:t>
      </w:r>
      <w:r w:rsidRPr="00827BA4">
        <w:rPr>
          <w:rStyle w:val="FootnoteReference"/>
          <w:rFonts w:ascii="Arial" w:hAnsi="Arial" w:cs="Arial"/>
          <w:sz w:val="22"/>
          <w:szCs w:val="22"/>
          <w:lang w:val="en-GB"/>
        </w:rPr>
        <w:footnoteReference w:id="2"/>
      </w:r>
    </w:p>
    <w:p w14:paraId="09B023AF" w14:textId="77777777" w:rsidR="00242F1B" w:rsidRPr="00827BA4" w:rsidRDefault="00242F1B" w:rsidP="007C17CC">
      <w:pPr>
        <w:jc w:val="both"/>
        <w:rPr>
          <w:rFonts w:ascii="Arial" w:hAnsi="Arial" w:cs="Arial"/>
          <w:sz w:val="22"/>
          <w:szCs w:val="22"/>
          <w:lang w:val="en-GB"/>
        </w:rPr>
      </w:pPr>
    </w:p>
    <w:p w14:paraId="07702E14" w14:textId="5C62D4CB" w:rsidR="00610D26" w:rsidRPr="00827BA4" w:rsidRDefault="00610D26" w:rsidP="00D05347">
      <w:pPr>
        <w:pStyle w:val="ListParagraph"/>
        <w:numPr>
          <w:ilvl w:val="0"/>
          <w:numId w:val="13"/>
        </w:numPr>
        <w:jc w:val="both"/>
        <w:rPr>
          <w:rFonts w:ascii="Arial" w:hAnsi="Arial" w:cs="Arial"/>
          <w:sz w:val="22"/>
          <w:szCs w:val="22"/>
          <w:lang w:val="en-GB"/>
        </w:rPr>
      </w:pPr>
      <w:r w:rsidRPr="00827BA4">
        <w:rPr>
          <w:rFonts w:ascii="Arial" w:hAnsi="Arial" w:cs="Arial"/>
          <w:sz w:val="22"/>
          <w:szCs w:val="22"/>
          <w:lang w:val="en-GB"/>
        </w:rPr>
        <w:t>Definition of</w:t>
      </w:r>
      <w:r w:rsidR="00F3620E" w:rsidRPr="00827BA4">
        <w:rPr>
          <w:rFonts w:ascii="Arial" w:hAnsi="Arial" w:cs="Arial"/>
          <w:sz w:val="22"/>
          <w:szCs w:val="22"/>
          <w:lang w:val="en-GB"/>
        </w:rPr>
        <w:t xml:space="preserve"> Centre of Main Interest (COMI) </w:t>
      </w:r>
    </w:p>
    <w:p w14:paraId="5E271481" w14:textId="77777777" w:rsidR="007C17CC" w:rsidRPr="00827BA4" w:rsidRDefault="007C17CC" w:rsidP="007C17CC">
      <w:pPr>
        <w:pStyle w:val="ListParagraph"/>
        <w:ind w:left="1080"/>
        <w:jc w:val="both"/>
        <w:rPr>
          <w:rFonts w:ascii="Arial" w:hAnsi="Arial" w:cs="Arial"/>
          <w:sz w:val="22"/>
          <w:szCs w:val="22"/>
          <w:lang w:val="en-GB"/>
        </w:rPr>
      </w:pPr>
    </w:p>
    <w:p w14:paraId="238F81AA" w14:textId="77777777" w:rsidR="00242F1B" w:rsidRPr="00827BA4" w:rsidRDefault="00242F1B" w:rsidP="00242F1B">
      <w:pPr>
        <w:pStyle w:val="ListParagraph"/>
        <w:ind w:left="1080"/>
        <w:jc w:val="both"/>
        <w:rPr>
          <w:rFonts w:ascii="Arial" w:hAnsi="Arial" w:cs="Arial"/>
          <w:sz w:val="22"/>
          <w:szCs w:val="22"/>
          <w:lang w:val="en-GB"/>
        </w:rPr>
      </w:pPr>
      <w:r w:rsidRPr="00827BA4">
        <w:rPr>
          <w:rFonts w:ascii="Arial" w:hAnsi="Arial" w:cs="Arial"/>
          <w:sz w:val="22"/>
          <w:szCs w:val="22"/>
          <w:lang w:val="en-GB"/>
        </w:rPr>
        <w:t>The COMI of a debtor was not defined in EIR 2000 but some guidance was provided in its recital 13 of EIR 2000, EIR Recast however mandates the COMI shall be where the debtor conducts the administration of its interests on a regular basis, which is ascertainable by third parties (Article 3(1) EIR Recast).</w:t>
      </w:r>
      <w:r w:rsidRPr="00827BA4">
        <w:rPr>
          <w:rStyle w:val="FootnoteReference"/>
          <w:rFonts w:ascii="Arial" w:hAnsi="Arial" w:cs="Arial"/>
          <w:sz w:val="22"/>
          <w:szCs w:val="22"/>
          <w:lang w:val="en-GB"/>
        </w:rPr>
        <w:footnoteReference w:id="3"/>
      </w:r>
    </w:p>
    <w:p w14:paraId="536E1699" w14:textId="77777777" w:rsidR="00242F1B" w:rsidRPr="00827BA4" w:rsidRDefault="00242F1B" w:rsidP="00242F1B">
      <w:pPr>
        <w:pStyle w:val="ListParagraph"/>
        <w:ind w:left="1080"/>
        <w:jc w:val="both"/>
        <w:rPr>
          <w:rFonts w:ascii="Arial" w:hAnsi="Arial" w:cs="Arial"/>
          <w:sz w:val="22"/>
          <w:szCs w:val="22"/>
          <w:shd w:val="clear" w:color="auto" w:fill="FFFFFF"/>
        </w:rPr>
      </w:pPr>
    </w:p>
    <w:p w14:paraId="15C47A73" w14:textId="77777777" w:rsidR="00242F1B" w:rsidRPr="00827BA4" w:rsidRDefault="00242F1B" w:rsidP="00242F1B">
      <w:pPr>
        <w:pStyle w:val="ListParagraph"/>
        <w:ind w:left="1080"/>
        <w:jc w:val="both"/>
        <w:rPr>
          <w:rFonts w:ascii="Arial" w:hAnsi="Arial" w:cs="Arial"/>
          <w:sz w:val="22"/>
          <w:szCs w:val="22"/>
          <w:shd w:val="clear" w:color="auto" w:fill="FFFFFF"/>
        </w:rPr>
      </w:pPr>
      <w:r w:rsidRPr="00827BA4">
        <w:rPr>
          <w:rFonts w:ascii="Arial" w:hAnsi="Arial" w:cs="Arial"/>
          <w:sz w:val="22"/>
          <w:szCs w:val="22"/>
          <w:shd w:val="clear" w:color="auto" w:fill="FFFFFF"/>
        </w:rPr>
        <w:t>As opposed to EIR 2000 which provided for guidance on the Centre of Main Interest of a debtor at Recital 13 of EIR 2000, Article 3(1) of the EIR Recast mandates the definition, and uses the same wording defining the COMI as guided in Recital 13 of EIR 2000.</w:t>
      </w:r>
    </w:p>
    <w:p w14:paraId="12F11ED7" w14:textId="77777777" w:rsidR="00242F1B" w:rsidRPr="00827BA4" w:rsidRDefault="00242F1B" w:rsidP="00242F1B">
      <w:pPr>
        <w:pStyle w:val="ListParagraph"/>
        <w:ind w:left="1080"/>
        <w:jc w:val="both"/>
        <w:rPr>
          <w:rFonts w:ascii="Arial" w:hAnsi="Arial" w:cs="Arial"/>
          <w:sz w:val="22"/>
          <w:szCs w:val="22"/>
          <w:shd w:val="clear" w:color="auto" w:fill="FFFFFF"/>
        </w:rPr>
      </w:pPr>
    </w:p>
    <w:p w14:paraId="4C3EC82B" w14:textId="0DB869E8" w:rsidR="00242F1B" w:rsidRPr="00827BA4" w:rsidRDefault="00846031" w:rsidP="00242F1B">
      <w:pPr>
        <w:pStyle w:val="ListParagraph"/>
        <w:numPr>
          <w:ilvl w:val="0"/>
          <w:numId w:val="13"/>
        </w:numPr>
        <w:jc w:val="both"/>
        <w:rPr>
          <w:rFonts w:ascii="Arial" w:hAnsi="Arial" w:cs="Arial"/>
          <w:sz w:val="22"/>
          <w:szCs w:val="22"/>
          <w:shd w:val="clear" w:color="auto" w:fill="FFFFFF"/>
        </w:rPr>
      </w:pPr>
      <w:r w:rsidRPr="00827BA4">
        <w:rPr>
          <w:rFonts w:ascii="Arial" w:hAnsi="Arial" w:cs="Arial"/>
          <w:sz w:val="22"/>
          <w:szCs w:val="22"/>
          <w:shd w:val="clear" w:color="auto" w:fill="FFFFFF"/>
        </w:rPr>
        <w:t>C</w:t>
      </w:r>
      <w:r w:rsidR="00242F1B" w:rsidRPr="00827BA4">
        <w:rPr>
          <w:rFonts w:ascii="Arial" w:hAnsi="Arial" w:cs="Arial"/>
          <w:sz w:val="22"/>
          <w:szCs w:val="22"/>
          <w:shd w:val="clear" w:color="auto" w:fill="FFFFFF"/>
        </w:rPr>
        <w:t>ommunication between courts and insolvency practitioners</w:t>
      </w:r>
    </w:p>
    <w:p w14:paraId="1F920153" w14:textId="77777777" w:rsidR="00242F1B" w:rsidRPr="00827BA4" w:rsidRDefault="00242F1B" w:rsidP="00846031">
      <w:pPr>
        <w:jc w:val="both"/>
        <w:rPr>
          <w:rFonts w:ascii="Arial" w:hAnsi="Arial" w:cs="Arial"/>
          <w:sz w:val="22"/>
          <w:szCs w:val="22"/>
          <w:shd w:val="clear" w:color="auto" w:fill="FFFFFF"/>
        </w:rPr>
      </w:pPr>
    </w:p>
    <w:p w14:paraId="3F498F9D" w14:textId="77777777" w:rsidR="00242F1B" w:rsidRPr="00827BA4" w:rsidRDefault="00242F1B" w:rsidP="00846031">
      <w:pPr>
        <w:ind w:left="1080"/>
        <w:jc w:val="both"/>
        <w:rPr>
          <w:rFonts w:ascii="Arial" w:hAnsi="Arial" w:cs="Arial"/>
          <w:sz w:val="22"/>
          <w:szCs w:val="22"/>
          <w:shd w:val="clear" w:color="auto" w:fill="FFFFFF"/>
        </w:rPr>
      </w:pPr>
      <w:r w:rsidRPr="00827BA4">
        <w:rPr>
          <w:rFonts w:ascii="Arial" w:hAnsi="Arial" w:cs="Arial"/>
          <w:sz w:val="22"/>
          <w:szCs w:val="22"/>
          <w:shd w:val="clear" w:color="auto" w:fill="FFFFFF"/>
        </w:rPr>
        <w:t>Articles 41 to 43 regulates the communication between Insolvency Practitioners of member countries (Article 41), courts of member countries (Article 42) and between courts and insolvency practitioners of member countries (Article 43).</w:t>
      </w:r>
    </w:p>
    <w:p w14:paraId="0417584D" w14:textId="77777777" w:rsidR="00242F1B" w:rsidRPr="00827BA4" w:rsidRDefault="00242F1B" w:rsidP="00242F1B">
      <w:pPr>
        <w:ind w:left="360"/>
        <w:jc w:val="both"/>
        <w:rPr>
          <w:rFonts w:ascii="Arial" w:hAnsi="Arial" w:cs="Arial"/>
          <w:sz w:val="22"/>
          <w:szCs w:val="22"/>
          <w:shd w:val="clear" w:color="auto" w:fill="FFFFFF"/>
        </w:rPr>
      </w:pPr>
    </w:p>
    <w:p w14:paraId="6B955629" w14:textId="2C8E98E0" w:rsidR="00242F1B" w:rsidRPr="00827BA4" w:rsidRDefault="00242F1B" w:rsidP="00846031">
      <w:pPr>
        <w:ind w:left="1080"/>
        <w:jc w:val="both"/>
        <w:rPr>
          <w:rFonts w:ascii="Arial" w:hAnsi="Arial" w:cs="Arial"/>
          <w:sz w:val="22"/>
          <w:szCs w:val="22"/>
          <w:shd w:val="clear" w:color="auto" w:fill="FFFFFF"/>
        </w:rPr>
      </w:pPr>
      <w:r w:rsidRPr="00827BA4">
        <w:rPr>
          <w:rFonts w:ascii="Arial" w:hAnsi="Arial" w:cs="Arial"/>
          <w:sz w:val="22"/>
          <w:szCs w:val="22"/>
          <w:shd w:val="clear" w:color="auto" w:fill="FFFFFF"/>
        </w:rPr>
        <w:t>This ensures that open communication between courts and between IPs results in a more efficient administration of the insolvent estate.</w:t>
      </w:r>
    </w:p>
    <w:p w14:paraId="1DEEC201" w14:textId="77777777" w:rsidR="00242F1B" w:rsidRPr="00242F1B" w:rsidRDefault="00242F1B" w:rsidP="00242F1B">
      <w:pPr>
        <w:jc w:val="both"/>
        <w:rPr>
          <w:rFonts w:ascii="Arial" w:hAnsi="Arial" w:cs="Arial"/>
          <w:color w:val="FF0000"/>
          <w:sz w:val="22"/>
          <w:szCs w:val="22"/>
          <w:lang w:val="en-GB"/>
        </w:rPr>
      </w:pPr>
    </w:p>
    <w:p w14:paraId="7AF8A6A4" w14:textId="77777777" w:rsidR="00FE2DE2" w:rsidRPr="005D2CD6" w:rsidRDefault="00FE2DE2" w:rsidP="00242F1B">
      <w:pPr>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572227E7" w14:textId="667B8A12" w:rsidR="0045683E" w:rsidRPr="00827BA4" w:rsidRDefault="00827BA4" w:rsidP="00AE10E4">
      <w:pPr>
        <w:ind w:left="720" w:hanging="720"/>
        <w:jc w:val="both"/>
        <w:rPr>
          <w:rFonts w:ascii="Arial" w:hAnsi="Arial" w:cs="Arial"/>
          <w:sz w:val="22"/>
          <w:szCs w:val="22"/>
          <w:lang w:val="en-GB"/>
        </w:rPr>
      </w:pPr>
      <w:r w:rsidRPr="00827BA4">
        <w:rPr>
          <w:rFonts w:ascii="Arial" w:hAnsi="Arial" w:cs="Arial"/>
          <w:sz w:val="22"/>
          <w:szCs w:val="22"/>
          <w:lang w:val="en-GB"/>
        </w:rPr>
        <w:t>Answer</w:t>
      </w:r>
    </w:p>
    <w:p w14:paraId="18DC8ABE" w14:textId="77777777" w:rsidR="00827BA4" w:rsidRPr="00827BA4" w:rsidRDefault="00827BA4" w:rsidP="00AE10E4">
      <w:pPr>
        <w:ind w:left="720" w:hanging="720"/>
        <w:jc w:val="both"/>
        <w:rPr>
          <w:rFonts w:ascii="Arial" w:hAnsi="Arial" w:cs="Arial"/>
          <w:sz w:val="22"/>
          <w:szCs w:val="22"/>
          <w:lang w:val="en-GB"/>
        </w:rPr>
      </w:pPr>
    </w:p>
    <w:p w14:paraId="3FAEC17F" w14:textId="10F1E3C1" w:rsidR="00AE10E4" w:rsidRPr="00827BA4" w:rsidRDefault="00AE10E4" w:rsidP="008E3022">
      <w:pPr>
        <w:ind w:left="720"/>
        <w:jc w:val="both"/>
        <w:rPr>
          <w:rFonts w:ascii="Arial" w:hAnsi="Arial" w:cs="Arial"/>
          <w:bCs/>
          <w:sz w:val="22"/>
          <w:szCs w:val="22"/>
          <w:lang w:val="en-GB"/>
        </w:rPr>
      </w:pPr>
      <w:r w:rsidRPr="00827BA4">
        <w:rPr>
          <w:rFonts w:ascii="Arial" w:hAnsi="Arial" w:cs="Arial"/>
          <w:bCs/>
          <w:sz w:val="22"/>
          <w:szCs w:val="22"/>
          <w:lang w:val="en-GB"/>
        </w:rPr>
        <w:t>Article 41 – Communication between Insolvency Practitioners</w:t>
      </w:r>
    </w:p>
    <w:p w14:paraId="1354365A" w14:textId="77777777" w:rsidR="008769D8" w:rsidRPr="00827BA4" w:rsidRDefault="008769D8" w:rsidP="008E3022">
      <w:pPr>
        <w:ind w:left="720"/>
        <w:jc w:val="both"/>
        <w:rPr>
          <w:rFonts w:ascii="Arial" w:hAnsi="Arial" w:cs="Arial"/>
          <w:bCs/>
          <w:sz w:val="22"/>
          <w:szCs w:val="22"/>
          <w:lang w:val="en-GB"/>
        </w:rPr>
      </w:pPr>
    </w:p>
    <w:p w14:paraId="1FB57FBB" w14:textId="567C42D9" w:rsidR="00AE10E4" w:rsidRPr="00827BA4" w:rsidRDefault="00AE10E4" w:rsidP="008E3022">
      <w:pPr>
        <w:ind w:left="720"/>
        <w:jc w:val="both"/>
        <w:rPr>
          <w:rFonts w:ascii="Arial" w:hAnsi="Arial" w:cs="Arial"/>
          <w:bCs/>
          <w:sz w:val="22"/>
          <w:szCs w:val="22"/>
          <w:lang w:val="en-GB"/>
        </w:rPr>
      </w:pPr>
      <w:r w:rsidRPr="00827BA4">
        <w:rPr>
          <w:rFonts w:ascii="Arial" w:hAnsi="Arial" w:cs="Arial"/>
          <w:bCs/>
          <w:sz w:val="22"/>
          <w:szCs w:val="22"/>
          <w:lang w:val="en-GB"/>
        </w:rPr>
        <w:t>Article 42 – Communication between Courts</w:t>
      </w:r>
    </w:p>
    <w:p w14:paraId="20B5DBF6" w14:textId="77777777" w:rsidR="008769D8" w:rsidRPr="00827BA4" w:rsidRDefault="008769D8" w:rsidP="008E3022">
      <w:pPr>
        <w:ind w:left="720"/>
        <w:jc w:val="both"/>
        <w:rPr>
          <w:rFonts w:ascii="Arial" w:hAnsi="Arial" w:cs="Arial"/>
          <w:bCs/>
          <w:sz w:val="22"/>
          <w:szCs w:val="22"/>
          <w:lang w:val="en-GB"/>
        </w:rPr>
      </w:pPr>
    </w:p>
    <w:p w14:paraId="68A9F194" w14:textId="385A6599" w:rsidR="00AE10E4" w:rsidRPr="00827BA4" w:rsidRDefault="00AE10E4" w:rsidP="008E3022">
      <w:pPr>
        <w:ind w:left="720"/>
        <w:jc w:val="both"/>
        <w:rPr>
          <w:rFonts w:ascii="Arial" w:hAnsi="Arial" w:cs="Arial"/>
          <w:bCs/>
          <w:sz w:val="22"/>
          <w:szCs w:val="22"/>
          <w:lang w:val="en-GB"/>
        </w:rPr>
      </w:pPr>
      <w:r w:rsidRPr="00827BA4">
        <w:rPr>
          <w:rFonts w:ascii="Arial" w:hAnsi="Arial" w:cs="Arial"/>
          <w:bCs/>
          <w:sz w:val="22"/>
          <w:szCs w:val="22"/>
          <w:lang w:val="en-GB"/>
        </w:rPr>
        <w:t>Article 43 – Communication between Courts and Insolvency Practitioners</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479BC606" w:rsidR="009954B2" w:rsidRPr="00827BA4" w:rsidRDefault="00827BA4" w:rsidP="002A37BB">
      <w:pPr>
        <w:ind w:left="720" w:hanging="720"/>
        <w:jc w:val="both"/>
        <w:rPr>
          <w:rFonts w:ascii="Arial" w:hAnsi="Arial" w:cs="Arial"/>
          <w:sz w:val="22"/>
          <w:szCs w:val="22"/>
          <w:lang w:val="en-GB"/>
        </w:rPr>
      </w:pPr>
      <w:r w:rsidRPr="00827BA4">
        <w:rPr>
          <w:rFonts w:ascii="Arial" w:hAnsi="Arial" w:cs="Arial"/>
          <w:sz w:val="22"/>
          <w:szCs w:val="22"/>
          <w:lang w:val="en-GB"/>
        </w:rPr>
        <w:t>Answer:</w:t>
      </w:r>
    </w:p>
    <w:p w14:paraId="2C6CBC17" w14:textId="77777777" w:rsidR="00827BA4" w:rsidRPr="00827BA4" w:rsidRDefault="00827BA4" w:rsidP="002A37BB">
      <w:pPr>
        <w:ind w:left="720" w:hanging="720"/>
        <w:jc w:val="both"/>
        <w:rPr>
          <w:rFonts w:ascii="Arial" w:hAnsi="Arial" w:cs="Arial"/>
          <w:sz w:val="22"/>
          <w:szCs w:val="22"/>
          <w:lang w:val="en-GB"/>
        </w:rPr>
      </w:pPr>
    </w:p>
    <w:p w14:paraId="321358EA" w14:textId="5D6CDA5F" w:rsidR="009954B2" w:rsidRPr="00827BA4" w:rsidRDefault="00B4697C" w:rsidP="00D30AAC">
      <w:pPr>
        <w:ind w:firstLine="720"/>
        <w:jc w:val="both"/>
        <w:rPr>
          <w:rFonts w:ascii="Arial" w:hAnsi="Arial" w:cs="Arial"/>
          <w:bCs/>
          <w:sz w:val="22"/>
          <w:szCs w:val="22"/>
          <w:lang w:val="en-GB"/>
        </w:rPr>
      </w:pPr>
      <w:r w:rsidRPr="00827BA4">
        <w:rPr>
          <w:rFonts w:ascii="Arial" w:hAnsi="Arial" w:cs="Arial"/>
          <w:bCs/>
          <w:sz w:val="22"/>
          <w:szCs w:val="22"/>
          <w:lang w:val="en-GB"/>
        </w:rPr>
        <w:t xml:space="preserve">1) </w:t>
      </w:r>
      <w:r w:rsidR="00752ED7" w:rsidRPr="00827BA4">
        <w:rPr>
          <w:rFonts w:ascii="Arial" w:hAnsi="Arial" w:cs="Arial"/>
          <w:bCs/>
          <w:sz w:val="22"/>
          <w:szCs w:val="22"/>
          <w:lang w:val="en-GB"/>
        </w:rPr>
        <w:t>Right to give an undertaking or “synthetic” secondary proceedings.</w:t>
      </w:r>
    </w:p>
    <w:p w14:paraId="54906241" w14:textId="77777777" w:rsidR="00D30AAC" w:rsidRPr="00827BA4" w:rsidRDefault="00D30AAC" w:rsidP="00752ED7">
      <w:pPr>
        <w:ind w:left="720"/>
        <w:jc w:val="both"/>
        <w:rPr>
          <w:rFonts w:ascii="Arial" w:hAnsi="Arial" w:cs="Arial"/>
          <w:bCs/>
          <w:i/>
          <w:sz w:val="22"/>
          <w:szCs w:val="22"/>
          <w:lang w:val="en-GB"/>
        </w:rPr>
      </w:pPr>
    </w:p>
    <w:p w14:paraId="528C202A" w14:textId="76CDDA74" w:rsidR="00752ED7" w:rsidRPr="00827BA4" w:rsidRDefault="00D30AAC" w:rsidP="00752ED7">
      <w:pPr>
        <w:ind w:left="720"/>
        <w:jc w:val="both"/>
        <w:rPr>
          <w:rFonts w:ascii="Arial" w:hAnsi="Arial" w:cs="Arial"/>
          <w:bCs/>
          <w:i/>
          <w:sz w:val="22"/>
          <w:szCs w:val="22"/>
          <w:lang w:val="en-GB"/>
        </w:rPr>
      </w:pPr>
      <w:r w:rsidRPr="00827BA4">
        <w:rPr>
          <w:rFonts w:ascii="Arial" w:hAnsi="Arial" w:cs="Arial"/>
          <w:bCs/>
          <w:i/>
          <w:sz w:val="22"/>
          <w:szCs w:val="22"/>
          <w:lang w:val="en-GB"/>
        </w:rPr>
        <w:lastRenderedPageBreak/>
        <w:t>“</w:t>
      </w:r>
      <w:r w:rsidR="00752ED7" w:rsidRPr="00827BA4">
        <w:rPr>
          <w:rFonts w:ascii="Arial" w:hAnsi="Arial" w:cs="Arial"/>
          <w:bCs/>
          <w:i/>
          <w:sz w:val="22"/>
          <w:szCs w:val="22"/>
          <w:lang w:val="en-GB"/>
        </w:rPr>
        <w:t>According to Article 38(2) EIR Recast, where the insolvency practitioner in the main insolvency proceedings has given an undertaking in accordance with Article 36, the court asked to open secondary proceedings should not, at the request of the insolvency practitioner, open them if it is satisfied that the undertaking adequately protects the general interests of local creditors.</w:t>
      </w:r>
      <w:r w:rsidRPr="00827BA4">
        <w:rPr>
          <w:rStyle w:val="FootnoteReference"/>
          <w:rFonts w:ascii="Arial" w:hAnsi="Arial" w:cs="Arial"/>
          <w:bCs/>
          <w:i/>
          <w:sz w:val="22"/>
          <w:szCs w:val="22"/>
          <w:lang w:val="en-GB"/>
        </w:rPr>
        <w:footnoteReference w:id="4"/>
      </w:r>
      <w:r w:rsidRPr="00827BA4">
        <w:rPr>
          <w:rFonts w:ascii="Arial" w:hAnsi="Arial" w:cs="Arial"/>
          <w:bCs/>
          <w:i/>
          <w:sz w:val="22"/>
          <w:szCs w:val="22"/>
          <w:lang w:val="en-GB"/>
        </w:rPr>
        <w:t>”</w:t>
      </w:r>
    </w:p>
    <w:p w14:paraId="18125C12" w14:textId="77777777" w:rsidR="00D30AAC" w:rsidRPr="00827BA4" w:rsidRDefault="00D30AAC" w:rsidP="00752ED7">
      <w:pPr>
        <w:ind w:left="720"/>
        <w:jc w:val="both"/>
        <w:rPr>
          <w:rFonts w:ascii="Arial" w:hAnsi="Arial" w:cs="Arial"/>
          <w:bCs/>
          <w:i/>
          <w:sz w:val="22"/>
          <w:szCs w:val="22"/>
          <w:lang w:val="en-GB"/>
        </w:rPr>
      </w:pPr>
    </w:p>
    <w:p w14:paraId="1362ED71" w14:textId="118604A5" w:rsidR="00D30AAC" w:rsidRPr="00827BA4" w:rsidRDefault="00D30AAC" w:rsidP="00752ED7">
      <w:pPr>
        <w:ind w:left="720"/>
        <w:jc w:val="both"/>
        <w:rPr>
          <w:rFonts w:ascii="Arial" w:hAnsi="Arial" w:cs="Arial"/>
          <w:bCs/>
          <w:sz w:val="22"/>
          <w:szCs w:val="22"/>
          <w:lang w:val="en-GB"/>
        </w:rPr>
      </w:pPr>
      <w:r w:rsidRPr="00827BA4">
        <w:rPr>
          <w:rFonts w:ascii="Arial" w:hAnsi="Arial" w:cs="Arial"/>
          <w:bCs/>
          <w:sz w:val="22"/>
          <w:szCs w:val="22"/>
          <w:lang w:val="en-GB"/>
        </w:rPr>
        <w:t xml:space="preserve">This means that if a court is petitioned to open secondary proceedings for a debtor, </w:t>
      </w:r>
      <w:r w:rsidR="00B4697C" w:rsidRPr="00827BA4">
        <w:rPr>
          <w:rFonts w:ascii="Arial" w:hAnsi="Arial" w:cs="Arial"/>
          <w:bCs/>
          <w:sz w:val="22"/>
          <w:szCs w:val="22"/>
          <w:lang w:val="en-GB"/>
        </w:rPr>
        <w:t xml:space="preserve">in a jurisdiction covered by EIR Recast </w:t>
      </w:r>
      <w:r w:rsidRPr="00827BA4">
        <w:rPr>
          <w:rFonts w:ascii="Arial" w:hAnsi="Arial" w:cs="Arial"/>
          <w:bCs/>
          <w:sz w:val="22"/>
          <w:szCs w:val="22"/>
          <w:lang w:val="en-GB"/>
        </w:rPr>
        <w:t xml:space="preserve">and the insolvency practitioner of the main </w:t>
      </w:r>
      <w:r w:rsidR="00B4697C" w:rsidRPr="00827BA4">
        <w:rPr>
          <w:rFonts w:ascii="Arial" w:hAnsi="Arial" w:cs="Arial"/>
          <w:bCs/>
          <w:sz w:val="22"/>
          <w:szCs w:val="22"/>
          <w:lang w:val="en-GB"/>
        </w:rPr>
        <w:t>jurisdiction covered by EIR Recast gives an undertaking to the satisfaction of the court of the proposed secondary proceedings that the interests of its local creditors will be adequately protected and requests that the court not open a secondary proceeding over the same debtor, then the court of the proposed secondary proceedings should not open such secondary proceedings.</w:t>
      </w:r>
    </w:p>
    <w:p w14:paraId="340263B3" w14:textId="77777777" w:rsidR="00B4697C" w:rsidRPr="00827BA4" w:rsidRDefault="00B4697C" w:rsidP="00752ED7">
      <w:pPr>
        <w:ind w:left="720"/>
        <w:jc w:val="both"/>
        <w:rPr>
          <w:rFonts w:ascii="Arial" w:hAnsi="Arial" w:cs="Arial"/>
          <w:bCs/>
          <w:sz w:val="22"/>
          <w:szCs w:val="22"/>
          <w:lang w:val="en-GB"/>
        </w:rPr>
      </w:pPr>
    </w:p>
    <w:p w14:paraId="5AB7A729" w14:textId="1CE0A7DC" w:rsidR="00B4697C" w:rsidRPr="00827BA4" w:rsidRDefault="00B4697C" w:rsidP="00752ED7">
      <w:pPr>
        <w:ind w:left="720"/>
        <w:jc w:val="both"/>
        <w:rPr>
          <w:rFonts w:ascii="Arial" w:hAnsi="Arial" w:cs="Arial"/>
          <w:bCs/>
          <w:sz w:val="22"/>
          <w:szCs w:val="22"/>
          <w:lang w:val="en-GB"/>
        </w:rPr>
      </w:pPr>
      <w:r w:rsidRPr="00827BA4">
        <w:rPr>
          <w:rFonts w:ascii="Arial" w:hAnsi="Arial" w:cs="Arial"/>
          <w:bCs/>
          <w:sz w:val="22"/>
          <w:szCs w:val="22"/>
          <w:lang w:val="en-GB"/>
        </w:rPr>
        <w:t xml:space="preserve">2) Stay of the opening of secondary insolvency proceedings </w:t>
      </w:r>
    </w:p>
    <w:p w14:paraId="30BB4F5E" w14:textId="77777777" w:rsidR="00B4697C" w:rsidRPr="00827BA4" w:rsidRDefault="00B4697C" w:rsidP="00752ED7">
      <w:pPr>
        <w:ind w:left="720"/>
        <w:jc w:val="both"/>
        <w:rPr>
          <w:rFonts w:ascii="Arial" w:hAnsi="Arial" w:cs="Arial"/>
          <w:bCs/>
          <w:sz w:val="22"/>
          <w:szCs w:val="22"/>
          <w:lang w:val="en-GB"/>
        </w:rPr>
      </w:pPr>
    </w:p>
    <w:p w14:paraId="71946D2C" w14:textId="529FDF9E" w:rsidR="00B4697C" w:rsidRPr="00827BA4" w:rsidRDefault="00B4697C" w:rsidP="00752ED7">
      <w:pPr>
        <w:ind w:left="720"/>
        <w:jc w:val="both"/>
        <w:rPr>
          <w:rFonts w:ascii="Arial" w:hAnsi="Arial" w:cs="Arial"/>
          <w:bCs/>
          <w:sz w:val="22"/>
          <w:szCs w:val="22"/>
          <w:lang w:val="en-GB"/>
        </w:rPr>
      </w:pPr>
      <w:r w:rsidRPr="00827BA4">
        <w:rPr>
          <w:rFonts w:ascii="Arial" w:hAnsi="Arial" w:cs="Arial"/>
          <w:bCs/>
          <w:sz w:val="22"/>
          <w:szCs w:val="22"/>
          <w:lang w:val="en-GB"/>
        </w:rPr>
        <w:t xml:space="preserve">When a temporary stay of individual enforcement proceedings has been granted by the court in the main insolvency proceedings, in order to try to preserve the </w:t>
      </w:r>
      <w:r w:rsidR="002F79D1" w:rsidRPr="00827BA4">
        <w:rPr>
          <w:rFonts w:ascii="Arial" w:hAnsi="Arial" w:cs="Arial"/>
          <w:bCs/>
          <w:sz w:val="22"/>
          <w:szCs w:val="22"/>
          <w:lang w:val="en-GB"/>
        </w:rPr>
        <w:t>integrity</w:t>
      </w:r>
      <w:r w:rsidRPr="00827BA4">
        <w:rPr>
          <w:rFonts w:ascii="Arial" w:hAnsi="Arial" w:cs="Arial"/>
          <w:bCs/>
          <w:sz w:val="22"/>
          <w:szCs w:val="22"/>
          <w:lang w:val="en-GB"/>
        </w:rPr>
        <w:t xml:space="preserve"> of the insolvent estate and to allow the debtor some space to negotiate a restructure deal with its creditors, the EIR Recast provides for a possibility for the court of the min proceedings to temporarily stay the opening of secondary insolvency proceedings.</w:t>
      </w:r>
      <w:r w:rsidRPr="00827BA4">
        <w:rPr>
          <w:rStyle w:val="FootnoteReference"/>
          <w:rFonts w:ascii="Arial" w:hAnsi="Arial" w:cs="Arial"/>
          <w:bCs/>
          <w:sz w:val="22"/>
          <w:szCs w:val="22"/>
          <w:lang w:val="en-GB"/>
        </w:rPr>
        <w:footnoteReference w:id="5"/>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w:t>
      </w:r>
      <w:proofErr w:type="gramStart"/>
      <w:r w:rsidRPr="005D2CD6">
        <w:rPr>
          <w:rFonts w:ascii="Arial" w:hAnsi="Arial" w:cs="Arial"/>
          <w:sz w:val="22"/>
          <w:szCs w:val="22"/>
          <w:lang w:val="en-GB"/>
        </w:rPr>
        <w:t>the European Insolvency Regulation be amended by focusing on specific aspects of the instrument</w:t>
      </w:r>
      <w:proofErr w:type="gramEnd"/>
      <w:r w:rsidRPr="005D2CD6">
        <w:rPr>
          <w:rFonts w:ascii="Arial" w:hAnsi="Arial" w:cs="Arial"/>
          <w:sz w:val="22"/>
          <w:szCs w:val="22"/>
          <w:lang w:val="en-GB"/>
        </w:rPr>
        <w:t xml:space="preserve">.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361074AF" w:rsidR="00544127" w:rsidRPr="00827BA4" w:rsidRDefault="00827BA4" w:rsidP="002A37BB">
      <w:pPr>
        <w:jc w:val="both"/>
        <w:rPr>
          <w:rFonts w:ascii="Arial" w:hAnsi="Arial" w:cs="Arial"/>
          <w:sz w:val="22"/>
          <w:szCs w:val="22"/>
          <w:lang w:val="en-GB"/>
        </w:rPr>
      </w:pPr>
      <w:r w:rsidRPr="00827BA4">
        <w:rPr>
          <w:rFonts w:ascii="Arial" w:hAnsi="Arial" w:cs="Arial"/>
          <w:sz w:val="22"/>
          <w:szCs w:val="22"/>
          <w:lang w:val="en-GB"/>
        </w:rPr>
        <w:t>Answer:</w:t>
      </w:r>
    </w:p>
    <w:p w14:paraId="3E08C09A" w14:textId="77777777" w:rsidR="00827BA4" w:rsidRPr="00827BA4" w:rsidRDefault="00827BA4" w:rsidP="002A37BB">
      <w:pPr>
        <w:jc w:val="both"/>
        <w:rPr>
          <w:rFonts w:ascii="Arial" w:hAnsi="Arial" w:cs="Arial"/>
          <w:sz w:val="22"/>
          <w:szCs w:val="22"/>
        </w:rPr>
      </w:pPr>
    </w:p>
    <w:p w14:paraId="4A637290" w14:textId="427B6C14" w:rsidR="00544127" w:rsidRPr="00827BA4" w:rsidRDefault="00D21E4E" w:rsidP="00D21E4E">
      <w:pPr>
        <w:ind w:left="720"/>
        <w:jc w:val="both"/>
        <w:rPr>
          <w:rFonts w:ascii="Arial" w:hAnsi="Arial" w:cs="Arial"/>
          <w:sz w:val="22"/>
          <w:szCs w:val="22"/>
        </w:rPr>
      </w:pPr>
      <w:r w:rsidRPr="00827BA4">
        <w:rPr>
          <w:rFonts w:ascii="Arial" w:hAnsi="Arial" w:cs="Arial"/>
          <w:sz w:val="22"/>
          <w:szCs w:val="22"/>
        </w:rPr>
        <w:t>Article 46 of EIR 2000 provided that on no later than 1 June 2012, the European Commission had to present on the application of the EIR 2000 with a proposal for its adaptation. The EIR Recast entered into force on 26 June 2017</w:t>
      </w:r>
      <w:r w:rsidR="00F3620E" w:rsidRPr="00827BA4">
        <w:rPr>
          <w:rFonts w:ascii="Arial" w:hAnsi="Arial" w:cs="Arial"/>
          <w:sz w:val="22"/>
          <w:szCs w:val="22"/>
        </w:rPr>
        <w:t>,</w:t>
      </w:r>
      <w:r w:rsidRPr="00827BA4">
        <w:rPr>
          <w:rFonts w:ascii="Arial" w:hAnsi="Arial" w:cs="Arial"/>
          <w:sz w:val="22"/>
          <w:szCs w:val="22"/>
        </w:rPr>
        <w:t xml:space="preserve"> which responded to the needs of insolvency practice, improved creditor information and modernized legal rules, such as data protection.</w:t>
      </w:r>
      <w:r w:rsidRPr="00827BA4">
        <w:rPr>
          <w:rStyle w:val="FootnoteReference"/>
          <w:rFonts w:ascii="Arial" w:hAnsi="Arial" w:cs="Arial"/>
          <w:sz w:val="22"/>
          <w:szCs w:val="22"/>
        </w:rPr>
        <w:footnoteReference w:id="6"/>
      </w:r>
      <w:r w:rsidR="00F3620E" w:rsidRPr="00827BA4">
        <w:rPr>
          <w:rFonts w:ascii="Arial" w:hAnsi="Arial" w:cs="Arial"/>
          <w:sz w:val="22"/>
          <w:szCs w:val="22"/>
        </w:rPr>
        <w:t xml:space="preserve"> </w:t>
      </w:r>
    </w:p>
    <w:p w14:paraId="6D828028" w14:textId="77777777" w:rsidR="00F3620E" w:rsidRPr="00827BA4" w:rsidRDefault="00F3620E" w:rsidP="00D21E4E">
      <w:pPr>
        <w:ind w:left="720"/>
        <w:jc w:val="both"/>
        <w:rPr>
          <w:rFonts w:ascii="Arial" w:hAnsi="Arial" w:cs="Arial"/>
          <w:sz w:val="22"/>
          <w:szCs w:val="22"/>
        </w:rPr>
      </w:pPr>
    </w:p>
    <w:p w14:paraId="13EE0453" w14:textId="0224C7F7" w:rsidR="00F3620E" w:rsidRPr="00827BA4" w:rsidRDefault="00F3620E" w:rsidP="00D21E4E">
      <w:pPr>
        <w:ind w:left="720"/>
        <w:jc w:val="both"/>
        <w:rPr>
          <w:rFonts w:ascii="Arial" w:hAnsi="Arial" w:cs="Arial"/>
          <w:sz w:val="22"/>
          <w:szCs w:val="22"/>
        </w:rPr>
      </w:pPr>
      <w:r w:rsidRPr="00827BA4">
        <w:rPr>
          <w:rFonts w:ascii="Arial" w:hAnsi="Arial" w:cs="Arial"/>
          <w:sz w:val="22"/>
          <w:szCs w:val="22"/>
        </w:rPr>
        <w:t>Matters of international jurisdiction, applicable law, enforcement and recognition and cooperation between Insolvency Practitioners and courts have been largely harmonized through mandatory EU law, laid down in EIR Recast.</w:t>
      </w:r>
      <w:r w:rsidRPr="00827BA4">
        <w:rPr>
          <w:rStyle w:val="FootnoteReference"/>
          <w:rFonts w:ascii="Arial" w:hAnsi="Arial" w:cs="Arial"/>
          <w:sz w:val="22"/>
          <w:szCs w:val="22"/>
        </w:rPr>
        <w:footnoteReference w:id="7"/>
      </w:r>
    </w:p>
    <w:p w14:paraId="74392E78" w14:textId="77777777" w:rsidR="00F3620E" w:rsidRPr="00827BA4" w:rsidRDefault="00F3620E" w:rsidP="00D21E4E">
      <w:pPr>
        <w:ind w:left="720"/>
        <w:jc w:val="both"/>
        <w:rPr>
          <w:rFonts w:ascii="Arial" w:hAnsi="Arial" w:cs="Arial"/>
          <w:sz w:val="22"/>
          <w:szCs w:val="22"/>
        </w:rPr>
      </w:pPr>
    </w:p>
    <w:p w14:paraId="50B8A61B" w14:textId="09D7C98D" w:rsidR="00F3620E" w:rsidRPr="00827BA4" w:rsidRDefault="00F3620E" w:rsidP="00D21E4E">
      <w:pPr>
        <w:ind w:left="720"/>
        <w:jc w:val="both"/>
        <w:rPr>
          <w:rFonts w:ascii="Arial" w:hAnsi="Arial" w:cs="Arial"/>
          <w:sz w:val="22"/>
          <w:szCs w:val="22"/>
        </w:rPr>
      </w:pPr>
      <w:r w:rsidRPr="00827BA4">
        <w:rPr>
          <w:rFonts w:ascii="Arial" w:hAnsi="Arial" w:cs="Arial"/>
          <w:sz w:val="22"/>
          <w:szCs w:val="22"/>
        </w:rPr>
        <w:t xml:space="preserve">Accordingly, EIR Recast has worked to revise EIR 2000 based on feedback on its operation, this ‘fine-tune’ regulation of the practical issues such as communication </w:t>
      </w:r>
      <w:r w:rsidRPr="00827BA4">
        <w:rPr>
          <w:rFonts w:ascii="Arial" w:hAnsi="Arial" w:cs="Arial"/>
          <w:sz w:val="22"/>
          <w:szCs w:val="22"/>
        </w:rPr>
        <w:lastRenderedPageBreak/>
        <w:t>between courts and insolvency practitioners, jurisdiction, applicable law, enforcement and recognition.</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48EDF652" w:rsidR="00DF75F8" w:rsidRPr="00827BA4" w:rsidRDefault="00827BA4" w:rsidP="002A37BB">
      <w:pPr>
        <w:jc w:val="both"/>
        <w:rPr>
          <w:rFonts w:ascii="Arial" w:hAnsi="Arial" w:cs="Arial"/>
          <w:sz w:val="22"/>
          <w:szCs w:val="22"/>
          <w:lang w:val="en-GB"/>
        </w:rPr>
      </w:pPr>
      <w:r w:rsidRPr="00827BA4">
        <w:rPr>
          <w:rFonts w:ascii="Arial" w:hAnsi="Arial" w:cs="Arial"/>
          <w:sz w:val="22"/>
          <w:szCs w:val="22"/>
          <w:lang w:val="en-GB"/>
        </w:rPr>
        <w:t>Answer:</w:t>
      </w:r>
    </w:p>
    <w:p w14:paraId="30593C0F" w14:textId="77777777" w:rsidR="00827BA4" w:rsidRPr="00827BA4" w:rsidRDefault="00827BA4" w:rsidP="002A37BB">
      <w:pPr>
        <w:jc w:val="both"/>
        <w:rPr>
          <w:rFonts w:ascii="Arial" w:hAnsi="Arial" w:cs="Arial"/>
          <w:sz w:val="22"/>
          <w:szCs w:val="22"/>
          <w:lang w:val="en-GB"/>
        </w:rPr>
      </w:pPr>
    </w:p>
    <w:p w14:paraId="4A87472A" w14:textId="64FB6B33" w:rsidR="00D30AAC" w:rsidRPr="00827BA4" w:rsidRDefault="00D30AAC" w:rsidP="00D30AAC">
      <w:pPr>
        <w:pStyle w:val="ListParagraph"/>
        <w:numPr>
          <w:ilvl w:val="0"/>
          <w:numId w:val="12"/>
        </w:numPr>
        <w:jc w:val="both"/>
        <w:rPr>
          <w:rFonts w:ascii="Arial" w:hAnsi="Arial" w:cs="Arial"/>
          <w:sz w:val="22"/>
          <w:szCs w:val="22"/>
          <w:shd w:val="clear" w:color="auto" w:fill="FFFFFF"/>
        </w:rPr>
      </w:pPr>
      <w:r w:rsidRPr="00827BA4">
        <w:rPr>
          <w:rFonts w:ascii="Arial" w:hAnsi="Arial" w:cs="Arial"/>
          <w:sz w:val="22"/>
          <w:szCs w:val="22"/>
          <w:shd w:val="clear" w:color="auto" w:fill="FFFFFF"/>
        </w:rPr>
        <w:t>Undertaking or “Synthetic proceeding”</w:t>
      </w:r>
    </w:p>
    <w:p w14:paraId="3652CA87" w14:textId="77777777" w:rsidR="00C24B2C" w:rsidRPr="00827BA4" w:rsidRDefault="00C24B2C" w:rsidP="00C24B2C">
      <w:pPr>
        <w:ind w:left="360"/>
        <w:jc w:val="both"/>
        <w:rPr>
          <w:rFonts w:ascii="Arial" w:hAnsi="Arial" w:cs="Arial"/>
          <w:sz w:val="22"/>
          <w:szCs w:val="22"/>
          <w:shd w:val="clear" w:color="auto" w:fill="FFFFFF"/>
        </w:rPr>
      </w:pPr>
    </w:p>
    <w:p w14:paraId="058E4FAB" w14:textId="5D44E003" w:rsidR="00C24B2C" w:rsidRPr="00827BA4" w:rsidRDefault="00C24B2C" w:rsidP="00C24B2C">
      <w:pPr>
        <w:ind w:left="720"/>
        <w:jc w:val="both"/>
        <w:rPr>
          <w:rFonts w:ascii="Arial" w:hAnsi="Arial" w:cs="Arial"/>
          <w:sz w:val="22"/>
          <w:szCs w:val="22"/>
          <w:shd w:val="clear" w:color="auto" w:fill="FFFFFF"/>
        </w:rPr>
      </w:pPr>
      <w:r w:rsidRPr="00827BA4">
        <w:rPr>
          <w:rFonts w:ascii="Arial" w:hAnsi="Arial" w:cs="Arial"/>
          <w:sz w:val="22"/>
          <w:szCs w:val="22"/>
          <w:shd w:val="clear" w:color="auto" w:fill="FFFFFF"/>
        </w:rPr>
        <w:t>Article 38(2) read with Article 36, provides that if an insolvency practitioner in the main proceeding gives an undertaking in accordance with Article 36, the court should not open a secondary proceeding if it is satisfied that the undertaking adequately protects the general interests of its local creditors.</w:t>
      </w:r>
      <w:r w:rsidRPr="00827BA4">
        <w:rPr>
          <w:rStyle w:val="FootnoteReference"/>
          <w:rFonts w:ascii="Arial" w:hAnsi="Arial" w:cs="Arial"/>
          <w:sz w:val="22"/>
          <w:szCs w:val="22"/>
          <w:shd w:val="clear" w:color="auto" w:fill="FFFFFF"/>
        </w:rPr>
        <w:footnoteReference w:id="8"/>
      </w:r>
    </w:p>
    <w:p w14:paraId="3F931775" w14:textId="77777777" w:rsidR="00C24B2C" w:rsidRPr="00827BA4" w:rsidRDefault="00C24B2C" w:rsidP="00C24B2C">
      <w:pPr>
        <w:ind w:left="360"/>
        <w:jc w:val="both"/>
        <w:rPr>
          <w:rFonts w:ascii="Arial" w:hAnsi="Arial" w:cs="Arial"/>
          <w:sz w:val="22"/>
          <w:szCs w:val="22"/>
          <w:shd w:val="clear" w:color="auto" w:fill="FFFFFF"/>
        </w:rPr>
      </w:pPr>
    </w:p>
    <w:p w14:paraId="08F7B029" w14:textId="77777777" w:rsidR="00C24B2C" w:rsidRPr="00827BA4" w:rsidRDefault="00C24B2C" w:rsidP="00C24B2C">
      <w:pPr>
        <w:ind w:left="720"/>
        <w:jc w:val="both"/>
        <w:rPr>
          <w:rFonts w:ascii="Arial" w:hAnsi="Arial" w:cs="Arial"/>
          <w:sz w:val="22"/>
          <w:szCs w:val="22"/>
          <w:shd w:val="clear" w:color="auto" w:fill="FFFFFF"/>
        </w:rPr>
      </w:pPr>
      <w:r w:rsidRPr="00827BA4">
        <w:rPr>
          <w:rFonts w:ascii="Arial" w:hAnsi="Arial" w:cs="Arial"/>
          <w:sz w:val="22"/>
          <w:szCs w:val="22"/>
          <w:shd w:val="clear" w:color="auto" w:fill="FFFFFF"/>
        </w:rPr>
        <w:t xml:space="preserve">These Articles came about through the result of previous case law, </w:t>
      </w:r>
      <w:r w:rsidRPr="00827BA4">
        <w:rPr>
          <w:rFonts w:ascii="Arial" w:hAnsi="Arial" w:cs="Arial"/>
          <w:i/>
          <w:sz w:val="22"/>
          <w:szCs w:val="22"/>
          <w:shd w:val="clear" w:color="auto" w:fill="FFFFFF"/>
        </w:rPr>
        <w:t>Re Collins &amp; Aikman Europe SA and other companies</w:t>
      </w:r>
      <w:r w:rsidRPr="00827BA4">
        <w:rPr>
          <w:rFonts w:ascii="Arial" w:hAnsi="Arial" w:cs="Arial"/>
          <w:sz w:val="22"/>
          <w:szCs w:val="22"/>
          <w:shd w:val="clear" w:color="auto" w:fill="FFFFFF"/>
        </w:rPr>
        <w:t xml:space="preserve"> [1006] EWHC 1343 (</w:t>
      </w:r>
      <w:proofErr w:type="spellStart"/>
      <w:r w:rsidRPr="00827BA4">
        <w:rPr>
          <w:rFonts w:ascii="Arial" w:hAnsi="Arial" w:cs="Arial"/>
          <w:sz w:val="22"/>
          <w:szCs w:val="22"/>
          <w:shd w:val="clear" w:color="auto" w:fill="FFFFFF"/>
        </w:rPr>
        <w:t>Ch</w:t>
      </w:r>
      <w:proofErr w:type="spellEnd"/>
      <w:r w:rsidRPr="00827BA4">
        <w:rPr>
          <w:rFonts w:ascii="Arial" w:hAnsi="Arial" w:cs="Arial"/>
          <w:sz w:val="22"/>
          <w:szCs w:val="22"/>
          <w:shd w:val="clear" w:color="auto" w:fill="FFFFFF"/>
        </w:rPr>
        <w:t>) which involved an application to the UK Court to open insolvency proceedings of a group that operated through 24 legal entities spread over 10 jurisdictions.</w:t>
      </w:r>
      <w:r w:rsidRPr="00827BA4">
        <w:rPr>
          <w:rStyle w:val="FootnoteReference"/>
          <w:rFonts w:ascii="Arial" w:hAnsi="Arial" w:cs="Arial"/>
          <w:sz w:val="22"/>
          <w:szCs w:val="22"/>
          <w:shd w:val="clear" w:color="auto" w:fill="FFFFFF"/>
        </w:rPr>
        <w:footnoteReference w:id="9"/>
      </w:r>
      <w:r w:rsidRPr="00827BA4">
        <w:rPr>
          <w:rFonts w:ascii="Arial" w:hAnsi="Arial" w:cs="Arial"/>
          <w:sz w:val="22"/>
          <w:szCs w:val="22"/>
          <w:shd w:val="clear" w:color="auto" w:fill="FFFFFF"/>
        </w:rPr>
        <w:t xml:space="preserve"> Articles 36 and 38 were absent in the EIR 2000.</w:t>
      </w:r>
    </w:p>
    <w:p w14:paraId="11005407" w14:textId="77777777" w:rsidR="00C24B2C" w:rsidRPr="00827BA4" w:rsidRDefault="00C24B2C" w:rsidP="00C24B2C">
      <w:pPr>
        <w:jc w:val="both"/>
        <w:rPr>
          <w:rFonts w:ascii="Arial" w:hAnsi="Arial" w:cs="Arial"/>
          <w:sz w:val="22"/>
          <w:szCs w:val="22"/>
          <w:shd w:val="clear" w:color="auto" w:fill="FFFFFF"/>
        </w:rPr>
      </w:pPr>
    </w:p>
    <w:p w14:paraId="15A31D6E" w14:textId="63B69051" w:rsidR="00847368" w:rsidRPr="00827BA4" w:rsidRDefault="00847368" w:rsidP="00C24B2C">
      <w:pPr>
        <w:pStyle w:val="ListParagraph"/>
        <w:numPr>
          <w:ilvl w:val="0"/>
          <w:numId w:val="12"/>
        </w:numPr>
        <w:jc w:val="both"/>
        <w:rPr>
          <w:rFonts w:ascii="Arial" w:hAnsi="Arial" w:cs="Arial"/>
          <w:sz w:val="22"/>
          <w:szCs w:val="22"/>
          <w:shd w:val="clear" w:color="auto" w:fill="FFFFFF"/>
        </w:rPr>
      </w:pPr>
      <w:r w:rsidRPr="00827BA4">
        <w:rPr>
          <w:rFonts w:ascii="Arial" w:hAnsi="Arial" w:cs="Arial"/>
          <w:sz w:val="22"/>
          <w:szCs w:val="22"/>
          <w:shd w:val="clear" w:color="auto" w:fill="FFFFFF"/>
        </w:rPr>
        <w:t>EIR Recast Chapter V – Group Insolvencies</w:t>
      </w:r>
    </w:p>
    <w:p w14:paraId="2DACB059" w14:textId="77777777" w:rsidR="00847368" w:rsidRPr="00827BA4" w:rsidRDefault="00847368" w:rsidP="00847368">
      <w:pPr>
        <w:ind w:left="360"/>
        <w:jc w:val="both"/>
        <w:rPr>
          <w:rFonts w:ascii="Arial" w:hAnsi="Arial" w:cs="Arial"/>
          <w:sz w:val="22"/>
          <w:szCs w:val="22"/>
          <w:shd w:val="clear" w:color="auto" w:fill="FFFFFF"/>
        </w:rPr>
      </w:pPr>
    </w:p>
    <w:p w14:paraId="30B4892B" w14:textId="77777777" w:rsidR="002F79D1" w:rsidRPr="00827BA4" w:rsidRDefault="00847368" w:rsidP="00C24B2C">
      <w:pPr>
        <w:ind w:left="720"/>
        <w:jc w:val="both"/>
        <w:rPr>
          <w:rFonts w:ascii="Arial" w:hAnsi="Arial" w:cs="Arial"/>
          <w:sz w:val="22"/>
          <w:szCs w:val="22"/>
          <w:shd w:val="clear" w:color="auto" w:fill="FFFFFF"/>
        </w:rPr>
      </w:pPr>
      <w:r w:rsidRPr="00827BA4">
        <w:rPr>
          <w:rFonts w:ascii="Arial" w:hAnsi="Arial" w:cs="Arial"/>
          <w:sz w:val="22"/>
          <w:szCs w:val="22"/>
          <w:shd w:val="clear" w:color="auto" w:fill="FFFFFF"/>
        </w:rPr>
        <w:t>An entirely new chapter with over 20 Articles that provides for two sets of tools, Articles 56 – 60 prescribe cooperation and communication duties, and Articles 61 – 77 introduces the mechanism for group coordination proceeding which includes the concept of a group coordinator.</w:t>
      </w:r>
      <w:r w:rsidRPr="00827BA4">
        <w:rPr>
          <w:rStyle w:val="FootnoteReference"/>
          <w:rFonts w:ascii="Arial" w:hAnsi="Arial" w:cs="Arial"/>
          <w:sz w:val="22"/>
          <w:szCs w:val="22"/>
          <w:shd w:val="clear" w:color="auto" w:fill="FFFFFF"/>
        </w:rPr>
        <w:footnoteReference w:id="10"/>
      </w:r>
    </w:p>
    <w:p w14:paraId="0AB76119" w14:textId="77777777" w:rsidR="002F79D1" w:rsidRPr="00827BA4" w:rsidRDefault="002F79D1" w:rsidP="002F79D1">
      <w:pPr>
        <w:ind w:left="360"/>
        <w:jc w:val="both"/>
        <w:rPr>
          <w:rFonts w:ascii="Arial" w:hAnsi="Arial" w:cs="Arial"/>
          <w:sz w:val="22"/>
          <w:szCs w:val="22"/>
          <w:shd w:val="clear" w:color="auto" w:fill="FFFFFF"/>
        </w:rPr>
      </w:pPr>
    </w:p>
    <w:p w14:paraId="0D50573E" w14:textId="3814A585" w:rsidR="002F79D1" w:rsidRPr="00827BA4" w:rsidRDefault="002F79D1" w:rsidP="002F79D1">
      <w:pPr>
        <w:ind w:left="360"/>
        <w:jc w:val="both"/>
        <w:rPr>
          <w:rFonts w:ascii="Arial" w:hAnsi="Arial" w:cs="Arial"/>
          <w:sz w:val="22"/>
          <w:szCs w:val="22"/>
          <w:shd w:val="clear" w:color="auto" w:fill="FFFFFF"/>
        </w:rPr>
      </w:pPr>
      <w:r w:rsidRPr="00827BA4">
        <w:rPr>
          <w:rFonts w:ascii="Arial" w:hAnsi="Arial" w:cs="Arial"/>
          <w:sz w:val="22"/>
          <w:szCs w:val="22"/>
          <w:shd w:val="clear" w:color="auto" w:fill="FFFFFF"/>
        </w:rPr>
        <w:t xml:space="preserve">3) </w:t>
      </w:r>
      <w:r w:rsidRPr="00827BA4">
        <w:rPr>
          <w:rFonts w:ascii="Arial" w:hAnsi="Arial" w:cs="Arial"/>
          <w:sz w:val="22"/>
          <w:szCs w:val="22"/>
          <w:lang w:val="en-GB"/>
        </w:rPr>
        <w:t xml:space="preserve">Insolvency Registers </w:t>
      </w:r>
    </w:p>
    <w:p w14:paraId="5E2FAA02" w14:textId="77777777" w:rsidR="002F79D1" w:rsidRPr="00827BA4" w:rsidRDefault="002F79D1" w:rsidP="002F79D1">
      <w:pPr>
        <w:pStyle w:val="ListParagraph"/>
        <w:ind w:left="1080"/>
        <w:jc w:val="both"/>
        <w:rPr>
          <w:rFonts w:ascii="Arial" w:hAnsi="Arial" w:cs="Arial"/>
          <w:sz w:val="22"/>
          <w:szCs w:val="22"/>
          <w:lang w:val="en-GB"/>
        </w:rPr>
      </w:pPr>
    </w:p>
    <w:p w14:paraId="6599E950" w14:textId="77777777" w:rsidR="002F79D1" w:rsidRPr="00827BA4" w:rsidRDefault="002F79D1" w:rsidP="00C24B2C">
      <w:pPr>
        <w:ind w:left="720"/>
        <w:jc w:val="both"/>
        <w:rPr>
          <w:rFonts w:ascii="Arial" w:hAnsi="Arial" w:cs="Arial"/>
          <w:sz w:val="22"/>
          <w:szCs w:val="22"/>
          <w:lang w:val="en-GB"/>
        </w:rPr>
      </w:pPr>
      <w:r w:rsidRPr="00827BA4">
        <w:rPr>
          <w:rFonts w:ascii="Arial" w:hAnsi="Arial" w:cs="Arial"/>
          <w:sz w:val="22"/>
          <w:szCs w:val="22"/>
          <w:lang w:val="en-GB"/>
        </w:rPr>
        <w:t>Article 25 of their Recast prescribes the creation of a decentralised system for the interconnection of insolvency registers. That system must be composed of the national insolvency registers and the European e-Justice Portal, which serves as a central public electronic access point to information in the system.</w:t>
      </w:r>
      <w:r w:rsidRPr="00827BA4">
        <w:rPr>
          <w:rStyle w:val="FootnoteReference"/>
          <w:rFonts w:ascii="Arial" w:hAnsi="Arial" w:cs="Arial"/>
          <w:sz w:val="22"/>
          <w:szCs w:val="22"/>
          <w:lang w:val="en-GB"/>
        </w:rPr>
        <w:footnoteReference w:id="11"/>
      </w:r>
    </w:p>
    <w:p w14:paraId="5C98930E" w14:textId="77777777" w:rsidR="002F79D1" w:rsidRPr="00827BA4" w:rsidRDefault="002F79D1" w:rsidP="002F79D1">
      <w:pPr>
        <w:pStyle w:val="ListParagraph"/>
        <w:ind w:left="1080"/>
        <w:jc w:val="both"/>
        <w:rPr>
          <w:rFonts w:ascii="Arial" w:hAnsi="Arial" w:cs="Arial"/>
          <w:sz w:val="22"/>
          <w:szCs w:val="22"/>
          <w:lang w:val="en-GB"/>
        </w:rPr>
      </w:pPr>
    </w:p>
    <w:p w14:paraId="644E56A0" w14:textId="77777777" w:rsidR="002F79D1" w:rsidRPr="00827BA4" w:rsidRDefault="002F79D1" w:rsidP="00C24B2C">
      <w:pPr>
        <w:ind w:left="720"/>
        <w:jc w:val="both"/>
        <w:rPr>
          <w:rFonts w:ascii="Arial" w:hAnsi="Arial" w:cs="Arial"/>
          <w:sz w:val="22"/>
          <w:szCs w:val="22"/>
          <w:lang w:val="en-GB"/>
        </w:rPr>
      </w:pPr>
      <w:r w:rsidRPr="00827BA4">
        <w:rPr>
          <w:rFonts w:ascii="Arial" w:hAnsi="Arial" w:cs="Arial"/>
          <w:sz w:val="22"/>
          <w:szCs w:val="22"/>
          <w:lang w:val="en-GB"/>
        </w:rPr>
        <w:t>Prior to this, publication was made in the national insolvency register of the member state and in the register where the debtor had an establishment; it was up to the insolvency practitioner to publicise in a state it believed that the debtor had an interest. This of course is a cumbersome and tedious task and would have left open the possibility that the creditor would continue to deal with the insolvent debtor, unaware of the insolvency proceedings.</w:t>
      </w:r>
    </w:p>
    <w:p w14:paraId="0D8A4A48" w14:textId="77777777" w:rsidR="002F79D1" w:rsidRPr="002F79D1" w:rsidRDefault="002F79D1" w:rsidP="002F79D1">
      <w:pPr>
        <w:jc w:val="both"/>
        <w:rPr>
          <w:rFonts w:ascii="Arial" w:hAnsi="Arial" w:cs="Arial"/>
          <w:color w:val="FF0000"/>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w:t>
      </w:r>
      <w:proofErr w:type="gramStart"/>
      <w:r w:rsidRPr="005D2CD6">
        <w:rPr>
          <w:rFonts w:ascii="Arial" w:hAnsi="Arial" w:cs="Arial"/>
          <w:sz w:val="22"/>
          <w:szCs w:val="22"/>
          <w:lang w:val="en-GB"/>
        </w:rPr>
        <w:t>the EIR Recast was welcomed by most stakeholders</w:t>
      </w:r>
      <w:proofErr w:type="gramEnd"/>
      <w:r w:rsidRPr="005D2CD6">
        <w:rPr>
          <w:rFonts w:ascii="Arial" w:hAnsi="Arial" w:cs="Arial"/>
          <w:sz w:val="22"/>
          <w:szCs w:val="22"/>
          <w:lang w:val="en-GB"/>
        </w:rPr>
        <w:t xml:space="preserve">,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208E05D5" w14:textId="77777777" w:rsidR="000E2BAA" w:rsidRDefault="000E2BAA" w:rsidP="002A37BB">
      <w:pPr>
        <w:jc w:val="both"/>
        <w:rPr>
          <w:rFonts w:ascii="Arial" w:hAnsi="Arial" w:cs="Arial"/>
          <w:sz w:val="22"/>
          <w:szCs w:val="22"/>
          <w:lang w:val="en-GB"/>
        </w:rPr>
      </w:pPr>
    </w:p>
    <w:p w14:paraId="4E83D7AF" w14:textId="246DBA3A" w:rsidR="00DF75F8" w:rsidRDefault="000E2BAA" w:rsidP="002A37BB">
      <w:pPr>
        <w:jc w:val="both"/>
        <w:rPr>
          <w:rFonts w:ascii="Arial" w:hAnsi="Arial" w:cs="Arial"/>
          <w:color w:val="7B7B7B" w:themeColor="accent3" w:themeShade="BF"/>
          <w:sz w:val="22"/>
          <w:szCs w:val="22"/>
          <w:lang w:val="en-GB"/>
        </w:rPr>
      </w:pPr>
      <w:r>
        <w:rPr>
          <w:rFonts w:ascii="Arial" w:hAnsi="Arial" w:cs="Arial"/>
          <w:sz w:val="22"/>
          <w:szCs w:val="22"/>
          <w:lang w:val="en-GB"/>
        </w:rPr>
        <w:t>Answer:</w:t>
      </w:r>
    </w:p>
    <w:p w14:paraId="41764E69" w14:textId="77777777" w:rsidR="000E2BAA" w:rsidRPr="008500BD" w:rsidRDefault="000E2BAA" w:rsidP="002A37BB">
      <w:pPr>
        <w:jc w:val="both"/>
        <w:rPr>
          <w:rFonts w:ascii="Arial" w:hAnsi="Arial" w:cs="Arial"/>
          <w:sz w:val="22"/>
          <w:szCs w:val="22"/>
          <w:lang w:val="en-GB"/>
        </w:rPr>
      </w:pPr>
    </w:p>
    <w:p w14:paraId="4AE7EA78" w14:textId="6D46FB6D" w:rsidR="007D7C92" w:rsidRPr="000E2BAA" w:rsidRDefault="00D05347" w:rsidP="00C24B2C">
      <w:pPr>
        <w:pStyle w:val="ListParagraph"/>
        <w:numPr>
          <w:ilvl w:val="0"/>
          <w:numId w:val="15"/>
        </w:numPr>
        <w:jc w:val="both"/>
        <w:rPr>
          <w:rFonts w:ascii="Arial" w:hAnsi="Arial" w:cs="Arial"/>
          <w:sz w:val="22"/>
          <w:szCs w:val="22"/>
          <w:lang w:val="en-GB"/>
        </w:rPr>
      </w:pPr>
      <w:r w:rsidRPr="000E2BAA">
        <w:rPr>
          <w:rFonts w:ascii="Arial" w:hAnsi="Arial" w:cs="Arial"/>
          <w:sz w:val="22"/>
          <w:szCs w:val="22"/>
          <w:lang w:val="en-GB"/>
        </w:rPr>
        <w:t>Duty to inform creditors, Article 54</w:t>
      </w:r>
      <w:r w:rsidR="000E2BAA">
        <w:rPr>
          <w:rFonts w:ascii="Arial" w:hAnsi="Arial" w:cs="Arial"/>
          <w:sz w:val="22"/>
          <w:szCs w:val="22"/>
          <w:lang w:val="en-GB"/>
        </w:rPr>
        <w:t>, the requirement for personal notice to each individual creditor should diminish with the fully operational interconnection of insolvency registers.</w:t>
      </w:r>
      <w:r w:rsidR="000E2BAA">
        <w:rPr>
          <w:rStyle w:val="FootnoteReference"/>
          <w:rFonts w:ascii="Arial" w:hAnsi="Arial" w:cs="Arial"/>
          <w:sz w:val="22"/>
          <w:szCs w:val="22"/>
          <w:lang w:val="en-GB"/>
        </w:rPr>
        <w:footnoteReference w:id="12"/>
      </w:r>
      <w:r w:rsidR="000E2BAA">
        <w:rPr>
          <w:rFonts w:ascii="Arial" w:hAnsi="Arial" w:cs="Arial"/>
          <w:sz w:val="22"/>
          <w:szCs w:val="22"/>
          <w:lang w:val="en-GB"/>
        </w:rPr>
        <w:t xml:space="preserve"> </w:t>
      </w:r>
    </w:p>
    <w:p w14:paraId="03829027" w14:textId="77777777" w:rsidR="000E2BAA" w:rsidRPr="000E2BAA" w:rsidRDefault="000E2BAA" w:rsidP="000E2BAA">
      <w:pPr>
        <w:pStyle w:val="ListParagraph"/>
        <w:ind w:left="1080"/>
        <w:jc w:val="both"/>
        <w:rPr>
          <w:rFonts w:ascii="Arial" w:hAnsi="Arial" w:cs="Arial"/>
          <w:sz w:val="22"/>
          <w:szCs w:val="22"/>
          <w:lang w:val="en-GB"/>
        </w:rPr>
      </w:pPr>
    </w:p>
    <w:p w14:paraId="54A459DC" w14:textId="6F663DCD" w:rsidR="00C24B2C" w:rsidRPr="000E2BAA" w:rsidRDefault="00E54EA4" w:rsidP="00C24B2C">
      <w:pPr>
        <w:pStyle w:val="ListParagraph"/>
        <w:numPr>
          <w:ilvl w:val="0"/>
          <w:numId w:val="15"/>
        </w:numPr>
        <w:jc w:val="both"/>
        <w:rPr>
          <w:rFonts w:ascii="Arial" w:hAnsi="Arial" w:cs="Arial"/>
          <w:sz w:val="22"/>
          <w:szCs w:val="22"/>
          <w:lang w:val="en-GB"/>
        </w:rPr>
      </w:pPr>
      <w:r w:rsidRPr="000E2BAA">
        <w:rPr>
          <w:rFonts w:ascii="Arial" w:hAnsi="Arial" w:cs="Arial"/>
          <w:sz w:val="22"/>
          <w:szCs w:val="22"/>
          <w:lang w:val="en-GB"/>
        </w:rPr>
        <w:t>EIR Recast does not address form shopping, but harmful and abusive forms causing damage or disadvantage to the debtor’s creditors (Recital 29).</w:t>
      </w:r>
      <w:r w:rsidRPr="000E2BAA">
        <w:rPr>
          <w:rStyle w:val="FootnoteReference"/>
          <w:rFonts w:ascii="Arial" w:hAnsi="Arial" w:cs="Arial"/>
          <w:sz w:val="22"/>
          <w:szCs w:val="22"/>
          <w:lang w:val="en-GB"/>
        </w:rPr>
        <w:footnoteReference w:id="13"/>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4C8F33CF" w:rsidR="002F75A3" w:rsidRPr="008D5581" w:rsidRDefault="008D5581" w:rsidP="002A37BB">
      <w:pPr>
        <w:jc w:val="both"/>
        <w:rPr>
          <w:rFonts w:ascii="Arial" w:hAnsi="Arial" w:cs="Arial"/>
          <w:sz w:val="22"/>
          <w:szCs w:val="22"/>
          <w:lang w:val="en-GB"/>
        </w:rPr>
      </w:pPr>
      <w:r w:rsidRPr="008D5581">
        <w:rPr>
          <w:rFonts w:ascii="Arial" w:hAnsi="Arial" w:cs="Arial"/>
          <w:sz w:val="22"/>
          <w:szCs w:val="22"/>
          <w:lang w:val="en-GB"/>
        </w:rPr>
        <w:t>Answer</w:t>
      </w:r>
    </w:p>
    <w:p w14:paraId="6B2B64FC" w14:textId="77777777" w:rsidR="008D5581" w:rsidRPr="008D5581" w:rsidRDefault="008D5581" w:rsidP="002A37BB">
      <w:pPr>
        <w:jc w:val="both"/>
        <w:rPr>
          <w:rFonts w:ascii="Arial" w:hAnsi="Arial" w:cs="Arial"/>
          <w:sz w:val="22"/>
          <w:szCs w:val="22"/>
          <w:lang w:val="en-GB"/>
        </w:rPr>
      </w:pPr>
    </w:p>
    <w:p w14:paraId="055F8988" w14:textId="0D6D3E29" w:rsidR="00D95496" w:rsidRPr="008D5581" w:rsidRDefault="00815E7B" w:rsidP="00E50D1F">
      <w:pPr>
        <w:ind w:left="720"/>
        <w:jc w:val="both"/>
        <w:rPr>
          <w:rFonts w:ascii="Arial" w:hAnsi="Arial" w:cs="Arial"/>
          <w:sz w:val="22"/>
          <w:szCs w:val="22"/>
          <w:lang w:val="en-GB"/>
        </w:rPr>
      </w:pPr>
      <w:r w:rsidRPr="008D5581">
        <w:rPr>
          <w:rFonts w:ascii="Arial" w:hAnsi="Arial" w:cs="Arial"/>
          <w:sz w:val="22"/>
          <w:szCs w:val="22"/>
          <w:lang w:val="en-GB"/>
        </w:rPr>
        <w:t>The</w:t>
      </w:r>
      <w:r w:rsidR="00E54EA4" w:rsidRPr="008D5581">
        <w:rPr>
          <w:rFonts w:ascii="Arial" w:hAnsi="Arial" w:cs="Arial"/>
          <w:sz w:val="22"/>
          <w:szCs w:val="22"/>
          <w:lang w:val="en-GB"/>
        </w:rPr>
        <w:t xml:space="preserve"> question international j</w:t>
      </w:r>
      <w:r w:rsidRPr="008D5581">
        <w:rPr>
          <w:rFonts w:ascii="Arial" w:hAnsi="Arial" w:cs="Arial"/>
          <w:sz w:val="22"/>
          <w:szCs w:val="22"/>
          <w:lang w:val="en-GB"/>
        </w:rPr>
        <w:t xml:space="preserve">urisdiction of the under EIR 2000 </w:t>
      </w:r>
      <w:r w:rsidR="00E54EA4" w:rsidRPr="008D5581">
        <w:rPr>
          <w:rFonts w:ascii="Arial" w:hAnsi="Arial" w:cs="Arial"/>
          <w:sz w:val="22"/>
          <w:szCs w:val="22"/>
          <w:lang w:val="en-GB"/>
        </w:rPr>
        <w:t>was addressed in</w:t>
      </w:r>
      <w:r w:rsidR="00541EA2" w:rsidRPr="008D5581">
        <w:rPr>
          <w:rFonts w:ascii="Arial" w:hAnsi="Arial" w:cs="Arial"/>
          <w:sz w:val="22"/>
          <w:szCs w:val="22"/>
          <w:lang w:val="en-GB"/>
        </w:rPr>
        <w:t xml:space="preserve"> the European Court of Justice in</w:t>
      </w:r>
      <w:r w:rsidR="00E54EA4" w:rsidRPr="008D5581">
        <w:rPr>
          <w:rFonts w:ascii="Arial" w:hAnsi="Arial" w:cs="Arial"/>
          <w:sz w:val="22"/>
          <w:szCs w:val="22"/>
          <w:lang w:val="en-GB"/>
        </w:rPr>
        <w:t xml:space="preserve"> </w:t>
      </w:r>
      <w:proofErr w:type="spellStart"/>
      <w:r w:rsidR="00E54EA4" w:rsidRPr="008D5581">
        <w:rPr>
          <w:rFonts w:ascii="Arial" w:hAnsi="Arial" w:cs="Arial"/>
          <w:i/>
          <w:sz w:val="22"/>
          <w:szCs w:val="22"/>
          <w:lang w:val="en-GB"/>
        </w:rPr>
        <w:t>Eurofood</w:t>
      </w:r>
      <w:proofErr w:type="spellEnd"/>
      <w:r w:rsidR="00E54EA4" w:rsidRPr="008D5581">
        <w:rPr>
          <w:rFonts w:ascii="Arial" w:hAnsi="Arial" w:cs="Arial"/>
          <w:i/>
          <w:sz w:val="22"/>
          <w:szCs w:val="22"/>
          <w:lang w:val="en-GB"/>
        </w:rPr>
        <w:t xml:space="preserve"> IFSC Ltd</w:t>
      </w:r>
      <w:r w:rsidR="008D5581" w:rsidRPr="008D5581">
        <w:rPr>
          <w:rFonts w:ascii="Arial" w:hAnsi="Arial" w:cs="Arial"/>
          <w:i/>
          <w:sz w:val="22"/>
          <w:szCs w:val="22"/>
          <w:lang w:val="en-GB"/>
        </w:rPr>
        <w:t>.</w:t>
      </w:r>
      <w:r w:rsidR="008D5581" w:rsidRPr="008D5581">
        <w:rPr>
          <w:rStyle w:val="FootnoteReference"/>
          <w:rFonts w:ascii="Arial" w:hAnsi="Arial" w:cs="Arial"/>
          <w:i/>
          <w:sz w:val="22"/>
          <w:szCs w:val="22"/>
          <w:lang w:val="en-GB"/>
        </w:rPr>
        <w:footnoteReference w:id="14"/>
      </w:r>
      <w:r w:rsidR="00E54EA4" w:rsidRPr="008D5581">
        <w:rPr>
          <w:rFonts w:ascii="Arial" w:hAnsi="Arial" w:cs="Arial"/>
          <w:sz w:val="22"/>
          <w:szCs w:val="22"/>
          <w:lang w:val="en-GB"/>
        </w:rPr>
        <w:t xml:space="preserve"> In this matter, </w:t>
      </w:r>
      <w:proofErr w:type="spellStart"/>
      <w:r w:rsidR="00E54EA4" w:rsidRPr="008D5581">
        <w:rPr>
          <w:rFonts w:ascii="Arial" w:hAnsi="Arial" w:cs="Arial"/>
          <w:sz w:val="22"/>
          <w:szCs w:val="22"/>
          <w:lang w:val="en-GB"/>
        </w:rPr>
        <w:t>Eurofood</w:t>
      </w:r>
      <w:proofErr w:type="spellEnd"/>
      <w:r w:rsidR="00E54EA4" w:rsidRPr="008D5581">
        <w:rPr>
          <w:rFonts w:ascii="Arial" w:hAnsi="Arial" w:cs="Arial"/>
          <w:sz w:val="22"/>
          <w:szCs w:val="22"/>
          <w:lang w:val="en-GB"/>
        </w:rPr>
        <w:t xml:space="preserve"> was registered in Ireland with its wholly owned subsidiary, </w:t>
      </w:r>
      <w:proofErr w:type="spellStart"/>
      <w:r w:rsidR="00E54EA4" w:rsidRPr="008D5581">
        <w:rPr>
          <w:rFonts w:ascii="Arial" w:hAnsi="Arial" w:cs="Arial"/>
          <w:sz w:val="22"/>
          <w:szCs w:val="22"/>
          <w:lang w:val="en-GB"/>
        </w:rPr>
        <w:t>Parmalat</w:t>
      </w:r>
      <w:proofErr w:type="spellEnd"/>
      <w:r w:rsidR="00E54EA4" w:rsidRPr="008D5581">
        <w:rPr>
          <w:rFonts w:ascii="Arial" w:hAnsi="Arial" w:cs="Arial"/>
          <w:sz w:val="22"/>
          <w:szCs w:val="22"/>
          <w:lang w:val="en-GB"/>
        </w:rPr>
        <w:t xml:space="preserve"> </w:t>
      </w:r>
      <w:proofErr w:type="spellStart"/>
      <w:r w:rsidR="00E54EA4" w:rsidRPr="008D5581">
        <w:rPr>
          <w:rFonts w:ascii="Arial" w:hAnsi="Arial" w:cs="Arial"/>
          <w:sz w:val="22"/>
          <w:szCs w:val="22"/>
          <w:lang w:val="en-GB"/>
        </w:rPr>
        <w:t>SpA</w:t>
      </w:r>
      <w:proofErr w:type="spellEnd"/>
      <w:r w:rsidR="00E54EA4" w:rsidRPr="008D5581">
        <w:rPr>
          <w:rFonts w:ascii="Arial" w:hAnsi="Arial" w:cs="Arial"/>
          <w:sz w:val="22"/>
          <w:szCs w:val="22"/>
          <w:lang w:val="en-GB"/>
        </w:rPr>
        <w:t>, incorporated in Italy. Both the Italian and Irish courts held that the COMI was in their respective countries</w:t>
      </w:r>
      <w:r w:rsidR="00541EA2" w:rsidRPr="008D5581">
        <w:rPr>
          <w:rFonts w:ascii="Arial" w:hAnsi="Arial" w:cs="Arial"/>
          <w:sz w:val="22"/>
          <w:szCs w:val="22"/>
          <w:lang w:val="en-GB"/>
        </w:rPr>
        <w:t xml:space="preserve">. This essentially set out the criteria </w:t>
      </w:r>
      <w:r w:rsidR="00E50D1F" w:rsidRPr="008D5581">
        <w:rPr>
          <w:rFonts w:ascii="Arial" w:hAnsi="Arial" w:cs="Arial"/>
          <w:sz w:val="22"/>
          <w:szCs w:val="22"/>
          <w:lang w:val="en-GB"/>
        </w:rPr>
        <w:t>that</w:t>
      </w:r>
      <w:r w:rsidR="00541EA2" w:rsidRPr="008D5581">
        <w:rPr>
          <w:rFonts w:ascii="Arial" w:hAnsi="Arial" w:cs="Arial"/>
          <w:sz w:val="22"/>
          <w:szCs w:val="22"/>
          <w:lang w:val="en-GB"/>
        </w:rPr>
        <w:t xml:space="preserve"> sets out the COMI which is </w:t>
      </w:r>
      <w:r w:rsidR="00E50D1F" w:rsidRPr="008D5581">
        <w:rPr>
          <w:rFonts w:ascii="Arial" w:hAnsi="Arial" w:cs="Arial"/>
          <w:sz w:val="22"/>
          <w:szCs w:val="22"/>
          <w:lang w:val="en-GB"/>
        </w:rPr>
        <w:t xml:space="preserve">that the activity of a debtor of a Member State should be regular and lasting to create a COMI, the autonomous meaning of the term COMI must be identified by </w:t>
      </w:r>
      <w:r w:rsidR="00B62A78" w:rsidRPr="008D5581">
        <w:rPr>
          <w:rFonts w:ascii="Arial" w:hAnsi="Arial" w:cs="Arial"/>
          <w:sz w:val="22"/>
          <w:szCs w:val="22"/>
          <w:lang w:val="en-GB"/>
        </w:rPr>
        <w:t xml:space="preserve">reference </w:t>
      </w:r>
      <w:r w:rsidR="00E50D1F" w:rsidRPr="008D5581">
        <w:rPr>
          <w:rFonts w:ascii="Arial" w:hAnsi="Arial" w:cs="Arial"/>
          <w:sz w:val="22"/>
          <w:szCs w:val="22"/>
          <w:lang w:val="en-GB"/>
        </w:rPr>
        <w:t>t</w:t>
      </w:r>
      <w:r w:rsidR="00B62A78" w:rsidRPr="008D5581">
        <w:rPr>
          <w:rFonts w:ascii="Arial" w:hAnsi="Arial" w:cs="Arial"/>
          <w:sz w:val="22"/>
          <w:szCs w:val="22"/>
          <w:lang w:val="en-GB"/>
        </w:rPr>
        <w:t>o</w:t>
      </w:r>
      <w:r w:rsidR="00E50D1F" w:rsidRPr="008D5581">
        <w:rPr>
          <w:rFonts w:ascii="Arial" w:hAnsi="Arial" w:cs="Arial"/>
          <w:sz w:val="22"/>
          <w:szCs w:val="22"/>
          <w:lang w:val="en-GB"/>
        </w:rPr>
        <w:t xml:space="preserve"> criteria that are both objective and ascertainable by third parties (</w:t>
      </w:r>
      <w:proofErr w:type="spellStart"/>
      <w:r w:rsidR="00E50D1F" w:rsidRPr="008D5581">
        <w:rPr>
          <w:rFonts w:ascii="Arial" w:hAnsi="Arial" w:cs="Arial"/>
          <w:sz w:val="22"/>
          <w:szCs w:val="22"/>
          <w:lang w:val="en-GB"/>
        </w:rPr>
        <w:t>para</w:t>
      </w:r>
      <w:proofErr w:type="spellEnd"/>
      <w:r w:rsidR="00E50D1F" w:rsidRPr="008D5581">
        <w:rPr>
          <w:rFonts w:ascii="Arial" w:hAnsi="Arial" w:cs="Arial"/>
          <w:sz w:val="22"/>
          <w:szCs w:val="22"/>
          <w:lang w:val="en-GB"/>
        </w:rPr>
        <w:t xml:space="preserve"> 33).</w:t>
      </w:r>
      <w:r w:rsidR="00E50D1F" w:rsidRPr="008D5581">
        <w:rPr>
          <w:rStyle w:val="FootnoteReference"/>
          <w:rFonts w:ascii="Arial" w:hAnsi="Arial" w:cs="Arial"/>
          <w:sz w:val="22"/>
          <w:szCs w:val="22"/>
          <w:lang w:val="en-GB"/>
        </w:rPr>
        <w:footnoteReference w:id="15"/>
      </w:r>
    </w:p>
    <w:p w14:paraId="4A288851" w14:textId="10025622" w:rsidR="003E4DB0" w:rsidRPr="008D5581" w:rsidRDefault="003E4DB0" w:rsidP="00E50D1F">
      <w:pPr>
        <w:ind w:left="720"/>
        <w:jc w:val="both"/>
        <w:rPr>
          <w:rFonts w:ascii="Arial" w:hAnsi="Arial" w:cs="Arial"/>
          <w:sz w:val="22"/>
          <w:szCs w:val="22"/>
          <w:lang w:val="en-GB"/>
        </w:rPr>
      </w:pPr>
    </w:p>
    <w:p w14:paraId="44AF0D80" w14:textId="6AB2BEDB" w:rsidR="003E4DB0" w:rsidRPr="008D5581" w:rsidRDefault="00E50D1F" w:rsidP="00E50D1F">
      <w:pPr>
        <w:ind w:left="720"/>
        <w:jc w:val="both"/>
        <w:rPr>
          <w:rFonts w:ascii="Arial" w:hAnsi="Arial" w:cs="Arial"/>
          <w:sz w:val="22"/>
          <w:szCs w:val="22"/>
          <w:lang w:val="en-GB"/>
        </w:rPr>
      </w:pPr>
      <w:r w:rsidRPr="008D5581">
        <w:rPr>
          <w:rFonts w:ascii="Arial" w:hAnsi="Arial" w:cs="Arial"/>
          <w:sz w:val="22"/>
          <w:szCs w:val="22"/>
          <w:lang w:val="en-GB"/>
        </w:rPr>
        <w:t xml:space="preserve">Considering that Cardinal Home is an Ireland-registered company which opened in Cork, Ireland in 2009, presumably that company remains operative in Ireland on 22 June 2017 and Ireland was not just a “post box” for the company, Ireland would be </w:t>
      </w:r>
      <w:r w:rsidRPr="008D5581">
        <w:rPr>
          <w:rFonts w:ascii="Arial" w:hAnsi="Arial" w:cs="Arial"/>
          <w:sz w:val="22"/>
          <w:szCs w:val="22"/>
          <w:lang w:val="en-GB"/>
        </w:rPr>
        <w:lastRenderedPageBreak/>
        <w:t>able to establish that the COMI for the company falls within its jurisdiction and accordingly would have international jurisdiction ins the insolvency proceedings.</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3163EA9D" w:rsidR="002D3473" w:rsidRPr="008D5581" w:rsidRDefault="008D5581" w:rsidP="002A37BB">
      <w:pPr>
        <w:autoSpaceDE w:val="0"/>
        <w:autoSpaceDN w:val="0"/>
        <w:adjustRightInd w:val="0"/>
        <w:jc w:val="both"/>
        <w:rPr>
          <w:rFonts w:ascii="Arial" w:hAnsi="Arial" w:cs="Arial"/>
          <w:sz w:val="22"/>
          <w:szCs w:val="22"/>
          <w:lang w:val="en-GB"/>
        </w:rPr>
      </w:pPr>
      <w:r w:rsidRPr="008D5581">
        <w:rPr>
          <w:rFonts w:ascii="Arial" w:hAnsi="Arial" w:cs="Arial"/>
          <w:sz w:val="22"/>
          <w:szCs w:val="22"/>
          <w:lang w:val="en-GB"/>
        </w:rPr>
        <w:t>Answer:</w:t>
      </w:r>
    </w:p>
    <w:p w14:paraId="61121D58" w14:textId="77777777" w:rsidR="00115684" w:rsidRPr="008D5581" w:rsidRDefault="00115684" w:rsidP="00115684">
      <w:pPr>
        <w:autoSpaceDE w:val="0"/>
        <w:autoSpaceDN w:val="0"/>
        <w:adjustRightInd w:val="0"/>
        <w:ind w:left="720"/>
        <w:jc w:val="both"/>
        <w:rPr>
          <w:rFonts w:ascii="Arial" w:hAnsi="Arial" w:cs="Arial"/>
          <w:sz w:val="22"/>
          <w:szCs w:val="22"/>
          <w:lang w:val="en-GB"/>
        </w:rPr>
      </w:pPr>
    </w:p>
    <w:p w14:paraId="0B6D974E" w14:textId="4BF3AE64" w:rsidR="00115684" w:rsidRPr="008D5581" w:rsidRDefault="00D16949" w:rsidP="00115684">
      <w:pPr>
        <w:autoSpaceDE w:val="0"/>
        <w:autoSpaceDN w:val="0"/>
        <w:adjustRightInd w:val="0"/>
        <w:ind w:left="720"/>
        <w:jc w:val="both"/>
        <w:rPr>
          <w:rFonts w:ascii="Arial" w:hAnsi="Arial" w:cs="Arial"/>
          <w:sz w:val="22"/>
          <w:szCs w:val="22"/>
          <w:lang w:val="en-GB"/>
        </w:rPr>
      </w:pPr>
      <w:r w:rsidRPr="008D5581">
        <w:rPr>
          <w:rFonts w:ascii="Arial" w:hAnsi="Arial" w:cs="Arial"/>
          <w:sz w:val="22"/>
          <w:szCs w:val="22"/>
          <w:lang w:val="en-GB"/>
        </w:rPr>
        <w:t>Application of t</w:t>
      </w:r>
      <w:r w:rsidR="00115684" w:rsidRPr="008D5581">
        <w:rPr>
          <w:rFonts w:ascii="Arial" w:hAnsi="Arial" w:cs="Arial"/>
          <w:sz w:val="22"/>
          <w:szCs w:val="22"/>
          <w:lang w:val="en-GB"/>
        </w:rPr>
        <w:t>he EIR Recast</w:t>
      </w:r>
      <w:r w:rsidR="004F46FD" w:rsidRPr="008D5581">
        <w:rPr>
          <w:rFonts w:ascii="Arial" w:hAnsi="Arial" w:cs="Arial"/>
          <w:sz w:val="22"/>
          <w:szCs w:val="22"/>
          <w:lang w:val="en-GB"/>
        </w:rPr>
        <w:t xml:space="preserve"> has a material, temporal, personal and territorial scope. </w:t>
      </w:r>
    </w:p>
    <w:p w14:paraId="556F2B8D" w14:textId="77777777" w:rsidR="00D16949" w:rsidRPr="008D5581" w:rsidRDefault="00D16949" w:rsidP="00115684">
      <w:pPr>
        <w:autoSpaceDE w:val="0"/>
        <w:autoSpaceDN w:val="0"/>
        <w:adjustRightInd w:val="0"/>
        <w:ind w:left="720"/>
        <w:jc w:val="both"/>
        <w:rPr>
          <w:rFonts w:ascii="Arial" w:hAnsi="Arial" w:cs="Arial"/>
          <w:sz w:val="22"/>
          <w:szCs w:val="22"/>
          <w:lang w:val="en-GB"/>
        </w:rPr>
      </w:pPr>
    </w:p>
    <w:p w14:paraId="24E699FD" w14:textId="0B2C2A15" w:rsidR="00D16949" w:rsidRPr="008D5581" w:rsidRDefault="00D16949" w:rsidP="00115684">
      <w:pPr>
        <w:autoSpaceDE w:val="0"/>
        <w:autoSpaceDN w:val="0"/>
        <w:adjustRightInd w:val="0"/>
        <w:ind w:left="720"/>
        <w:jc w:val="both"/>
        <w:rPr>
          <w:rFonts w:ascii="Arial" w:hAnsi="Arial" w:cs="Arial"/>
          <w:sz w:val="22"/>
          <w:szCs w:val="22"/>
          <w:lang w:val="en-GB"/>
        </w:rPr>
      </w:pPr>
      <w:r w:rsidRPr="008D5581">
        <w:rPr>
          <w:rFonts w:ascii="Arial" w:hAnsi="Arial" w:cs="Arial"/>
          <w:sz w:val="22"/>
          <w:szCs w:val="22"/>
          <w:lang w:val="en-GB"/>
        </w:rPr>
        <w:t>On the material scope, it extends beyond “traditional” liquidation oriented procedures to proceedings aiming at rescuing economically viable but financially distressed businesses.</w:t>
      </w:r>
      <w:r w:rsidRPr="008D5581">
        <w:rPr>
          <w:rStyle w:val="FootnoteReference"/>
          <w:rFonts w:ascii="Arial" w:hAnsi="Arial" w:cs="Arial"/>
          <w:sz w:val="22"/>
          <w:szCs w:val="22"/>
          <w:lang w:val="en-GB"/>
        </w:rPr>
        <w:footnoteReference w:id="16"/>
      </w:r>
      <w:r w:rsidRPr="008D5581">
        <w:rPr>
          <w:rFonts w:ascii="Arial" w:hAnsi="Arial" w:cs="Arial"/>
          <w:sz w:val="22"/>
          <w:szCs w:val="22"/>
          <w:lang w:val="en-GB"/>
        </w:rPr>
        <w:t xml:space="preserve"> The opening of </w:t>
      </w:r>
      <w:proofErr w:type="spellStart"/>
      <w:r w:rsidRPr="008D5581">
        <w:rPr>
          <w:rFonts w:ascii="Arial" w:hAnsi="Arial" w:cs="Arial"/>
          <w:sz w:val="22"/>
          <w:szCs w:val="22"/>
          <w:lang w:val="en-GB"/>
        </w:rPr>
        <w:t>examinership</w:t>
      </w:r>
      <w:proofErr w:type="spellEnd"/>
      <w:r w:rsidRPr="008D5581">
        <w:rPr>
          <w:rFonts w:ascii="Arial" w:hAnsi="Arial" w:cs="Arial"/>
          <w:sz w:val="22"/>
          <w:szCs w:val="22"/>
          <w:lang w:val="en-GB"/>
        </w:rPr>
        <w:t xml:space="preserve"> proceedings would be covered by the extended material scope of Article 1 of EIR Recast, provided that it is a proceeding recognised in Annex A of EIR Recast.</w:t>
      </w:r>
    </w:p>
    <w:p w14:paraId="0EFC985B" w14:textId="77777777" w:rsidR="00115684" w:rsidRPr="008D5581" w:rsidRDefault="00115684" w:rsidP="00115684">
      <w:pPr>
        <w:autoSpaceDE w:val="0"/>
        <w:autoSpaceDN w:val="0"/>
        <w:adjustRightInd w:val="0"/>
        <w:ind w:left="720"/>
        <w:jc w:val="both"/>
        <w:rPr>
          <w:rFonts w:ascii="Arial" w:hAnsi="Arial" w:cs="Arial"/>
          <w:sz w:val="22"/>
          <w:szCs w:val="22"/>
          <w:lang w:val="en-GB"/>
        </w:rPr>
      </w:pPr>
    </w:p>
    <w:p w14:paraId="2D84632E" w14:textId="3353DAED" w:rsidR="000D2CA6" w:rsidRPr="008D5581" w:rsidRDefault="004F46FD" w:rsidP="00115684">
      <w:pPr>
        <w:autoSpaceDE w:val="0"/>
        <w:autoSpaceDN w:val="0"/>
        <w:adjustRightInd w:val="0"/>
        <w:ind w:left="720"/>
        <w:jc w:val="both"/>
        <w:rPr>
          <w:rFonts w:ascii="Arial" w:hAnsi="Arial" w:cs="Arial"/>
          <w:sz w:val="22"/>
          <w:szCs w:val="22"/>
          <w:lang w:val="en-GB"/>
        </w:rPr>
      </w:pPr>
      <w:r w:rsidRPr="008D5581">
        <w:rPr>
          <w:rFonts w:ascii="Arial" w:hAnsi="Arial" w:cs="Arial"/>
          <w:sz w:val="22"/>
          <w:szCs w:val="22"/>
          <w:lang w:val="en-GB"/>
        </w:rPr>
        <w:t>As regards to the temporal scope, t</w:t>
      </w:r>
      <w:r w:rsidR="000D2CA6" w:rsidRPr="008D5581">
        <w:rPr>
          <w:rFonts w:ascii="Arial" w:hAnsi="Arial" w:cs="Arial"/>
          <w:sz w:val="22"/>
          <w:szCs w:val="22"/>
          <w:lang w:val="en-GB"/>
        </w:rPr>
        <w:t>he EIR Recast applies to all insolvency proceedings opened from 26 June 2017</w:t>
      </w:r>
      <w:r w:rsidR="00D16949" w:rsidRPr="008D5581">
        <w:rPr>
          <w:rStyle w:val="FootnoteReference"/>
          <w:rFonts w:ascii="Arial" w:hAnsi="Arial" w:cs="Arial"/>
          <w:sz w:val="22"/>
          <w:szCs w:val="22"/>
          <w:lang w:val="en-GB"/>
        </w:rPr>
        <w:footnoteReference w:id="17"/>
      </w:r>
      <w:r w:rsidR="00115684" w:rsidRPr="008D5581">
        <w:rPr>
          <w:rFonts w:ascii="Arial" w:hAnsi="Arial" w:cs="Arial"/>
          <w:sz w:val="22"/>
          <w:szCs w:val="22"/>
          <w:lang w:val="en-GB"/>
        </w:rPr>
        <w:t>.</w:t>
      </w:r>
      <w:r w:rsidRPr="008D5581">
        <w:rPr>
          <w:rFonts w:ascii="Arial" w:hAnsi="Arial" w:cs="Arial"/>
          <w:sz w:val="22"/>
          <w:szCs w:val="22"/>
          <w:lang w:val="en-GB"/>
        </w:rPr>
        <w:t xml:space="preserve"> Should the Dublin High Court have opened the proceedings on 30 June 2017, the temporal scope of the EIR Recast is met.</w:t>
      </w:r>
    </w:p>
    <w:p w14:paraId="2C2C9D4F" w14:textId="77777777" w:rsidR="00835978" w:rsidRPr="008D5581" w:rsidRDefault="00835978" w:rsidP="00115684">
      <w:pPr>
        <w:autoSpaceDE w:val="0"/>
        <w:autoSpaceDN w:val="0"/>
        <w:adjustRightInd w:val="0"/>
        <w:ind w:left="720"/>
        <w:jc w:val="both"/>
        <w:rPr>
          <w:rFonts w:ascii="Arial" w:hAnsi="Arial" w:cs="Arial"/>
          <w:sz w:val="22"/>
          <w:szCs w:val="22"/>
          <w:lang w:val="en-GB"/>
        </w:rPr>
      </w:pPr>
    </w:p>
    <w:p w14:paraId="469BB9EA" w14:textId="10D08C68" w:rsidR="00835978" w:rsidRPr="008D5581" w:rsidRDefault="00835978" w:rsidP="00115684">
      <w:pPr>
        <w:autoSpaceDE w:val="0"/>
        <w:autoSpaceDN w:val="0"/>
        <w:adjustRightInd w:val="0"/>
        <w:ind w:left="720"/>
        <w:jc w:val="both"/>
        <w:rPr>
          <w:rFonts w:ascii="Arial" w:hAnsi="Arial" w:cs="Arial"/>
          <w:sz w:val="22"/>
          <w:szCs w:val="22"/>
          <w:lang w:val="en-GB"/>
        </w:rPr>
      </w:pPr>
      <w:r w:rsidRPr="008D5581">
        <w:rPr>
          <w:rFonts w:ascii="Arial" w:hAnsi="Arial" w:cs="Arial"/>
          <w:sz w:val="22"/>
          <w:szCs w:val="22"/>
          <w:lang w:val="en-GB"/>
        </w:rPr>
        <w:t>Recital 9 of the EIR Recast provides that it applies to insolvency proceedings, which meet the conditions set out in it, irrespective of whether the debtor is a natural person or a legal person or a trader or a consumer.</w:t>
      </w:r>
      <w:r w:rsidRPr="008D5581">
        <w:rPr>
          <w:rStyle w:val="FootnoteReference"/>
          <w:rFonts w:ascii="Arial" w:hAnsi="Arial" w:cs="Arial"/>
          <w:sz w:val="22"/>
          <w:szCs w:val="22"/>
          <w:lang w:val="en-GB"/>
        </w:rPr>
        <w:footnoteReference w:id="18"/>
      </w:r>
      <w:r w:rsidRPr="008D5581">
        <w:rPr>
          <w:rFonts w:ascii="Arial" w:hAnsi="Arial" w:cs="Arial"/>
          <w:sz w:val="22"/>
          <w:szCs w:val="22"/>
          <w:lang w:val="en-GB"/>
        </w:rPr>
        <w:t xml:space="preserve"> Accordingly being a legal person, Cardinal Home will m</w:t>
      </w:r>
      <w:r w:rsidR="005232B9" w:rsidRPr="008D5581">
        <w:rPr>
          <w:rFonts w:ascii="Arial" w:hAnsi="Arial" w:cs="Arial"/>
          <w:sz w:val="22"/>
          <w:szCs w:val="22"/>
          <w:lang w:val="en-GB"/>
        </w:rPr>
        <w:t>eet the personal scope criteria, as it does not fall under the exception in Article 1(2).</w:t>
      </w:r>
    </w:p>
    <w:p w14:paraId="24AA5DFB" w14:textId="77777777" w:rsidR="00835978" w:rsidRPr="008D5581" w:rsidRDefault="00835978" w:rsidP="00115684">
      <w:pPr>
        <w:autoSpaceDE w:val="0"/>
        <w:autoSpaceDN w:val="0"/>
        <w:adjustRightInd w:val="0"/>
        <w:ind w:left="720"/>
        <w:jc w:val="both"/>
        <w:rPr>
          <w:rFonts w:ascii="Arial" w:hAnsi="Arial" w:cs="Arial"/>
          <w:sz w:val="22"/>
          <w:szCs w:val="22"/>
          <w:lang w:val="en-GB"/>
        </w:rPr>
      </w:pPr>
    </w:p>
    <w:p w14:paraId="6A59DBCD" w14:textId="1842B02A" w:rsidR="00835978" w:rsidRPr="008D5581" w:rsidRDefault="005232B9" w:rsidP="00115684">
      <w:pPr>
        <w:autoSpaceDE w:val="0"/>
        <w:autoSpaceDN w:val="0"/>
        <w:adjustRightInd w:val="0"/>
        <w:ind w:left="720"/>
        <w:jc w:val="both"/>
        <w:rPr>
          <w:rFonts w:ascii="Arial" w:hAnsi="Arial" w:cs="Arial"/>
          <w:sz w:val="22"/>
          <w:szCs w:val="22"/>
          <w:lang w:val="en-GB"/>
        </w:rPr>
      </w:pPr>
      <w:r w:rsidRPr="008D5581">
        <w:rPr>
          <w:rFonts w:ascii="Arial" w:hAnsi="Arial" w:cs="Arial"/>
          <w:sz w:val="22"/>
          <w:szCs w:val="22"/>
          <w:lang w:val="en-GB"/>
        </w:rPr>
        <w:t>EIR Recast is binding on all EU Member States except Denmark</w:t>
      </w:r>
      <w:r w:rsidRPr="008D5581">
        <w:rPr>
          <w:rStyle w:val="FootnoteReference"/>
          <w:rFonts w:ascii="Arial" w:hAnsi="Arial" w:cs="Arial"/>
          <w:sz w:val="22"/>
          <w:szCs w:val="22"/>
          <w:lang w:val="en-GB"/>
        </w:rPr>
        <w:footnoteReference w:id="19"/>
      </w:r>
      <w:r w:rsidRPr="008D5581">
        <w:rPr>
          <w:rFonts w:ascii="Arial" w:hAnsi="Arial" w:cs="Arial"/>
          <w:sz w:val="22"/>
          <w:szCs w:val="22"/>
          <w:lang w:val="en-GB"/>
        </w:rPr>
        <w:t>. As Irela</w:t>
      </w:r>
      <w:r w:rsidR="00B62A78" w:rsidRPr="008D5581">
        <w:rPr>
          <w:rFonts w:ascii="Arial" w:hAnsi="Arial" w:cs="Arial"/>
          <w:sz w:val="22"/>
          <w:szCs w:val="22"/>
          <w:lang w:val="en-GB"/>
        </w:rPr>
        <w:t xml:space="preserve">nd is a </w:t>
      </w:r>
      <w:r w:rsidRPr="008D5581">
        <w:rPr>
          <w:rFonts w:ascii="Arial" w:hAnsi="Arial" w:cs="Arial"/>
          <w:sz w:val="22"/>
          <w:szCs w:val="22"/>
          <w:lang w:val="en-GB"/>
        </w:rPr>
        <w:t>EU Member State, it will meet the territorial scope for applicability of the EIR Recast.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F137A75" w:rsidR="0077498C" w:rsidRPr="008D5581" w:rsidRDefault="008D5581" w:rsidP="002A37BB">
      <w:pPr>
        <w:jc w:val="both"/>
        <w:rPr>
          <w:rFonts w:ascii="Arial" w:hAnsi="Arial" w:cs="Arial"/>
          <w:sz w:val="22"/>
          <w:szCs w:val="22"/>
          <w:lang w:val="en-GB"/>
        </w:rPr>
      </w:pPr>
      <w:r w:rsidRPr="008D5581">
        <w:rPr>
          <w:rFonts w:ascii="Arial" w:hAnsi="Arial" w:cs="Arial"/>
          <w:sz w:val="22"/>
          <w:szCs w:val="22"/>
          <w:lang w:val="en-GB"/>
        </w:rPr>
        <w:t>Answer:</w:t>
      </w:r>
    </w:p>
    <w:p w14:paraId="2CC98233" w14:textId="77777777" w:rsidR="004F417D" w:rsidRPr="008D5581" w:rsidRDefault="004F417D" w:rsidP="002A37BB">
      <w:pPr>
        <w:jc w:val="both"/>
        <w:rPr>
          <w:rFonts w:ascii="Arial" w:hAnsi="Arial" w:cs="Arial"/>
          <w:sz w:val="22"/>
          <w:szCs w:val="22"/>
          <w:lang w:val="en-GB"/>
        </w:rPr>
      </w:pPr>
    </w:p>
    <w:p w14:paraId="65F0E82B" w14:textId="2875F738" w:rsidR="004F417D" w:rsidRPr="008D5581" w:rsidRDefault="004F417D" w:rsidP="00E856F8">
      <w:pPr>
        <w:ind w:left="720"/>
        <w:jc w:val="both"/>
        <w:rPr>
          <w:rFonts w:ascii="Arial" w:hAnsi="Arial" w:cs="Arial"/>
          <w:sz w:val="22"/>
          <w:szCs w:val="22"/>
          <w:lang w:val="en-GB"/>
        </w:rPr>
      </w:pPr>
      <w:r w:rsidRPr="008D5581">
        <w:rPr>
          <w:rFonts w:ascii="Arial" w:hAnsi="Arial" w:cs="Arial"/>
          <w:sz w:val="22"/>
          <w:szCs w:val="22"/>
          <w:lang w:val="en-GB"/>
        </w:rPr>
        <w:t>Article 3(2) of the EIR Recast allows for the opening of one or more secondary insolvency proceedings against a debtor in any Member State where it possesses an establishment. The Effects of the secondary proceedings are restricted to the assets of the debtor situated in the territory of the Member State where secondary proceedings have been opened.</w:t>
      </w:r>
      <w:r w:rsidRPr="008D5581">
        <w:rPr>
          <w:rStyle w:val="FootnoteReference"/>
          <w:rFonts w:ascii="Arial" w:hAnsi="Arial" w:cs="Arial"/>
          <w:sz w:val="22"/>
          <w:szCs w:val="22"/>
          <w:lang w:val="en-GB"/>
        </w:rPr>
        <w:footnoteReference w:id="20"/>
      </w:r>
      <w:r w:rsidRPr="008D5581">
        <w:rPr>
          <w:rFonts w:ascii="Arial" w:hAnsi="Arial" w:cs="Arial"/>
          <w:sz w:val="22"/>
          <w:szCs w:val="22"/>
          <w:lang w:val="en-GB"/>
        </w:rPr>
        <w:t xml:space="preserve"> </w:t>
      </w:r>
    </w:p>
    <w:p w14:paraId="0EA2B043" w14:textId="77777777" w:rsidR="00AC15D6" w:rsidRDefault="00AC15D6" w:rsidP="00E856F8">
      <w:pPr>
        <w:ind w:left="720"/>
        <w:jc w:val="both"/>
        <w:rPr>
          <w:rFonts w:ascii="Arial" w:hAnsi="Arial" w:cs="Arial"/>
          <w:color w:val="FF0000"/>
          <w:sz w:val="22"/>
          <w:szCs w:val="22"/>
          <w:lang w:val="en-GB"/>
        </w:rPr>
      </w:pPr>
    </w:p>
    <w:p w14:paraId="16A4C53E" w14:textId="6FEE0B6C" w:rsidR="004F417D" w:rsidRPr="008D5581" w:rsidRDefault="004F417D" w:rsidP="00E856F8">
      <w:pPr>
        <w:ind w:left="720"/>
        <w:jc w:val="both"/>
        <w:rPr>
          <w:rFonts w:ascii="Arial" w:hAnsi="Arial" w:cs="Arial"/>
          <w:sz w:val="22"/>
          <w:szCs w:val="22"/>
          <w:lang w:val="en-GB"/>
        </w:rPr>
      </w:pPr>
      <w:r w:rsidRPr="008D5581">
        <w:rPr>
          <w:rFonts w:ascii="Arial" w:hAnsi="Arial" w:cs="Arial"/>
          <w:sz w:val="22"/>
          <w:szCs w:val="22"/>
          <w:lang w:val="en-GB"/>
        </w:rPr>
        <w:lastRenderedPageBreak/>
        <w:t>Article 2(10) of EIR Recast defines “establishment” as any place of operations where a debtor carries out or has carried out in the three-month period prior to the request to open main insolvency proceedings a non-transitory economic activity with human means and assets.</w:t>
      </w:r>
      <w:r w:rsidRPr="008D5581">
        <w:rPr>
          <w:rStyle w:val="FootnoteReference"/>
          <w:rFonts w:ascii="Arial" w:hAnsi="Arial" w:cs="Arial"/>
          <w:sz w:val="22"/>
          <w:szCs w:val="22"/>
          <w:lang w:val="en-GB"/>
        </w:rPr>
        <w:footnoteReference w:id="21"/>
      </w:r>
    </w:p>
    <w:p w14:paraId="7019537D" w14:textId="77777777" w:rsidR="004F417D" w:rsidRPr="008D5581" w:rsidRDefault="004F417D" w:rsidP="00E856F8">
      <w:pPr>
        <w:ind w:left="720"/>
        <w:jc w:val="both"/>
        <w:rPr>
          <w:rFonts w:ascii="Arial" w:hAnsi="Arial" w:cs="Arial"/>
          <w:sz w:val="22"/>
          <w:szCs w:val="22"/>
          <w:lang w:val="en-GB"/>
        </w:rPr>
      </w:pPr>
    </w:p>
    <w:p w14:paraId="2BB6A144" w14:textId="30B6430F" w:rsidR="0042145E" w:rsidRPr="008D5581" w:rsidRDefault="00E856F8" w:rsidP="00E856F8">
      <w:pPr>
        <w:ind w:left="720"/>
        <w:jc w:val="both"/>
        <w:rPr>
          <w:rFonts w:ascii="Arial" w:hAnsi="Arial" w:cs="Arial"/>
          <w:sz w:val="22"/>
          <w:szCs w:val="22"/>
          <w:lang w:val="en-GB"/>
        </w:rPr>
      </w:pPr>
      <w:r w:rsidRPr="008D5581">
        <w:rPr>
          <w:rFonts w:ascii="Arial" w:hAnsi="Arial" w:cs="Arial"/>
          <w:sz w:val="22"/>
          <w:szCs w:val="22"/>
          <w:lang w:val="en-GB"/>
        </w:rPr>
        <w:t xml:space="preserve">In </w:t>
      </w:r>
      <w:proofErr w:type="spellStart"/>
      <w:r w:rsidRPr="008D5581">
        <w:rPr>
          <w:rFonts w:ascii="Arial" w:hAnsi="Arial" w:cs="Arial"/>
          <w:sz w:val="22"/>
          <w:szCs w:val="22"/>
          <w:lang w:val="en-GB"/>
        </w:rPr>
        <w:t>Interedil</w:t>
      </w:r>
      <w:proofErr w:type="spellEnd"/>
      <w:r w:rsidRPr="008D5581">
        <w:rPr>
          <w:rStyle w:val="FootnoteReference"/>
          <w:rFonts w:ascii="Arial" w:hAnsi="Arial" w:cs="Arial"/>
          <w:sz w:val="22"/>
          <w:szCs w:val="22"/>
          <w:lang w:val="en-GB"/>
        </w:rPr>
        <w:footnoteReference w:id="22"/>
      </w:r>
      <w:r w:rsidRPr="008D5581">
        <w:rPr>
          <w:rFonts w:ascii="Arial" w:hAnsi="Arial" w:cs="Arial"/>
          <w:sz w:val="22"/>
          <w:szCs w:val="22"/>
          <w:lang w:val="en-GB"/>
        </w:rPr>
        <w:t xml:space="preserve"> the CJEU examined the concept and concluded that the fact </w:t>
      </w:r>
      <w:proofErr w:type="gramStart"/>
      <w:r w:rsidRPr="008D5581">
        <w:rPr>
          <w:rFonts w:ascii="Arial" w:hAnsi="Arial" w:cs="Arial"/>
          <w:sz w:val="22"/>
          <w:szCs w:val="22"/>
          <w:lang w:val="en-GB"/>
        </w:rPr>
        <w:t xml:space="preserve">the </w:t>
      </w:r>
      <w:proofErr w:type="spellStart"/>
      <w:r w:rsidRPr="008D5581">
        <w:rPr>
          <w:rFonts w:ascii="Arial" w:hAnsi="Arial" w:cs="Arial"/>
          <w:sz w:val="22"/>
          <w:szCs w:val="22"/>
          <w:lang w:val="en-GB"/>
        </w:rPr>
        <w:t>the</w:t>
      </w:r>
      <w:proofErr w:type="spellEnd"/>
      <w:proofErr w:type="gramEnd"/>
      <w:r w:rsidRPr="008D5581">
        <w:rPr>
          <w:rFonts w:ascii="Arial" w:hAnsi="Arial" w:cs="Arial"/>
          <w:sz w:val="22"/>
          <w:szCs w:val="22"/>
          <w:lang w:val="en-GB"/>
        </w:rPr>
        <w:t xml:space="preserve"> definition connects the pursuit of an economic activity to the presence of human resources, shows that a minimum level of organisation and degree of stability are required. The presence alone of goods in isolation or bank accounts does not, in principle, satisfy the requirements for classification as an “establishment” (paragraph 62) </w:t>
      </w:r>
      <w:r w:rsidRPr="008D5581">
        <w:rPr>
          <w:rStyle w:val="FootnoteReference"/>
          <w:rFonts w:ascii="Arial" w:hAnsi="Arial" w:cs="Arial"/>
          <w:sz w:val="22"/>
          <w:szCs w:val="22"/>
          <w:lang w:val="en-GB"/>
        </w:rPr>
        <w:footnoteReference w:id="23"/>
      </w:r>
    </w:p>
    <w:p w14:paraId="0ECBB246" w14:textId="77777777" w:rsidR="00E856F8" w:rsidRPr="008D5581" w:rsidRDefault="00E856F8" w:rsidP="00E856F8">
      <w:pPr>
        <w:ind w:left="720"/>
        <w:jc w:val="both"/>
        <w:rPr>
          <w:rFonts w:ascii="Arial" w:hAnsi="Arial" w:cs="Arial"/>
          <w:sz w:val="22"/>
          <w:szCs w:val="22"/>
          <w:lang w:val="en-GB"/>
        </w:rPr>
      </w:pPr>
    </w:p>
    <w:p w14:paraId="3782D211" w14:textId="2D53A4EE" w:rsidR="00E856F8" w:rsidRPr="008D5581" w:rsidRDefault="00E856F8" w:rsidP="00E856F8">
      <w:pPr>
        <w:ind w:left="720"/>
        <w:jc w:val="both"/>
        <w:rPr>
          <w:rFonts w:ascii="Arial" w:hAnsi="Arial" w:cs="Arial"/>
          <w:sz w:val="22"/>
          <w:szCs w:val="22"/>
          <w:lang w:val="en-GB"/>
        </w:rPr>
      </w:pPr>
      <w:r w:rsidRPr="008D5581">
        <w:rPr>
          <w:rFonts w:ascii="Arial" w:hAnsi="Arial" w:cs="Arial"/>
          <w:sz w:val="22"/>
          <w:szCs w:val="22"/>
          <w:lang w:val="en-GB"/>
        </w:rPr>
        <w:t>Considering that Cardinal Home entered a credit agreement with an Italian bank for use in the Spanish market and entered into some non-binding memoranda of understanding with Italian distributors (which presumably did not go ahead), nothing on the facts shows that there was any pursuit of economic activity and presence of human resources in Italy that could establish an “establishment”, accordingly, secondary proceedings cannot be opened under EIR Recast in Italy.</w:t>
      </w:r>
    </w:p>
    <w:p w14:paraId="3095CAB3" w14:textId="77777777" w:rsidR="00846031" w:rsidRPr="00846031" w:rsidRDefault="00846031" w:rsidP="00846031">
      <w:pPr>
        <w:jc w:val="both"/>
        <w:rPr>
          <w:rFonts w:ascii="Arial" w:hAnsi="Arial" w:cs="Arial"/>
          <w:color w:val="FF0000"/>
          <w:sz w:val="22"/>
          <w:szCs w:val="22"/>
          <w:lang w:val="en-GB"/>
        </w:rPr>
      </w:pPr>
      <w:bookmarkStart w:id="1" w:name="_GoBack"/>
      <w:bookmarkEnd w:id="1"/>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73A1D" w14:textId="77777777" w:rsidR="00827BA4" w:rsidRDefault="00827BA4" w:rsidP="00241B44">
      <w:r>
        <w:separator/>
      </w:r>
    </w:p>
  </w:endnote>
  <w:endnote w:type="continuationSeparator" w:id="0">
    <w:p w14:paraId="4F4EA206" w14:textId="77777777" w:rsidR="00827BA4" w:rsidRDefault="00827B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27BA4" w:rsidRPr="00FC7B47" w:rsidRDefault="00827B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27BA4" w:rsidRPr="00FC7B47" w:rsidRDefault="00827BA4"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827BA4" w:rsidRPr="009B4976" w:rsidRDefault="00827BA4"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8D5581">
          <w:rPr>
            <w:rStyle w:val="PageNumber"/>
            <w:rFonts w:ascii="Arial" w:hAnsi="Arial" w:cs="Arial"/>
            <w:noProof/>
            <w:sz w:val="18"/>
            <w:szCs w:val="18"/>
          </w:rPr>
          <w:t>14</w:t>
        </w:r>
        <w:r w:rsidRPr="009B4976">
          <w:rPr>
            <w:rStyle w:val="PageNumber"/>
            <w:rFonts w:ascii="Arial" w:hAnsi="Arial" w:cs="Arial"/>
            <w:sz w:val="18"/>
            <w:szCs w:val="18"/>
          </w:rPr>
          <w:fldChar w:fldCharType="end"/>
        </w:r>
      </w:p>
    </w:sdtContent>
  </w:sdt>
  <w:p w14:paraId="30F05E79" w14:textId="10CF64C6" w:rsidR="00827BA4" w:rsidRPr="009B4976" w:rsidRDefault="00827BA4"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38563" w14:textId="77777777" w:rsidR="00827BA4" w:rsidRDefault="00827BA4" w:rsidP="00241B44">
      <w:r>
        <w:separator/>
      </w:r>
    </w:p>
  </w:footnote>
  <w:footnote w:type="continuationSeparator" w:id="0">
    <w:p w14:paraId="0AC4E870" w14:textId="77777777" w:rsidR="00827BA4" w:rsidRDefault="00827BA4" w:rsidP="00241B44">
      <w:r>
        <w:continuationSeparator/>
      </w:r>
    </w:p>
  </w:footnote>
  <w:footnote w:id="1">
    <w:p w14:paraId="11400014" w14:textId="3113934F" w:rsidR="00827BA4" w:rsidRDefault="00827BA4">
      <w:pPr>
        <w:pStyle w:val="FootnoteText"/>
      </w:pPr>
      <w:r>
        <w:rPr>
          <w:rStyle w:val="FootnoteReference"/>
        </w:rPr>
        <w:footnoteRef/>
      </w:r>
      <w:r>
        <w:t xml:space="preserve"> Foundation Certificate in International Insolvency Law, Module 2B Guidance Text, The European Insolvency Regulation 2021/2022 (“</w:t>
      </w:r>
      <w:r w:rsidRPr="004A420B">
        <w:rPr>
          <w:b/>
        </w:rPr>
        <w:t>Guidance Text</w:t>
      </w:r>
      <w:r>
        <w:t>”) 5.3.3, p 20;</w:t>
      </w:r>
    </w:p>
  </w:footnote>
  <w:footnote w:id="2">
    <w:p w14:paraId="1B1429B3" w14:textId="77777777" w:rsidR="00827BA4" w:rsidRDefault="00827BA4" w:rsidP="00846031">
      <w:pPr>
        <w:pStyle w:val="FootnoteText"/>
      </w:pPr>
      <w:r>
        <w:rPr>
          <w:rStyle w:val="FootnoteReference"/>
        </w:rPr>
        <w:footnoteRef/>
      </w:r>
      <w:r>
        <w:t xml:space="preserve"> Guidance Text 5.3.3, p21;</w:t>
      </w:r>
    </w:p>
  </w:footnote>
  <w:footnote w:id="3">
    <w:p w14:paraId="76EF21F1" w14:textId="1FC56585" w:rsidR="00827BA4" w:rsidRDefault="00827BA4" w:rsidP="00242F1B">
      <w:pPr>
        <w:pStyle w:val="FootnoteText"/>
      </w:pPr>
      <w:r>
        <w:rPr>
          <w:rStyle w:val="FootnoteReference"/>
        </w:rPr>
        <w:footnoteRef/>
      </w:r>
      <w:r>
        <w:t xml:space="preserve"> Guidance Text 5.3.1 p 18;</w:t>
      </w:r>
    </w:p>
  </w:footnote>
  <w:footnote w:id="4">
    <w:p w14:paraId="49DE382D" w14:textId="1FBA0799" w:rsidR="00827BA4" w:rsidRDefault="00827BA4">
      <w:pPr>
        <w:pStyle w:val="FootnoteText"/>
      </w:pPr>
      <w:r>
        <w:rPr>
          <w:rStyle w:val="FootnoteReference"/>
        </w:rPr>
        <w:footnoteRef/>
      </w:r>
      <w:r>
        <w:t xml:space="preserve"> Guidance Text 10.1 p 51;</w:t>
      </w:r>
    </w:p>
  </w:footnote>
  <w:footnote w:id="5">
    <w:p w14:paraId="19DBA0A3" w14:textId="7E0928E9" w:rsidR="00827BA4" w:rsidRDefault="00827BA4">
      <w:pPr>
        <w:pStyle w:val="FootnoteText"/>
      </w:pPr>
      <w:r>
        <w:rPr>
          <w:rStyle w:val="FootnoteReference"/>
        </w:rPr>
        <w:footnoteRef/>
      </w:r>
      <w:r>
        <w:t xml:space="preserve"> Guidance Text 10.2 p 53; Recital 45 EIR Recast</w:t>
      </w:r>
    </w:p>
  </w:footnote>
  <w:footnote w:id="6">
    <w:p w14:paraId="6373FC3D" w14:textId="7F298545" w:rsidR="00827BA4" w:rsidRDefault="00827BA4">
      <w:pPr>
        <w:pStyle w:val="FootnoteText"/>
      </w:pPr>
      <w:r>
        <w:rPr>
          <w:rStyle w:val="FootnoteReference"/>
        </w:rPr>
        <w:footnoteRef/>
      </w:r>
      <w:r>
        <w:t xml:space="preserve"> Guidance Text 5.1, p</w:t>
      </w:r>
    </w:p>
  </w:footnote>
  <w:footnote w:id="7">
    <w:p w14:paraId="5817F0C9" w14:textId="102B9D2B" w:rsidR="00827BA4" w:rsidRDefault="00827BA4">
      <w:pPr>
        <w:pStyle w:val="FootnoteText"/>
      </w:pPr>
      <w:r>
        <w:rPr>
          <w:rStyle w:val="FootnoteReference"/>
        </w:rPr>
        <w:footnoteRef/>
      </w:r>
      <w:r>
        <w:t xml:space="preserve"> Guidance Text 5.3 p17</w:t>
      </w:r>
    </w:p>
  </w:footnote>
  <w:footnote w:id="8">
    <w:p w14:paraId="212DC167" w14:textId="77777777" w:rsidR="00827BA4" w:rsidRDefault="00827BA4" w:rsidP="00C24B2C">
      <w:pPr>
        <w:pStyle w:val="FootnoteText"/>
      </w:pPr>
      <w:r>
        <w:rPr>
          <w:rStyle w:val="FootnoteReference"/>
        </w:rPr>
        <w:footnoteRef/>
      </w:r>
      <w:r>
        <w:t xml:space="preserve"> Guidance Text 10.1 p 51;</w:t>
      </w:r>
    </w:p>
  </w:footnote>
  <w:footnote w:id="9">
    <w:p w14:paraId="73616235" w14:textId="77777777" w:rsidR="00827BA4" w:rsidRDefault="00827BA4" w:rsidP="00C24B2C">
      <w:pPr>
        <w:pStyle w:val="FootnoteText"/>
      </w:pPr>
      <w:r>
        <w:rPr>
          <w:rStyle w:val="FootnoteReference"/>
        </w:rPr>
        <w:footnoteRef/>
      </w:r>
      <w:r>
        <w:t xml:space="preserve"> Guidance Text 10.1 p51;</w:t>
      </w:r>
    </w:p>
  </w:footnote>
  <w:footnote w:id="10">
    <w:p w14:paraId="7C77609E" w14:textId="77777777" w:rsidR="00827BA4" w:rsidRDefault="00827BA4" w:rsidP="00847368">
      <w:pPr>
        <w:pStyle w:val="FootnoteText"/>
      </w:pPr>
      <w:r>
        <w:rPr>
          <w:rStyle w:val="FootnoteReference"/>
        </w:rPr>
        <w:footnoteRef/>
      </w:r>
      <w:r>
        <w:t xml:space="preserve"> Guidance Text 11.0 p55;</w:t>
      </w:r>
    </w:p>
  </w:footnote>
  <w:footnote w:id="11">
    <w:p w14:paraId="2C5E3076" w14:textId="77777777" w:rsidR="00827BA4" w:rsidRDefault="00827BA4" w:rsidP="002F79D1">
      <w:pPr>
        <w:pStyle w:val="FootnoteText"/>
      </w:pPr>
      <w:r>
        <w:rPr>
          <w:rStyle w:val="FootnoteReference"/>
        </w:rPr>
        <w:footnoteRef/>
      </w:r>
      <w:r>
        <w:t xml:space="preserve"> Guidance Text 8.3.2 p 44;</w:t>
      </w:r>
    </w:p>
  </w:footnote>
  <w:footnote w:id="12">
    <w:p w14:paraId="57286734" w14:textId="13CAE650" w:rsidR="000E2BAA" w:rsidRDefault="000E2BAA">
      <w:pPr>
        <w:pStyle w:val="FootnoteText"/>
      </w:pPr>
      <w:r>
        <w:rPr>
          <w:rStyle w:val="FootnoteReference"/>
        </w:rPr>
        <w:footnoteRef/>
      </w:r>
      <w:r>
        <w:t xml:space="preserve"> Guidance Text 8.3.1, p 43;</w:t>
      </w:r>
    </w:p>
  </w:footnote>
  <w:footnote w:id="13">
    <w:p w14:paraId="405DDBD5" w14:textId="3530D95C" w:rsidR="00827BA4" w:rsidRDefault="00827BA4">
      <w:pPr>
        <w:pStyle w:val="FootnoteText"/>
      </w:pPr>
      <w:r>
        <w:rPr>
          <w:rStyle w:val="FootnoteReference"/>
        </w:rPr>
        <w:footnoteRef/>
      </w:r>
      <w:r>
        <w:t xml:space="preserve"> Guidance Text 5.3.1, p 19;</w:t>
      </w:r>
    </w:p>
  </w:footnote>
  <w:footnote w:id="14">
    <w:p w14:paraId="10005E12" w14:textId="77777777" w:rsidR="008D5581" w:rsidRDefault="008D5581" w:rsidP="008D5581">
      <w:pPr>
        <w:pStyle w:val="FootnoteText"/>
      </w:pPr>
      <w:r>
        <w:rPr>
          <w:rStyle w:val="FootnoteReference"/>
        </w:rPr>
        <w:footnoteRef/>
      </w:r>
      <w:r>
        <w:t xml:space="preserve"> </w:t>
      </w:r>
      <w:proofErr w:type="spellStart"/>
      <w:r w:rsidRPr="008D5581">
        <w:rPr>
          <w:rFonts w:cs="Arial"/>
          <w:i/>
          <w:lang w:val="en-GB"/>
        </w:rPr>
        <w:t>Eurofood</w:t>
      </w:r>
      <w:proofErr w:type="spellEnd"/>
      <w:r w:rsidRPr="008D5581">
        <w:rPr>
          <w:rFonts w:cs="Arial"/>
          <w:i/>
          <w:lang w:val="en-GB"/>
        </w:rPr>
        <w:t xml:space="preserve"> IFSC Ltd </w:t>
      </w:r>
      <w:r w:rsidRPr="008D5581">
        <w:rPr>
          <w:rFonts w:cs="Arial"/>
          <w:lang w:val="en-GB"/>
        </w:rPr>
        <w:t>Case C-341/04, ECLI</w:t>
      </w:r>
      <w:proofErr w:type="gramStart"/>
      <w:r w:rsidRPr="008D5581">
        <w:rPr>
          <w:rFonts w:cs="Arial"/>
          <w:lang w:val="en-GB"/>
        </w:rPr>
        <w:t>:EU:C:2006:281</w:t>
      </w:r>
      <w:proofErr w:type="gramEnd"/>
      <w:r w:rsidRPr="008D5581">
        <w:rPr>
          <w:rFonts w:cs="Arial"/>
          <w:lang w:val="en-GB"/>
        </w:rPr>
        <w:t xml:space="preserve"> (May 2,2006)</w:t>
      </w:r>
    </w:p>
  </w:footnote>
  <w:footnote w:id="15">
    <w:p w14:paraId="4BD5379E" w14:textId="190BDC1F" w:rsidR="00827BA4" w:rsidRDefault="00827BA4">
      <w:pPr>
        <w:pStyle w:val="FootnoteText"/>
      </w:pPr>
      <w:r>
        <w:rPr>
          <w:rStyle w:val="FootnoteReference"/>
        </w:rPr>
        <w:footnoteRef/>
      </w:r>
      <w:r>
        <w:t xml:space="preserve"> Guidance Text 5.3.1, p19;</w:t>
      </w:r>
    </w:p>
  </w:footnote>
  <w:footnote w:id="16">
    <w:p w14:paraId="6338D383" w14:textId="3FF31272" w:rsidR="00827BA4" w:rsidRDefault="00827BA4">
      <w:pPr>
        <w:pStyle w:val="FootnoteText"/>
      </w:pPr>
      <w:r>
        <w:rPr>
          <w:rStyle w:val="FootnoteReference"/>
        </w:rPr>
        <w:footnoteRef/>
      </w:r>
      <w:r>
        <w:t xml:space="preserve"> Guidance Text 5.2.1 p 14;</w:t>
      </w:r>
    </w:p>
  </w:footnote>
  <w:footnote w:id="17">
    <w:p w14:paraId="33028453" w14:textId="6B176BFD" w:rsidR="00827BA4" w:rsidRDefault="00827BA4">
      <w:pPr>
        <w:pStyle w:val="FootnoteText"/>
      </w:pPr>
      <w:r>
        <w:rPr>
          <w:rStyle w:val="FootnoteReference"/>
        </w:rPr>
        <w:footnoteRef/>
      </w:r>
      <w:r>
        <w:t xml:space="preserve"> Guidance Text 5.2.2 p 15; Article 92 EIR Recast </w:t>
      </w:r>
    </w:p>
  </w:footnote>
  <w:footnote w:id="18">
    <w:p w14:paraId="23B7D1F5" w14:textId="1A779A89" w:rsidR="00827BA4" w:rsidRDefault="00827BA4">
      <w:pPr>
        <w:pStyle w:val="FootnoteText"/>
      </w:pPr>
      <w:r>
        <w:rPr>
          <w:rStyle w:val="FootnoteReference"/>
        </w:rPr>
        <w:footnoteRef/>
      </w:r>
      <w:r>
        <w:t xml:space="preserve"> Guidance Text 5.2.3 p 15</w:t>
      </w:r>
    </w:p>
  </w:footnote>
  <w:footnote w:id="19">
    <w:p w14:paraId="62E57B53" w14:textId="3516F775" w:rsidR="00827BA4" w:rsidRDefault="00827BA4">
      <w:pPr>
        <w:pStyle w:val="FootnoteText"/>
      </w:pPr>
      <w:r>
        <w:rPr>
          <w:rStyle w:val="FootnoteReference"/>
        </w:rPr>
        <w:footnoteRef/>
      </w:r>
      <w:r>
        <w:t xml:space="preserve"> Guidance Text 5.2.4 p 16</w:t>
      </w:r>
    </w:p>
  </w:footnote>
  <w:footnote w:id="20">
    <w:p w14:paraId="5099D5F7" w14:textId="7C96BB2C" w:rsidR="00827BA4" w:rsidRDefault="00827BA4">
      <w:pPr>
        <w:pStyle w:val="FootnoteText"/>
      </w:pPr>
      <w:r>
        <w:rPr>
          <w:rStyle w:val="FootnoteReference"/>
        </w:rPr>
        <w:footnoteRef/>
      </w:r>
      <w:r>
        <w:t xml:space="preserve"> Guidance Text 5.3.3, p 21;</w:t>
      </w:r>
    </w:p>
  </w:footnote>
  <w:footnote w:id="21">
    <w:p w14:paraId="1A391005" w14:textId="3D978756" w:rsidR="00827BA4" w:rsidRDefault="00827BA4">
      <w:pPr>
        <w:pStyle w:val="FootnoteText"/>
      </w:pPr>
      <w:r>
        <w:rPr>
          <w:rStyle w:val="FootnoteReference"/>
        </w:rPr>
        <w:footnoteRef/>
      </w:r>
      <w:r>
        <w:t xml:space="preserve"> Guidance Text 5.3.3, p 22;</w:t>
      </w:r>
    </w:p>
  </w:footnote>
  <w:footnote w:id="22">
    <w:p w14:paraId="6C331E24" w14:textId="6746EB2B" w:rsidR="00827BA4" w:rsidRDefault="00827BA4">
      <w:pPr>
        <w:pStyle w:val="FootnoteText"/>
      </w:pPr>
      <w:r>
        <w:rPr>
          <w:rStyle w:val="FootnoteReference"/>
        </w:rPr>
        <w:footnoteRef/>
      </w:r>
      <w:r>
        <w:t xml:space="preserve"> </w:t>
      </w:r>
      <w:proofErr w:type="spellStart"/>
      <w:r>
        <w:t>Interedil</w:t>
      </w:r>
      <w:proofErr w:type="spellEnd"/>
      <w:r>
        <w:t xml:space="preserve"> </w:t>
      </w:r>
      <w:proofErr w:type="spellStart"/>
      <w:r>
        <w:t>Srl</w:t>
      </w:r>
      <w:proofErr w:type="spellEnd"/>
      <w:r>
        <w:t xml:space="preserve"> Case C-396/09, ECLI</w:t>
      </w:r>
      <w:proofErr w:type="gramStart"/>
      <w:r>
        <w:t>:EU:C:2011:671</w:t>
      </w:r>
      <w:proofErr w:type="gramEnd"/>
    </w:p>
  </w:footnote>
  <w:footnote w:id="23">
    <w:p w14:paraId="5B3753D0" w14:textId="792FCDEC" w:rsidR="00827BA4" w:rsidRDefault="00827BA4">
      <w:pPr>
        <w:pStyle w:val="FootnoteText"/>
      </w:pPr>
      <w:r>
        <w:rPr>
          <w:rStyle w:val="FootnoteReference"/>
        </w:rPr>
        <w:footnoteRef/>
      </w:r>
      <w:r>
        <w:t xml:space="preserve"> Guidance Text 5.3.3, p 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3D2791C"/>
    <w:multiLevelType w:val="hybridMultilevel"/>
    <w:tmpl w:val="E8A80E74"/>
    <w:lvl w:ilvl="0" w:tplc="BFE0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83524"/>
    <w:multiLevelType w:val="hybridMultilevel"/>
    <w:tmpl w:val="9E48A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2F41E71"/>
    <w:multiLevelType w:val="hybridMultilevel"/>
    <w:tmpl w:val="E8A80E74"/>
    <w:lvl w:ilvl="0" w:tplc="BFE0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7AED2009"/>
    <w:multiLevelType w:val="hybridMultilevel"/>
    <w:tmpl w:val="95A0C6B2"/>
    <w:lvl w:ilvl="0" w:tplc="BFE0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0"/>
  </w:num>
  <w:num w:numId="8">
    <w:abstractNumId w:val="7"/>
  </w:num>
  <w:num w:numId="9">
    <w:abstractNumId w:val="6"/>
  </w:num>
  <w:num w:numId="10">
    <w:abstractNumId w:val="4"/>
  </w:num>
  <w:num w:numId="11">
    <w:abstractNumId w:val="9"/>
  </w:num>
  <w:num w:numId="12">
    <w:abstractNumId w:val="2"/>
  </w:num>
  <w:num w:numId="13">
    <w:abstractNumId w:val="1"/>
  </w:num>
  <w:num w:numId="14">
    <w:abstractNumId w:val="8"/>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2CA6"/>
    <w:rsid w:val="000D55A8"/>
    <w:rsid w:val="000E2BAA"/>
    <w:rsid w:val="000E4841"/>
    <w:rsid w:val="000F1677"/>
    <w:rsid w:val="000F3D6C"/>
    <w:rsid w:val="00101707"/>
    <w:rsid w:val="00113E29"/>
    <w:rsid w:val="0011473D"/>
    <w:rsid w:val="0011548B"/>
    <w:rsid w:val="00115684"/>
    <w:rsid w:val="00115C85"/>
    <w:rsid w:val="00123855"/>
    <w:rsid w:val="00126A4D"/>
    <w:rsid w:val="0014171F"/>
    <w:rsid w:val="0014622C"/>
    <w:rsid w:val="00152348"/>
    <w:rsid w:val="0015456D"/>
    <w:rsid w:val="00155FA2"/>
    <w:rsid w:val="001605E5"/>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B720E"/>
    <w:rsid w:val="001C45FC"/>
    <w:rsid w:val="001D0469"/>
    <w:rsid w:val="001D4862"/>
    <w:rsid w:val="001D49C4"/>
    <w:rsid w:val="001D6E1C"/>
    <w:rsid w:val="001E25B9"/>
    <w:rsid w:val="001E49E0"/>
    <w:rsid w:val="001E5F8A"/>
    <w:rsid w:val="001E7B5A"/>
    <w:rsid w:val="001F7412"/>
    <w:rsid w:val="00202DFE"/>
    <w:rsid w:val="00203720"/>
    <w:rsid w:val="0020725B"/>
    <w:rsid w:val="002110F1"/>
    <w:rsid w:val="002126BF"/>
    <w:rsid w:val="00222FB5"/>
    <w:rsid w:val="002255BB"/>
    <w:rsid w:val="0024116D"/>
    <w:rsid w:val="00241B44"/>
    <w:rsid w:val="00241FA3"/>
    <w:rsid w:val="00242F1B"/>
    <w:rsid w:val="00244C44"/>
    <w:rsid w:val="00245EFB"/>
    <w:rsid w:val="0025386E"/>
    <w:rsid w:val="002638B0"/>
    <w:rsid w:val="0026647A"/>
    <w:rsid w:val="002668D3"/>
    <w:rsid w:val="0027299F"/>
    <w:rsid w:val="002733B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2F79D1"/>
    <w:rsid w:val="00303C2F"/>
    <w:rsid w:val="003144EF"/>
    <w:rsid w:val="003218CA"/>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580F"/>
    <w:rsid w:val="0036625E"/>
    <w:rsid w:val="00366415"/>
    <w:rsid w:val="0037465A"/>
    <w:rsid w:val="00375D11"/>
    <w:rsid w:val="00382C98"/>
    <w:rsid w:val="0038533C"/>
    <w:rsid w:val="00386568"/>
    <w:rsid w:val="00390B57"/>
    <w:rsid w:val="00392621"/>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2145E"/>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420B"/>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17D"/>
    <w:rsid w:val="004F46FD"/>
    <w:rsid w:val="004F4AF9"/>
    <w:rsid w:val="004F5FDF"/>
    <w:rsid w:val="005177FE"/>
    <w:rsid w:val="0052263B"/>
    <w:rsid w:val="005232B9"/>
    <w:rsid w:val="00524728"/>
    <w:rsid w:val="005331CA"/>
    <w:rsid w:val="00537970"/>
    <w:rsid w:val="00540E3A"/>
    <w:rsid w:val="00541EA2"/>
    <w:rsid w:val="00544127"/>
    <w:rsid w:val="00544F6E"/>
    <w:rsid w:val="005463A9"/>
    <w:rsid w:val="00553EB2"/>
    <w:rsid w:val="00560534"/>
    <w:rsid w:val="00560E03"/>
    <w:rsid w:val="0056391B"/>
    <w:rsid w:val="005650E2"/>
    <w:rsid w:val="00567AD7"/>
    <w:rsid w:val="00575B2D"/>
    <w:rsid w:val="005833D0"/>
    <w:rsid w:val="005846F3"/>
    <w:rsid w:val="0058622F"/>
    <w:rsid w:val="00591280"/>
    <w:rsid w:val="00592F82"/>
    <w:rsid w:val="005A0CCA"/>
    <w:rsid w:val="005A726D"/>
    <w:rsid w:val="005B5AD0"/>
    <w:rsid w:val="005B67AC"/>
    <w:rsid w:val="005B79F4"/>
    <w:rsid w:val="005D0916"/>
    <w:rsid w:val="005D2CD6"/>
    <w:rsid w:val="005D43E0"/>
    <w:rsid w:val="005D58A3"/>
    <w:rsid w:val="005E1B79"/>
    <w:rsid w:val="005E7008"/>
    <w:rsid w:val="005E784A"/>
    <w:rsid w:val="005F026D"/>
    <w:rsid w:val="005F2AEA"/>
    <w:rsid w:val="005F2D0B"/>
    <w:rsid w:val="005F4B31"/>
    <w:rsid w:val="00610388"/>
    <w:rsid w:val="00610D26"/>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5F39"/>
    <w:rsid w:val="006A6530"/>
    <w:rsid w:val="006B435A"/>
    <w:rsid w:val="006B4C64"/>
    <w:rsid w:val="006D217A"/>
    <w:rsid w:val="006D6BD5"/>
    <w:rsid w:val="006E481A"/>
    <w:rsid w:val="006E5287"/>
    <w:rsid w:val="006E5298"/>
    <w:rsid w:val="006F0106"/>
    <w:rsid w:val="006F2B12"/>
    <w:rsid w:val="006F4A78"/>
    <w:rsid w:val="006F734A"/>
    <w:rsid w:val="00700D83"/>
    <w:rsid w:val="00704852"/>
    <w:rsid w:val="00705552"/>
    <w:rsid w:val="007074E9"/>
    <w:rsid w:val="00713DA4"/>
    <w:rsid w:val="00714BF1"/>
    <w:rsid w:val="00721383"/>
    <w:rsid w:val="0073158B"/>
    <w:rsid w:val="0073229D"/>
    <w:rsid w:val="007333CC"/>
    <w:rsid w:val="0073399A"/>
    <w:rsid w:val="007439CB"/>
    <w:rsid w:val="00752ED7"/>
    <w:rsid w:val="007603F5"/>
    <w:rsid w:val="00764DB0"/>
    <w:rsid w:val="0076764D"/>
    <w:rsid w:val="0077498C"/>
    <w:rsid w:val="007772BD"/>
    <w:rsid w:val="007809BC"/>
    <w:rsid w:val="00782EE1"/>
    <w:rsid w:val="00784128"/>
    <w:rsid w:val="00793173"/>
    <w:rsid w:val="007A107A"/>
    <w:rsid w:val="007A2A33"/>
    <w:rsid w:val="007A6B8D"/>
    <w:rsid w:val="007A7B20"/>
    <w:rsid w:val="007C17CC"/>
    <w:rsid w:val="007C1FCC"/>
    <w:rsid w:val="007C50AA"/>
    <w:rsid w:val="007C6201"/>
    <w:rsid w:val="007D7C92"/>
    <w:rsid w:val="007E1154"/>
    <w:rsid w:val="007E39B3"/>
    <w:rsid w:val="007E44C4"/>
    <w:rsid w:val="007E6BA4"/>
    <w:rsid w:val="007F41F8"/>
    <w:rsid w:val="007F6A57"/>
    <w:rsid w:val="00800B1B"/>
    <w:rsid w:val="00800B76"/>
    <w:rsid w:val="008017F0"/>
    <w:rsid w:val="00802802"/>
    <w:rsid w:val="0080454E"/>
    <w:rsid w:val="00804C32"/>
    <w:rsid w:val="00804DA6"/>
    <w:rsid w:val="00806302"/>
    <w:rsid w:val="00807119"/>
    <w:rsid w:val="0081233B"/>
    <w:rsid w:val="00815E7B"/>
    <w:rsid w:val="0082483F"/>
    <w:rsid w:val="008279C0"/>
    <w:rsid w:val="00827BA4"/>
    <w:rsid w:val="00835978"/>
    <w:rsid w:val="00841051"/>
    <w:rsid w:val="00846031"/>
    <w:rsid w:val="00847368"/>
    <w:rsid w:val="008500BD"/>
    <w:rsid w:val="00860723"/>
    <w:rsid w:val="008723F3"/>
    <w:rsid w:val="00874240"/>
    <w:rsid w:val="008769D8"/>
    <w:rsid w:val="00881DE6"/>
    <w:rsid w:val="00881FCE"/>
    <w:rsid w:val="008837A6"/>
    <w:rsid w:val="0089145D"/>
    <w:rsid w:val="00894C1D"/>
    <w:rsid w:val="00897A78"/>
    <w:rsid w:val="008A4DF2"/>
    <w:rsid w:val="008A6CFE"/>
    <w:rsid w:val="008B5333"/>
    <w:rsid w:val="008B6223"/>
    <w:rsid w:val="008C4AC6"/>
    <w:rsid w:val="008C66E0"/>
    <w:rsid w:val="008D5581"/>
    <w:rsid w:val="008D62F7"/>
    <w:rsid w:val="008E0EC8"/>
    <w:rsid w:val="008E3022"/>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B618F"/>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15D6"/>
    <w:rsid w:val="00AC3839"/>
    <w:rsid w:val="00AC7082"/>
    <w:rsid w:val="00AD2931"/>
    <w:rsid w:val="00AD513F"/>
    <w:rsid w:val="00AD6870"/>
    <w:rsid w:val="00AE10E4"/>
    <w:rsid w:val="00AE2316"/>
    <w:rsid w:val="00AE74BA"/>
    <w:rsid w:val="00AF228E"/>
    <w:rsid w:val="00B016A8"/>
    <w:rsid w:val="00B12499"/>
    <w:rsid w:val="00B12EF7"/>
    <w:rsid w:val="00B14819"/>
    <w:rsid w:val="00B15E2F"/>
    <w:rsid w:val="00B17AA9"/>
    <w:rsid w:val="00B30D9A"/>
    <w:rsid w:val="00B44713"/>
    <w:rsid w:val="00B4697C"/>
    <w:rsid w:val="00B56103"/>
    <w:rsid w:val="00B62A78"/>
    <w:rsid w:val="00B64929"/>
    <w:rsid w:val="00B736DF"/>
    <w:rsid w:val="00B743D6"/>
    <w:rsid w:val="00B74FBD"/>
    <w:rsid w:val="00B77F46"/>
    <w:rsid w:val="00B82586"/>
    <w:rsid w:val="00B829A3"/>
    <w:rsid w:val="00B86DB1"/>
    <w:rsid w:val="00B87869"/>
    <w:rsid w:val="00B96CE3"/>
    <w:rsid w:val="00BA543A"/>
    <w:rsid w:val="00BA62E4"/>
    <w:rsid w:val="00BB0F2B"/>
    <w:rsid w:val="00BB38D1"/>
    <w:rsid w:val="00BD73DA"/>
    <w:rsid w:val="00BE4FF3"/>
    <w:rsid w:val="00BF50F7"/>
    <w:rsid w:val="00C00B20"/>
    <w:rsid w:val="00C02F29"/>
    <w:rsid w:val="00C20AFE"/>
    <w:rsid w:val="00C22A25"/>
    <w:rsid w:val="00C24B2C"/>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D05347"/>
    <w:rsid w:val="00D148DC"/>
    <w:rsid w:val="00D16949"/>
    <w:rsid w:val="00D17FDC"/>
    <w:rsid w:val="00D21E4E"/>
    <w:rsid w:val="00D21F62"/>
    <w:rsid w:val="00D26E26"/>
    <w:rsid w:val="00D30AAC"/>
    <w:rsid w:val="00D476E0"/>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077B"/>
    <w:rsid w:val="00E26E19"/>
    <w:rsid w:val="00E30C8A"/>
    <w:rsid w:val="00E31DF3"/>
    <w:rsid w:val="00E450A4"/>
    <w:rsid w:val="00E506BE"/>
    <w:rsid w:val="00E50D1F"/>
    <w:rsid w:val="00E54EA4"/>
    <w:rsid w:val="00E55547"/>
    <w:rsid w:val="00E604A1"/>
    <w:rsid w:val="00E6302B"/>
    <w:rsid w:val="00E6452F"/>
    <w:rsid w:val="00E64F45"/>
    <w:rsid w:val="00E6742D"/>
    <w:rsid w:val="00E71CB0"/>
    <w:rsid w:val="00E77C3D"/>
    <w:rsid w:val="00E81160"/>
    <w:rsid w:val="00E83CE8"/>
    <w:rsid w:val="00E856F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3620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2931-8048-0E4E-93FD-2893CF45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4398</Words>
  <Characters>25072</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Kaveer Soni</cp:lastModifiedBy>
  <cp:revision>28</cp:revision>
  <cp:lastPrinted>2019-08-27T05:42:00Z</cp:lastPrinted>
  <dcterms:created xsi:type="dcterms:W3CDTF">2022-02-25T00:32:00Z</dcterms:created>
  <dcterms:modified xsi:type="dcterms:W3CDTF">2022-02-28T06:02:00Z</dcterms:modified>
</cp:coreProperties>
</file>